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200660</wp:posOffset>
            </wp:positionV>
            <wp:extent cx="7254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241300</wp:posOffset>
            </wp:positionV>
            <wp:extent cx="7254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210820</wp:posOffset>
            </wp:positionV>
            <wp:extent cx="1525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233045</wp:posOffset>
            </wp:positionV>
            <wp:extent cx="1525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1" w:lineRule="exact"/>
        <w:rPr>
          <w:sz w:val="24"/>
          <w:szCs w:val="24"/>
          <w:color w:val="auto"/>
        </w:rPr>
      </w:pPr>
    </w:p>
    <w:p>
      <w:pPr>
        <w:ind w:left="440" w:hanging="438"/>
        <w:spacing w:after="0"/>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2014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28" w:lineRule="exact"/>
        <w:rPr>
          <w:sz w:val="24"/>
          <w:szCs w:val="24"/>
          <w:color w:val="auto"/>
        </w:rPr>
      </w:pPr>
    </w:p>
    <w:p>
      <w:pPr>
        <w:ind w:left="440" w:hanging="438"/>
        <w:spacing w:after="0"/>
        <w:tabs>
          <w:tab w:leader="none" w:pos="4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4" w:lineRule="exact"/>
        <w:rPr>
          <w:sz w:val="24"/>
          <w:szCs w:val="24"/>
          <w:color w:val="auto"/>
        </w:rPr>
      </w:pPr>
    </w:p>
    <w:p>
      <w:pPr>
        <w:ind w:left="364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3727450</wp:posOffset>
            </wp:positionH>
            <wp:positionV relativeFrom="paragraph">
              <wp:posOffset>-8255</wp:posOffset>
            </wp:positionV>
            <wp:extent cx="1219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225425</wp:posOffset>
            </wp:positionV>
            <wp:extent cx="1525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LSB INDUSTRIES,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221615</wp:posOffset>
            </wp:positionV>
            <wp:extent cx="1525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2340" w:type="dxa"/>
            <w:vAlign w:val="bottom"/>
          </w:tcPr>
          <w:p>
            <w:pPr>
              <w:spacing w:after="0"/>
              <w:rPr>
                <w:sz w:val="17"/>
                <w:szCs w:val="17"/>
                <w:color w:val="auto"/>
              </w:rPr>
            </w:pPr>
          </w:p>
        </w:tc>
        <w:tc>
          <w:tcPr>
            <w:tcW w:w="4960" w:type="dxa"/>
            <w:vAlign w:val="bottom"/>
            <w:gridSpan w:val="4"/>
          </w:tcPr>
          <w:p>
            <w:pPr>
              <w:jc w:val="center"/>
              <w:ind w:right="3880"/>
              <w:spacing w:after="0"/>
              <w:rPr>
                <w:sz w:val="20"/>
                <w:szCs w:val="20"/>
                <w:color w:val="auto"/>
              </w:rPr>
            </w:pPr>
            <w:r>
              <w:rPr>
                <w:rFonts w:ascii="Arial" w:cs="Arial" w:eastAsia="Arial" w:hAnsi="Arial"/>
                <w:sz w:val="17"/>
                <w:szCs w:val="17"/>
                <w:b w:val="1"/>
                <w:bCs w:val="1"/>
                <w:color w:val="auto"/>
                <w:w w:val="91"/>
              </w:rPr>
              <w:t>Delaware</w:t>
            </w:r>
          </w:p>
        </w:tc>
        <w:tc>
          <w:tcPr>
            <w:tcW w:w="860" w:type="dxa"/>
            <w:vAlign w:val="bottom"/>
          </w:tcPr>
          <w:p>
            <w:pPr>
              <w:spacing w:after="0"/>
              <w:rPr>
                <w:sz w:val="17"/>
                <w:szCs w:val="17"/>
                <w:color w:val="auto"/>
              </w:rPr>
            </w:pPr>
          </w:p>
        </w:tc>
        <w:tc>
          <w:tcPr>
            <w:tcW w:w="1840" w:type="dxa"/>
            <w:vAlign w:val="bottom"/>
            <w:gridSpan w:val="2"/>
          </w:tcPr>
          <w:p>
            <w:pPr>
              <w:jc w:val="right"/>
              <w:ind w:right="855"/>
              <w:spacing w:after="0"/>
              <w:rPr>
                <w:sz w:val="20"/>
                <w:szCs w:val="20"/>
                <w:color w:val="auto"/>
              </w:rPr>
            </w:pPr>
            <w:r>
              <w:rPr>
                <w:rFonts w:ascii="Arial" w:cs="Arial" w:eastAsia="Arial" w:hAnsi="Arial"/>
                <w:sz w:val="17"/>
                <w:szCs w:val="17"/>
                <w:b w:val="1"/>
                <w:bCs w:val="1"/>
                <w:color w:val="auto"/>
                <w:w w:val="96"/>
              </w:rPr>
              <w:t>73-1015226</w:t>
            </w: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4960" w:type="dxa"/>
            <w:vAlign w:val="bottom"/>
            <w:gridSpan w:val="4"/>
          </w:tcPr>
          <w:p>
            <w:pPr>
              <w:jc w:val="center"/>
              <w:ind w:right="3880"/>
              <w:spacing w:after="0" w:line="140" w:lineRule="exact"/>
              <w:rPr>
                <w:sz w:val="20"/>
                <w:szCs w:val="20"/>
                <w:color w:val="auto"/>
              </w:rPr>
            </w:pPr>
            <w:r>
              <w:rPr>
                <w:rFonts w:ascii="Arial" w:cs="Arial" w:eastAsia="Arial" w:hAnsi="Arial"/>
                <w:sz w:val="14"/>
                <w:szCs w:val="14"/>
                <w:b w:val="1"/>
                <w:bCs w:val="1"/>
                <w:color w:val="auto"/>
                <w:w w:val="85"/>
              </w:rPr>
              <w:t>(State of</w:t>
            </w:r>
          </w:p>
        </w:tc>
        <w:tc>
          <w:tcPr>
            <w:tcW w:w="860" w:type="dxa"/>
            <w:vAlign w:val="bottom"/>
          </w:tcPr>
          <w:p>
            <w:pPr>
              <w:spacing w:after="0"/>
              <w:rPr>
                <w:sz w:val="12"/>
                <w:szCs w:val="12"/>
                <w:color w:val="auto"/>
              </w:rPr>
            </w:pPr>
          </w:p>
        </w:tc>
        <w:tc>
          <w:tcPr>
            <w:tcW w:w="1840" w:type="dxa"/>
            <w:vAlign w:val="bottom"/>
            <w:gridSpan w:val="2"/>
          </w:tcPr>
          <w:p>
            <w:pPr>
              <w:jc w:val="center"/>
              <w:ind w:right="775"/>
              <w:spacing w:after="0" w:line="140"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4960" w:type="dxa"/>
            <w:vAlign w:val="bottom"/>
            <w:gridSpan w:val="4"/>
          </w:tcPr>
          <w:p>
            <w:pPr>
              <w:jc w:val="center"/>
              <w:ind w:right="3860"/>
              <w:spacing w:after="0"/>
              <w:rPr>
                <w:sz w:val="20"/>
                <w:szCs w:val="20"/>
                <w:color w:val="auto"/>
              </w:rPr>
            </w:pPr>
            <w:r>
              <w:rPr>
                <w:rFonts w:ascii="Arial" w:cs="Arial" w:eastAsia="Arial" w:hAnsi="Arial"/>
                <w:sz w:val="14"/>
                <w:szCs w:val="14"/>
                <w:b w:val="1"/>
                <w:bCs w:val="1"/>
                <w:color w:val="auto"/>
                <w:w w:val="90"/>
              </w:rPr>
              <w:t>Incorporation)</w:t>
            </w: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388"/>
        </w:trPr>
        <w:tc>
          <w:tcPr>
            <w:tcW w:w="7300" w:type="dxa"/>
            <w:vAlign w:val="bottom"/>
            <w:gridSpan w:val="5"/>
          </w:tcPr>
          <w:p>
            <w:pPr>
              <w:jc w:val="center"/>
              <w:ind w:right="1520"/>
              <w:spacing w:after="0"/>
              <w:rPr>
                <w:sz w:val="20"/>
                <w:szCs w:val="20"/>
                <w:color w:val="auto"/>
              </w:rPr>
            </w:pPr>
            <w:r>
              <w:rPr>
                <w:rFonts w:ascii="Arial" w:cs="Arial" w:eastAsia="Arial" w:hAnsi="Arial"/>
                <w:sz w:val="17"/>
                <w:szCs w:val="17"/>
                <w:b w:val="1"/>
                <w:bCs w:val="1"/>
                <w:color w:val="auto"/>
                <w:w w:val="88"/>
              </w:rPr>
              <w:t>16 South Pennsylvania Avenue</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00" w:type="dxa"/>
            <w:vAlign w:val="bottom"/>
            <w:gridSpan w:val="5"/>
          </w:tcPr>
          <w:p>
            <w:pPr>
              <w:jc w:val="center"/>
              <w:ind w:right="1520"/>
              <w:spacing w:after="0"/>
              <w:rPr>
                <w:sz w:val="20"/>
                <w:szCs w:val="20"/>
                <w:color w:val="auto"/>
              </w:rPr>
            </w:pPr>
            <w:r>
              <w:rPr>
                <w:rFonts w:ascii="Arial" w:cs="Arial" w:eastAsia="Arial" w:hAnsi="Arial"/>
                <w:sz w:val="17"/>
                <w:szCs w:val="17"/>
                <w:b w:val="1"/>
                <w:bCs w:val="1"/>
                <w:color w:val="auto"/>
                <w:w w:val="92"/>
              </w:rPr>
              <w:t>Oklahoma City, Oklahoma</w:t>
            </w:r>
          </w:p>
        </w:tc>
        <w:tc>
          <w:tcPr>
            <w:tcW w:w="860" w:type="dxa"/>
            <w:vAlign w:val="bottom"/>
          </w:tcPr>
          <w:p>
            <w:pPr>
              <w:spacing w:after="0"/>
              <w:rPr>
                <w:sz w:val="18"/>
                <w:szCs w:val="18"/>
                <w:color w:val="auto"/>
              </w:rPr>
            </w:pPr>
          </w:p>
        </w:tc>
        <w:tc>
          <w:tcPr>
            <w:tcW w:w="1840" w:type="dxa"/>
            <w:vAlign w:val="bottom"/>
            <w:gridSpan w:val="2"/>
          </w:tcPr>
          <w:p>
            <w:pPr>
              <w:jc w:val="right"/>
              <w:ind w:right="1055"/>
              <w:spacing w:after="0"/>
              <w:rPr>
                <w:sz w:val="20"/>
                <w:szCs w:val="20"/>
                <w:color w:val="auto"/>
              </w:rPr>
            </w:pPr>
            <w:r>
              <w:rPr>
                <w:rFonts w:ascii="Arial" w:cs="Arial" w:eastAsia="Arial" w:hAnsi="Arial"/>
                <w:sz w:val="17"/>
                <w:szCs w:val="17"/>
                <w:b w:val="1"/>
                <w:bCs w:val="1"/>
                <w:color w:val="auto"/>
              </w:rPr>
              <w:t>73107</w:t>
            </w:r>
          </w:p>
        </w:tc>
        <w:tc>
          <w:tcPr>
            <w:tcW w:w="0" w:type="dxa"/>
            <w:vAlign w:val="bottom"/>
          </w:tcPr>
          <w:p>
            <w:pPr>
              <w:spacing w:after="0"/>
              <w:rPr>
                <w:sz w:val="1"/>
                <w:szCs w:val="1"/>
                <w:color w:val="auto"/>
              </w:rPr>
            </w:pPr>
          </w:p>
        </w:tc>
      </w:tr>
      <w:tr>
        <w:trPr>
          <w:trHeight w:val="175"/>
        </w:trPr>
        <w:tc>
          <w:tcPr>
            <w:tcW w:w="7300" w:type="dxa"/>
            <w:vAlign w:val="bottom"/>
            <w:gridSpan w:val="5"/>
          </w:tcPr>
          <w:p>
            <w:pPr>
              <w:jc w:val="center"/>
              <w:ind w:right="154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860" w:type="dxa"/>
            <w:vAlign w:val="bottom"/>
          </w:tcPr>
          <w:p>
            <w:pPr>
              <w:spacing w:after="0"/>
              <w:rPr>
                <w:sz w:val="15"/>
                <w:szCs w:val="15"/>
                <w:color w:val="auto"/>
              </w:rPr>
            </w:pPr>
          </w:p>
        </w:tc>
        <w:tc>
          <w:tcPr>
            <w:tcW w:w="1840" w:type="dxa"/>
            <w:vAlign w:val="bottom"/>
            <w:gridSpan w:val="2"/>
          </w:tcPr>
          <w:p>
            <w:pPr>
              <w:jc w:val="center"/>
              <w:ind w:right="775"/>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391"/>
        </w:trPr>
        <w:tc>
          <w:tcPr>
            <w:tcW w:w="2340" w:type="dxa"/>
            <w:vAlign w:val="bottom"/>
          </w:tcPr>
          <w:p>
            <w:pPr>
              <w:spacing w:after="0"/>
              <w:rPr>
                <w:sz w:val="24"/>
                <w:szCs w:val="24"/>
                <w:color w:val="auto"/>
              </w:rPr>
            </w:pPr>
          </w:p>
        </w:tc>
        <w:tc>
          <w:tcPr>
            <w:tcW w:w="6480" w:type="dxa"/>
            <w:vAlign w:val="bottom"/>
            <w:gridSpan w:val="6"/>
          </w:tcPr>
          <w:p>
            <w:pPr>
              <w:jc w:val="center"/>
              <w:ind w:left="204"/>
              <w:spacing w:after="0"/>
              <w:rPr>
                <w:sz w:val="20"/>
                <w:szCs w:val="20"/>
                <w:color w:val="auto"/>
              </w:rPr>
            </w:pPr>
            <w:r>
              <w:rPr>
                <w:rFonts w:ascii="Arial" w:cs="Arial" w:eastAsia="Arial" w:hAnsi="Arial"/>
                <w:sz w:val="17"/>
                <w:szCs w:val="17"/>
                <w:b w:val="1"/>
                <w:bCs w:val="1"/>
                <w:color w:val="auto"/>
                <w:w w:val="90"/>
              </w:rPr>
              <w:t>Registrant’s Telephone Number, Including Area Code: (405) 235-4546</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20" w:type="dxa"/>
            <w:vAlign w:val="bottom"/>
            <w:gridSpan w:val="4"/>
          </w:tcPr>
          <w:p>
            <w:pPr>
              <w:jc w:val="center"/>
              <w:ind w:right="84"/>
              <w:spacing w:after="0"/>
              <w:rPr>
                <w:sz w:val="20"/>
                <w:szCs w:val="20"/>
                <w:color w:val="auto"/>
              </w:rPr>
            </w:pPr>
            <w:r>
              <w:rPr>
                <w:rFonts w:ascii="Arial" w:cs="Arial" w:eastAsia="Arial" w:hAnsi="Arial"/>
                <w:sz w:val="17"/>
                <w:szCs w:val="17"/>
                <w:b w:val="1"/>
                <w:bCs w:val="1"/>
                <w:color w:val="auto"/>
                <w:w w:val="88"/>
              </w:rPr>
              <w:t>Securities Registered Pursuant to Section 12(b) of the Act:</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340" w:type="dxa"/>
            <w:vAlign w:val="bottom"/>
            <w:vMerge w:val="restart"/>
          </w:tcPr>
          <w:p>
            <w:pPr>
              <w:ind w:left="1760"/>
              <w:spacing w:after="0"/>
              <w:rPr>
                <w:sz w:val="20"/>
                <w:szCs w:val="20"/>
                <w:color w:val="auto"/>
              </w:rPr>
            </w:pPr>
            <w:r>
              <w:rPr>
                <w:rFonts w:ascii="Arial" w:cs="Arial" w:eastAsia="Arial" w:hAnsi="Arial"/>
                <w:sz w:val="17"/>
                <w:szCs w:val="17"/>
                <w:b w:val="1"/>
                <w:bCs w:val="1"/>
                <w:color w:val="auto"/>
                <w:w w:val="75"/>
              </w:rPr>
              <w:t>Common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60" w:type="dxa"/>
            <w:vAlign w:val="bottom"/>
            <w:gridSpan w:val="3"/>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167"/>
        </w:trPr>
        <w:tc>
          <w:tcPr>
            <w:tcW w:w="2340" w:type="dxa"/>
            <w:vAlign w:val="bottom"/>
            <w:vMerge w:val="continue"/>
          </w:tcPr>
          <w:p>
            <w:pPr>
              <w:spacing w:after="0"/>
              <w:rPr>
                <w:sz w:val="14"/>
                <w:szCs w:val="14"/>
                <w:color w:val="auto"/>
              </w:rPr>
            </w:pPr>
          </w:p>
        </w:tc>
        <w:tc>
          <w:tcPr>
            <w:tcW w:w="4960" w:type="dxa"/>
            <w:vAlign w:val="bottom"/>
            <w:gridSpan w:val="4"/>
          </w:tcPr>
          <w:p>
            <w:pPr>
              <w:ind w:left="140"/>
              <w:spacing w:after="0" w:line="167" w:lineRule="exact"/>
              <w:rPr>
                <w:sz w:val="20"/>
                <w:szCs w:val="20"/>
                <w:color w:val="auto"/>
              </w:rPr>
            </w:pPr>
            <w:r>
              <w:rPr>
                <w:rFonts w:ascii="Arial" w:cs="Arial" w:eastAsia="Arial" w:hAnsi="Arial"/>
                <w:sz w:val="17"/>
                <w:szCs w:val="17"/>
                <w:b w:val="1"/>
                <w:bCs w:val="1"/>
                <w:color w:val="auto"/>
              </w:rPr>
              <w:t>Stock, Par Value $.10</w:t>
            </w:r>
          </w:p>
        </w:tc>
        <w:tc>
          <w:tcPr>
            <w:tcW w:w="2700" w:type="dxa"/>
            <w:vAlign w:val="bottom"/>
            <w:gridSpan w:val="3"/>
          </w:tcPr>
          <w:p>
            <w:pPr>
              <w:jc w:val="center"/>
              <w:spacing w:after="0" w:line="167" w:lineRule="exact"/>
              <w:rPr>
                <w:sz w:val="20"/>
                <w:szCs w:val="20"/>
                <w:color w:val="auto"/>
              </w:rPr>
            </w:pPr>
            <w:r>
              <w:rPr>
                <w:rFonts w:ascii="Arial" w:cs="Arial" w:eastAsia="Arial" w:hAnsi="Arial"/>
                <w:sz w:val="17"/>
                <w:szCs w:val="17"/>
                <w:b w:val="1"/>
                <w:bCs w:val="1"/>
                <w:color w:val="auto"/>
                <w:w w:val="88"/>
              </w:rPr>
              <w:t>New York Stock Exchange</w:t>
            </w:r>
          </w:p>
        </w:tc>
        <w:tc>
          <w:tcPr>
            <w:tcW w:w="0" w:type="dxa"/>
            <w:vAlign w:val="bottom"/>
          </w:tcPr>
          <w:p>
            <w:pPr>
              <w:spacing w:after="0"/>
              <w:rPr>
                <w:sz w:val="1"/>
                <w:szCs w:val="1"/>
                <w:color w:val="auto"/>
              </w:rPr>
            </w:pPr>
          </w:p>
        </w:tc>
      </w:tr>
      <w:tr>
        <w:trPr>
          <w:trHeight w:val="219"/>
        </w:trPr>
        <w:tc>
          <w:tcPr>
            <w:tcW w:w="7300" w:type="dxa"/>
            <w:vAlign w:val="bottom"/>
            <w:gridSpan w:val="5"/>
          </w:tcPr>
          <w:p>
            <w:pPr>
              <w:jc w:val="center"/>
              <w:ind w:right="1520"/>
              <w:spacing w:after="0"/>
              <w:rPr>
                <w:sz w:val="20"/>
                <w:szCs w:val="20"/>
                <w:color w:val="auto"/>
              </w:rPr>
            </w:pPr>
            <w:r>
              <w:rPr>
                <w:rFonts w:ascii="Arial" w:cs="Arial" w:eastAsia="Arial" w:hAnsi="Arial"/>
                <w:sz w:val="17"/>
                <w:szCs w:val="17"/>
                <w:b w:val="1"/>
                <w:bCs w:val="1"/>
                <w:color w:val="auto"/>
                <w:w w:val="89"/>
              </w:rPr>
              <w:t>Preferred Share Purchase Rights</w:t>
            </w:r>
          </w:p>
        </w:tc>
        <w:tc>
          <w:tcPr>
            <w:tcW w:w="27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8"/>
              </w:rPr>
              <w:t>New York Stock Exchange</w:t>
            </w:r>
          </w:p>
        </w:tc>
        <w:tc>
          <w:tcPr>
            <w:tcW w:w="0" w:type="dxa"/>
            <w:vAlign w:val="bottom"/>
          </w:tcPr>
          <w:p>
            <w:pPr>
              <w:spacing w:after="0"/>
              <w:rPr>
                <w:sz w:val="1"/>
                <w:szCs w:val="1"/>
                <w:color w:val="auto"/>
              </w:rPr>
            </w:pPr>
          </w:p>
        </w:tc>
      </w:tr>
      <w:tr>
        <w:trPr>
          <w:trHeight w:val="357"/>
        </w:trPr>
        <w:tc>
          <w:tcPr>
            <w:tcW w:w="4520" w:type="dxa"/>
            <w:vAlign w:val="bottom"/>
            <w:gridSpan w:val="3"/>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40" w:type="dxa"/>
            <w:vAlign w:val="bottom"/>
            <w:gridSpan w:val="2"/>
          </w:tcPr>
          <w:p>
            <w:pPr>
              <w:spacing w:after="0"/>
              <w:rPr>
                <w:sz w:val="24"/>
                <w:szCs w:val="24"/>
                <w:color w:val="auto"/>
              </w:rPr>
            </w:pPr>
          </w:p>
        </w:tc>
        <w:tc>
          <w:tcPr>
            <w:tcW w:w="660" w:type="dxa"/>
            <w:vAlign w:val="bottom"/>
            <w:vMerge w:val="restart"/>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tc>
        <w:tc>
          <w:tcPr>
            <w:tcW w:w="118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c>
          <w:tcPr>
            <w:tcW w:w="0" w:type="dxa"/>
            <w:vAlign w:val="bottom"/>
          </w:tcPr>
          <w:p>
            <w:pPr>
              <w:spacing w:after="0"/>
              <w:rPr>
                <w:sz w:val="1"/>
                <w:szCs w:val="1"/>
                <w:color w:val="auto"/>
              </w:rPr>
            </w:pPr>
          </w:p>
        </w:tc>
      </w:tr>
      <w:tr>
        <w:trPr>
          <w:trHeight w:val="419"/>
        </w:trPr>
        <w:tc>
          <w:tcPr>
            <w:tcW w:w="8160" w:type="dxa"/>
            <w:vAlign w:val="bottom"/>
            <w:gridSpan w:val="6"/>
          </w:tcPr>
          <w:p>
            <w:pPr>
              <w:spacing w:after="0"/>
              <w:rPr>
                <w:sz w:val="20"/>
                <w:szCs w:val="20"/>
                <w:color w:val="auto"/>
              </w:rPr>
            </w:pPr>
            <w:r>
              <w:rPr>
                <w:rFonts w:ascii="Arial" w:cs="Arial" w:eastAsia="Arial" w:hAnsi="Arial"/>
                <w:sz w:val="17"/>
                <w:szCs w:val="17"/>
                <w:color w:val="auto"/>
                <w:w w:val="91"/>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160" w:type="dxa"/>
            <w:vAlign w:val="bottom"/>
            <w:gridSpan w:val="6"/>
          </w:tcPr>
          <w:p>
            <w:pPr>
              <w:spacing w:after="0"/>
              <w:rPr>
                <w:sz w:val="20"/>
                <w:szCs w:val="20"/>
                <w:color w:val="auto"/>
              </w:rPr>
            </w:pPr>
            <w:r>
              <w:rPr>
                <w:rFonts w:ascii="Arial" w:cs="Arial" w:eastAsia="Arial" w:hAnsi="Arial"/>
                <w:sz w:val="17"/>
                <w:szCs w:val="17"/>
                <w:color w:val="auto"/>
                <w:w w:val="90"/>
              </w:rPr>
              <w:t>Indicate by check mark if the Registrant is not required to file reports pursuant to Section 13 or Section 15(d) of the Act.</w:t>
            </w:r>
          </w:p>
        </w:tc>
        <w:tc>
          <w:tcPr>
            <w:tcW w:w="660" w:type="dxa"/>
            <w:vAlign w:val="bottom"/>
          </w:tcPr>
          <w:p>
            <w:pPr>
              <w:ind w:left="180"/>
              <w:spacing w:after="0" w:line="196" w:lineRule="exact"/>
              <w:rPr>
                <w:sz w:val="20"/>
                <w:szCs w:val="20"/>
                <w:color w:val="auto"/>
              </w:rPr>
            </w:pPr>
            <w:r>
              <w:rPr>
                <w:rFonts w:ascii="MS PGothic" w:cs="MS PGothic" w:eastAsia="MS PGothic" w:hAnsi="MS PGothic"/>
                <w:sz w:val="17"/>
                <w:szCs w:val="17"/>
                <w:color w:val="auto"/>
                <w:w w:val="90"/>
              </w:rPr>
              <w:t>☐</w:t>
            </w:r>
            <w:r>
              <w:rPr>
                <w:rFonts w:ascii="Arial" w:cs="Arial" w:eastAsia="Arial" w:hAnsi="Arial"/>
                <w:sz w:val="17"/>
                <w:szCs w:val="17"/>
                <w:color w:val="auto"/>
                <w:w w:val="90"/>
              </w:rPr>
              <w:t xml:space="preserve"> Yes</w:t>
            </w:r>
          </w:p>
        </w:tc>
        <w:tc>
          <w:tcPr>
            <w:tcW w:w="118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c>
          <w:tcPr>
            <w:tcW w:w="0" w:type="dxa"/>
            <w:vAlign w:val="bottom"/>
          </w:tcPr>
          <w:p>
            <w:pPr>
              <w:spacing w:after="0"/>
              <w:rPr>
                <w:sz w:val="1"/>
                <w:szCs w:val="1"/>
                <w:color w:val="auto"/>
              </w:rPr>
            </w:pPr>
          </w:p>
        </w:tc>
      </w:tr>
    </w:tbl>
    <w:p>
      <w:pPr>
        <w:spacing w:after="0" w:line="172" w:lineRule="exact"/>
        <w:rPr>
          <w:sz w:val="24"/>
          <w:szCs w:val="24"/>
          <w:color w:val="auto"/>
        </w:rPr>
      </w:pPr>
    </w:p>
    <w:p>
      <w:pPr>
        <w:ind w:right="140"/>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by Section 13 or 15(d) of the Securities Exchange Act of 1934 during the preceding 12 months (or for the shorter period that the Registrant has had to file the reports), and (2) has been subject to the filing requirements for the past 90</w:t>
      </w:r>
    </w:p>
    <w:p>
      <w:pPr>
        <w:spacing w:after="0" w:line="196" w:lineRule="exact"/>
        <w:tabs>
          <w:tab w:leader="none" w:pos="500" w:val="left"/>
        </w:tabs>
        <w:rPr>
          <w:sz w:val="20"/>
          <w:szCs w:val="20"/>
          <w:color w:val="auto"/>
        </w:rPr>
      </w:pPr>
      <w:r>
        <w:rPr>
          <w:rFonts w:ascii="Arial" w:cs="Arial" w:eastAsia="Arial" w:hAnsi="Arial"/>
          <w:sz w:val="17"/>
          <w:szCs w:val="17"/>
          <w:color w:val="auto"/>
        </w:rPr>
        <w:t>days.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3" w:lineRule="exact"/>
        <w:rPr>
          <w:sz w:val="24"/>
          <w:szCs w:val="24"/>
          <w:color w:val="auto"/>
        </w:rPr>
      </w:pPr>
    </w:p>
    <w:p>
      <w:pPr>
        <w:ind w:right="80"/>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3" w:lineRule="exact"/>
        <w:rPr>
          <w:sz w:val="24"/>
          <w:szCs w:val="24"/>
          <w:color w:val="auto"/>
        </w:rPr>
      </w:pPr>
    </w:p>
    <w:p>
      <w:pPr>
        <w:ind w:right="100"/>
        <w:spacing w:after="0" w:line="219"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73" w:lineRule="exact"/>
        <w:rPr>
          <w:sz w:val="24"/>
          <w:szCs w:val="24"/>
          <w:color w:val="auto"/>
        </w:rPr>
      </w:pPr>
    </w:p>
    <w:p>
      <w:pPr>
        <w:ind w:right="40"/>
        <w:spacing w:after="0" w:line="27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5" w:right="239" w:bottom="0" w:gutter="0" w:footer="0" w:header="0"/>
        </w:sectPr>
      </w:pPr>
    </w:p>
    <w:p>
      <w:pPr>
        <w:spacing w:after="0" w:line="19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4" w:lineRule="exact"/>
        <w:rPr>
          <w:sz w:val="24"/>
          <w:szCs w:val="24"/>
          <w:color w:val="auto"/>
        </w:rPr>
      </w:pPr>
    </w:p>
    <w:p>
      <w:pPr>
        <w:sectPr>
          <w:pgSz w:w="11900" w:h="16838" w:orient="portrait"/>
          <w:cols w:equalWidth="0" w:num="4">
            <w:col w:w="1520" w:space="420"/>
            <w:col w:w="6240" w:space="720"/>
            <w:col w:w="1660" w:space="720"/>
            <w:col w:w="140"/>
          </w:cols>
          <w:pgMar w:left="240" w:top="225"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1440" w:space="500"/>
            <w:col w:w="160" w:space="80"/>
            <w:col w:w="6000" w:space="720"/>
            <w:col w:w="1860" w:space="520"/>
            <w:col w:w="140"/>
          </w:cols>
          <w:pgMar w:left="240" w:top="225"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7040" w:space="160"/>
            <w:col w:w="160" w:space="80"/>
            <w:col w:w="240" w:space="160"/>
            <w:col w:w="160" w:space="80"/>
            <w:col w:w="3340"/>
          </w:cols>
          <w:pgMar w:left="240" w:top="225" w:right="239" w:bottom="0" w:gutter="0" w:footer="0" w:header="0"/>
          <w:type w:val="continuous"/>
        </w:sectPr>
      </w:pPr>
    </w:p>
    <w:p>
      <w:pPr>
        <w:spacing w:after="0" w:line="11" w:lineRule="exact"/>
        <w:rPr>
          <w:sz w:val="24"/>
          <w:szCs w:val="24"/>
          <w:color w:val="auto"/>
        </w:rPr>
      </w:pPr>
    </w:p>
    <w:p>
      <w:pPr>
        <w:jc w:val="both"/>
        <w:ind w:right="200"/>
        <w:spacing w:after="0" w:line="312" w:lineRule="auto"/>
        <w:rPr>
          <w:sz w:val="20"/>
          <w:szCs w:val="20"/>
          <w:color w:val="auto"/>
        </w:rPr>
      </w:pPr>
      <w:r>
        <w:rPr>
          <w:rFonts w:ascii="Arial" w:cs="Arial" w:eastAsia="Arial" w:hAnsi="Arial"/>
          <w:sz w:val="15"/>
          <w:szCs w:val="15"/>
          <w:color w:val="auto"/>
        </w:rPr>
        <w:t>The aggregate market value of the Registrant’s voting common equity held by non-affiliates of the Registrant, computed by reference to the price at which the voting common stock was last sold as of June 30, 2014, was approximately $814 million. As a result, the Registrant is a large accelerated filer as of December 31, 2014. For purposes of this computation, shares of the Registrant’s common stock beneficially owned by each executive officer and director of the Registrant were deemed to be</w:t>
      </w:r>
    </w:p>
    <w:p>
      <w:pPr>
        <w:sectPr>
          <w:pgSz w:w="11900" w:h="16838" w:orient="portrait"/>
          <w:cols w:equalWidth="0" w:num="1">
            <w:col w:w="11420"/>
          </w:cols>
          <w:pgMar w:left="240" w:top="225" w:right="239" w:bottom="0" w:gutter="0" w:footer="0" w:header="0"/>
          <w:type w:val="continuous"/>
        </w:sectPr>
      </w:pPr>
    </w:p>
    <w:bookmarkStart w:id="1" w:name="page2"/>
    <w:bookmarkEnd w:id="1"/>
    <w:p>
      <w:pPr>
        <w:ind w:right="120"/>
        <w:spacing w:after="0" w:line="273" w:lineRule="auto"/>
        <w:rPr>
          <w:sz w:val="20"/>
          <w:szCs w:val="20"/>
          <w:color w:val="auto"/>
        </w:rPr>
      </w:pPr>
      <w:r>
        <w:rPr>
          <w:rFonts w:ascii="Arial" w:cs="Arial" w:eastAsia="Arial" w:hAnsi="Arial"/>
          <w:sz w:val="17"/>
          <w:szCs w:val="17"/>
          <w:color w:val="auto"/>
        </w:rPr>
        <w:t>owned by affiliates of the Registrant as of June 30, 2014. Such determination should not be deemed an admission that such executive officers and directors of our common stock are, in fact, affiliates of the Registrant or affiliates as of the date of this Form 10-K.</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As of February 13, 2015, the Registrant had 22,658,269 shares of common stock outstanding (excluding 4,320,462 shares of common stock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54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229235</wp:posOffset>
            </wp:positionV>
            <wp:extent cx="7254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080"/>
          </w:cols>
          <w:pgMar w:left="240" w:top="127" w:right="5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vMerge w:val="restart"/>
          </w:tcPr>
          <w:p>
            <w:pPr>
              <w:jc w:val="center"/>
              <w:spacing w:after="0"/>
              <w:rPr>
                <w:rFonts w:ascii="Arial" w:cs="Arial" w:eastAsia="Arial" w:hAnsi="Arial"/>
                <w:sz w:val="17"/>
                <w:szCs w:val="17"/>
                <w:color w:val="0000EE"/>
                <w:w w:val="91"/>
              </w:rPr>
            </w:pPr>
            <w:hyperlink w:anchor="page4">
              <w:r>
                <w:rPr>
                  <w:rFonts w:ascii="Arial" w:cs="Arial" w:eastAsia="Arial" w:hAnsi="Arial"/>
                  <w:sz w:val="17"/>
                  <w:szCs w:val="17"/>
                  <w:color w:val="0000EE"/>
                  <w:w w:val="91"/>
                </w:rPr>
                <w:t>PART I</w:t>
              </w:r>
            </w:hyperlink>
          </w:p>
        </w:tc>
        <w:tc>
          <w:tcPr>
            <w:tcW w:w="4960" w:type="dxa"/>
            <w:vAlign w:val="bottom"/>
            <w:gridSpan w:val="7"/>
            <w:vMerge w:val="restart"/>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0000EE"/>
            </w:tcBorders>
            <w:vMerge w:val="continue"/>
          </w:tcPr>
          <w:p>
            <w:pPr>
              <w:spacing w:after="0"/>
              <w:rPr>
                <w:sz w:val="12"/>
                <w:szCs w:val="12"/>
                <w:color w:val="auto"/>
              </w:rPr>
            </w:pPr>
          </w:p>
        </w:tc>
        <w:tc>
          <w:tcPr>
            <w:tcW w:w="4960" w:type="dxa"/>
            <w:vAlign w:val="bottom"/>
            <w:gridSpan w:val="7"/>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1.</w:t>
            </w:r>
          </w:p>
        </w:tc>
        <w:tc>
          <w:tcPr>
            <w:tcW w:w="10200" w:type="dxa"/>
            <w:vAlign w:val="bottom"/>
            <w:gridSpan w:val="2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26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3"/>
          </w:tcPr>
          <w:p>
            <w:pPr>
              <w:spacing w:after="0"/>
              <w:rPr>
                <w:rFonts w:ascii="Arial" w:cs="Arial" w:eastAsia="Arial" w:hAnsi="Arial"/>
                <w:sz w:val="17"/>
                <w:szCs w:val="17"/>
                <w:color w:val="0000EE"/>
                <w:w w:val="88"/>
              </w:rPr>
            </w:pPr>
            <w:hyperlink w:anchor="page11">
              <w:r>
                <w:rPr>
                  <w:rFonts w:ascii="Arial" w:cs="Arial" w:eastAsia="Arial" w:hAnsi="Arial"/>
                  <w:sz w:val="17"/>
                  <w:szCs w:val="17"/>
                  <w:color w:val="0000EE"/>
                  <w:w w:val="88"/>
                </w:rPr>
                <w:t>Risk Factors</w:t>
              </w:r>
            </w:hyperlink>
          </w:p>
        </w:tc>
        <w:tc>
          <w:tcPr>
            <w:tcW w:w="9340" w:type="dxa"/>
            <w:vAlign w:val="bottom"/>
            <w:gridSpan w:val="2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1B.</w:t>
            </w:r>
          </w:p>
        </w:tc>
        <w:tc>
          <w:tcPr>
            <w:tcW w:w="10200" w:type="dxa"/>
            <w:vAlign w:val="bottom"/>
            <w:gridSpan w:val="23"/>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Unresolved Staff Comments</w:t>
              </w:r>
            </w:hyperlink>
          </w:p>
        </w:tc>
        <w:tc>
          <w:tcPr>
            <w:tcW w:w="2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2.</w:t>
            </w:r>
          </w:p>
        </w:tc>
        <w:tc>
          <w:tcPr>
            <w:tcW w:w="1920" w:type="dxa"/>
            <w:vAlign w:val="bottom"/>
            <w:tcBorders>
              <w:top w:val="single" w:sz="8" w:color="0000EE"/>
            </w:tcBorders>
            <w:gridSpan w:val="8"/>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Properties</w:t>
              </w:r>
            </w:hyperlink>
          </w:p>
        </w:tc>
        <w:tc>
          <w:tcPr>
            <w:tcW w:w="8280" w:type="dxa"/>
            <w:vAlign w:val="bottom"/>
            <w:gridSpan w:val="1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3.</w:t>
            </w:r>
          </w:p>
        </w:tc>
        <w:tc>
          <w:tcPr>
            <w:tcW w:w="1260" w:type="dxa"/>
            <w:vAlign w:val="bottom"/>
            <w:tcBorders>
              <w:bottom w:val="single" w:sz="8" w:color="0000EE"/>
            </w:tcBorders>
            <w:gridSpan w:val="5"/>
          </w:tcPr>
          <w:p>
            <w:pPr>
              <w:spacing w:after="0"/>
              <w:rPr>
                <w:rFonts w:ascii="Arial" w:cs="Arial" w:eastAsia="Arial" w:hAnsi="Arial"/>
                <w:sz w:val="17"/>
                <w:szCs w:val="17"/>
                <w:color w:val="0000EE"/>
                <w:w w:val="88"/>
              </w:rPr>
            </w:pPr>
            <w:hyperlink w:anchor="page20">
              <w:r>
                <w:rPr>
                  <w:rFonts w:ascii="Arial" w:cs="Arial" w:eastAsia="Arial" w:hAnsi="Arial"/>
                  <w:sz w:val="17"/>
                  <w:szCs w:val="17"/>
                  <w:color w:val="0000EE"/>
                  <w:w w:val="88"/>
                </w:rPr>
                <w:t>Legal Proceedings</w:t>
              </w:r>
            </w:hyperlink>
          </w:p>
        </w:tc>
        <w:tc>
          <w:tcPr>
            <w:tcW w:w="8940" w:type="dxa"/>
            <w:vAlign w:val="bottom"/>
            <w:gridSpan w:val="1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4.</w:t>
            </w:r>
          </w:p>
        </w:tc>
        <w:tc>
          <w:tcPr>
            <w:tcW w:w="10200" w:type="dxa"/>
            <w:vAlign w:val="bottom"/>
            <w:gridSpan w:val="23"/>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Mine Safety Disclosures</w:t>
              </w:r>
            </w:hyperlink>
          </w:p>
        </w:tc>
        <w:tc>
          <w:tcPr>
            <w:tcW w:w="2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87"/>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9"/>
          </w:tcPr>
          <w:p>
            <w:pPr>
              <w:jc w:val="center"/>
              <w:ind w:right="4940"/>
              <w:spacing w:after="0"/>
              <w:rPr>
                <w:rFonts w:ascii="Arial" w:cs="Arial" w:eastAsia="Arial" w:hAnsi="Arial"/>
                <w:sz w:val="17"/>
                <w:szCs w:val="17"/>
                <w:color w:val="0000EE"/>
                <w:w w:val="94"/>
              </w:rPr>
            </w:pPr>
            <w:hyperlink w:anchor="page20">
              <w:r>
                <w:rPr>
                  <w:rFonts w:ascii="Arial" w:cs="Arial" w:eastAsia="Arial" w:hAnsi="Arial"/>
                  <w:sz w:val="17"/>
                  <w:szCs w:val="17"/>
                  <w:color w:val="0000EE"/>
                  <w:w w:val="94"/>
                </w:rPr>
                <w:t>PART II</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5.</w:t>
            </w:r>
          </w:p>
        </w:tc>
        <w:tc>
          <w:tcPr>
            <w:tcW w:w="7600" w:type="dxa"/>
            <w:vAlign w:val="bottom"/>
            <w:tcBorders>
              <w:bottom w:val="single" w:sz="8" w:color="0000EE"/>
            </w:tcBorders>
            <w:gridSpan w:val="22"/>
          </w:tcPr>
          <w:p>
            <w:pPr>
              <w:spacing w:after="0"/>
              <w:rPr>
                <w:rFonts w:ascii="Arial" w:cs="Arial" w:eastAsia="Arial" w:hAnsi="Arial"/>
                <w:sz w:val="17"/>
                <w:szCs w:val="17"/>
                <w:color w:val="0000EE"/>
                <w:w w:val="90"/>
              </w:rPr>
            </w:pPr>
            <w:hyperlink w:anchor="page20">
              <w:r>
                <w:rPr>
                  <w:rFonts w:ascii="Arial" w:cs="Arial" w:eastAsia="Arial" w:hAnsi="Arial"/>
                  <w:sz w:val="17"/>
                  <w:szCs w:val="17"/>
                  <w:color w:val="0000EE"/>
                  <w:w w:val="90"/>
                </w:rPr>
                <w:t>Market for Registrant’s Common Equity, Related Stockholder Matters and Issuer Purchases of Equity Securities</w:t>
              </w:r>
            </w:hyperlink>
          </w:p>
        </w:tc>
        <w:tc>
          <w:tcPr>
            <w:tcW w:w="2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6.</w:t>
            </w:r>
          </w:p>
        </w:tc>
        <w:tc>
          <w:tcPr>
            <w:tcW w:w="10200" w:type="dxa"/>
            <w:vAlign w:val="bottom"/>
            <w:gridSpan w:val="23"/>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Selected Financial Data</w:t>
              </w:r>
            </w:hyperlink>
          </w:p>
        </w:tc>
        <w:tc>
          <w:tcPr>
            <w:tcW w:w="26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7.</w:t>
            </w:r>
          </w:p>
        </w:tc>
        <w:tc>
          <w:tcPr>
            <w:tcW w:w="6080" w:type="dxa"/>
            <w:vAlign w:val="bottom"/>
            <w:tcBorders>
              <w:bottom w:val="single" w:sz="8" w:color="0000EE"/>
            </w:tcBorders>
            <w:gridSpan w:val="20"/>
          </w:tcPr>
          <w:p>
            <w:pPr>
              <w:spacing w:after="0"/>
              <w:rPr>
                <w:rFonts w:ascii="Arial" w:cs="Arial" w:eastAsia="Arial" w:hAnsi="Arial"/>
                <w:sz w:val="17"/>
                <w:szCs w:val="17"/>
                <w:color w:val="0000EE"/>
                <w:w w:val="90"/>
              </w:rPr>
            </w:pPr>
            <w:hyperlink w:anchor="page22">
              <w:r>
                <w:rPr>
                  <w:rFonts w:ascii="Arial" w:cs="Arial" w:eastAsia="Arial" w:hAnsi="Arial"/>
                  <w:sz w:val="17"/>
                  <w:szCs w:val="17"/>
                  <w:color w:val="0000EE"/>
                  <w:w w:val="90"/>
                </w:rPr>
                <w:t>Management’s Discussion and Analysis of Financial Condition and Results of Operations</w:t>
              </w:r>
            </w:hyperlink>
          </w:p>
        </w:tc>
        <w:tc>
          <w:tcPr>
            <w:tcW w:w="412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7A.</w:t>
            </w:r>
          </w:p>
        </w:tc>
        <w:tc>
          <w:tcPr>
            <w:tcW w:w="10200" w:type="dxa"/>
            <w:vAlign w:val="bottom"/>
            <w:gridSpan w:val="23"/>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Quantitative and Qualitative Disclosures About Market Risk</w:t>
              </w:r>
            </w:hyperlink>
          </w:p>
        </w:tc>
        <w:tc>
          <w:tcPr>
            <w:tcW w:w="2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8.</w:t>
            </w:r>
          </w:p>
        </w:tc>
        <w:tc>
          <w:tcPr>
            <w:tcW w:w="314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88"/>
              </w:rPr>
            </w:pPr>
            <w:hyperlink w:anchor="page47">
              <w:r>
                <w:rPr>
                  <w:rFonts w:ascii="Arial" w:cs="Arial" w:eastAsia="Arial" w:hAnsi="Arial"/>
                  <w:sz w:val="17"/>
                  <w:szCs w:val="17"/>
                  <w:color w:val="0000EE"/>
                  <w:w w:val="88"/>
                </w:rPr>
                <w:t>Financial Statements and Supplementary Data</w:t>
              </w:r>
            </w:hyperlink>
          </w:p>
        </w:tc>
        <w:tc>
          <w:tcPr>
            <w:tcW w:w="960" w:type="dxa"/>
            <w:vAlign w:val="bottom"/>
            <w:tcBorders>
              <w:top w:val="single" w:sz="8" w:color="0000EE"/>
            </w:tcBorders>
            <w:gridSpan w:val="2"/>
          </w:tcPr>
          <w:p>
            <w:pPr>
              <w:spacing w:after="0"/>
              <w:rPr>
                <w:sz w:val="24"/>
                <w:szCs w:val="24"/>
                <w:color w:val="auto"/>
              </w:rPr>
            </w:pPr>
          </w:p>
        </w:tc>
        <w:tc>
          <w:tcPr>
            <w:tcW w:w="610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9.</w:t>
            </w:r>
          </w:p>
        </w:tc>
        <w:tc>
          <w:tcPr>
            <w:tcW w:w="6100" w:type="dxa"/>
            <w:vAlign w:val="bottom"/>
            <w:tcBorders>
              <w:bottom w:val="single" w:sz="8" w:color="0000EE"/>
            </w:tcBorders>
            <w:gridSpan w:val="21"/>
          </w:tcPr>
          <w:p>
            <w:pPr>
              <w:spacing w:after="0"/>
              <w:rPr>
                <w:rFonts w:ascii="Arial" w:cs="Arial" w:eastAsia="Arial" w:hAnsi="Arial"/>
                <w:sz w:val="17"/>
                <w:szCs w:val="17"/>
                <w:color w:val="0000EE"/>
                <w:w w:val="90"/>
              </w:rPr>
            </w:pPr>
            <w:hyperlink w:anchor="page47">
              <w:r>
                <w:rPr>
                  <w:rFonts w:ascii="Arial" w:cs="Arial" w:eastAsia="Arial" w:hAnsi="Arial"/>
                  <w:sz w:val="17"/>
                  <w:szCs w:val="17"/>
                  <w:color w:val="0000EE"/>
                  <w:w w:val="90"/>
                </w:rPr>
                <w:t>Changes in and Disagreements with Accountants on Accounting and Financial Disclosure</w:t>
              </w:r>
            </w:hyperlink>
          </w:p>
        </w:tc>
        <w:tc>
          <w:tcPr>
            <w:tcW w:w="41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9A.</w:t>
            </w:r>
          </w:p>
        </w:tc>
        <w:tc>
          <w:tcPr>
            <w:tcW w:w="10200" w:type="dxa"/>
            <w:vAlign w:val="bottom"/>
            <w:gridSpan w:val="23"/>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Controls and Procedures</w:t>
              </w:r>
            </w:hyperlink>
          </w:p>
        </w:tc>
        <w:tc>
          <w:tcPr>
            <w:tcW w:w="2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9B.</w:t>
            </w:r>
          </w:p>
        </w:tc>
        <w:tc>
          <w:tcPr>
            <w:tcW w:w="1660" w:type="dxa"/>
            <w:vAlign w:val="bottom"/>
            <w:tcBorders>
              <w:top w:val="single" w:sz="8" w:color="0000EE"/>
            </w:tcBorders>
            <w:gridSpan w:val="7"/>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Other Information</w:t>
              </w:r>
            </w:hyperlink>
          </w:p>
        </w:tc>
        <w:tc>
          <w:tcPr>
            <w:tcW w:w="8540" w:type="dxa"/>
            <w:vAlign w:val="bottom"/>
            <w:gridSpan w:val="1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387"/>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Borders>
              <w:bottom w:val="single" w:sz="8" w:color="0000EE"/>
            </w:tcBorders>
            <w:gridSpan w:val="5"/>
          </w:tcPr>
          <w:p>
            <w:pPr>
              <w:jc w:val="center"/>
              <w:spacing w:after="0"/>
              <w:rPr>
                <w:rFonts w:ascii="Arial" w:cs="Arial" w:eastAsia="Arial" w:hAnsi="Arial"/>
                <w:sz w:val="17"/>
                <w:szCs w:val="17"/>
                <w:color w:val="0000EE"/>
                <w:w w:val="96"/>
              </w:rPr>
            </w:pPr>
            <w:hyperlink w:anchor="page55">
              <w:r>
                <w:rPr>
                  <w:rFonts w:ascii="Arial" w:cs="Arial" w:eastAsia="Arial" w:hAnsi="Arial"/>
                  <w:sz w:val="17"/>
                  <w:szCs w:val="17"/>
                  <w:color w:val="0000EE"/>
                  <w:w w:val="96"/>
                </w:rPr>
                <w:t>PART III</w:t>
              </w:r>
            </w:hyperlink>
          </w:p>
        </w:tc>
        <w:tc>
          <w:tcPr>
            <w:tcW w:w="490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20" w:type="dxa"/>
            <w:vAlign w:val="bottom"/>
            <w:gridSpan w:val="12"/>
          </w:tcPr>
          <w:p>
            <w:pPr>
              <w:jc w:val="center"/>
              <w:ind w:right="4220"/>
              <w:spacing w:after="0"/>
              <w:rPr>
                <w:rFonts w:ascii="Arial" w:cs="Arial" w:eastAsia="Arial" w:hAnsi="Arial"/>
                <w:sz w:val="17"/>
                <w:szCs w:val="17"/>
                <w:color w:val="0000EE"/>
                <w:w w:val="89"/>
              </w:rPr>
            </w:pPr>
            <w:hyperlink w:anchor="page55">
              <w:r>
                <w:rPr>
                  <w:rFonts w:ascii="Arial" w:cs="Arial" w:eastAsia="Arial" w:hAnsi="Arial"/>
                  <w:sz w:val="17"/>
                  <w:szCs w:val="17"/>
                  <w:color w:val="0000EE"/>
                  <w:w w:val="89"/>
                </w:rPr>
                <w:t>(Items 10, 11, 12, 13, and 14)</w:t>
              </w:r>
            </w:hyperlink>
          </w:p>
        </w:tc>
        <w:tc>
          <w:tcPr>
            <w:tcW w:w="26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8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17"/>
                <w:szCs w:val="17"/>
                <w:color w:val="auto"/>
                <w:w w:val="93"/>
              </w:rPr>
              <w:t>The information required by Part III, shall be incorporated by reference from our definitive proxy statement to be filed pursuant to Regulation 14A</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0200" w:type="dxa"/>
            <w:vAlign w:val="bottom"/>
            <w:gridSpan w:val="23"/>
          </w:tcPr>
          <w:p>
            <w:pPr>
              <w:ind w:left="160"/>
              <w:spacing w:after="0"/>
              <w:rPr>
                <w:sz w:val="20"/>
                <w:szCs w:val="20"/>
                <w:color w:val="auto"/>
              </w:rPr>
            </w:pPr>
            <w:r>
              <w:rPr>
                <w:rFonts w:ascii="Arial" w:cs="Arial" w:eastAsia="Arial" w:hAnsi="Arial"/>
                <w:sz w:val="17"/>
                <w:szCs w:val="17"/>
                <w:color w:val="auto"/>
                <w:w w:val="95"/>
              </w:rPr>
              <w:t>which involves the election of directors that we expect to be filed with the Securities and Exchange Commission not later than 120 days after</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10200" w:type="dxa"/>
            <w:vAlign w:val="bottom"/>
            <w:gridSpan w:val="23"/>
          </w:tcPr>
          <w:p>
            <w:pPr>
              <w:ind w:left="160"/>
              <w:spacing w:after="0"/>
              <w:rPr>
                <w:sz w:val="20"/>
                <w:szCs w:val="20"/>
                <w:color w:val="auto"/>
              </w:rPr>
            </w:pPr>
            <w:r>
              <w:rPr>
                <w:rFonts w:ascii="Arial" w:cs="Arial" w:eastAsia="Arial" w:hAnsi="Arial"/>
                <w:sz w:val="17"/>
                <w:szCs w:val="17"/>
                <w:color w:val="auto"/>
              </w:rPr>
              <w:t>the end of its 2014 fiscal year covered by this report.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20" w:type="dxa"/>
            <w:vAlign w:val="bottom"/>
            <w:gridSpan w:val="10"/>
          </w:tcPr>
          <w:p>
            <w:pPr>
              <w:jc w:val="center"/>
              <w:ind w:right="4900"/>
              <w:spacing w:after="0"/>
              <w:rPr>
                <w:rFonts w:ascii="Arial" w:cs="Arial" w:eastAsia="Arial" w:hAnsi="Arial"/>
                <w:sz w:val="17"/>
                <w:szCs w:val="17"/>
                <w:color w:val="0000EE"/>
                <w:w w:val="93"/>
              </w:rPr>
            </w:pPr>
            <w:hyperlink w:anchor="page55">
              <w:r>
                <w:rPr>
                  <w:rFonts w:ascii="Arial" w:cs="Arial" w:eastAsia="Arial" w:hAnsi="Arial"/>
                  <w:sz w:val="17"/>
                  <w:szCs w:val="17"/>
                  <w:color w:val="0000EE"/>
                  <w:w w:val="93"/>
                </w:rPr>
                <w:t>PART IV</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7"/>
                <w:szCs w:val="17"/>
                <w:color w:val="auto"/>
              </w:rPr>
              <w:t>Item 15.</w:t>
            </w:r>
          </w:p>
        </w:tc>
        <w:tc>
          <w:tcPr>
            <w:tcW w:w="298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55">
              <w:r>
                <w:rPr>
                  <w:rFonts w:ascii="Arial" w:cs="Arial" w:eastAsia="Arial" w:hAnsi="Arial"/>
                  <w:sz w:val="17"/>
                  <w:szCs w:val="17"/>
                  <w:color w:val="0000EE"/>
                  <w:w w:val="89"/>
                </w:rPr>
                <w:t>Exhibits and Financial Statement Schedules</w:t>
              </w:r>
            </w:hyperlink>
          </w:p>
        </w:tc>
        <w:tc>
          <w:tcPr>
            <w:tcW w:w="1700" w:type="dxa"/>
            <w:vAlign w:val="bottom"/>
            <w:gridSpan w:val="4"/>
          </w:tcPr>
          <w:p>
            <w:pPr>
              <w:spacing w:after="0"/>
              <w:rPr>
                <w:sz w:val="24"/>
                <w:szCs w:val="24"/>
                <w:color w:val="auto"/>
              </w:rPr>
            </w:pPr>
          </w:p>
        </w:tc>
        <w:tc>
          <w:tcPr>
            <w:tcW w:w="620" w:type="dxa"/>
            <w:vAlign w:val="bottom"/>
            <w:tcBorders>
              <w:top w:val="single" w:sz="8" w:color="0000EE"/>
            </w:tcBorders>
            <w:gridSpan w:val="5"/>
          </w:tcPr>
          <w:p>
            <w:pPr>
              <w:spacing w:after="0"/>
              <w:rPr>
                <w:sz w:val="24"/>
                <w:szCs w:val="24"/>
                <w:color w:val="auto"/>
              </w:rPr>
            </w:pPr>
          </w:p>
        </w:tc>
        <w:tc>
          <w:tcPr>
            <w:tcW w:w="490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5240" w:type="dxa"/>
            <w:vAlign w:val="bottom"/>
            <w:gridSpan w:val="16"/>
          </w:tcPr>
          <w:p>
            <w:pPr>
              <w:ind w:left="480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1" w:right="3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PART I</w:t>
      </w: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u w:val="single" w:color="auto"/>
          <w:color w:val="auto"/>
        </w:rPr>
        <w:t>ITEM 1</w:t>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u w:val="single" w:color="auto"/>
          <w:color w:val="auto"/>
        </w:rPr>
        <w:t>BUSINESS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LSB Industries, Inc. (“LSB” or “Registrant”) was formed in 1968 as an Oklahoma corporation and became a Delaware corporation in 1977. LSB is a diversified holding company involved in manufacturing and marketing operations through its subsidiaries. LSB and its wholly-owned subsidiaries (the “Company”, “We”, “Us”, or “Our”) own the following core businesses:</w:t>
      </w:r>
    </w:p>
    <w:p>
      <w:pPr>
        <w:spacing w:after="0" w:line="87" w:lineRule="exact"/>
        <w:rPr>
          <w:sz w:val="20"/>
          <w:szCs w:val="20"/>
          <w:color w:val="auto"/>
        </w:rPr>
      </w:pPr>
    </w:p>
    <w:p>
      <w:pPr>
        <w:ind w:left="440" w:right="200" w:hanging="438"/>
        <w:spacing w:after="0" w:line="273"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Chemical Business manufactures and sells nitrogen-based chemical products for the agricultural, industrial, and mining markets it produces from four facilities located in El Dorado, Arkansas; Cherokee, Alabama; Pryor, Oklahoma; and Baytown, Texas.</w:t>
      </w:r>
    </w:p>
    <w:p>
      <w:pPr>
        <w:spacing w:after="0" w:line="76" w:lineRule="exact"/>
        <w:rPr>
          <w:rFonts w:ascii="Arial" w:cs="Arial" w:eastAsia="Arial" w:hAnsi="Arial"/>
          <w:sz w:val="17"/>
          <w:szCs w:val="17"/>
          <w:color w:val="auto"/>
        </w:rPr>
      </w:pPr>
    </w:p>
    <w:p>
      <w:pPr>
        <w:jc w:val="both"/>
        <w:ind w:left="440" w:hanging="438"/>
        <w:spacing w:after="0" w:line="257"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Climate Control Business manufactures and sells a broad range of HVAC products that include water source and geothermal heat pumps, hydronic fan coils, large custom air handlers, modular geothermal and other chillers, and other related products and services. These products are primarily used in commercial/institutional and residential new buildings construction, renovation of existing buildings and replacement of existing systems. Our Climate Control Business manufactures and distributes its products from seven facilities located in Oklahoma City, Oklahoma.</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Our Reportable Business Segments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Chemical Business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General</w:t>
      </w:r>
    </w:p>
    <w:p>
      <w:pPr>
        <w:spacing w:after="0" w:line="114" w:lineRule="exact"/>
        <w:rPr>
          <w:sz w:val="20"/>
          <w:szCs w:val="20"/>
          <w:color w:val="auto"/>
        </w:rPr>
      </w:pPr>
    </w:p>
    <w:p>
      <w:pPr>
        <w:ind w:right="40"/>
        <w:spacing w:after="0" w:line="341" w:lineRule="auto"/>
        <w:rPr>
          <w:sz w:val="20"/>
          <w:szCs w:val="20"/>
          <w:color w:val="auto"/>
        </w:rPr>
      </w:pPr>
      <w:r>
        <w:rPr>
          <w:rFonts w:ascii="Arial" w:cs="Arial" w:eastAsia="Arial" w:hAnsi="Arial"/>
          <w:sz w:val="15"/>
          <w:szCs w:val="15"/>
          <w:color w:val="auto"/>
        </w:rPr>
        <w:t>Our Chemical Business supplies chemical products to some of the world’s leading chemical and industrial companies. Focusing on specific geographic areas, we utilize freight and distribution advantages over many of our competitors. We also believe our Chemical Business has established leading regional market positions.</w:t>
      </w:r>
    </w:p>
    <w:p>
      <w:pPr>
        <w:spacing w:after="0" w:line="12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sell most of our industrial and mining products to customers pursuant to sales contracts and/or pricing arrangements on terms that include the cost of raw material feedstock as a pass through component in the sales price. These contractual sales stabilize the effect of commodity cost changes and fluctuations in demand for these products due to the cyclicality of the end markets. Although we periodically enter into forward sales commitments for agricultural products, we sell most of our agricultural products at the current spot market price in effect at time of shipment.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Our Chemical Business manufactures products for three principal markets:</w:t>
      </w:r>
    </w:p>
    <w:p>
      <w:pPr>
        <w:spacing w:after="0" w:line="122" w:lineRule="exact"/>
        <w:rPr>
          <w:sz w:val="20"/>
          <w:szCs w:val="20"/>
          <w:color w:val="auto"/>
        </w:rPr>
      </w:pPr>
    </w:p>
    <w:p>
      <w:pPr>
        <w:ind w:left="880" w:hanging="434"/>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ammonia, fertilizer grade AN, UAN, and AN ammonia solution for agricultural applications,</w:t>
      </w:r>
    </w:p>
    <w:p>
      <w:pPr>
        <w:spacing w:after="0" w:line="122" w:lineRule="exact"/>
        <w:rPr>
          <w:rFonts w:ascii="Arial" w:cs="Arial" w:eastAsia="Arial" w:hAnsi="Arial"/>
          <w:sz w:val="17"/>
          <w:szCs w:val="17"/>
          <w:color w:val="auto"/>
        </w:rPr>
      </w:pPr>
    </w:p>
    <w:p>
      <w:pPr>
        <w:ind w:left="880" w:right="300" w:hanging="434"/>
        <w:spacing w:after="0" w:line="273"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high purity and commercial grade ammonia, high purity AN, sulfuric acids, concentrated, blended and regular nitric acid, mixed nitrating acids, carbon dioxide, and DEF for industrial applications, and</w:t>
      </w:r>
    </w:p>
    <w:p>
      <w:pPr>
        <w:spacing w:after="0" w:line="76" w:lineRule="exact"/>
        <w:rPr>
          <w:rFonts w:ascii="Arial" w:cs="Arial" w:eastAsia="Arial" w:hAnsi="Arial"/>
          <w:sz w:val="17"/>
          <w:szCs w:val="17"/>
          <w:color w:val="auto"/>
        </w:rPr>
      </w:pPr>
    </w:p>
    <w:p>
      <w:pPr>
        <w:ind w:left="880" w:hanging="434"/>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industrial grade AN and solutions for the mining industry.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1"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information relating to our products of the Chemical Business:</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2012</w:t>
            </w:r>
          </w:p>
        </w:tc>
        <w:tc>
          <w:tcPr>
            <w:tcW w:w="200" w:type="dxa"/>
            <w:vAlign w:val="bottom"/>
            <w:tcBorders>
              <w:bottom w:val="single" w:sz="8" w:color="CCEEFF"/>
            </w:tcBorders>
          </w:tcPr>
          <w:p>
            <w:pPr>
              <w:spacing w:after="0"/>
              <w:rPr>
                <w:sz w:val="14"/>
                <w:szCs w:val="14"/>
                <w:color w:val="auto"/>
              </w:rPr>
            </w:pPr>
          </w:p>
        </w:tc>
      </w:tr>
      <w:tr>
        <w:trPr>
          <w:trHeight w:val="183"/>
        </w:trPr>
        <w:tc>
          <w:tcPr>
            <w:tcW w:w="73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Percentage of net sales of the Chemical Business:</w:t>
            </w: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7360" w:type="dxa"/>
            <w:vAlign w:val="bottom"/>
          </w:tcPr>
          <w:p>
            <w:pPr>
              <w:ind w:left="340"/>
              <w:spacing w:after="0"/>
              <w:rPr>
                <w:sz w:val="20"/>
                <w:szCs w:val="20"/>
                <w:color w:val="auto"/>
              </w:rPr>
            </w:pPr>
            <w:r>
              <w:rPr>
                <w:rFonts w:ascii="Arial" w:cs="Arial" w:eastAsia="Arial" w:hAnsi="Arial"/>
                <w:sz w:val="17"/>
                <w:szCs w:val="17"/>
                <w:color w:val="auto"/>
              </w:rPr>
              <w:t>Agricultural products</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44%</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r>
      <w:tr>
        <w:trPr>
          <w:trHeight w:val="203"/>
        </w:trPr>
        <w:tc>
          <w:tcPr>
            <w:tcW w:w="7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Industrial acids and other chemical products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r>
      <w:tr>
        <w:trPr>
          <w:trHeight w:val="203"/>
        </w:trPr>
        <w:tc>
          <w:tcPr>
            <w:tcW w:w="7360" w:type="dxa"/>
            <w:vAlign w:val="bottom"/>
          </w:tcPr>
          <w:p>
            <w:pPr>
              <w:ind w:left="340"/>
              <w:spacing w:after="0"/>
              <w:rPr>
                <w:sz w:val="20"/>
                <w:szCs w:val="20"/>
                <w:color w:val="auto"/>
              </w:rPr>
            </w:pPr>
            <w:r>
              <w:rPr>
                <w:rFonts w:ascii="Arial" w:cs="Arial" w:eastAsia="Arial" w:hAnsi="Arial"/>
                <w:sz w:val="17"/>
                <w:szCs w:val="17"/>
                <w:color w:val="auto"/>
              </w:rPr>
              <w:t>Mining products</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15%</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17%</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03"/>
        </w:trPr>
        <w:tc>
          <w:tcPr>
            <w:tcW w:w="7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(1)</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r>
      <w:tr>
        <w:trPr>
          <w:trHeight w:val="20"/>
        </w:trPr>
        <w:tc>
          <w:tcPr>
            <w:tcW w:w="7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73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100%</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100%</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r>
      <w:tr>
        <w:trPr>
          <w:trHeight w:val="20"/>
        </w:trPr>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Percentage of LSB’s consolidated net sales:</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3"/>
        </w:trPr>
        <w:tc>
          <w:tcPr>
            <w:tcW w:w="7360" w:type="dxa"/>
            <w:vAlign w:val="bottom"/>
          </w:tcPr>
          <w:p>
            <w:pPr>
              <w:ind w:left="340"/>
              <w:spacing w:after="0"/>
              <w:rPr>
                <w:sz w:val="20"/>
                <w:szCs w:val="20"/>
                <w:color w:val="auto"/>
              </w:rPr>
            </w:pPr>
            <w:r>
              <w:rPr>
                <w:rFonts w:ascii="Arial" w:cs="Arial" w:eastAsia="Arial" w:hAnsi="Arial"/>
                <w:sz w:val="17"/>
                <w:szCs w:val="17"/>
                <w:color w:val="auto"/>
              </w:rPr>
              <w:t>Agricultural products</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29%</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25%</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r>
      <w:tr>
        <w:trPr>
          <w:trHeight w:val="203"/>
        </w:trPr>
        <w:tc>
          <w:tcPr>
            <w:tcW w:w="7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Industrial acids and other chemical products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r>
      <w:tr>
        <w:trPr>
          <w:trHeight w:val="203"/>
        </w:trPr>
        <w:tc>
          <w:tcPr>
            <w:tcW w:w="7360" w:type="dxa"/>
            <w:vAlign w:val="bottom"/>
          </w:tcPr>
          <w:p>
            <w:pPr>
              <w:ind w:left="340"/>
              <w:spacing w:after="0"/>
              <w:rPr>
                <w:sz w:val="20"/>
                <w:szCs w:val="20"/>
                <w:color w:val="auto"/>
              </w:rPr>
            </w:pPr>
            <w:r>
              <w:rPr>
                <w:rFonts w:ascii="Arial" w:cs="Arial" w:eastAsia="Arial" w:hAnsi="Arial"/>
                <w:sz w:val="17"/>
                <w:szCs w:val="17"/>
                <w:color w:val="auto"/>
              </w:rPr>
              <w:t>Mining products</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9%</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9%</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r>
        <w:trPr>
          <w:trHeight w:val="203"/>
        </w:trPr>
        <w:tc>
          <w:tcPr>
            <w:tcW w:w="7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(1)</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r>
      <w:tr>
        <w:trPr>
          <w:trHeight w:val="20"/>
        </w:trPr>
        <w:tc>
          <w:tcPr>
            <w:tcW w:w="7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73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62%</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56%</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63%</w:t>
            </w:r>
          </w:p>
        </w:tc>
      </w:tr>
      <w:tr>
        <w:trPr>
          <w:trHeight w:val="20"/>
        </w:trPr>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Less than 1% in 2012</w:t>
      </w:r>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Market Conditions - Chemical Business</w:t>
      </w:r>
    </w:p>
    <w:p>
      <w:pPr>
        <w:spacing w:after="0" w:line="114" w:lineRule="exact"/>
        <w:rPr>
          <w:sz w:val="20"/>
          <w:szCs w:val="20"/>
          <w:color w:val="auto"/>
        </w:rPr>
      </w:pPr>
    </w:p>
    <w:p>
      <w:pPr>
        <w:ind w:right="380"/>
        <w:spacing w:after="0" w:line="288" w:lineRule="auto"/>
        <w:rPr>
          <w:sz w:val="20"/>
          <w:szCs w:val="20"/>
          <w:color w:val="auto"/>
        </w:rPr>
      </w:pPr>
      <w:r>
        <w:rPr>
          <w:rFonts w:ascii="Arial" w:cs="Arial" w:eastAsia="Arial" w:hAnsi="Arial"/>
          <w:sz w:val="15"/>
          <w:szCs w:val="15"/>
          <w:color w:val="auto"/>
        </w:rPr>
        <w:t>As discussed in more detail under “Key Industry Factors” of the MD&amp;A contained in this report, agricultural fertilizer demand drives our volumes which demand depends upon acres planted of crops requiring fertilizer to enhance yield. The 2014 corn crop, produced record production and yields per acre and resulted in significantly higher year-end stock to use ratios. That is we believe, likely to result in fewer acres planted during 2015, with current estimates at between 88 –</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89 million acres compared to approximately 91 million last year. As a result and notwithstanding the estimated lower planted acres, the fundamentals continue to be positive for nitrogen fertilizers that are necessary to enhance the yield per acre for most major crops. Natural gas is the basic feedstock for the production of ammonia. Due to the natural gas cost advantage, North America is the low cost producer of ammonia. Based upon most estimates, including Blue Johnson &amp; Associates, Inc., the U.S. imports approximately 35% of its annual ammonia consumption. However, the fertilizer outlook could change as the result of, among other things, changes in domestic fertilizer production capacity, acres planted of crops, weather conditions, commodity prices, and volume of imported agricultural products. The industrial and mining volumes are driven by general economic conditions, energy prices, and contractual arrangements with certain large customers.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One additional factor that is expected to effect the overall nitrogen market is the number of announced nitrogen expansion projects in the U.S, which construction is currently underway. These expansion projects are expected to produce in total approximately 5 million tons of ammonia annually. All of these projects are currently scheduled to begin producing ammonia and other upgraded nitrogen products by the end of 2017. In addition, there are a number of other announced projects where there has been no construction activity. The amount and timing of additional nitrogen capacity is expected to have an impact on prices of nitrogen-based products in the future.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Agricultural Products</w:t>
      </w:r>
    </w:p>
    <w:p>
      <w:pPr>
        <w:spacing w:after="0" w:line="114"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Our Chemical Business produces UAN, agricultural grade AN, and ammonia, all of which are nitrogen-based fertilizers. Farmers and ranchers decide which type of nitrogen-based fertilizer to apply based on the crop planted, soil and weather conditions, regional farming practices and relative nitrogen fertilizer prices. Our agricultural markets include a high concentration of pastureland and row crops, which favor our products. We sell these agricultural products to farmers, ranchers, fertilizer dealers and distributors primarily in the ranch land and grain production markets in the U.S. We develop our market position in these areas by emphasizing high quality products, customer service and technical advice. During the past few years, we have been successful in expanding outside our traditional markets by barging to distributors on the Tennessee and Ohio rivers, and by railing into certain Western States.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agricultural business establishes long-term relationships with wholesale agricultural distributors and retailers and also sells directly to agricultural end-users through our network of 11 wholesale and retail distribution centers. In addition, our Chemical Business has an agreement with a third-party purchaser to buy, at market prices, substantially all of the UAN produced at the Pryor Facility. The term of the agreement runs through June 2016, but may be terminated earlier by either party pursuant to the terms of the agreement.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Industrial Acids and Other Chemical Products</w:t>
      </w:r>
    </w:p>
    <w:p>
      <w:pPr>
        <w:spacing w:after="0" w:line="11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Chemical Business manufactures and sells industrial acids and other chemical products primarily to the polyurethane, paper, fibers, emission control, and electronics industries. In addition, our Chemical Business produces and sells blended and regular nitric acid. Our Chemical Business is also a specialty market supplier of industrial and high purity ammonia for many specialty applications, including the reduction of air emissions from power plants.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441" w:right="2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believe our Baytown Facility is one of the newest, largest and most technologically advanced nitric acid manufacturing units in the U.S., with demonstrated capacity of approximately 1,400 short tons per day. The majority of the Baytown Facility’s production is sold to Bayer MaterialScience, LLC pursuant to a long-term contract that provides for a pass-through of certain costs, including the ammonia costs, plus a fixed dollar profit. The term of the Bayer Agreement runs until June 2021 with options for renewal with Bayer’s consent.</w:t>
      </w:r>
    </w:p>
    <w:p>
      <w:pPr>
        <w:spacing w:after="0" w:line="1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industrial business competes based upon service, price and location of production and distribution sites, product quality and performance and provides inventory management as part of the value-added services offered to certain customers.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Mining Products</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mining business manufactures industrial grade AN and 83% AN solution for the mining industry. Pursuant to a long-term cost-plus supply agreement, EDC supplies Orica International Pte Ltd with an annual minimum of 240,000 tons of industrial grade AN produced at our El Dorado Facility. The agreement includes a provision for Orica to pay for fixed overhead costs and gross profit on the portion of the annual minimum of the product not taken. The agreement also includes an exclusivity arrangement that provides that EDC will not sell industrial grade AN to the commercial explosives market in the U.S. during the term of the agreement and that Orica will market EDC’s industrial grade AN to the U.S. commercial explosives market in North America during the term of the agreement. The agreement provides that it may be terminated by one of the parties giving the other a one-year written notice that the agreement will not be renewed. On March 31, 2014, EDC sent to Orica the required one-year notice that EDC will not renew the agreement on or after April 9, 2015.</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net sales to Orica:</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2014</w:t>
            </w:r>
          </w:p>
        </w:tc>
        <w:tc>
          <w:tcPr>
            <w:tcW w:w="5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2013</w:t>
            </w:r>
          </w:p>
        </w:tc>
        <w:tc>
          <w:tcPr>
            <w:tcW w:w="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183"/>
        </w:trPr>
        <w:tc>
          <w:tcPr>
            <w:tcW w:w="74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Net sales to Orica as a percentage of:</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7420" w:type="dxa"/>
            <w:vAlign w:val="bottom"/>
          </w:tcPr>
          <w:p>
            <w:pPr>
              <w:ind w:left="340"/>
              <w:spacing w:after="0"/>
              <w:rPr>
                <w:sz w:val="20"/>
                <w:szCs w:val="20"/>
                <w:color w:val="auto"/>
              </w:rPr>
            </w:pPr>
            <w:r>
              <w:rPr>
                <w:rFonts w:ascii="Arial" w:cs="Arial" w:eastAsia="Arial" w:hAnsi="Arial"/>
                <w:sz w:val="17"/>
                <w:szCs w:val="17"/>
                <w:color w:val="auto"/>
              </w:rPr>
              <w:t>Net sales of the Chemical Business</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rPr>
              <w:t>9%</w:t>
            </w:r>
          </w:p>
        </w:tc>
        <w:tc>
          <w:tcPr>
            <w:tcW w:w="860" w:type="dxa"/>
            <w:vAlign w:val="bottom"/>
            <w:gridSpan w:val="2"/>
          </w:tcPr>
          <w:p>
            <w:pPr>
              <w:jc w:val="right"/>
              <w:ind w:right="420"/>
              <w:spacing w:after="0"/>
              <w:rPr>
                <w:sz w:val="20"/>
                <w:szCs w:val="20"/>
                <w:color w:val="auto"/>
              </w:rPr>
            </w:pPr>
            <w:r>
              <w:rPr>
                <w:rFonts w:ascii="Arial" w:cs="Arial" w:eastAsia="Arial" w:hAnsi="Arial"/>
                <w:sz w:val="17"/>
                <w:szCs w:val="17"/>
                <w:color w:val="auto"/>
              </w:rPr>
              <w:t>11%</w:t>
            </w: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r>
      <w:tr>
        <w:trPr>
          <w:trHeight w:val="203"/>
        </w:trPr>
        <w:tc>
          <w:tcPr>
            <w:tcW w:w="7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LSB’s consolidated net sales</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r>
    </w:tbl>
    <w:p>
      <w:pPr>
        <w:spacing w:after="0" w:line="191"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For 2014, 2013 and 2012, net sales to Orica above included approximately $15 million, $12 million and $7 million, respectively, for fixed overhead costs and gross profit for tons not taken by Orica, pursuant to the terms of the agreement.</w:t>
      </w:r>
    </w:p>
    <w:p>
      <w:pPr>
        <w:spacing w:after="0" w:line="16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When the term of the supply agreement with Orica ends in April 2015, our El Dorado Facility plans to commence sales of industrial grade AN to the commercial explosives market. Currently, we have executed sales contracts to supply approximately 60% of the annual 240,000 tons of AN previously committed to Orica, and we are pursuing similar agreements for the balance of the volume.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Raw Materials - Chemical Business</w:t>
      </w:r>
    </w:p>
    <w:p>
      <w:pPr>
        <w:spacing w:after="0" w:line="114"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The products our Chemical Business manufactures are primarily derived from the following raw material feedstocks: ammonia, natural gas and sulfur. These raw material feedstocks are commodities, subject to price fluctuations.</w:t>
      </w:r>
    </w:p>
    <w:p>
      <w:pPr>
        <w:spacing w:after="0" w:line="165"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Purchased ammonia is the raw material feedstock for all of the El Dorado Facility’s production of nitrogen products. Although ammonia is produced from natural gas, the price does not necessarily follow the spot price of natural gas in the U.S. Ammonia is an internationally traded commodity and the relative price is set in the world market while natural gas is primarily a domestically traded commodity. The ammonia supply to the El Dorado Facility is transported from the Gulf of Mexico by pipeline. Under an agreement with its principal supplier of ammonia, EDC will purchase a majority of its ammonia requirements through December 2015 from this supplier. We believe that we can obtain ammonia from other sources in the event of an interruption of service under the above-referenced contract.</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are in the process of expanding our nitrogen fertilizer operations at the El Dorado facility with the addition of a 1,150 ton per day or approximately 375,000 tons per year ammonia plant, which we believe under normal conditions will allow us to produce enough ammonia to eliminate our external ammonia purchase requirements and provide us with approximately 155,000 tons per year of additional ammonia available for sale or to upgrade into other products. This expansion is anticipated to be operational in early 2016. Once the expansion is complete, our annual natural gas requirements for this facility will be approximately 13 million MMBtu of natural gas per year.</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Natural gas is the primary raw material for producing ammonia, UAN and other products at the Cherokee and Pryor Facilities. Under normal circumstances when running at a full year production schedule, the Cherokee Facility would purchase approximately 6 million MMBtu of natural gas per year in order to produce approximately 175,000 tons of ammonia and the Pryor Facility would purchase approximately 7 million MMBtu of natural gas to produce approximately 215,000 tons of ammonia.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1"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760"/>
        <w:spacing w:after="0" w:line="273" w:lineRule="auto"/>
        <w:rPr>
          <w:sz w:val="20"/>
          <w:szCs w:val="20"/>
          <w:color w:val="auto"/>
        </w:rPr>
      </w:pPr>
      <w:r>
        <w:rPr>
          <w:rFonts w:ascii="Arial" w:cs="Arial" w:eastAsia="Arial" w:hAnsi="Arial"/>
          <w:sz w:val="17"/>
          <w:szCs w:val="17"/>
          <w:color w:val="auto"/>
        </w:rPr>
        <w:t>The Cherokee and Pryor Facilities’ natural gas feedstock requirements are generally purchased at spot market price. Periodically, we enter into firm purchase commitments and/or futures/forward contracts to economically hedge the cost of certain of the natural gas requirements.</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Baytown Facility normally consumes more than 135,000 tons of purchased ammonia per year. The majority of the Baytown Facility’s production is sold under the Bayer Agreement that provides for a pass-through of certain costs, including the ammonia costs.</w:t>
      </w:r>
    </w:p>
    <w:p>
      <w:pPr>
        <w:spacing w:after="0" w:line="165" w:lineRule="exact"/>
        <w:rPr>
          <w:sz w:val="20"/>
          <w:szCs w:val="20"/>
          <w:color w:val="auto"/>
        </w:rPr>
      </w:pPr>
    </w:p>
    <w:p>
      <w:pPr>
        <w:ind w:right="480"/>
        <w:spacing w:after="0" w:line="257" w:lineRule="auto"/>
        <w:rPr>
          <w:sz w:val="20"/>
          <w:szCs w:val="20"/>
          <w:color w:val="auto"/>
        </w:rPr>
      </w:pPr>
      <w:r>
        <w:rPr>
          <w:rFonts w:ascii="Arial" w:cs="Arial" w:eastAsia="Arial" w:hAnsi="Arial"/>
          <w:sz w:val="17"/>
          <w:szCs w:val="17"/>
          <w:color w:val="auto"/>
        </w:rPr>
        <w:t>In addition, a subsidiary within our Chemical Business owns certain natural gas working interests in certain natural gas properties located in the Marcellus Shale Formation in the state of Pennsylvania. Since our Chemical Business purchases a significant amount of natural gas as a feedstock for the production of ammonia, management considers these working interests as an economic hedge against a potential rise in natural gas prices. We report the working interests as part of the Chemical Business reportable segment.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See further discussion relating to the outlook for the Chemical Business under “Key Industry Factors” in our MD&amp;A contained in this report.</w:t>
      </w:r>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Strategy - Chemical Business</w:t>
      </w:r>
    </w:p>
    <w:p>
      <w:pPr>
        <w:spacing w:after="0" w:line="114"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Our Chemical Business pursues a strategy of balancing the sale of product as fertilizer into the agriculture markets at spot prices and developing industrial and mining customers that purchase substantial quantities of products, primarily under contractual obligations and/or pricing arrangements that provide for the pass through of raw material and other manufacturing costs. We believe that this product and market diversification strategy allows us to have consistent levels of production and help mitigate the volatility risk inherent in the raw material feedstocks prices and/or the changes in demand for our products. For 2014, approximately 50% of the Chemical Business’ sales were into industrial and mining markets of which approximately 56% of these sales were pursuant to these types of arrangements and approximately 47% of our 2014 sales were into agricultural markets primarily at the price in effect at time of sale.</w:t>
      </w:r>
    </w:p>
    <w:p>
      <w:pPr>
        <w:spacing w:after="0" w:line="168"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strategy of developing the industrial and mining customers is to moderate the risk inherent in the agricultural markets. This strategy was developed to balance the inherent risk of our uncertain spot sales prices of our agricultural products that may not have a correlation to the ammonia and natural gas feedstock costs but rather reflect market conditions for like and competing nitrogen sources. This lack of correlation can compromise our ability to recover our full cost to produce the product in this market. Additionally, the lack of sufficient non-seasonal sales volume to operate our manufacturing facilities at optimum levels can preclude the Chemical Business from reaching full performance potential. Looking forward, we are pursuing profitable growth of our Chemical Business including the potential to increase the output of our existing production facilities and to increase our production capacity. See further discussion under “Capital Expenditures” of our MD&amp;A contained in this report. Our strategy calls for continued emphasis on the agricultural sector, while remaining committed to further developing industrial customers who assume the volatility risk associated with the raw material costs and mitigate the effects of seasonality in the agricultural sector.</w:t>
      </w:r>
    </w:p>
    <w:p>
      <w:pPr>
        <w:spacing w:after="0" w:line="157"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Our strategy also includes evaluating investment in expansion projects that we believe will generate the best returns for our stockholders taking into consideration the risk and return on investment. This strategy motivated our decision to build the ammonia plant at the El Dorado Facility and construct a new nitric acid plant and concentrator at the El Dorado Facility. We believe that upon completion of the ammonia plant and the nitric acid plant and concentrator, the El Dorado Facility will benefit from reduced feedstock costs, expanded capacity, improved efficiency and enhanced product mix flexibility.</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Seasonality - Chemical Business</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believe chemical products sold by our Chemical Business to the agricultural industry are seasonal while sales into the industrial and mining sectors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AN prior to the beginning of each planting season. In addition, the amount and timing of sales to the agricultural markets depend upon weather conditions and other circumstances beyond our control.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1"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Regulatory Matters - Chemical Business</w:t>
      </w:r>
    </w:p>
    <w:p>
      <w:pPr>
        <w:spacing w:after="0" w:line="11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Chemical Business is subject to extensive federal, state and local environmental laws, rules and regulations as discussed under “Environmental, Health and Safety Matters” of this Item 1 and various risk factors under Item 1A.</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Competition - Chemical Business</w:t>
      </w:r>
    </w:p>
    <w:p>
      <w:pPr>
        <w:spacing w:after="0" w:line="114"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Our Chemical Business competes with several chemical companies in our markets, such as Agrium, CF Industries, Chemtrade Logistics, CVR Partners, Rentech Nitrogen Partners, OCI Partners, Cytec, Dyno Nobel, Gavilon Fertilizer, Helm, Koch, Norfalco, Potash Corporation of Saskatchewan, Praxair, Quad Chemical, Trammo and Yara International (some of whom are our customers), many of whom have greater financial and other resources than we do. We believe that competition within the markets served by our Chemical Business is primarily based upon service, price, location of production and distribution sites, and product quality and performance.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Climate Control Business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General</w:t>
      </w:r>
    </w:p>
    <w:p>
      <w:pPr>
        <w:spacing w:after="0" w:line="114"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Our Climate Control Business manufactures and sells a broad range of standard and custom designed water source and geothermal heat pumps and hydronic fan coils as well as large custom air handlers and modular chiller systems, including modular geothermal chillers and simultaneous heating and cooling modules. These products are for use in commercial/institutional and residential HVAC systems. Our products are installed in some of the most recognizable commercial/institutional developments in the U.S., including the Prudential Tower, Rockefeller Plaza, Trump Tower, Time Warner Center and many others. In addition, we have a significant presence in the lodging sector with installations in numerous Hyatt, Marriott, Four Seasons, Starwood, Ritz Carlton, Wynn, and Hilton hotels, among others.</w:t>
      </w:r>
    </w:p>
    <w:p>
      <w:pPr>
        <w:spacing w:after="0" w:line="15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believe our Climate Control Business has developed leadership positions in certain product categories by offering extensive product lines and customized products focusing on higher efficiency and “green” technologies. We believe we have developed the most extensive line of water source and geothermal heat pumps and hydronic fan coils in the U.S. and that we are a pioneer in the use of geothermal technology, one of the most energy efficient climate control systems commercially available today. Employing highly flexible production capabilities, we produce custom design units for new construction as well as the retrofit and replacement markets. This flexibility positions us for growth in commercial/institutional and residential construction markets as those markets continue to recover over the next several years.</w:t>
      </w:r>
    </w:p>
    <w:p>
      <w:pPr>
        <w:spacing w:after="0" w:line="15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Our geothermal heating and air conditioning products are considered “green” technology and a form of renewable energy. We believe our geothermal systems are among the most energy efficient systems available in the market for heating and cooling applications in commercial/institutional and single family new construction as well as replacement and renovation markets. Based upon market data supplied by the AHRI, we believe we continue to maintain a market share leadership position in this sector of the market.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information relating to our products of the Climate Control Business:</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2014</w:t>
            </w:r>
          </w:p>
        </w:tc>
        <w:tc>
          <w:tcPr>
            <w:tcW w:w="5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5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6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Percentage of net sales of the Climate Control Business:</w:t>
            </w: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40"/>
              <w:spacing w:after="0"/>
              <w:rPr>
                <w:sz w:val="20"/>
                <w:szCs w:val="20"/>
                <w:color w:val="auto"/>
              </w:rPr>
            </w:pPr>
            <w:r>
              <w:rPr>
                <w:rFonts w:ascii="Arial" w:cs="Arial" w:eastAsia="Arial" w:hAnsi="Arial"/>
                <w:sz w:val="17"/>
                <w:szCs w:val="17"/>
                <w:color w:val="auto"/>
              </w:rPr>
              <w:t>Water source and geothermal heat pumps</w:t>
            </w: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64%</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rPr>
              <w:t>64%</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Hydronic fan coils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3"/>
        </w:trPr>
        <w:tc>
          <w:tcPr>
            <w:tcW w:w="7460" w:type="dxa"/>
            <w:vAlign w:val="bottom"/>
          </w:tcPr>
          <w:p>
            <w:pPr>
              <w:ind w:left="340"/>
              <w:spacing w:after="0"/>
              <w:rPr>
                <w:sz w:val="20"/>
                <w:szCs w:val="20"/>
                <w:color w:val="auto"/>
              </w:rPr>
            </w:pPr>
            <w:r>
              <w:rPr>
                <w:rFonts w:ascii="Arial" w:cs="Arial" w:eastAsia="Arial" w:hAnsi="Arial"/>
                <w:sz w:val="17"/>
                <w:szCs w:val="17"/>
                <w:color w:val="auto"/>
              </w:rPr>
              <w:t>Other HVAC products</w:t>
            </w: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13%</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rPr>
              <w:t>13%</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5"/>
        </w:trPr>
        <w:tc>
          <w:tcPr>
            <w:tcW w:w="7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6"/>
              </w:rPr>
              <w:t>100%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100%</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7"/>
                <w:szCs w:val="17"/>
                <w:color w:val="auto"/>
              </w:rPr>
              <w:t>Percentage of LSB’s consolidated net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Water source and geothermal heat pumps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3"/>
        </w:trPr>
        <w:tc>
          <w:tcPr>
            <w:tcW w:w="7460" w:type="dxa"/>
            <w:vAlign w:val="bottom"/>
          </w:tcPr>
          <w:p>
            <w:pPr>
              <w:ind w:left="340"/>
              <w:spacing w:after="0"/>
              <w:rPr>
                <w:sz w:val="20"/>
                <w:szCs w:val="20"/>
                <w:color w:val="auto"/>
              </w:rPr>
            </w:pPr>
            <w:r>
              <w:rPr>
                <w:rFonts w:ascii="Arial" w:cs="Arial" w:eastAsia="Arial" w:hAnsi="Arial"/>
                <w:sz w:val="17"/>
                <w:szCs w:val="17"/>
                <w:color w:val="auto"/>
              </w:rPr>
              <w:t>Hydronic fan coils</w:t>
            </w: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8%</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rPr>
              <w:t>10%</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HVAC products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36%</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rPr>
              <w:t>42%</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Market Conditions - Climate Control Business</w:t>
      </w:r>
    </w:p>
    <w:p>
      <w:pPr>
        <w:spacing w:after="0" w:line="114" w:lineRule="exact"/>
        <w:rPr>
          <w:sz w:val="20"/>
          <w:szCs w:val="20"/>
          <w:color w:val="auto"/>
        </w:rPr>
      </w:pPr>
    </w:p>
    <w:p>
      <w:pPr>
        <w:jc w:val="both"/>
        <w:ind w:right="400"/>
        <w:spacing w:after="0" w:line="312" w:lineRule="auto"/>
        <w:rPr>
          <w:sz w:val="20"/>
          <w:szCs w:val="20"/>
          <w:color w:val="auto"/>
        </w:rPr>
      </w:pPr>
      <w:r>
        <w:rPr>
          <w:rFonts w:ascii="Arial" w:cs="Arial" w:eastAsia="Arial" w:hAnsi="Arial"/>
          <w:sz w:val="15"/>
          <w:szCs w:val="15"/>
          <w:color w:val="auto"/>
        </w:rPr>
        <w:t>As discussed in more detail below in the MD&amp;A contained in this report, information available from the CMFS indicates that construction activity for the primary markets we serve in the commercial/industrial sector are poised for a recovery and are heading back to pre-recession levels. The CMFS forecast has also indicated construction growth in the single-family residential sector for 2015 (measured in new housing units), remaining significantly below pre-recession levels.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41"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tax credits and incentives contained in the American Reinvestment Recovery Act of 2009, have and could continue to stimulate sales of our geothermal heat pump products, as well as other “green” products through 2016.</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Water Source and Geothermal Heat Pumps</w:t>
      </w:r>
    </w:p>
    <w:p>
      <w:pPr>
        <w:spacing w:after="0" w:line="11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Climate Control Business is a leading provider of water source and geothermal heat pumps to the commercial/institutional construction and renovation markets in the U.S.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Water source heat pumps are highly efficient heating and cooling products, which can enable individual room climate control through the transfer of heat using a water pipe system connected to a centralized cooling tower or heat injector. Water source heat pumps enjoy a broad range of commercial/institutional applications, particularly in medium to large sized buildings with many small, individually controlled spaces. We believe the market share for commercial/institutional water source heat pumps should continue to grow due to their higher efficiency and longevity, relative to other types of heating and air conditioning systems, whether for new construction, renovation or replacement purposes.</w:t>
      </w:r>
    </w:p>
    <w:p>
      <w:pPr>
        <w:spacing w:after="0" w:line="18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also provide geothermal heat pumps in residential and commercial/institutional applications. Geothermal systems, which circulate water or a combination of water and antifreeze through an underground heat exchanger, are considered to be the most energy efficient systems currently available in the market. We believe the energy efficiency and longer life of geothermal systems, as compared with other systems, as well as tax incentives that are available to homeowners and businesses when installing geothermal systems, will increase demand for our geothermal products. Our products are sold to the commercial/institutional markets, as well as single and multi-family residential new construction, renovation and replacements.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Hydronic Fan Coils</w:t>
      </w:r>
    </w:p>
    <w:p>
      <w:pPr>
        <w:spacing w:after="0" w:line="114"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believe that our Climate Control Business is a leading provider of hydronic fan coils targeting commercial and institutional markets including hospitality, education and multi-family sectors. Hydronic fan coils use heated or chilled water provided by a centralized chiller and/or boiler, through a water pipe system, to condition the air and allow individual room control. Hydronic fan coil systems are quieter, have longer lives and lower maintenance costs than other comparable systems used where individual room control is required. Hydronic fan coils are effective in medium to large sized buildings with many small, individually controlled spaces.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Production and Backlog - Climate Control Business</w:t>
      </w:r>
    </w:p>
    <w:p>
      <w:pPr>
        <w:spacing w:after="0" w:line="215"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We manufacture our products in many sizes and configurations, as required by the purchaser, to fit the space and capacity requirements of hotels, motels, schools, hospitals, apartment buildings, office buildings and other commercial/institutional or residential structures.</w:t>
      </w:r>
    </w:p>
    <w:p>
      <w:pPr>
        <w:spacing w:after="0" w:line="165"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Most customers place their product orders well in advance of required delivery dates. The backlog of confirmed customer product orders are discussed under “Key Operational Factors – Climate Control Business” of the MD&amp;A contained in this report.</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Distribution - Climate Control Business</w:t>
      </w:r>
    </w:p>
    <w:p>
      <w:pPr>
        <w:spacing w:after="0" w:line="114"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Our Climate Control Business sells its products primarily to mechanical contractors, distributors and OEMs. Our commercial sales to mechanical contractors primarily occur through independent manufacturers’ representatives, who also represent complementary product lines not manufactured by us. Our residential sales are primarily made through distributors. OEMs generally consist of other air conditioning and heating equipment manufacturers who resell under their own brand name the products purchased from our Climate Control Business.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Markets - Climate Control Business</w:t>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Climate Control Business market includes commercial/institutional and residential new building construction, renovation of existing buildings and replacement of existing systems. In the commercial/institutional markets, the largest vertical markets that we focus on, include education, multi-family residential, hospitality, retail and healthcare.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41"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Raw Materials and Components - Climate Control Business</w:t>
      </w:r>
    </w:p>
    <w:p>
      <w:pPr>
        <w:spacing w:after="0" w:line="114"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Numerous domestic and foreign sources exist for the materials and components used by our Climate Control Business, which include compressors, copper, steel, electric motors, valves and aluminum. Periodically, our Climate Control Business enters into futures contracts to purchase copper. We do not anticipate any difficulties in obtaining necessary materials and components for our Climate Control Business. Although we believe we will be able to pass to our customers the majority of any cost increases in the form of higher prices, the timing of these price increases could lag the increases in the cost of materials and components. While we believe we will have sufficient sources for materials and components, a shortage could impact production of our Climate Control products.</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Competition - Climate Control Business</w:t>
      </w:r>
    </w:p>
    <w:p>
      <w:pPr>
        <w:spacing w:after="0" w:line="114" w:lineRule="exact"/>
        <w:rPr>
          <w:sz w:val="20"/>
          <w:szCs w:val="20"/>
          <w:color w:val="auto"/>
        </w:rPr>
      </w:pPr>
    </w:p>
    <w:p>
      <w:pPr>
        <w:jc w:val="both"/>
        <w:ind w:right="200"/>
        <w:spacing w:after="0" w:line="302" w:lineRule="auto"/>
        <w:rPr>
          <w:sz w:val="20"/>
          <w:szCs w:val="20"/>
          <w:color w:val="auto"/>
        </w:rPr>
      </w:pPr>
      <w:r>
        <w:rPr>
          <w:rFonts w:ascii="Arial" w:cs="Arial" w:eastAsia="Arial" w:hAnsi="Arial"/>
          <w:sz w:val="15"/>
          <w:szCs w:val="15"/>
          <w:color w:val="auto"/>
        </w:rPr>
        <w:t>Our Climate Control Business competes with several companies, primarily Carrier (United Technologies Corporation), Nortek, Trane (Ingersoll-Rand Public Limited Company), Bosch, Haakon, McQuay (Daikin Industries, Ltd.) and Energy Labs, some of whom are also our customers. Some of our competitors serve other markets and have greater financial and other resources than we do. We believe our Climate Control Business manufactures a broader line of geothermal and water source heat pump and fan coil products than any other manufacturer in the U.S. and that we are competitive as to price, service, warranty and product performance.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Strategy - Climate Control Business</w:t>
      </w:r>
    </w:p>
    <w:p>
      <w:pPr>
        <w:spacing w:after="0" w:line="114" w:lineRule="exact"/>
        <w:rPr>
          <w:sz w:val="20"/>
          <w:szCs w:val="20"/>
          <w:color w:val="auto"/>
        </w:rPr>
      </w:pPr>
    </w:p>
    <w:p>
      <w:pPr>
        <w:ind w:right="480"/>
        <w:spacing w:after="0" w:line="305" w:lineRule="auto"/>
        <w:rPr>
          <w:sz w:val="20"/>
          <w:szCs w:val="20"/>
          <w:color w:val="auto"/>
        </w:rPr>
      </w:pPr>
      <w:r>
        <w:rPr>
          <w:rFonts w:ascii="Arial" w:cs="Arial" w:eastAsia="Arial" w:hAnsi="Arial"/>
          <w:sz w:val="16"/>
          <w:szCs w:val="16"/>
          <w:color w:val="auto"/>
        </w:rPr>
        <w:t>Our strategy in our Climate Control Business is to continue to launch new products and product upgrades in an effort to maintain and increase our current market position and to establish a presence in new markets. Further, our plan to drive growth in our Climate Control Business includes:</w:t>
      </w:r>
    </w:p>
    <w:p>
      <w:pPr>
        <w:spacing w:after="0" w:line="53" w:lineRule="exact"/>
        <w:rPr>
          <w:sz w:val="20"/>
          <w:szCs w:val="20"/>
          <w:color w:val="auto"/>
        </w:rPr>
      </w:pPr>
    </w:p>
    <w:p>
      <w:pPr>
        <w:ind w:left="880" w:hanging="434"/>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focusing on obtaining deeper penetration in certain vertical markets;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continuing to develop the market for geothermal products, as well as products for green and energy-efficient construction retrofit;</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continuing to focus on a lean initiative program that will create operating efficiencies and reduce our production costs; and</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making strategic acquisitions that add complimentary products, scale to existing products or broaden geographic capabilities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Additional Segment Information and Foreign and Domestic Operations and Export Sales</w:t>
      </w:r>
    </w:p>
    <w:p>
      <w:pPr>
        <w:spacing w:after="0" w:line="11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Schedules of the amounts of net sales, gross profit, operating income and identifiable assets attributable to each of our lines of business and of the amount of our export sales in the aggregate and by major geographic area for each of the last three years appear in Note 17 of the Notes to Consolidated Financial Statements included elsewhere in this report.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Employees</w:t>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of December 31, 2014, we employed 1,949 persons. As of that date, our Chemical Business employed 545 persons, with 166 represented by unions under agreements that expire in November of 2016 through October of 2018, and our Climate Control Business employed 1,309 persons, none of whom were represented by a union.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Environmental, Health and Safety Matters</w:t>
      </w:r>
    </w:p>
    <w:p>
      <w:pPr>
        <w:spacing w:after="0" w:line="11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Our facilities and operations are subject to numerous federal, state and local environmental laws and to other laws regarding health and safety matters.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and Health Laws is controlled by others, with our Chemical Business being responsible for its proportionate share of the costs involved.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41"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Website Access to Company’s Reports</w:t>
      </w:r>
    </w:p>
    <w:p>
      <w:pPr>
        <w:spacing w:after="0" w:line="114" w:lineRule="exact"/>
        <w:rPr>
          <w:sz w:val="20"/>
          <w:szCs w:val="20"/>
          <w:color w:val="auto"/>
        </w:rPr>
      </w:pPr>
    </w:p>
    <w:p>
      <w:pPr>
        <w:ind w:right="620"/>
        <w:spacing w:after="0" w:line="261" w:lineRule="auto"/>
        <w:rPr>
          <w:sz w:val="20"/>
          <w:szCs w:val="20"/>
          <w:color w:val="auto"/>
        </w:rPr>
      </w:pPr>
      <w:r>
        <w:rPr>
          <w:rFonts w:ascii="Arial" w:cs="Arial" w:eastAsia="Arial" w:hAnsi="Arial"/>
          <w:sz w:val="17"/>
          <w:szCs w:val="17"/>
          <w:color w:val="auto"/>
        </w:rPr>
        <w:t xml:space="preserve">Our internet website address is </w:t>
      </w:r>
      <w:r>
        <w:rPr>
          <w:rFonts w:ascii="Arial" w:cs="Arial" w:eastAsia="Arial" w:hAnsi="Arial"/>
          <w:sz w:val="17"/>
          <w:szCs w:val="17"/>
          <w:u w:val="single" w:color="auto"/>
          <w:color w:val="auto"/>
        </w:rPr>
        <w:t>www.lsbindustries.com</w:t>
      </w:r>
      <w:r>
        <w:rPr>
          <w:rFonts w:ascii="Arial" w:cs="Arial" w:eastAsia="Arial" w:hAnsi="Arial"/>
          <w:sz w:val="17"/>
          <w:szCs w:val="17"/>
          <w:color w:val="auto"/>
        </w:rPr>
        <w:t>. Our annual reports on Form 10-K, quarterly reports on Form 10-Q, current reports on Form 8-K, and amendments to those reports filed or furnished pursuant to section 13(a) or 15(d) of the Exchange Act are available free of charge through our website within a reasonable amount of time after they are electronically filed with, or furnished to, the SEC.</w:t>
      </w:r>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Industry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Chemical and Climate Control Businesses and their customers are sensitive to adverse economic cycles.</w:t>
      </w:r>
    </w:p>
    <w:p>
      <w:pPr>
        <w:spacing w:after="0" w:line="114"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Chemical Business can be affected by cyclical factors such as inflation, global energy policy and costs, global market conditions and economic downturns in specific industries. Certain sales of our Chemical Business are sensitive to the level of activity in the agricultural, mining, automotive and housing industries. A substantial decline in the activity of our Chemical Business has in the past, and could in the future, have a material adverse effect on the results of our Chemical Business and on our liquidity and capital resources. Further, material economic changes that adversely affect our natural gas working interests or lower natural gas prices may require us to write down the carrying value of our natural gas working interests. Therefore, these changes in our Chemical Business could adversely impact our operating results, liquidity and financial condition.</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Climate Control Business also can be affected by cyclical factors, such as interest rates, inflation and economic downturns. Our Climate Control Business depends on sales to customers in the construction and renovation industries, which are particularly sensitive to these factors. A decline in the economic activity in the U.S. has in the past, and could in the future, have a material adverse effect on us and our customers in the construction and renovation industries in which our Climate Control Business sells a substantial amount of its products. Such a decline could result in a decrease in revenues and profits, and an increase in bad debts that could have a material adverse effect on our operating results, financial condition and liquidity.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Weather conditions adversely affect our Chemical Business.</w:t>
      </w:r>
    </w:p>
    <w:p>
      <w:pPr>
        <w:spacing w:after="0" w:line="11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agricultural products produced and sold by our Chemical Business have been in the past, and could be in the future, materially affected by adverse weather conditions (such as excessive rain or drought) in the primary markets for our fertilizer and related agricultural products. If any of these unusual weather events occur during the primary seasons for sales of our agricultural products (March-June and September-November), this could have a material adverse effect on the agricultural sales of our Chemical Business and our financial condition and results of operations.</w:t>
      </w:r>
    </w:p>
    <w:p>
      <w:pPr>
        <w:spacing w:after="0" w:line="17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addition, weather conditions, severe or otherwise, may adversely affect the construction, refurbishment and renovation of facilities that utilize our Climate Control products resulting in lower product order levels during those periods.</w:t>
      </w:r>
    </w:p>
    <w:p>
      <w:pPr>
        <w:spacing w:after="0" w:line="263"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b w:val="1"/>
          <w:bCs w:val="1"/>
          <w:color w:val="auto"/>
        </w:rPr>
        <w:t>Despite continuing investment to upgrade and replace equipment on an ongoing basis, the age of facilities of our Chemical Business increases the risk for unplanned downtime which may be significant.</w:t>
      </w:r>
    </w:p>
    <w:p>
      <w:pPr>
        <w:spacing w:after="0" w:line="5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Chemical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For example, during 2014, certain of our chemical facilities had planned and unplanned downtime as a result of certain maintenance and equipment issues. As a result, we have and may continue to experience additional downtime at our chemical facilities in the future.</w:t>
      </w:r>
    </w:p>
    <w:p>
      <w:pPr>
        <w:spacing w:after="0" w:line="16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equipment required for the manufacture of our chemical products is specialized, and the time for replacement of such equipment can be lengthy, resulting in extended downtime in the affected unit. Although we utilize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impact our operating results, liquidity and financial condition.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41"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color w:val="auto"/>
        </w:rPr>
        <w:t>Current and future legislative or regulatory requirements impacting our Chemical Business may result in increased costs and decreased revenues, cash flows and liquidity or could have other negative impacts on our Chemical Business.</w:t>
      </w:r>
    </w:p>
    <w:p>
      <w:pPr>
        <w:spacing w:after="0" w:line="5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businesses are subject to numerous health, safety, security and environmental laws and regulations, primarily relating to our Chemical Business. The manufacture and distribution of chemical products are activities which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our Chemical Business has in the past, and may in the future, be subject to fines, penalties and sanctions for violations and substantial expenditures for cleanup costs and other liabilities relating to the handling, manufacture, use, emission, discharge or disposal of effluents at or from the Chemical Business’ facilities. Further, a number of our Chemical Business’ facilities are dependent on environmental permits to operate, the loss or modification of which could have a material adverse effect on their operations and our financial condition.</w:t>
      </w:r>
    </w:p>
    <w:p>
      <w:pPr>
        <w:spacing w:after="0" w:line="18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Changes to the production equipment at our chemical facilities as may be required in order to comply with health, safety and environmental regulations may require substantial capital expenditures.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Explosions and/or losses at other chemical facilities not owned by us (such as the explosion in West, Texas) could also result in new or additional legislation or regulatory changes, particularly relating to public health, safety or any of the products manufactured and/or sold by our Chemical Business or the inability on the part of our Chemical Business’ customers to obtain or maintain insurance as to certain products manufactured and/or sold by our Chemical Business, which could have a negative impact on the revenues, cash flow and/or liquidity of our Chemical Business.</w:t>
      </w:r>
    </w:p>
    <w:p>
      <w:pPr>
        <w:spacing w:after="0" w:line="1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summary, new or changed laws and regulations or the inability of the customers of our Chemical Business to obtain or maintain insurance in connection with any of our chemical products could have an adverse effect on our operating results, liquidity and financial condition.</w:t>
      </w:r>
    </w:p>
    <w:p>
      <w:pPr>
        <w:spacing w:after="0" w:line="263"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b w:val="1"/>
          <w:bCs w:val="1"/>
          <w:color w:val="auto"/>
        </w:rPr>
        <w:t>We may be required to modify or expand our operating, sales and reporting procedures and install additional equipment for our Chemical Business in order to comply with current and possible future government regulations.</w:t>
      </w:r>
    </w:p>
    <w:p>
      <w:pPr>
        <w:spacing w:after="0" w:line="59"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impact on our financial condition, results of operations, and liquidity. The cost of such regulatory changes, if significant enough, could lead some of our customers to choose alternate products to ammonia and AN, which would have a significant impact on our Chemical Business.</w:t>
      </w:r>
    </w:p>
    <w:p>
      <w:pPr>
        <w:spacing w:after="0" w:line="182"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In order to comply with the “Secure Handling of Ammonium Nitrate Act of 2007” as enacted by the U.S. Congress, the U.S. Department of Homeland Security has published a notice of the proposed rulemaking. This regulation proposes to require sellers, buyers, their agents and transporters of solid AN and certain solid mixtures containing AN to possess a valid registration issued by DHS, keep certain records, report the theft or unexplained loss of regulated materials and certain other new requirements. We and other parties affected by this proposal have submitted appropriate comments to DHS regarding the proposed regulation.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It is reasonably possible that compliance with the final regulation may be required during 2015 based on comments from the DHS.</w:t>
      </w:r>
    </w:p>
    <w:p>
      <w:pPr>
        <w:spacing w:after="0" w:line="172"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On August 1, 2013, the Obama Administration issued an order addressing the safety and security of chemical facilities in response to recent incidents involving chemicals such as the April 2013 explosion at West, Texas. The Obama Administration is directing federal agencies to enhance existing regulations and make recommendations to the U.S. Congress to develop new laws that may affect our Chemical Business. U.S. regulators including the DHS, the EPA, the Occupational Safety and Health Administration and other Federal organizations, have issued to the requests for information, clarifications and other documents in response to the Executive Order.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441" w:right="2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b w:val="1"/>
          <w:bCs w:val="1"/>
          <w:color w:val="auto"/>
        </w:rPr>
        <w:t>Proposed governmental laws and regulations relating to greenhouse gas emissions may subject certain of our Chemical Business’ facilities to significant new costs and restrictions on their operations and reduction in sales.</w:t>
      </w:r>
    </w:p>
    <w:p>
      <w:pPr>
        <w:spacing w:after="0" w:line="59"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The manufacturing facilities within our Chemical Business use significant amounts of electricity, natural gas and other raw materials necessary for the production of their chemical products that result, or could result, in certain greenhouse gas emissions into the environment. Federal and state courts and administrative agencies, including the EPA, are considering the scope and scale of greenhouse gas emission regulation. Legislation is being considered that would regulate greenhouse gas emissions at some point in the future for our facilities and has already impacted certain of our customers leading to closure or rate reductions of certain facilities. The EPA has instituted a mandatory greenhouse gas reporting requirement that began in 2010, which impacts all of our chemical manufacturing sites.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if adopted. Federal, state and local governments may also pass laws mandating the use of alternative energy sources, such as wind power and solar energy, which may increase the cost of energy use in certain of our chemical and other manufacturing operations. As it relates to our Chemical Business’ working interest in natural gas properties, legislative and regulatory proposals for restricting greenhouse gas emissions or otherwise addressing climate change could require our Chemical Business to incur additional operating costs and could adversely affect demand for the natural gas that the operator of these wells intends to sell. While future emission regulations or new laws appear possible, it is difficult to predict how these regulations, if and when adopted, will affect our businesses, operations, liquidity or financial results.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intense competition in the Climate Control and Chemical industries.</w:t>
      </w:r>
    </w:p>
    <w:p>
      <w:pPr>
        <w:spacing w:after="0" w:line="114"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Substantially all of the markets in which we participate are highly competitive with respect to product quality, price, design innovations, distribution, service, warranties, reliability and efficiency. We compete with a number of companies, domestic and foreign, that have greater financial, marketing and other resources. Competitive factors could require us to reduce prices or increase spending on product development, marketing and sales that would have a material adverse effect on our business, results of operation and financial condition.</w:t>
      </w:r>
    </w:p>
    <w:p>
      <w:pPr>
        <w:spacing w:after="0" w:line="17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Specific to the Chemical business we compete with a number of U.S. producers and producers in other countries, including state-owned and government-subsidized entities. Some competitors have greater total resources and are less dependent on earnings from chemical sales, which makes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substantial portion of our sales is dependent upon a limited number of customers.</w:t>
      </w:r>
    </w:p>
    <w:p>
      <w:pPr>
        <w:spacing w:after="0" w:line="11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For 2014, seven customers of our Chemical Business accounted for approximately 30% of its net sales and 19% of our consolidated net sales. The loss of, or a material reduction in purchase levels by, one or more of these customers could have a material adverse effect on our business and our results of operations, financial condition and liquidity if we are unable to replace a customer with other sales on substantially similar terms.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and the lack of availability of raw materials could materially affect our profitability and liquidity.</w:t>
      </w:r>
    </w:p>
    <w:p>
      <w:pPr>
        <w:spacing w:after="0" w:line="11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16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Since we source certain of our raw materials and components on a global basis, we may experience long lead times in procuring those raw materials and components purchased overseas, as well as being subject to tariff controls and other international trade barriers, which may increase the uncertainty of raw material and component availability and pricing volatility.</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Anhydrous ammonia, natural gas and sulfur represent the primary raw material feedstocks in the production of most of the products of the Chemical Business. Although our Chemical Business enters into contracts with certain customers that provide for the pass-through of raw material costs, we have a substantial amount of sales that do not provide for the pass-through of raw material costs. Also the spot sales prices of our agricultural products may not have a correlation to the ammonia and natural gas feedstock costs but rather reflect market conditions for like and competing nitrogen sources. This lack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1"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correlation can compromise our ability to recover our full cost to produce the product in this market. In addition, the Climate Control Business depends on raw materials such as copper and steel, which have shown considerable price volatility. As a result, in the future, we may not be able to pass along to all of our customers the full amount of any increases in raw material costs. There can be no assurance that future price fluctuations in our raw materials will not have an adverse effect on our financial condition, liquidity and results of operations.</w:t>
      </w:r>
    </w:p>
    <w:p>
      <w:pPr>
        <w:spacing w:after="0" w:line="179"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As stated above, natural gas represents one of the primary raw materials in the production of our Chemical Business’ products, and, as a result, we acquired natural gas working interests as an economic hedge against rising prices for natural gas. Our natural gas working interests may not be effective as an economic hedge under certain limited conditions.</w:t>
      </w:r>
    </w:p>
    <w:p>
      <w:pPr>
        <w:spacing w:after="0" w:line="176"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We do not operate our natural gas working interest properties and have no, or very limited, ability to exercise influence over operations of these properties or their associated cost.</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Additionally, we depend on certain vendors to deliver the primary raw materials and other key components that are required in the production of our products. Any disruption in the supply of the primary raw materials and other key components could result in lost production or delayed shipments. We have suspended in the past, and could suspend in the future, production at our chemical facilities due to, among other things, the high cost or lack of availability of such primary raw materials, which could adversely impact our competitiveness in the markets we serve. Accordingly, our financial condition, liquidity and results of operations could be materially affected in the future by the lack of availability of primary raw materials and other key components and increase costs relating to the purchase of raw materials or the production of our natural gas working interests.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increase of imported agricultural products.</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Russia and Ukraine both have substantial capacity to produce and export fertilizer grade AN. Producers in these countries also benefit from below-market prices for natural gas, due to Government regulation and other factors. Fertilizer grade AN imports from Russia and Ukraine are currently subject to U.S. antidumping duty orders, which require these imports to be sold in the U.S. market at a fair value. Currently, imports of fertilizer grade AN from certain Russian producers are subject to an antidumping duty rate of 254% and all imports of fertilizer grade AN from Ukraine are subject to an antidumping duty rate of 156%. On November 24, 2014, the Department of Commerce’s International Trade Administration upheld a preliminary review published by the DOC in May 2014, saying it continues to find that sales of AN to the U.S. “have not been made at prices below normal value”. As a result of the ruling, dumping margins of zero percent have been assigned to AN imports from certain Russian producers and exporters. The antidumping orders that exist on the Ukrainian and Russian product in the past have substantially restrained the volumes of these imports. The decision by the DOC to eliminate the duty rates will likely increase the volumes of Russian fertilizer grade AN in the U.S., possibly priced below our current cost to produce fertilizer grade AN. 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have and could have an adverse effect on the selling prices of other nitrogen products, including the nitrogen products we manufacture and sell.</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inadequate insurance.</w:t>
      </w:r>
    </w:p>
    <w:p>
      <w:pPr>
        <w:spacing w:after="0" w:line="11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may exclude coverage for some types of damages (which may include warranty claims). Although there may currently be sources from which such coverage may be obtained, it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LSB is a holding company and depends, in large part, on receiving funds from its subsidiaries to fund our indebtedness.</w:t>
      </w:r>
    </w:p>
    <w:p>
      <w:pPr>
        <w:spacing w:after="0" w:line="11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26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color w:val="auto"/>
        </w:rPr>
        <w:t>Our substantial level of indebtedness could limit our financial and operating activities, and adversely affect our ability to incur additional debt to fund future needs.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a substantial amount of indebtedness. As a result, this level of indebtedness could, among other things:</w:t>
      </w:r>
    </w:p>
    <w:p>
      <w:pPr>
        <w:spacing w:after="0" w:line="122" w:lineRule="exact"/>
        <w:rPr>
          <w:sz w:val="20"/>
          <w:szCs w:val="20"/>
          <w:color w:val="auto"/>
        </w:rPr>
      </w:pPr>
    </w:p>
    <w:p>
      <w:pPr>
        <w:ind w:left="880" w:right="20" w:hanging="434"/>
        <w:spacing w:after="0" w:line="273"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the payment of principal (primarily relating to 2019) and interest, thereby reducing the funds available for operations and future business opportunities;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1"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 including our repurchase obligations;</w:t>
      </w:r>
    </w:p>
    <w:p>
      <w:pPr>
        <w:spacing w:after="0" w:line="122" w:lineRule="exact"/>
        <w:rPr>
          <w:rFonts w:ascii="Arial" w:cs="Arial" w:eastAsia="Arial" w:hAnsi="Arial"/>
          <w:sz w:val="17"/>
          <w:szCs w:val="17"/>
          <w:color w:val="auto"/>
        </w:rPr>
      </w:pPr>
    </w:p>
    <w:p>
      <w:pPr>
        <w:ind w:left="880" w:right="460" w:hanging="434"/>
        <w:spacing w:after="0" w:line="273"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our ability to borrow additional money if needed for other purposes, including working capital, capital expenditures, debt service requirements, acquisitions and general corporate or other purposes, on satisfactory terms or at all;</w:t>
      </w:r>
    </w:p>
    <w:p>
      <w:pPr>
        <w:spacing w:after="0" w:line="76"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our ability to adjust to changing economic, business and competitive conditions;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place us at a competitive disadvantage with competitors who may have less indebtedness or greater access to financing;</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 us more vulnerable to an increase in interest rates, a downturn in our operating performance or a decline in general economic conditions; and</w:t>
      </w:r>
    </w:p>
    <w:p>
      <w:pPr>
        <w:spacing w:after="0" w:line="133" w:lineRule="exact"/>
        <w:rPr>
          <w:rFonts w:ascii="Arial" w:cs="Arial" w:eastAsia="Arial" w:hAnsi="Arial"/>
          <w:sz w:val="16"/>
          <w:szCs w:val="16"/>
          <w:color w:val="auto"/>
        </w:rPr>
      </w:pPr>
    </w:p>
    <w:p>
      <w:pPr>
        <w:ind w:left="880" w:right="560" w:hanging="434"/>
        <w:spacing w:after="0" w:line="273"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 us more susceptible to changes in credit ratings, which could impact our ability to obtain financing in the future and increase the cost of such financing.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Any of the foregoing could adversely impact our operating results, financial condition, and liquidity.</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of key personnel could negatively affect our business.</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believe that our performance has been and will continue to be dependent upon the efforts of our principal executive officers. We cannot promise that our principal executive officers will continue to be available. Jack E. Golsen has an employment agreement with us. No other principal executive has an employment agreement with us. The loss of some of our principal executive officers could have a material adverse effect on us. We believe that our future success will depend in large part on our continued ability to attract and retain highly skilled and qualified personnel.</w:t>
      </w:r>
    </w:p>
    <w:p>
      <w:pPr>
        <w:spacing w:after="0" w:line="277"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Terrorist attacks and other acts of violence or war, and natural disasters (such as hurricanes, pandemic health crisis, etc.), have negatively impacted and could negatively impact U.S. and foreign companies, the financial markets, the industries where we operate, our operations and profitability.</w:t>
      </w:r>
    </w:p>
    <w:p>
      <w:pPr>
        <w:spacing w:after="0" w:line="37"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Terrorist attacks and natural disasters (such as hurricanes) have in the past negatively impacted,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further affect the industries where we operate, our ability to purchase raw materials, our business, results of operations and financial condition. In addition, terrorist attacks and natural disasters may directly impact our physical facilities, especially our chemical facilities, or those of our suppliers or customers and could impact our sales, our production capability and our ability to deliver products to our customers. In the past, hurricanes affecting the Gulf Coast of the U.S. have negatively impacted our operations and those of our customers. The consequences of any terrorist attacks or hostilities or natural disasters are unpredictable, and we may not be able to foresee events that could have an adverse effect on our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capital projects may prevent the completion of those projects on budget, on schedule or at all.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are undertaking capital projects and may undertake additional capital projects in the future. Capital projects entail risks, including, but not limited to:</w:t>
      </w:r>
    </w:p>
    <w:p>
      <w:pPr>
        <w:spacing w:after="0" w:line="122" w:lineRule="exact"/>
        <w:rPr>
          <w:sz w:val="20"/>
          <w:szCs w:val="20"/>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unanticipated cost increases;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unforeseen engineering or environmental problems;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work stoppages;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weather interference;</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unavailability of necessary equipment; and</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unavailability of financing on acceptable terms.</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Construction, equipment or staffing problems or difficulties in obtaining any of the requisite licenses, easements, permits and authorizations from regulatory authorities could increase the total cost, delay or prevent the construction or completion of a capital project.</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addition, a capital project could be negatively impacted if we are required to obtain additional debt or equity financing to complete a capital project or we are unable to obtain adequate sources of funding, such as the inability to obtain other debt or equity financing on acceptable terms or at all. Moreover, if we are able to complete a capital project, production levels at our facilities or general market conditions may not meet our expectations. As a result of these factors, our results of operations, liquidity and financial condition could be adversely impacted.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1"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b w:val="1"/>
          <w:bCs w:val="1"/>
          <w:color w:val="auto"/>
        </w:rPr>
        <w:t>Risks generally associated with implementation of an ERP system may adversely affect our business operation and the effectiveness of internal control over financial reporting.</w:t>
      </w:r>
    </w:p>
    <w:p>
      <w:pPr>
        <w:spacing w:after="0" w:line="5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begun to implement an ERP system, which, when completed, will handle the business and financial processes of our subsidiaries’ operations and our corporate and administrative functions, such as:</w:t>
      </w:r>
    </w:p>
    <w:p>
      <w:pPr>
        <w:spacing w:after="0" w:line="76" w:lineRule="exact"/>
        <w:rPr>
          <w:sz w:val="20"/>
          <w:szCs w:val="20"/>
          <w:color w:val="auto"/>
        </w:rPr>
      </w:pPr>
    </w:p>
    <w:p>
      <w:pPr>
        <w:ind w:left="880" w:hanging="434"/>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facilitating the process of purchasing, manufacturing and distributing inventories;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receiving, processing, and shipping orders on a timely basis,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managing the accuracy of billings and collections for our customers;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processing payments to our suppliers;</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managing the accuracy of payroll; and</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generating financial transactions, information and reports.</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ERP implementations are complex and time-consuming projects that involve substantial expenditures on system software and implementation activities that can continue for several years. ERP implementations also require transformation of business and financial processes in order to benefit from a new ERP system. Our results of operations, liquidity and financial condition may be adversely affected if we experience operating problems and cost overruns during the ERP implementation process or if the ERP system (and the associated process changes) do not generate the expected benefits. Additionally, if we do not effectively implement the ERP system as planned or if the system does not operate as intended, it could adversely affect our financial reporting.</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security risks could adversely affect our business operations.</w:t>
      </w:r>
    </w:p>
    <w:p>
      <w:pPr>
        <w:spacing w:after="0" w:line="114"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As we continue to increase our dependence on information technologies to conduct our operations, the risks associated with cyber security also increase. We rely on our ERP and other information systems, among other things, to manage our manufacturing, supply chain, accounting and financial functions. This risk not only applies to us, but also to third parties on whose systems we place significant reliance for the conduct of our business.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results of operations, liquidity and financial condition.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currently effectively controlled by the Golsen Group</w:t>
      </w:r>
    </w:p>
    <w:p>
      <w:pPr>
        <w:spacing w:after="0" w:line="114"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Jack E. Golsen, our Executive Chairman of the Board of Directors, members of his immediate family, including Barry H. Golsen, our CEO and President, entities owned by them and trusts for which they possess voting or dispositive power as trustee owned as of February 13, 2015, an aggregate of 2,815,064 shares of our common stock and 1,020,000 shares of our voting preferred stock (1,000,000 of which shares have .875 votes per share, or 875,000 votes), which together votes as a class and represents approximately 16% of the voting power (prior to conversion of the shares of voting preferred) of our issued and outstanding voting securities as of that date. The series of preferred represented by the 20,000 shares of voting preferred is convertible into an aggregate of 666,666 shares of our common stock. Thus, the Golsen Group may be considered to effectively control us. As a result, the ability of other stockholders to influence our management and policies could be limited.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could be negatively affected as a result of a proxy contest.</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received a request for our Board of Directors to consider certain proposals as to our business and notice that there may be a slate of directors proposed in opposition to the three directors that are up for election at our 2015 Annual Meeting of Shareholders and that would be nominated by our Board of Directors. Our business, operating results, liquidity or financial condition have been and could continue to be adversely affected by the proposals and a potential proxy contest because, among other things:</w:t>
      </w:r>
    </w:p>
    <w:p>
      <w:pPr>
        <w:spacing w:after="0" w:line="90" w:lineRule="exact"/>
        <w:rPr>
          <w:sz w:val="20"/>
          <w:szCs w:val="20"/>
          <w:color w:val="auto"/>
        </w:rPr>
      </w:pPr>
    </w:p>
    <w:p>
      <w:pPr>
        <w:ind w:left="880" w:right="180" w:hanging="434"/>
        <w:spacing w:after="0" w:line="27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considering and responding to the proposals and a potential proxy contest has been, and may continue to be, disruptive, costly and time consuming and a significant distraction for our management;</w:t>
      </w:r>
    </w:p>
    <w:p>
      <w:pPr>
        <w:spacing w:after="0" w:line="76" w:lineRule="exact"/>
        <w:rPr>
          <w:rFonts w:ascii="Arial" w:cs="Arial" w:eastAsia="Arial" w:hAnsi="Arial"/>
          <w:sz w:val="17"/>
          <w:szCs w:val="17"/>
          <w:color w:val="auto"/>
        </w:rPr>
      </w:pPr>
    </w:p>
    <w:p>
      <w:pPr>
        <w:ind w:left="880" w:right="200" w:hanging="434"/>
        <w:spacing w:after="0" w:line="27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perceived uncertainties as to our future may result in the loss of current customers and potential business opportunities and may make it more difficult to attract and retain qualified personnel;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1"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80" w:right="60" w:hanging="434"/>
        <w:spacing w:after="0" w:line="273"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it may adversely affect our ability to create additional value for our stockholders by effectively limiting the implementation of our business strategy and/or requiring us to adopt a new business strategy that is not in our best interest; and</w:t>
      </w:r>
    </w:p>
    <w:p>
      <w:pPr>
        <w:spacing w:after="0" w:line="76" w:lineRule="exact"/>
        <w:rPr>
          <w:rFonts w:ascii="Arial" w:cs="Arial" w:eastAsia="Arial" w:hAnsi="Arial"/>
          <w:sz w:val="17"/>
          <w:szCs w:val="17"/>
          <w:color w:val="auto"/>
        </w:rPr>
      </w:pPr>
    </w:p>
    <w:p>
      <w:pPr>
        <w:ind w:left="880" w:hanging="434"/>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future trading prices of our common stock could be affected by public statements and other actions in a proxy contest, which we cannot predict or control.</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not paid dividends on our outstanding common stock in many years.</w:t>
      </w:r>
    </w:p>
    <w:p>
      <w:pPr>
        <w:spacing w:after="0" w:line="114"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Although we have paid dividends on our outstanding series of preferred stock (which are owned by the Golsen Group), in the past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2015. In addition, there are certain limitations contained in our loan agreements that may limit our ability to pay dividends on our outstanding common stock.</w:t>
      </w:r>
    </w:p>
    <w:p>
      <w:pPr>
        <w:spacing w:after="0" w:line="262"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b w:val="1"/>
          <w:bCs w:val="1"/>
          <w:color w:val="auto"/>
        </w:rPr>
        <w:t>Future issuance or potential issuance of our common stock could adversely affect the price of our common stock, our ability to raise funds in new stock offerings and could dilute the percentage ownership of our common stockholders.</w:t>
      </w:r>
    </w:p>
    <w:p>
      <w:pPr>
        <w:spacing w:after="0" w:line="5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Future sales of substantial amounts of our common stock or equity-related securities in the public market, or the issuance of a substantial amount of our common stock as the result of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or conversions of our outstanding preferred stocks into, shares of common stock or the availability of shares of common stock for future sale will have on the trading price of our common stock. Such future sales or conversions could also significantly reduce the percentage ownership of our common stockholders.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a variety of factors that could discourage other parties from attempting to acquire us.</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certificate of incorporation provides for a staggered Board of Directors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we must pay such officer an amount equal to 2.9 times the officer’s average annual gross salary for the last five years preceding the change in control.</w:t>
      </w:r>
    </w:p>
    <w:p>
      <w:pPr>
        <w:spacing w:after="0" w:line="166" w:lineRule="exact"/>
        <w:rPr>
          <w:sz w:val="20"/>
          <w:szCs w:val="20"/>
          <w:color w:val="auto"/>
        </w:rPr>
      </w:pPr>
    </w:p>
    <w:p>
      <w:pPr>
        <w:ind w:right="240"/>
        <w:spacing w:after="0" w:line="341" w:lineRule="auto"/>
        <w:rPr>
          <w:sz w:val="20"/>
          <w:szCs w:val="20"/>
          <w:color w:val="auto"/>
        </w:rPr>
      </w:pPr>
      <w:r>
        <w:rPr>
          <w:rFonts w:ascii="Arial" w:cs="Arial" w:eastAsia="Arial" w:hAnsi="Arial"/>
          <w:sz w:val="15"/>
          <w:szCs w:val="15"/>
          <w:color w:val="auto"/>
        </w:rPr>
        <w:t>We have authorized and unissued (including shares held in treasury) 52,352,250 shares of common stock and 4,230,000 shares of preferred stock as of December 31, 2014. These unissued shares could be used by our management to make it more difficult, and thereby discourage an attempt to acquire control of us.</w:t>
      </w:r>
    </w:p>
    <w:p>
      <w:pPr>
        <w:spacing w:after="0" w:line="12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adopted a preferred share purchase plan, which is designed to protect us against certain creeping acquisitions, open market purchases and certain mergers and other combinations with acquiring companies.</w:t>
      </w:r>
    </w:p>
    <w:p>
      <w:pPr>
        <w:spacing w:after="0" w:line="1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foregoing provisions and agreements are designed to discourage a third party tender offer, proxy contest, or other attempts to acquire control of us and could have the effect of making it more difficult to remove incumbent management.</w:t>
      </w:r>
    </w:p>
    <w:p>
      <w:pPr>
        <w:spacing w:after="0" w:line="165" w:lineRule="exact"/>
        <w:rPr>
          <w:sz w:val="20"/>
          <w:szCs w:val="20"/>
          <w:color w:val="auto"/>
        </w:rPr>
      </w:pPr>
    </w:p>
    <w:p>
      <w:pPr>
        <w:ind w:right="760"/>
        <w:spacing w:after="0" w:line="273" w:lineRule="auto"/>
        <w:rPr>
          <w:sz w:val="20"/>
          <w:szCs w:val="20"/>
          <w:color w:val="auto"/>
        </w:rPr>
      </w:pPr>
      <w:r>
        <w:rPr>
          <w:rFonts w:ascii="Arial" w:cs="Arial" w:eastAsia="Arial" w:hAnsi="Arial"/>
          <w:sz w:val="17"/>
          <w:szCs w:val="17"/>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76" w:lineRule="exact"/>
        <w:rPr>
          <w:sz w:val="20"/>
          <w:szCs w:val="20"/>
          <w:color w:val="auto"/>
        </w:rPr>
      </w:pPr>
    </w:p>
    <w:p>
      <w:pPr>
        <w:ind w:left="880" w:right="540" w:hanging="434"/>
        <w:spacing w:after="0" w:line="27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prior to such time the Board of Directors of the corporation approved the business combination that results in the stockholder becoming an invested stockholder;</w:t>
      </w:r>
    </w:p>
    <w:p>
      <w:pPr>
        <w:spacing w:after="0" w:line="76" w:lineRule="exact"/>
        <w:rPr>
          <w:rFonts w:ascii="Arial" w:cs="Arial" w:eastAsia="Arial" w:hAnsi="Arial"/>
          <w:sz w:val="17"/>
          <w:szCs w:val="17"/>
          <w:color w:val="auto"/>
        </w:rPr>
      </w:pPr>
    </w:p>
    <w:p>
      <w:pPr>
        <w:ind w:left="880" w:hanging="434"/>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acquirer owned at least 85% of the outstanding voting stock of such company prior to commencement of the transaction;</w:t>
      </w:r>
    </w:p>
    <w:p>
      <w:pPr>
        <w:spacing w:after="0" w:line="122" w:lineRule="exact"/>
        <w:rPr>
          <w:rFonts w:ascii="Arial" w:cs="Arial" w:eastAsia="Arial" w:hAnsi="Arial"/>
          <w:sz w:val="17"/>
          <w:szCs w:val="17"/>
          <w:color w:val="auto"/>
        </w:rPr>
      </w:pPr>
    </w:p>
    <w:p>
      <w:pPr>
        <w:ind w:left="880" w:hanging="434"/>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two-thirds of the stockholders, other than the acquirer, vote to approve the business combination after approval thereof by the Board of Directors; or</w:t>
      </w:r>
    </w:p>
    <w:p>
      <w:pPr>
        <w:spacing w:after="0" w:line="133" w:lineRule="exact"/>
        <w:rPr>
          <w:rFonts w:ascii="Arial" w:cs="Arial" w:eastAsia="Arial" w:hAnsi="Arial"/>
          <w:sz w:val="16"/>
          <w:szCs w:val="16"/>
          <w:color w:val="auto"/>
        </w:rPr>
      </w:pPr>
    </w:p>
    <w:p>
      <w:pPr>
        <w:ind w:left="880" w:hanging="434"/>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stockholders of the corporation amend its articles of incorporation or by-laws electing not to be governed by this provision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1"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u w:val="single" w:color="auto"/>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8"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19"/>
          </w:cols>
          <w:pgMar w:left="240" w:top="441" w:right="1440"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significant properties: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88"/>
              </w:rPr>
              <w:t>Chemical Business</w:t>
            </w: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Climate Control Business</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Chemical</w:t>
            </w: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90"/>
              </w:rPr>
              <w:t>El Dorado</w:t>
            </w:r>
          </w:p>
        </w:tc>
        <w:tc>
          <w:tcPr>
            <w:tcW w:w="10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7"/>
              </w:rPr>
              <w:t>Cherokee</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9"/>
              </w:rPr>
              <w:t>Baytown</w:t>
            </w:r>
          </w:p>
        </w:tc>
        <w:tc>
          <w:tcPr>
            <w:tcW w:w="76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9"/>
              </w:rPr>
              <w:t>Distribution</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94"/>
              </w:rPr>
              <w:t>Large Air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Facility</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Facility</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Pryor Facility</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Facility</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Centers</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Heat Pumps</w:t>
            </w: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Fan Coils</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Handlers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Modular Chillers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Location</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El Dorado, AR</w:t>
            </w:r>
          </w:p>
        </w:tc>
        <w:tc>
          <w:tcPr>
            <w:tcW w:w="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Cherokee, AL</w:t>
            </w: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Pryor, OK</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Baytown, TX</w:t>
            </w: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w:t>
            </w:r>
          </w:p>
        </w:tc>
        <w:tc>
          <w:tcPr>
            <w:tcW w:w="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Oklahoma City, OK</w:t>
            </w:r>
          </w:p>
        </w:tc>
        <w:tc>
          <w:tcPr>
            <w:tcW w:w="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Oklahoma City, OK</w:t>
            </w:r>
          </w:p>
        </w:tc>
        <w:tc>
          <w:tcPr>
            <w:tcW w:w="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Oklahoma City, OK</w:t>
            </w:r>
          </w:p>
        </w:tc>
        <w:tc>
          <w:tcPr>
            <w:tcW w:w="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Oklahoma City, OK</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Arial" w:cs="Arial" w:eastAsia="Arial" w:hAnsi="Arial"/>
                <w:sz w:val="17"/>
                <w:szCs w:val="17"/>
                <w:b w:val="1"/>
                <w:bCs w:val="1"/>
                <w:color w:val="auto"/>
              </w:rPr>
              <w:t>Plant Area</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ind w:left="160"/>
              <w:spacing w:after="0"/>
              <w:rPr>
                <w:sz w:val="20"/>
                <w:szCs w:val="20"/>
                <w:color w:val="auto"/>
              </w:rPr>
            </w:pPr>
            <w:r>
              <w:rPr>
                <w:rFonts w:ascii="Arial" w:cs="Arial" w:eastAsia="Arial" w:hAnsi="Arial"/>
                <w:sz w:val="17"/>
                <w:szCs w:val="17"/>
                <w:b w:val="1"/>
                <w:bCs w:val="1"/>
                <w:color w:val="auto"/>
              </w:rPr>
              <w:t>(acres)</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150</w:t>
            </w:r>
          </w:p>
        </w:tc>
        <w:tc>
          <w:tcPr>
            <w:tcW w:w="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160</w:t>
            </w:r>
          </w:p>
        </w:tc>
        <w:tc>
          <w:tcPr>
            <w:tcW w:w="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47</w:t>
            </w:r>
          </w:p>
        </w:tc>
        <w:tc>
          <w:tcPr>
            <w:tcW w:w="60" w:type="dxa"/>
            <w:vAlign w:val="bottom"/>
          </w:tcPr>
          <w:p>
            <w:pPr>
              <w:spacing w:after="0"/>
              <w:rPr>
                <w:sz w:val="19"/>
                <w:szCs w:val="19"/>
                <w:color w:val="auto"/>
              </w:rPr>
            </w:pPr>
          </w:p>
        </w:tc>
        <w:tc>
          <w:tcPr>
            <w:tcW w:w="920" w:type="dxa"/>
            <w:vAlign w:val="bottom"/>
          </w:tcPr>
          <w:p>
            <w:pPr>
              <w:jc w:val="right"/>
              <w:ind w:right="34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4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Plant Area (Sq.</w:t>
            </w: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Ft.)</w:t>
            </w: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566,000</w:t>
            </w: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1"/>
              <w:spacing w:after="0"/>
              <w:rPr>
                <w:sz w:val="20"/>
                <w:szCs w:val="20"/>
                <w:color w:val="auto"/>
              </w:rPr>
            </w:pPr>
            <w:r>
              <w:rPr>
                <w:rFonts w:ascii="Arial" w:cs="Arial" w:eastAsia="Arial" w:hAnsi="Arial"/>
                <w:sz w:val="17"/>
                <w:szCs w:val="17"/>
                <w:color w:val="auto"/>
              </w:rPr>
              <w:t>230,000</w:t>
            </w: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1"/>
              <w:spacing w:after="0"/>
              <w:rPr>
                <w:sz w:val="20"/>
                <w:szCs w:val="20"/>
                <w:color w:val="auto"/>
              </w:rPr>
            </w:pPr>
            <w:r>
              <w:rPr>
                <w:rFonts w:ascii="Arial" w:cs="Arial" w:eastAsia="Arial" w:hAnsi="Arial"/>
                <w:sz w:val="17"/>
                <w:szCs w:val="17"/>
                <w:color w:val="auto"/>
              </w:rPr>
              <w:t>120,000</w:t>
            </w: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rPr>
              <w:t>70,000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7"/>
                <w:szCs w:val="17"/>
                <w:b w:val="1"/>
                <w:bCs w:val="1"/>
                <w:color w:val="auto"/>
                <w:w w:val="90"/>
              </w:rPr>
              <w:t>Site Area (acres)</w:t>
            </w: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1,400</w:t>
            </w:r>
          </w:p>
        </w:tc>
        <w:tc>
          <w:tcPr>
            <w:tcW w:w="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1,300</w:t>
            </w:r>
          </w:p>
        </w:tc>
        <w:tc>
          <w:tcPr>
            <w:tcW w:w="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104</w:t>
            </w:r>
          </w:p>
        </w:tc>
        <w:tc>
          <w:tcPr>
            <w:tcW w:w="60" w:type="dxa"/>
            <w:vAlign w:val="bottom"/>
          </w:tcPr>
          <w:p>
            <w:pPr>
              <w:spacing w:after="0"/>
              <w:rPr>
                <w:sz w:val="19"/>
                <w:szCs w:val="19"/>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7"/>
                <w:szCs w:val="17"/>
                <w:color w:val="auto"/>
                <w:w w:val="89"/>
              </w:rPr>
              <w:t>Bayer site</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1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Site Status</w:t>
            </w: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60"/>
              <w:spacing w:after="0" w:line="191" w:lineRule="exact"/>
              <w:rPr>
                <w:sz w:val="20"/>
                <w:szCs w:val="20"/>
                <w:color w:val="auto"/>
              </w:rPr>
            </w:pPr>
            <w:r>
              <w:rPr>
                <w:rFonts w:ascii="Arial" w:cs="Arial" w:eastAsia="Arial" w:hAnsi="Arial"/>
                <w:sz w:val="17"/>
                <w:szCs w:val="17"/>
                <w:color w:val="auto"/>
                <w:w w:val="91"/>
              </w:rPr>
              <w:t>Operating</w:t>
            </w: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2"/>
              </w:rPr>
              <w:t>Owned</w:t>
            </w:r>
          </w:p>
        </w:tc>
        <w:tc>
          <w:tcPr>
            <w:tcW w:w="10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89"/>
              </w:rPr>
              <w:t>Owned</w:t>
            </w:r>
          </w:p>
        </w:tc>
        <w:tc>
          <w:tcPr>
            <w:tcW w:w="86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89"/>
              </w:rPr>
              <w:t>Owned</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Agreement</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6"/>
              </w:rPr>
              <w:t>(A)</w:t>
            </w:r>
          </w:p>
        </w:tc>
        <w:tc>
          <w:tcPr>
            <w:tcW w:w="140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9"/>
              </w:rPr>
              <w:t>Owned</w:t>
            </w:r>
          </w:p>
        </w:tc>
        <w:tc>
          <w:tcPr>
            <w:tcW w:w="14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2"/>
              </w:rPr>
              <w:t>Owned</w:t>
            </w:r>
          </w:p>
        </w:tc>
        <w:tc>
          <w:tcPr>
            <w:tcW w:w="140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9"/>
              </w:rPr>
              <w:t>Owned</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Arial" w:cs="Arial" w:eastAsia="Arial" w:hAnsi="Arial"/>
                <w:sz w:val="17"/>
                <w:szCs w:val="17"/>
                <w:b w:val="1"/>
                <w:bCs w:val="1"/>
                <w:color w:val="auto"/>
              </w:rPr>
              <w:t>Capacity</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tcPr>
          <w:p>
            <w:pPr>
              <w:ind w:left="160"/>
              <w:spacing w:after="0"/>
              <w:rPr>
                <w:sz w:val="20"/>
                <w:szCs w:val="20"/>
                <w:color w:val="auto"/>
              </w:rPr>
            </w:pPr>
            <w:r>
              <w:rPr>
                <w:rFonts w:ascii="Arial" w:cs="Arial" w:eastAsia="Arial" w:hAnsi="Arial"/>
                <w:sz w:val="17"/>
                <w:szCs w:val="17"/>
                <w:b w:val="1"/>
                <w:bCs w:val="1"/>
                <w:color w:val="auto"/>
                <w:w w:val="97"/>
              </w:rPr>
              <w:t>Utilization (E)</w:t>
            </w:r>
          </w:p>
        </w:tc>
        <w:tc>
          <w:tcPr>
            <w:tcW w:w="1060" w:type="dxa"/>
            <w:vAlign w:val="bottom"/>
            <w:gridSpan w:val="2"/>
          </w:tcPr>
          <w:p>
            <w:pPr>
              <w:jc w:val="center"/>
              <w:ind w:right="40"/>
              <w:spacing w:after="0"/>
              <w:rPr>
                <w:sz w:val="20"/>
                <w:szCs w:val="20"/>
                <w:color w:val="auto"/>
              </w:rPr>
            </w:pPr>
            <w:r>
              <w:rPr>
                <w:rFonts w:ascii="Arial" w:cs="Arial" w:eastAsia="Arial" w:hAnsi="Arial"/>
                <w:sz w:val="17"/>
                <w:szCs w:val="17"/>
                <w:color w:val="auto"/>
                <w:w w:val="95"/>
              </w:rPr>
              <w:t>68%(B)</w:t>
            </w:r>
          </w:p>
        </w:tc>
        <w:tc>
          <w:tcPr>
            <w:tcW w:w="1020" w:type="dxa"/>
            <w:vAlign w:val="bottom"/>
            <w:gridSpan w:val="2"/>
          </w:tcPr>
          <w:p>
            <w:pPr>
              <w:jc w:val="center"/>
              <w:ind w:right="40"/>
              <w:spacing w:after="0"/>
              <w:rPr>
                <w:sz w:val="20"/>
                <w:szCs w:val="20"/>
                <w:color w:val="auto"/>
              </w:rPr>
            </w:pPr>
            <w:r>
              <w:rPr>
                <w:rFonts w:ascii="Arial" w:cs="Arial" w:eastAsia="Arial" w:hAnsi="Arial"/>
                <w:sz w:val="17"/>
                <w:szCs w:val="17"/>
                <w:color w:val="auto"/>
                <w:w w:val="93"/>
              </w:rPr>
              <w:t>81%(C)</w:t>
            </w:r>
          </w:p>
        </w:tc>
        <w:tc>
          <w:tcPr>
            <w:tcW w:w="860" w:type="dxa"/>
            <w:vAlign w:val="bottom"/>
            <w:gridSpan w:val="2"/>
          </w:tcPr>
          <w:p>
            <w:pPr>
              <w:jc w:val="center"/>
              <w:ind w:right="60"/>
              <w:spacing w:after="0"/>
              <w:rPr>
                <w:sz w:val="20"/>
                <w:szCs w:val="20"/>
                <w:color w:val="auto"/>
              </w:rPr>
            </w:pPr>
            <w:r>
              <w:rPr>
                <w:rFonts w:ascii="Arial" w:cs="Arial" w:eastAsia="Arial" w:hAnsi="Arial"/>
                <w:sz w:val="17"/>
                <w:szCs w:val="17"/>
                <w:color w:val="auto"/>
                <w:w w:val="97"/>
              </w:rPr>
              <w:t>83%(D)</w:t>
            </w:r>
          </w:p>
        </w:tc>
        <w:tc>
          <w:tcPr>
            <w:tcW w:w="920" w:type="dxa"/>
            <w:vAlign w:val="bottom"/>
          </w:tcPr>
          <w:p>
            <w:pPr>
              <w:jc w:val="right"/>
              <w:ind w:right="220"/>
              <w:spacing w:after="0"/>
              <w:rPr>
                <w:sz w:val="20"/>
                <w:szCs w:val="20"/>
                <w:color w:val="auto"/>
              </w:rPr>
            </w:pPr>
            <w:r>
              <w:rPr>
                <w:rFonts w:ascii="Arial" w:cs="Arial" w:eastAsia="Arial" w:hAnsi="Arial"/>
                <w:sz w:val="17"/>
                <w:szCs w:val="17"/>
                <w:color w:val="auto"/>
              </w:rPr>
              <w:t>93%</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right"/>
              <w:ind w:right="439"/>
              <w:spacing w:after="0"/>
              <w:rPr>
                <w:sz w:val="20"/>
                <w:szCs w:val="20"/>
                <w:color w:val="auto"/>
              </w:rPr>
            </w:pPr>
            <w:r>
              <w:rPr>
                <w:rFonts w:ascii="Arial" w:cs="Arial" w:eastAsia="Arial" w:hAnsi="Arial"/>
                <w:sz w:val="17"/>
                <w:szCs w:val="17"/>
                <w:color w:val="auto"/>
              </w:rPr>
              <w:t>67%</w:t>
            </w:r>
          </w:p>
        </w:tc>
        <w:tc>
          <w:tcPr>
            <w:tcW w:w="4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Arial" w:cs="Arial" w:eastAsia="Arial" w:hAnsi="Arial"/>
                <w:sz w:val="17"/>
                <w:szCs w:val="17"/>
                <w:color w:val="auto"/>
              </w:rPr>
              <w:t>81%</w:t>
            </w:r>
          </w:p>
        </w:tc>
        <w:tc>
          <w:tcPr>
            <w:tcW w:w="6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20"/>
                <w:szCs w:val="20"/>
                <w:color w:val="auto"/>
              </w:rPr>
            </w:pPr>
          </w:p>
        </w:tc>
        <w:tc>
          <w:tcPr>
            <w:tcW w:w="1360" w:type="dxa"/>
            <w:vAlign w:val="bottom"/>
          </w:tcPr>
          <w:p>
            <w:pPr>
              <w:jc w:val="right"/>
              <w:ind w:right="439"/>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40" w:right="540" w:hanging="438"/>
        <w:spacing w:after="0" w:line="256"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Chemical Business distributes its agricultural products through 11 wholesale and retail distribution centers, with 9 of the centers located in Texas ( 8 of which we own and 1 of which we lease); 1 center located in Tennessee (owned); and 1 center located in Missouri (owned).</w:t>
      </w:r>
    </w:p>
    <w:p>
      <w:pPr>
        <w:spacing w:after="0" w:line="1" w:lineRule="exact"/>
        <w:rPr>
          <w:rFonts w:ascii="Arial" w:cs="Arial" w:eastAsia="Arial" w:hAnsi="Arial"/>
          <w:sz w:val="17"/>
          <w:szCs w:val="17"/>
          <w:color w:val="auto"/>
        </w:rPr>
      </w:pPr>
    </w:p>
    <w:p>
      <w:pPr>
        <w:ind w:left="440" w:right="200" w:hanging="438"/>
        <w:spacing w:after="0" w:line="249"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percentage of utilization for the El Dorado Facility relates to its nitric acid capacity, which total capacity has been reduced as the result of the explosion of a nitric acid plant in 2012. The capacity utilization rate is negatively affected by the reduction in low density AN sales to the mining industry. The El Dorado Facility has capacity to produce other nitrogen products in excess of its nitric acid capacity.</w:t>
      </w:r>
    </w:p>
    <w:p>
      <w:pPr>
        <w:spacing w:after="0" w:line="1" w:lineRule="exact"/>
        <w:rPr>
          <w:rFonts w:ascii="Arial" w:cs="Arial" w:eastAsia="Arial" w:hAnsi="Arial"/>
          <w:sz w:val="17"/>
          <w:szCs w:val="17"/>
          <w:color w:val="auto"/>
        </w:rPr>
      </w:pPr>
    </w:p>
    <w:p>
      <w:pPr>
        <w:ind w:left="440" w:right="180" w:hanging="438"/>
        <w:spacing w:after="0" w:line="249"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percentage of utilization for the Cherokee Facility relates to its ammonia production capacity. The percentage of utilization reflects a longer than anticipated Turnaround in the third quarter of 2014 and unplanned maintenance downtime during December 2014.</w:t>
      </w:r>
    </w:p>
    <w:p>
      <w:pPr>
        <w:spacing w:after="0" w:line="1" w:lineRule="exact"/>
        <w:rPr>
          <w:rFonts w:ascii="Arial" w:cs="Arial" w:eastAsia="Arial" w:hAnsi="Arial"/>
          <w:sz w:val="17"/>
          <w:szCs w:val="17"/>
          <w:color w:val="auto"/>
        </w:rPr>
      </w:pPr>
    </w:p>
    <w:p>
      <w:pPr>
        <w:jc w:val="both"/>
        <w:ind w:left="440" w:right="140" w:hanging="438"/>
        <w:spacing w:after="0" w:line="249"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percentage of utilization for the Pryor Facility relates to its ammonia production capacity and is based on 330 days of production per year. The Pryor Facility has additional operational capacity for nitric acid and AN solution in excess of its current ammonia capacity. The low percentage of utilization is the direct result of the unplanned downtime during 2014.</w:t>
      </w:r>
    </w:p>
    <w:p>
      <w:pPr>
        <w:spacing w:after="0" w:line="1" w:lineRule="exact"/>
        <w:rPr>
          <w:rFonts w:ascii="Arial" w:cs="Arial" w:eastAsia="Arial" w:hAnsi="Arial"/>
          <w:sz w:val="17"/>
          <w:szCs w:val="17"/>
          <w:color w:val="auto"/>
        </w:rPr>
      </w:pPr>
    </w:p>
    <w:p>
      <w:pPr>
        <w:ind w:left="440" w:right="420" w:hanging="438"/>
        <w:spacing w:after="0" w:line="304" w:lineRule="auto"/>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capacity utilizations for the Climate Control Business are based on existing restrictions within our fabrication and assembly operations, using the current production layouts and work day shift structures (several operations utilize more than one shift in certain areas). Ongoing Operational Excellence activities should improve our assembly and our fabrication capacity going forward, enabling us to further evaluate facility utilization and optimize their capacities.</w:t>
      </w:r>
    </w:p>
    <w:p>
      <w:pPr>
        <w:spacing w:after="0" w:line="14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Most of our real property and equipment located at our Chemical facilities are being used to secure our long-term debt. Most of our real property and equipment located at our Climate Control facilities have been mortgaged to secure the Senior Secured Notes. All of the properties utilized by our businesses are suitable and adequate to meet the current needs of that business.</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520"/>
          </w:cols>
          <w:pgMar w:left="240" w:top="441" w:right="1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LEGAL PROCEEDINGS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See Legal Matters under Note 11 of Notes to Consolidated Financial Statements included in this report.</w:t>
      </w:r>
    </w:p>
    <w:p>
      <w:pPr>
        <w:spacing w:after="0" w:line="34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MINE SAFETY DISCLOSURES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Certain statements contained in this Part I may be deemed to be forward-looking statements. See “Special Note Regarding Forward-Looking Statements.”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PART II</w:t>
      </w:r>
    </w:p>
    <w:p>
      <w:pPr>
        <w:spacing w:after="0" w:line="211" w:lineRule="exact"/>
        <w:rPr>
          <w:sz w:val="20"/>
          <w:szCs w:val="20"/>
          <w:color w:val="auto"/>
        </w:rPr>
      </w:pPr>
    </w:p>
    <w:p>
      <w:pPr>
        <w:ind w:right="420"/>
        <w:spacing w:after="0" w:line="278" w:lineRule="auto"/>
        <w:rPr>
          <w:sz w:val="20"/>
          <w:szCs w:val="20"/>
          <w:color w:val="auto"/>
        </w:rPr>
      </w:pPr>
      <w:r>
        <w:rPr>
          <w:rFonts w:ascii="Arial" w:cs="Arial" w:eastAsia="Arial" w:hAnsi="Arial"/>
          <w:sz w:val="17"/>
          <w:szCs w:val="17"/>
          <w:b w:val="1"/>
          <w:bCs w:val="1"/>
          <w:u w:val="single" w:color="auto"/>
          <w:color w:val="auto"/>
        </w:rPr>
        <w:t>ITEM 5. MARKET FOR REGISTRANT’S COMMON EQUITY, RELATED STOCKHOLDER MATTERS AND ISSUER PURCHASES OF EQUITY SECURITIES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Information</w:t>
      </w:r>
    </w:p>
    <w:p>
      <w:pPr>
        <w:spacing w:after="0" w:line="1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common stock is trading on the New York Stock Exchange under the symbol “LXU”. The following table shows, for the periods indicated, the high and low sales prices.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20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4"/>
                <w:szCs w:val="14"/>
                <w:b w:val="1"/>
                <w:bCs w:val="1"/>
                <w:color w:val="auto"/>
                <w:w w:val="76"/>
              </w:rPr>
              <w:t>2013</w:t>
            </w: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0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52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w w:val="89"/>
              </w:rPr>
              <w:t>High</w:t>
            </w:r>
          </w:p>
        </w:tc>
        <w:tc>
          <w:tcPr>
            <w:tcW w:w="36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Low</w:t>
            </w:r>
          </w:p>
        </w:tc>
        <w:tc>
          <w:tcPr>
            <w:tcW w:w="440" w:type="dxa"/>
            <w:vAlign w:val="bottom"/>
          </w:tcPr>
          <w:p>
            <w:pPr>
              <w:spacing w:after="0"/>
              <w:rPr>
                <w:sz w:val="11"/>
                <w:szCs w:val="11"/>
                <w:color w:val="auto"/>
              </w:rPr>
            </w:pPr>
          </w:p>
        </w:tc>
        <w:tc>
          <w:tcPr>
            <w:tcW w:w="5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High</w:t>
            </w:r>
          </w:p>
        </w:tc>
        <w:tc>
          <w:tcPr>
            <w:tcW w:w="360" w:type="dxa"/>
            <w:vAlign w:val="bottom"/>
          </w:tcPr>
          <w:p>
            <w:pPr>
              <w:spacing w:after="0"/>
              <w:rPr>
                <w:sz w:val="11"/>
                <w:szCs w:val="11"/>
                <w:color w:val="auto"/>
              </w:rPr>
            </w:pPr>
          </w:p>
        </w:tc>
        <w:tc>
          <w:tcPr>
            <w:tcW w:w="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Low</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First</w:t>
            </w:r>
          </w:p>
        </w:tc>
        <w:tc>
          <w:tcPr>
            <w:tcW w:w="20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$41.00</w:t>
            </w: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$31.22</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$42.79</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$33.12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7"/>
                <w:szCs w:val="17"/>
                <w:color w:val="auto"/>
              </w:rPr>
              <w:t>Second</w:t>
            </w:r>
          </w:p>
        </w:tc>
        <w:tc>
          <w:tcPr>
            <w:tcW w:w="2540" w:type="dxa"/>
            <w:vAlign w:val="bottom"/>
            <w:gridSpan w:val="3"/>
          </w:tcPr>
          <w:p>
            <w:pPr>
              <w:jc w:val="center"/>
              <w:ind w:left="1895"/>
              <w:spacing w:after="0"/>
              <w:rPr>
                <w:sz w:val="20"/>
                <w:szCs w:val="20"/>
                <w:color w:val="auto"/>
              </w:rPr>
            </w:pPr>
            <w:r>
              <w:rPr>
                <w:rFonts w:ascii="Arial" w:cs="Arial" w:eastAsia="Arial" w:hAnsi="Arial"/>
                <w:sz w:val="17"/>
                <w:szCs w:val="17"/>
                <w:color w:val="auto"/>
                <w:w w:val="92"/>
              </w:rPr>
              <w:t>$42.37</w:t>
            </w:r>
          </w:p>
        </w:tc>
        <w:tc>
          <w:tcPr>
            <w:tcW w:w="1280" w:type="dxa"/>
            <w:vAlign w:val="bottom"/>
            <w:gridSpan w:val="3"/>
          </w:tcPr>
          <w:p>
            <w:pPr>
              <w:jc w:val="center"/>
              <w:ind w:right="80"/>
              <w:spacing w:after="0"/>
              <w:rPr>
                <w:sz w:val="20"/>
                <w:szCs w:val="20"/>
                <w:color w:val="auto"/>
              </w:rPr>
            </w:pPr>
            <w:r>
              <w:rPr>
                <w:rFonts w:ascii="Arial" w:cs="Arial" w:eastAsia="Arial" w:hAnsi="Arial"/>
                <w:sz w:val="17"/>
                <w:szCs w:val="17"/>
                <w:color w:val="auto"/>
                <w:w w:val="92"/>
              </w:rPr>
              <w:t>$35.77</w:t>
            </w:r>
          </w:p>
        </w:tc>
        <w:tc>
          <w:tcPr>
            <w:tcW w:w="56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$35.01</w:t>
            </w:r>
          </w:p>
        </w:tc>
        <w:tc>
          <w:tcPr>
            <w:tcW w:w="880" w:type="dxa"/>
            <w:vAlign w:val="bottom"/>
            <w:gridSpan w:val="3"/>
          </w:tcPr>
          <w:p>
            <w:pPr>
              <w:jc w:val="center"/>
              <w:ind w:left="220"/>
              <w:spacing w:after="0"/>
              <w:rPr>
                <w:sz w:val="20"/>
                <w:szCs w:val="20"/>
                <w:color w:val="auto"/>
              </w:rPr>
            </w:pPr>
            <w:r>
              <w:rPr>
                <w:rFonts w:ascii="Arial" w:cs="Arial" w:eastAsia="Arial" w:hAnsi="Arial"/>
                <w:sz w:val="17"/>
                <w:szCs w:val="17"/>
                <w:color w:val="auto"/>
                <w:w w:val="88"/>
              </w:rPr>
              <w:t>$28.15</w:t>
            </w: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w:t>
            </w:r>
          </w:p>
        </w:tc>
        <w:tc>
          <w:tcPr>
            <w:tcW w:w="2540" w:type="dxa"/>
            <w:vAlign w:val="bottom"/>
            <w:gridSpan w:val="3"/>
            <w:shd w:val="clear" w:color="auto" w:fill="CCEEFF"/>
          </w:tcPr>
          <w:p>
            <w:pPr>
              <w:jc w:val="center"/>
              <w:ind w:left="1895"/>
              <w:spacing w:after="0"/>
              <w:rPr>
                <w:sz w:val="20"/>
                <w:szCs w:val="20"/>
                <w:color w:val="auto"/>
              </w:rPr>
            </w:pPr>
            <w:r>
              <w:rPr>
                <w:rFonts w:ascii="Arial" w:cs="Arial" w:eastAsia="Arial" w:hAnsi="Arial"/>
                <w:sz w:val="17"/>
                <w:szCs w:val="17"/>
                <w:color w:val="auto"/>
                <w:w w:val="92"/>
              </w:rPr>
              <w:t>$42.41</w:t>
            </w:r>
          </w:p>
        </w:tc>
        <w:tc>
          <w:tcPr>
            <w:tcW w:w="1280" w:type="dxa"/>
            <w:vAlign w:val="bottom"/>
            <w:gridSpan w:val="3"/>
            <w:shd w:val="clear" w:color="auto" w:fill="CCEEFF"/>
          </w:tcPr>
          <w:p>
            <w:pPr>
              <w:jc w:val="center"/>
              <w:ind w:right="80"/>
              <w:spacing w:after="0"/>
              <w:rPr>
                <w:sz w:val="20"/>
                <w:szCs w:val="20"/>
                <w:color w:val="auto"/>
              </w:rPr>
            </w:pPr>
            <w:r>
              <w:rPr>
                <w:rFonts w:ascii="Arial" w:cs="Arial" w:eastAsia="Arial" w:hAnsi="Arial"/>
                <w:sz w:val="17"/>
                <w:szCs w:val="17"/>
                <w:color w:val="auto"/>
                <w:w w:val="92"/>
              </w:rPr>
              <w:t>$35.63</w:t>
            </w: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$36.00</w:t>
            </w:r>
          </w:p>
        </w:tc>
        <w:tc>
          <w:tcPr>
            <w:tcW w:w="880" w:type="dxa"/>
            <w:vAlign w:val="bottom"/>
            <w:gridSpan w:val="3"/>
            <w:shd w:val="clear" w:color="auto" w:fill="CCEEFF"/>
          </w:tcPr>
          <w:p>
            <w:pPr>
              <w:jc w:val="center"/>
              <w:ind w:left="220"/>
              <w:spacing w:after="0"/>
              <w:rPr>
                <w:sz w:val="20"/>
                <w:szCs w:val="20"/>
                <w:color w:val="auto"/>
              </w:rPr>
            </w:pPr>
            <w:r>
              <w:rPr>
                <w:rFonts w:ascii="Arial" w:cs="Arial" w:eastAsia="Arial" w:hAnsi="Arial"/>
                <w:sz w:val="17"/>
                <w:szCs w:val="17"/>
                <w:color w:val="auto"/>
                <w:w w:val="88"/>
              </w:rPr>
              <w:t>$29.54</w:t>
            </w:r>
          </w:p>
        </w:tc>
        <w:tc>
          <w:tcPr>
            <w:tcW w:w="0" w:type="dxa"/>
            <w:vAlign w:val="bottom"/>
          </w:tcPr>
          <w:p>
            <w:pPr>
              <w:spacing w:after="0"/>
              <w:rPr>
                <w:sz w:val="1"/>
                <w:szCs w:val="1"/>
                <w:color w:val="auto"/>
              </w:rPr>
            </w:pPr>
          </w:p>
        </w:tc>
      </w:tr>
      <w:tr>
        <w:trPr>
          <w:trHeight w:val="215"/>
        </w:trPr>
        <w:tc>
          <w:tcPr>
            <w:tcW w:w="2500" w:type="dxa"/>
            <w:vAlign w:val="bottom"/>
            <w:gridSpan w:val="2"/>
          </w:tcPr>
          <w:p>
            <w:pPr>
              <w:spacing w:after="0"/>
              <w:rPr>
                <w:sz w:val="20"/>
                <w:szCs w:val="20"/>
                <w:color w:val="auto"/>
              </w:rPr>
            </w:pPr>
            <w:r>
              <w:rPr>
                <w:rFonts w:ascii="Arial" w:cs="Arial" w:eastAsia="Arial" w:hAnsi="Arial"/>
                <w:sz w:val="17"/>
                <w:szCs w:val="17"/>
                <w:color w:val="auto"/>
              </w:rPr>
              <w:t>Fourth</w:t>
            </w:r>
          </w:p>
        </w:tc>
        <w:tc>
          <w:tcPr>
            <w:tcW w:w="2540" w:type="dxa"/>
            <w:vAlign w:val="bottom"/>
            <w:gridSpan w:val="3"/>
          </w:tcPr>
          <w:p>
            <w:pPr>
              <w:jc w:val="center"/>
              <w:ind w:left="1895"/>
              <w:spacing w:after="0"/>
              <w:rPr>
                <w:sz w:val="20"/>
                <w:szCs w:val="20"/>
                <w:color w:val="auto"/>
              </w:rPr>
            </w:pPr>
            <w:r>
              <w:rPr>
                <w:rFonts w:ascii="Arial" w:cs="Arial" w:eastAsia="Arial" w:hAnsi="Arial"/>
                <w:sz w:val="17"/>
                <w:szCs w:val="17"/>
                <w:color w:val="auto"/>
                <w:w w:val="92"/>
              </w:rPr>
              <w:t>$37.83</w:t>
            </w:r>
          </w:p>
        </w:tc>
        <w:tc>
          <w:tcPr>
            <w:tcW w:w="1280" w:type="dxa"/>
            <w:vAlign w:val="bottom"/>
            <w:gridSpan w:val="3"/>
          </w:tcPr>
          <w:p>
            <w:pPr>
              <w:jc w:val="center"/>
              <w:ind w:right="80"/>
              <w:spacing w:after="0"/>
              <w:rPr>
                <w:sz w:val="20"/>
                <w:szCs w:val="20"/>
                <w:color w:val="auto"/>
              </w:rPr>
            </w:pPr>
            <w:r>
              <w:rPr>
                <w:rFonts w:ascii="Arial" w:cs="Arial" w:eastAsia="Arial" w:hAnsi="Arial"/>
                <w:sz w:val="17"/>
                <w:szCs w:val="17"/>
                <w:color w:val="auto"/>
                <w:w w:val="92"/>
              </w:rPr>
              <w:t>$28.91</w:t>
            </w:r>
          </w:p>
        </w:tc>
        <w:tc>
          <w:tcPr>
            <w:tcW w:w="56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$42.06</w:t>
            </w:r>
          </w:p>
        </w:tc>
        <w:tc>
          <w:tcPr>
            <w:tcW w:w="880" w:type="dxa"/>
            <w:vAlign w:val="bottom"/>
            <w:gridSpan w:val="3"/>
          </w:tcPr>
          <w:p>
            <w:pPr>
              <w:jc w:val="center"/>
              <w:ind w:left="220"/>
              <w:spacing w:after="0"/>
              <w:rPr>
                <w:sz w:val="20"/>
                <w:szCs w:val="20"/>
                <w:color w:val="auto"/>
              </w:rPr>
            </w:pPr>
            <w:r>
              <w:rPr>
                <w:rFonts w:ascii="Arial" w:cs="Arial" w:eastAsia="Arial" w:hAnsi="Arial"/>
                <w:sz w:val="17"/>
                <w:szCs w:val="17"/>
                <w:color w:val="auto"/>
                <w:w w:val="88"/>
              </w:rPr>
              <w:t>$29.39</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Stockholders</w:t>
      </w:r>
    </w:p>
    <w:p>
      <w:pPr>
        <w:spacing w:after="0" w:line="11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As of February 13, 2015, we had 435 record holders of our common stock. This number does not include investors whose ownership is recorded in the name of their brokerage company.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Dividends</w:t>
      </w:r>
    </w:p>
    <w:p>
      <w:pPr>
        <w:spacing w:after="0" w:line="114"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We have not paid cash dividends on our outstanding shares of common stock during the two most recent fiscal years but have paid cash dividends on our outstanding series of convertible preferred stock during this period. See discussion concerning dividends and restrictions in payment of dividends below under “Liquidity and Capital Resources - Dividends” and “Loan Agreements” of the MD&amp;A contained in this report.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Compensation Plans</w:t>
      </w:r>
    </w:p>
    <w:p>
      <w:pPr>
        <w:spacing w:after="0" w:line="1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Discussions relating to our equity compensation plans under Item 12 of Part III which are incorporated by reference to our definitive proxy statement which we intend to file with the SEC on or before April 30, 2015..</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Sale of Unregistered Securities</w:t>
      </w:r>
    </w:p>
    <w:p>
      <w:pPr>
        <w:spacing w:after="0" w:line="1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There were no unregistered sales of equity securities in 2014 that have not been previously reported in a Quarterly Report on Form 10-Q or Current Report on Form 8-K.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Purchases of Equity Securities by the Issuer and Affiliated Purchasers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December 2014, there were no purchases of equity securities by the Company and affiliated purchasers.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Preferred Share Rights Plan</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See discussions relating to our preferred share rights plan under Preferred Share Rights Plan of Note 13 of Notes to Consolidated Financial Statements contained in this report.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441" w:right="2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gridSpan w:val="3"/>
          </w:tcPr>
          <w:p>
            <w:pPr>
              <w:spacing w:after="0"/>
              <w:rPr>
                <w:sz w:val="20"/>
                <w:szCs w:val="20"/>
                <w:color w:val="auto"/>
              </w:rPr>
            </w:pPr>
            <w:r>
              <w:rPr>
                <w:rFonts w:ascii="Arial" w:cs="Arial" w:eastAsia="Arial" w:hAnsi="Arial"/>
                <w:sz w:val="17"/>
                <w:szCs w:val="17"/>
                <w:b w:val="1"/>
                <w:bCs w:val="1"/>
                <w:color w:val="auto"/>
              </w:rPr>
              <w:t>ITEM 6.</w:t>
            </w:r>
          </w:p>
        </w:tc>
        <w:tc>
          <w:tcPr>
            <w:tcW w:w="36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7"/>
                <w:szCs w:val="17"/>
                <w:b w:val="1"/>
                <w:bCs w:val="1"/>
                <w:color w:val="auto"/>
              </w:rPr>
              <w:t>SELECTED FINANCIAL DATA (1)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16"/>
              <w:spacing w:after="0" w:line="133"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38"/>
              <w:spacing w:after="0" w:line="133"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16"/>
              <w:spacing w:after="0" w:line="133"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6"/>
              <w:spacing w:after="0" w:line="133"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gridSpan w:val="5"/>
          </w:tcPr>
          <w:p>
            <w:pPr>
              <w:jc w:val="right"/>
              <w:ind w:right="456"/>
              <w:spacing w:after="0" w:line="133" w:lineRule="exact"/>
              <w:rPr>
                <w:sz w:val="20"/>
                <w:szCs w:val="20"/>
                <w:color w:val="auto"/>
              </w:rPr>
            </w:pPr>
            <w:r>
              <w:rPr>
                <w:rFonts w:ascii="Arial" w:cs="Arial" w:eastAsia="Arial" w:hAnsi="Arial"/>
                <w:sz w:val="14"/>
                <w:szCs w:val="14"/>
                <w:color w:val="auto"/>
                <w:w w:val="90"/>
              </w:rPr>
              <w:t>(In Thousands, Except Per Share Data)</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Selected Statement of Income Data in Dollars: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tcPr>
          <w:p>
            <w:pPr>
              <w:ind w:left="320"/>
              <w:spacing w:after="0"/>
              <w:rPr>
                <w:sz w:val="20"/>
                <w:szCs w:val="20"/>
                <w:color w:val="auto"/>
              </w:rPr>
            </w:pPr>
            <w:r>
              <w:rPr>
                <w:rFonts w:ascii="Arial" w:cs="Arial" w:eastAsia="Arial" w:hAnsi="Arial"/>
                <w:sz w:val="17"/>
                <w:szCs w:val="17"/>
                <w:color w:val="auto"/>
              </w:rPr>
              <w:t>Net sales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732,510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8"/>
              <w:spacing w:after="0"/>
              <w:rPr>
                <w:sz w:val="20"/>
                <w:szCs w:val="20"/>
                <w:color w:val="auto"/>
              </w:rPr>
            </w:pPr>
            <w:r>
              <w:rPr>
                <w:rFonts w:ascii="Arial" w:cs="Arial" w:eastAsia="Arial" w:hAnsi="Arial"/>
                <w:sz w:val="17"/>
                <w:szCs w:val="17"/>
                <w:color w:val="auto"/>
              </w:rPr>
              <w:t>679,287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6"/>
              <w:spacing w:after="0"/>
              <w:rPr>
                <w:sz w:val="20"/>
                <w:szCs w:val="20"/>
                <w:color w:val="auto"/>
              </w:rPr>
            </w:pPr>
            <w:r>
              <w:rPr>
                <w:rFonts w:ascii="Arial" w:cs="Arial" w:eastAsia="Arial" w:hAnsi="Arial"/>
                <w:sz w:val="17"/>
                <w:szCs w:val="17"/>
                <w:color w:val="auto"/>
                <w:w w:val="87"/>
              </w:rPr>
              <w:t>759,031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6"/>
              <w:spacing w:after="0"/>
              <w:rPr>
                <w:sz w:val="20"/>
                <w:szCs w:val="20"/>
                <w:color w:val="auto"/>
              </w:rPr>
            </w:pPr>
            <w:r>
              <w:rPr>
                <w:rFonts w:ascii="Arial" w:cs="Arial" w:eastAsia="Arial" w:hAnsi="Arial"/>
                <w:sz w:val="17"/>
                <w:szCs w:val="17"/>
                <w:color w:val="auto"/>
                <w:w w:val="87"/>
              </w:rPr>
              <w:t>805,256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609,905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53,362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105,308</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95,655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7"/>
              </w:rPr>
              <w:t>136,443</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tcPr>
          <w:p>
            <w:pPr>
              <w:ind w:left="32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21,599</w:t>
            </w:r>
          </w:p>
        </w:tc>
        <w:tc>
          <w:tcPr>
            <w:tcW w:w="240" w:type="dxa"/>
            <w:vAlign w:val="bottom"/>
          </w:tcPr>
          <w:p>
            <w:pPr>
              <w:spacing w:after="0"/>
              <w:rPr>
                <w:sz w:val="17"/>
                <w:szCs w:val="17"/>
                <w:color w:val="auto"/>
              </w:rPr>
            </w:pPr>
          </w:p>
        </w:tc>
        <w:tc>
          <w:tcPr>
            <w:tcW w:w="860" w:type="dxa"/>
            <w:vAlign w:val="bottom"/>
          </w:tcPr>
          <w:p>
            <w:pPr>
              <w:jc w:val="right"/>
              <w:ind w:right="98"/>
              <w:spacing w:after="0"/>
              <w:rPr>
                <w:sz w:val="20"/>
                <w:szCs w:val="20"/>
                <w:color w:val="auto"/>
              </w:rPr>
            </w:pPr>
            <w:r>
              <w:rPr>
                <w:rFonts w:ascii="Arial" w:cs="Arial" w:eastAsia="Arial" w:hAnsi="Arial"/>
                <w:sz w:val="17"/>
                <w:szCs w:val="17"/>
                <w:color w:val="auto"/>
              </w:rPr>
              <w:t>13,986</w:t>
            </w:r>
          </w:p>
        </w:tc>
        <w:tc>
          <w:tcPr>
            <w:tcW w:w="220" w:type="dxa"/>
            <w:vAlign w:val="bottom"/>
          </w:tcPr>
          <w:p>
            <w:pPr>
              <w:spacing w:after="0"/>
              <w:rPr>
                <w:sz w:val="17"/>
                <w:szCs w:val="17"/>
                <w:color w:val="auto"/>
              </w:rPr>
            </w:pPr>
          </w:p>
        </w:tc>
        <w:tc>
          <w:tcPr>
            <w:tcW w:w="860" w:type="dxa"/>
            <w:vAlign w:val="bottom"/>
          </w:tcPr>
          <w:p>
            <w:pPr>
              <w:jc w:val="right"/>
              <w:ind w:right="216"/>
              <w:spacing w:after="0"/>
              <w:rPr>
                <w:sz w:val="20"/>
                <w:szCs w:val="20"/>
                <w:color w:val="auto"/>
              </w:rPr>
            </w:pPr>
            <w:r>
              <w:rPr>
                <w:rFonts w:ascii="Arial" w:cs="Arial" w:eastAsia="Arial" w:hAnsi="Arial"/>
                <w:sz w:val="17"/>
                <w:szCs w:val="17"/>
                <w:color w:val="auto"/>
              </w:rPr>
              <w:t>4,237</w:t>
            </w:r>
          </w:p>
        </w:tc>
        <w:tc>
          <w:tcPr>
            <w:tcW w:w="1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7"/>
                <w:szCs w:val="17"/>
                <w:color w:val="auto"/>
              </w:rPr>
              <w:t>6,658</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Provisions for income taxes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12,400</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35,421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33,594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46,208</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tcPr>
          <w:p>
            <w:pPr>
              <w:ind w:left="320"/>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tcPr>
          <w:p>
            <w:pPr>
              <w:spacing w:after="0"/>
              <w:rPr>
                <w:sz w:val="17"/>
                <w:szCs w:val="17"/>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19,723</w:t>
            </w:r>
          </w:p>
        </w:tc>
        <w:tc>
          <w:tcPr>
            <w:tcW w:w="240" w:type="dxa"/>
            <w:vAlign w:val="bottom"/>
          </w:tcPr>
          <w:p>
            <w:pPr>
              <w:spacing w:after="0"/>
              <w:rPr>
                <w:sz w:val="17"/>
                <w:szCs w:val="17"/>
                <w:color w:val="auto"/>
              </w:rPr>
            </w:pPr>
          </w:p>
        </w:tc>
        <w:tc>
          <w:tcPr>
            <w:tcW w:w="860" w:type="dxa"/>
            <w:vAlign w:val="bottom"/>
          </w:tcPr>
          <w:p>
            <w:pPr>
              <w:jc w:val="right"/>
              <w:ind w:right="98"/>
              <w:spacing w:after="0"/>
              <w:rPr>
                <w:sz w:val="20"/>
                <w:szCs w:val="20"/>
                <w:color w:val="auto"/>
              </w:rPr>
            </w:pPr>
            <w:r>
              <w:rPr>
                <w:rFonts w:ascii="Arial" w:cs="Arial" w:eastAsia="Arial" w:hAnsi="Arial"/>
                <w:sz w:val="17"/>
                <w:szCs w:val="17"/>
                <w:color w:val="auto"/>
              </w:rPr>
              <w:t>55,141</w:t>
            </w:r>
          </w:p>
        </w:tc>
        <w:tc>
          <w:tcPr>
            <w:tcW w:w="220" w:type="dxa"/>
            <w:vAlign w:val="bottom"/>
          </w:tcPr>
          <w:p>
            <w:pPr>
              <w:spacing w:after="0"/>
              <w:rPr>
                <w:sz w:val="17"/>
                <w:szCs w:val="17"/>
                <w:color w:val="auto"/>
              </w:rPr>
            </w:pPr>
          </w:p>
        </w:tc>
        <w:tc>
          <w:tcPr>
            <w:tcW w:w="860" w:type="dxa"/>
            <w:vAlign w:val="bottom"/>
          </w:tcPr>
          <w:p>
            <w:pPr>
              <w:jc w:val="right"/>
              <w:ind w:right="216"/>
              <w:spacing w:after="0"/>
              <w:rPr>
                <w:sz w:val="20"/>
                <w:szCs w:val="20"/>
                <w:color w:val="auto"/>
              </w:rPr>
            </w:pPr>
            <w:r>
              <w:rPr>
                <w:rFonts w:ascii="Arial" w:cs="Arial" w:eastAsia="Arial" w:hAnsi="Arial"/>
                <w:sz w:val="17"/>
                <w:szCs w:val="17"/>
                <w:color w:val="auto"/>
              </w:rPr>
              <w:t>58,786</w:t>
            </w:r>
          </w:p>
        </w:tc>
        <w:tc>
          <w:tcPr>
            <w:tcW w:w="1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7"/>
                <w:szCs w:val="17"/>
                <w:color w:val="auto"/>
              </w:rPr>
              <w:t>83,984</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29,715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19,634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54,962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58,604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83,842</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tcPr>
          <w:p>
            <w:pPr>
              <w:ind w:left="320"/>
              <w:spacing w:after="0"/>
              <w:rPr>
                <w:sz w:val="20"/>
                <w:szCs w:val="20"/>
                <w:color w:val="auto"/>
              </w:rPr>
            </w:pPr>
            <w:r>
              <w:rPr>
                <w:rFonts w:ascii="Arial" w:cs="Arial" w:eastAsia="Arial" w:hAnsi="Arial"/>
                <w:sz w:val="17"/>
                <w:szCs w:val="17"/>
                <w:color w:val="auto"/>
              </w:rPr>
              <w:t>Net income applicable to common stock</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19,334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8"/>
              <w:spacing w:after="0"/>
              <w:rPr>
                <w:sz w:val="20"/>
                <w:szCs w:val="20"/>
                <w:color w:val="auto"/>
              </w:rPr>
            </w:pPr>
            <w:r>
              <w:rPr>
                <w:rFonts w:ascii="Arial" w:cs="Arial" w:eastAsia="Arial" w:hAnsi="Arial"/>
                <w:sz w:val="17"/>
                <w:szCs w:val="17"/>
                <w:color w:val="auto"/>
              </w:rPr>
              <w:t>54,662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6"/>
              <w:spacing w:after="0"/>
              <w:rPr>
                <w:sz w:val="20"/>
                <w:szCs w:val="20"/>
                <w:color w:val="auto"/>
              </w:rPr>
            </w:pPr>
            <w:r>
              <w:rPr>
                <w:rFonts w:ascii="Arial" w:cs="Arial" w:eastAsia="Arial" w:hAnsi="Arial"/>
                <w:sz w:val="17"/>
                <w:szCs w:val="17"/>
                <w:color w:val="auto"/>
              </w:rPr>
              <w:t>58,304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6"/>
              <w:spacing w:after="0"/>
              <w:rPr>
                <w:sz w:val="20"/>
                <w:szCs w:val="20"/>
                <w:color w:val="auto"/>
              </w:rPr>
            </w:pPr>
            <w:r>
              <w:rPr>
                <w:rFonts w:ascii="Arial" w:cs="Arial" w:eastAsia="Arial" w:hAnsi="Arial"/>
                <w:sz w:val="17"/>
                <w:szCs w:val="17"/>
                <w:color w:val="auto"/>
              </w:rPr>
              <w:t>83,537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29,269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Income (loss) per common share applicable to common stock:</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3"/>
          </w:tcPr>
          <w:p>
            <w:pPr>
              <w:ind w:left="2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0.86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2.44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Arial" w:cs="Arial" w:eastAsia="Arial" w:hAnsi="Arial"/>
                <w:sz w:val="17"/>
                <w:szCs w:val="17"/>
                <w:color w:val="auto"/>
              </w:rPr>
              <w:t>Net loss from discontinued operations</w:t>
            </w:r>
          </w:p>
        </w:tc>
        <w:tc>
          <w:tcPr>
            <w:tcW w:w="100" w:type="dxa"/>
            <w:vAlign w:val="bottom"/>
          </w:tcPr>
          <w:p>
            <w:pPr>
              <w:spacing w:after="0"/>
              <w:rPr>
                <w:sz w:val="17"/>
                <w:szCs w:val="17"/>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17"/>
                <w:szCs w:val="17"/>
                <w:color w:val="auto"/>
              </w:rPr>
            </w:pPr>
          </w:p>
        </w:tc>
        <w:tc>
          <w:tcPr>
            <w:tcW w:w="860" w:type="dxa"/>
            <w:vAlign w:val="bottom"/>
          </w:tcPr>
          <w:p>
            <w:pPr>
              <w:jc w:val="right"/>
              <w:ind w:right="156"/>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7"/>
                <w:szCs w:val="17"/>
                <w:color w:val="auto"/>
              </w:rPr>
            </w:pPr>
          </w:p>
        </w:tc>
        <w:tc>
          <w:tcPr>
            <w:tcW w:w="740" w:type="dxa"/>
            <w:vAlign w:val="bottom"/>
          </w:tcPr>
          <w:p>
            <w:pPr>
              <w:jc w:val="right"/>
              <w:ind w:right="56"/>
              <w:spacing w:after="0"/>
              <w:rPr>
                <w:sz w:val="20"/>
                <w:szCs w:val="20"/>
                <w:color w:val="auto"/>
              </w:rPr>
            </w:pPr>
            <w:r>
              <w:rPr>
                <w:rFonts w:ascii="Arial" w:cs="Arial" w:eastAsia="Arial" w:hAnsi="Arial"/>
                <w:sz w:val="17"/>
                <w:szCs w:val="17"/>
                <w:color w:val="auto"/>
              </w:rPr>
              <w:t>(0.01)</w:t>
            </w: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0.86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2.43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3.80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3"/>
          </w:tcPr>
          <w:p>
            <w:pPr>
              <w:ind w:left="2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0.83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2.34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3.59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Arial" w:cs="Arial" w:eastAsia="Arial" w:hAnsi="Arial"/>
                <w:sz w:val="17"/>
                <w:szCs w:val="17"/>
                <w:color w:val="auto"/>
              </w:rPr>
              <w:t>Net loss from discontinued operations</w:t>
            </w:r>
          </w:p>
        </w:tc>
        <w:tc>
          <w:tcPr>
            <w:tcW w:w="100" w:type="dxa"/>
            <w:vAlign w:val="bottom"/>
          </w:tcPr>
          <w:p>
            <w:pPr>
              <w:spacing w:after="0"/>
              <w:rPr>
                <w:sz w:val="17"/>
                <w:szCs w:val="17"/>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17"/>
                <w:szCs w:val="17"/>
                <w:color w:val="auto"/>
              </w:rPr>
            </w:pPr>
          </w:p>
        </w:tc>
        <w:tc>
          <w:tcPr>
            <w:tcW w:w="860" w:type="dxa"/>
            <w:vAlign w:val="bottom"/>
          </w:tcPr>
          <w:p>
            <w:pPr>
              <w:jc w:val="right"/>
              <w:ind w:right="156"/>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7"/>
                <w:szCs w:val="17"/>
                <w:color w:val="auto"/>
              </w:rPr>
            </w:pPr>
          </w:p>
        </w:tc>
        <w:tc>
          <w:tcPr>
            <w:tcW w:w="740" w:type="dxa"/>
            <w:vAlign w:val="bottom"/>
          </w:tcPr>
          <w:p>
            <w:pPr>
              <w:jc w:val="right"/>
              <w:ind w:right="56"/>
              <w:spacing w:after="0"/>
              <w:rPr>
                <w:sz w:val="20"/>
                <w:szCs w:val="20"/>
                <w:color w:val="auto"/>
              </w:rPr>
            </w:pPr>
            <w:r>
              <w:rPr>
                <w:rFonts w:ascii="Arial" w:cs="Arial" w:eastAsia="Arial" w:hAnsi="Arial"/>
                <w:sz w:val="17"/>
                <w:szCs w:val="17"/>
                <w:color w:val="auto"/>
              </w:rPr>
              <w:t>(0.01)</w:t>
            </w: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0.83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2.33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3.58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304"/>
        </w:trPr>
        <w:tc>
          <w:tcPr>
            <w:tcW w:w="6600" w:type="dxa"/>
            <w:vAlign w:val="bottom"/>
            <w:gridSpan w:val="6"/>
          </w:tcPr>
          <w:p>
            <w:pPr>
              <w:spacing w:after="0"/>
              <w:rPr>
                <w:sz w:val="20"/>
                <w:szCs w:val="20"/>
                <w:color w:val="auto"/>
              </w:rPr>
            </w:pPr>
            <w:r>
              <w:rPr>
                <w:rFonts w:ascii="Arial" w:cs="Arial" w:eastAsia="Arial" w:hAnsi="Arial"/>
                <w:sz w:val="17"/>
                <w:szCs w:val="17"/>
                <w:b w:val="1"/>
                <w:bCs w:val="1"/>
                <w:color w:val="auto"/>
              </w:rPr>
              <w:t>Selected Balance Sheet Data in Dollars: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26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7"/>
              </w:rPr>
              <w:t>1,137,005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87"/>
              </w:rPr>
              <w:t>1,083,097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7"/>
              </w:rPr>
              <w:t>576,612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7"/>
              </w:rPr>
              <w:t>502,009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387,981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tcPr>
          <w:p>
            <w:pPr>
              <w:ind w:left="320"/>
              <w:spacing w:after="0"/>
              <w:rPr>
                <w:sz w:val="20"/>
                <w:szCs w:val="20"/>
                <w:color w:val="auto"/>
              </w:rPr>
            </w:pPr>
            <w:r>
              <w:rPr>
                <w:rFonts w:ascii="Arial" w:cs="Arial" w:eastAsia="Arial" w:hAnsi="Arial"/>
                <w:sz w:val="17"/>
                <w:szCs w:val="17"/>
                <w:color w:val="auto"/>
              </w:rPr>
              <w:t>Redeemable preferred stock</w:t>
            </w:r>
          </w:p>
        </w:tc>
        <w:tc>
          <w:tcPr>
            <w:tcW w:w="100" w:type="dxa"/>
            <w:vAlign w:val="bottom"/>
          </w:tcPr>
          <w:p>
            <w:pPr>
              <w:spacing w:after="0"/>
              <w:rPr>
                <w:sz w:val="17"/>
                <w:szCs w:val="17"/>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6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Long-term debt, including current portion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457,318</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462,967</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72,441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79,460</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95,392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80" w:type="dxa"/>
            <w:vAlign w:val="bottom"/>
            <w:gridSpan w:val="5"/>
          </w:tcPr>
          <w:p>
            <w:pPr>
              <w:ind w:left="320"/>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434,048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8"/>
              <w:spacing w:after="0"/>
              <w:rPr>
                <w:sz w:val="20"/>
                <w:szCs w:val="20"/>
                <w:color w:val="auto"/>
              </w:rPr>
            </w:pPr>
            <w:r>
              <w:rPr>
                <w:rFonts w:ascii="Arial" w:cs="Arial" w:eastAsia="Arial" w:hAnsi="Arial"/>
                <w:sz w:val="17"/>
                <w:szCs w:val="17"/>
                <w:color w:val="auto"/>
              </w:rPr>
              <w:t>411,715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6"/>
              <w:spacing w:after="0"/>
              <w:rPr>
                <w:sz w:val="20"/>
                <w:szCs w:val="20"/>
                <w:color w:val="auto"/>
              </w:rPr>
            </w:pPr>
            <w:r>
              <w:rPr>
                <w:rFonts w:ascii="Arial" w:cs="Arial" w:eastAsia="Arial" w:hAnsi="Arial"/>
                <w:sz w:val="17"/>
                <w:szCs w:val="17"/>
                <w:color w:val="auto"/>
                <w:w w:val="87"/>
              </w:rPr>
              <w:t>354,497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6"/>
              <w:spacing w:after="0"/>
              <w:rPr>
                <w:sz w:val="20"/>
                <w:szCs w:val="20"/>
                <w:color w:val="auto"/>
              </w:rPr>
            </w:pPr>
            <w:r>
              <w:rPr>
                <w:rFonts w:ascii="Arial" w:cs="Arial" w:eastAsia="Arial" w:hAnsi="Arial"/>
                <w:sz w:val="17"/>
                <w:szCs w:val="17"/>
                <w:color w:val="auto"/>
                <w:w w:val="87"/>
              </w:rPr>
              <w:t>293,270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179,370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gridSpan w:val="2"/>
          </w:tcPr>
          <w:p>
            <w:pPr>
              <w:spacing w:after="0"/>
              <w:rPr>
                <w:sz w:val="7"/>
                <w:szCs w:val="7"/>
                <w:color w:val="auto"/>
              </w:rPr>
            </w:pPr>
          </w:p>
        </w:tc>
        <w:tc>
          <w:tcPr>
            <w:tcW w:w="26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Selected Other Data in Dollars: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80" w:type="dxa"/>
            <w:vAlign w:val="bottom"/>
            <w:gridSpan w:val="5"/>
          </w:tcPr>
          <w:p>
            <w:pPr>
              <w:ind w:left="320"/>
              <w:spacing w:after="0"/>
              <w:rPr>
                <w:sz w:val="20"/>
                <w:szCs w:val="20"/>
                <w:color w:val="auto"/>
              </w:rPr>
            </w:pPr>
            <w:r>
              <w:rPr>
                <w:rFonts w:ascii="Arial" w:cs="Arial" w:eastAsia="Arial" w:hAnsi="Arial"/>
                <w:sz w:val="17"/>
                <w:szCs w:val="17"/>
                <w:color w:val="auto"/>
              </w:rPr>
              <w:t>Cash dividends declared per common share</w:t>
            </w:r>
          </w:p>
        </w:tc>
        <w:tc>
          <w:tcPr>
            <w:tcW w:w="100" w:type="dxa"/>
            <w:vAlign w:val="bottom"/>
          </w:tcPr>
          <w:p>
            <w:pPr>
              <w:spacing w:after="0"/>
              <w:rPr>
                <w:sz w:val="18"/>
                <w:szCs w:val="18"/>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See discussions included in Item 7 of Part II of this report.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1"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7. MANAGEMENT’S DISCUSSION AND ANALYSIS OF FINANCIAL CONDITION AND RESULTS OF OPERATIONS</w:t>
      </w:r>
    </w:p>
    <w:p>
      <w:pPr>
        <w:spacing w:after="0" w:line="11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should be read in conjunction with a review of the other Items included in this Form 10-K and our December 31, 2014 Consolidated Financial Statements included elsewhere in this report. Certain statements contained in this MD&amp;A may be deemed to be forward-looking statements. See “Special Note Regarding Forward-Looking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LSB is a manufacturing and marketing company operating through our subsidiaries. LSB and its wholly-owned subsidiaries own the following core businesses:</w:t>
      </w:r>
    </w:p>
    <w:p>
      <w:pPr>
        <w:spacing w:after="0" w:line="134" w:lineRule="exact"/>
        <w:rPr>
          <w:sz w:val="20"/>
          <w:szCs w:val="20"/>
          <w:color w:val="auto"/>
        </w:rPr>
      </w:pPr>
    </w:p>
    <w:p>
      <w:pPr>
        <w:ind w:left="1460" w:right="120" w:hanging="556"/>
        <w:spacing w:after="0" w:line="273"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Chemical Business manufactures and sells nitrogen-based chemical products for the agricultural, industrial, and mining markets it produces from four facilities located in El Dorado, Arkansas; Cherokee, Alabama; Pryor, Oklahoma; and Baytown, Texas.</w:t>
      </w:r>
    </w:p>
    <w:p>
      <w:pPr>
        <w:spacing w:after="0" w:line="76" w:lineRule="exact"/>
        <w:rPr>
          <w:rFonts w:ascii="Arial" w:cs="Arial" w:eastAsia="Arial" w:hAnsi="Arial"/>
          <w:sz w:val="17"/>
          <w:szCs w:val="17"/>
          <w:color w:val="auto"/>
        </w:rPr>
      </w:pPr>
    </w:p>
    <w:p>
      <w:pPr>
        <w:ind w:left="1460" w:right="20" w:hanging="556"/>
        <w:spacing w:after="0" w:line="302" w:lineRule="auto"/>
        <w:tabs>
          <w:tab w:leader="none" w:pos="1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Climate Control Business manufactures and sells a broad range of HVAC products that include water source and geothermal heat pumps, hydronic fan coils, large custom air handlers, modular geothermal and other chillers, and other related products and services. These products are primarily used in commercial/institutional and residential new buildings construction, renovation of existing buildings and replacement of existing systems. Our Climate Control Business manufactures and distributes its products from seven facilities located in Oklahoma City, Oklahoma.</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Items Affecting Comparability of Results</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Chemical Business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Property and Business Interruption Insurance Claims and Recoveries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October 2013 and January 2014, we settled claims with our insurance carriers for the aggregate amount of approximately $113.0 million and $43.5 million related to property damage and business interruption at our El Dorado Facility and Cherokee Facility, respectively. For 2013 and 2014, the impact of these claims to our operating results was $66.0 million and $5.1 million, respectively, recognized as property insurance recoveries in excess of losses incurred and $28.6 million and approximately $22.9 million, respectively, recognized as a reduction to cost of sales.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Debt and Interest Expense</w:t>
      </w:r>
    </w:p>
    <w:p>
      <w:pPr>
        <w:spacing w:after="0" w:line="11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During August 2013, in connection with a major expansion of our El Dorado Facility, LSB sold $425 million of 7.75% Senior Secured Notes. The use of proceeds included $67.2 million used to pay all outstanding borrowings including the prepayment penalty under a term loan agreement. During 2013 and 2014, interest expense was $14.0 million and $21.6 million, respectively net of capitalized interest of $4.0 million and $14.1 million, respectively. Interest was capitalized based upon construction in progress of the El Dorado expansion and certain other capital projects.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Recovery of Precious Metals</w:t>
      </w:r>
    </w:p>
    <w:p>
      <w:pPr>
        <w:spacing w:after="0" w:line="110" w:lineRule="exact"/>
        <w:rPr>
          <w:sz w:val="20"/>
          <w:szCs w:val="20"/>
          <w:color w:val="auto"/>
        </w:rPr>
      </w:pPr>
    </w:p>
    <w:p>
      <w:pPr>
        <w:ind w:right="380"/>
        <w:spacing w:after="0" w:line="305" w:lineRule="auto"/>
        <w:rPr>
          <w:sz w:val="20"/>
          <w:szCs w:val="20"/>
          <w:color w:val="auto"/>
        </w:rPr>
      </w:pPr>
      <w:r>
        <w:rPr>
          <w:rFonts w:ascii="Arial" w:cs="Arial" w:eastAsia="Arial" w:hAnsi="Arial"/>
          <w:sz w:val="16"/>
          <w:szCs w:val="16"/>
          <w:color w:val="auto"/>
        </w:rPr>
        <w:t>In 2013 during major maintenance projects, our Chemical Business performed procedures to recover precious metals, which had accumulated over time within the manufacturing equipment. As a result, a recovery of precious metals of $4.5 million was recognized as a reduction to cost of sales.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41" w:right="2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Industry Factors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Chemical Business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Supply and Demand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Agricultural</w:t>
      </w:r>
    </w:p>
    <w:p>
      <w:pPr>
        <w:spacing w:after="0" w:line="110"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among other factors, world grain demand and production levels, the cost and availability of transportation, storage, weather conditions, competitive pricing and the availability of imports. An expansion or upgrade of competitors’ facilities, international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As reported in Green Markets and based upon the January USDA release of its 2014 Crop Production Summary and the WASDE Report dated February 10, 2015, for the 2014/2015 corn season, production is estimated at 14.2 billion bushels or 351 million metric tons, 3% above the prior season. Additionally, the average U. S. yield is estimated at a record 171.0 bushels per acre compared to 158.1 bushels per acre in the prior season. WASDE also estimated the ending U.S. corn stocks to be</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47.7 million metric tons compared to 31.3 million metric tons last season. Due to the expectation of the abundant supply, corn prices are low relative to pricing over the last three years; most recently reported at $3.65 per bushel. The number of acres planted will drive nitrogen fertilizer consumption and demand which likely will drive ammonia, UAN and urea prices. Current WASDE estimates are for 88-89 million acres of corn to be planted in 2015 compared to approximately 91 million planted in 2014. However with fewer acres, farmers will expect better yields requiring increased nitrogen fertilizers. Notwithstanding the current conditions, the fundamentals continue to be positive for nitrogen fertilizer products we produce and sell and gross margins still continue to be favorable, with the exception of AN produced at the El Dorado Facility from purchased ammonia, which is one of the reasons for the current construction project of an ammonia plant at our El Dorado Facility. Additionally, we believe that we will see strong spring demand for nitrogen fertilizer since U.S. farmers were unable to apply normal fall ammonia amounts in 2014 due to a delayed corn harvest followed by poor weather conditions.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Industrial</w:t>
      </w:r>
    </w:p>
    <w:p>
      <w:pPr>
        <w:spacing w:after="0" w:line="110"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According to the American Chemistry Council, the U.S. economic indicators continue to be mostly positive. Our sales prices vary with the market price of our feedstock (ammonia, natural gas or sulfur, as applicable) in our pricing arrangements with customers.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Mining</w:t>
      </w:r>
    </w:p>
    <w:p>
      <w:pPr>
        <w:spacing w:after="0" w:line="11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mining products are industrial grade AN and AN solutions for the mining industry. The primary uses are as specialty emulsions for mining applications (primarily in surface mining of coal) and for usage in quarries and the construction industry. As reported by the U.S. Energy Information Administration, annual coal production estimates for 2014 were up 1% over 2013. EIA is forecasting 1% declines in production for both 2015 and 2016 with the Appalachia region expected to see declines of 3% or more in the coming two years, offset by stable production in the west and modest growth in the mid-west. However, we believe that growth of coal production in the U.S. will face problems competing with low cost natural gas and export demand could be lower due to the current strong U.S. currency. While we believe our plants are well-located to support the regions expected to see growth in the upcoming years, our current mining sales volumes are being impacted by lower customer demand for industrial grade AN.</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Farmer Economics</w:t>
      </w:r>
    </w:p>
    <w:p>
      <w:pPr>
        <w:spacing w:after="0" w:line="110"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farmers’ financial resources, soil conditions, weather patterns and the types of crops planted.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1"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Natural Gas Prices</w:t>
      </w:r>
    </w:p>
    <w:p>
      <w:pPr>
        <w:spacing w:after="0" w:line="110"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Natural gas is the primary feedstock for the production of nitrogen fertilizers at our Cherokee and Pryor Facilities. Over the last five years, U.S. natural gas reserves have increased significantly due to, among other factors, advances in extracting shale gas, which have reduced and stabilized natural gas prices, providing North America with a cost advantage over certain imports. As a result, our competitive position and that of other North American nitrogen fertilizer producers have been positively impacted.</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We historically have purchased natural gas in the spot market or through the use of forward purchase contracts, or a combination of both. We historically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Over the past several years, natural gas prices have experienced significant fluctuations, which has had an impact on our cost of producing nitrogen fertilizer. The following table shows the annual volume of natural gas we purchased and the average cost per MMBtu:</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5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Natural gas volumes (MMBtu in millions)</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5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7"/>
                <w:szCs w:val="17"/>
                <w:color w:val="auto"/>
              </w:rPr>
              <w:t>Natural gas average cost per MMBtu</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80" w:type="dxa"/>
            <w:vAlign w:val="bottom"/>
            <w:vMerge w:val="continue"/>
          </w:tcPr>
          <w:p>
            <w:pPr>
              <w:spacing w:after="0"/>
              <w:rPr>
                <w:sz w:val="16"/>
                <w:szCs w:val="16"/>
                <w:color w:val="auto"/>
              </w:rPr>
            </w:pPr>
          </w:p>
        </w:tc>
        <w:tc>
          <w:tcPr>
            <w:tcW w:w="400" w:type="dxa"/>
            <w:vAlign w:val="bottom"/>
            <w:gridSpan w:val="2"/>
          </w:tcPr>
          <w:p>
            <w:pPr>
              <w:jc w:val="right"/>
              <w:spacing w:after="0" w:line="194" w:lineRule="exact"/>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4.30</w:t>
            </w:r>
          </w:p>
        </w:tc>
        <w:tc>
          <w:tcPr>
            <w:tcW w:w="520" w:type="dxa"/>
            <w:vAlign w:val="bottom"/>
          </w:tcPr>
          <w:p>
            <w:pPr>
              <w:spacing w:after="0"/>
              <w:rPr>
                <w:sz w:val="16"/>
                <w:szCs w:val="16"/>
                <w:color w:val="auto"/>
              </w:rPr>
            </w:pPr>
          </w:p>
        </w:tc>
        <w:tc>
          <w:tcPr>
            <w:tcW w:w="480" w:type="dxa"/>
            <w:vAlign w:val="bottom"/>
            <w:gridSpan w:val="2"/>
          </w:tcPr>
          <w:p>
            <w:pPr>
              <w:jc w:val="right"/>
              <w:ind w:right="100"/>
              <w:spacing w:after="0" w:line="194" w:lineRule="exact"/>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3.84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Beginning in December 2014, Henry Hub natural gas prices have trended below $4.00, averaging at approximately $3.00 in January and at $2.65 through mid-February.</w:t>
      </w:r>
    </w:p>
    <w:p>
      <w:pPr>
        <w:spacing w:after="0" w:line="33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Ammonia Prices</w:t>
      </w:r>
    </w:p>
    <w:p>
      <w:pPr>
        <w:spacing w:after="0" w:line="110"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Ammonia is the primary feedstock for the production of agricultural and industrial grade AN at our El Dorado Facility. Ammonia pricing is based on a published Tampa, Florida market index. The Tampa index is commonly used in annual contracts for both the agricultural and industrial sectors, and is based on the most recent major industry transactions in the Tampa market. Pricing considerations for ammonia incorporate international supply-demand, ocean freight and production factors. Additionally, the El Dorado Facility’s cost to produce agricultural grade AN from purchased ammonia at current market prices exceeds the current selling prices (a cost disadvantage as compared to producing ammonia from natural gas). Subject to availability, the El Dorado Facility has the option to source a portion of its ammonia requirements from our Pryor Facility, which cost is significantly lower than current market prices. Once our new ammonia production plant at the El Dorado Facility commences production (expected to begin in the first quarter of 2016), we believe this cost disadvantage will be eliminated. Over the past several years, ammonia prices have experienced large fluctuations. The table below shows the El Dorado Facility’s annual volume of ammonia purchased and the average cost per short ton:</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4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2014</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Ammonia volumes (tons in thousands)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7"/>
                <w:szCs w:val="17"/>
                <w:color w:val="auto"/>
              </w:rPr>
              <w:t>Ammonia average cost per short ton</w:t>
            </w: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60" w:type="dxa"/>
            <w:vAlign w:val="bottom"/>
            <w:vMerge w:val="continue"/>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506</w:t>
            </w:r>
          </w:p>
        </w:tc>
        <w:tc>
          <w:tcPr>
            <w:tcW w:w="420" w:type="dxa"/>
            <w:vAlign w:val="bottom"/>
          </w:tcPr>
          <w:p>
            <w:pPr>
              <w:spacing w:after="0"/>
              <w:rPr>
                <w:sz w:val="16"/>
                <w:szCs w:val="16"/>
                <w:color w:val="auto"/>
              </w:rPr>
            </w:pPr>
          </w:p>
        </w:tc>
        <w:tc>
          <w:tcPr>
            <w:tcW w:w="440" w:type="dxa"/>
            <w:vAlign w:val="bottom"/>
            <w:gridSpan w:val="2"/>
          </w:tcPr>
          <w:p>
            <w:pPr>
              <w:jc w:val="right"/>
              <w:ind w:right="100"/>
              <w:spacing w:after="0" w:line="194" w:lineRule="exact"/>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545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Based upon full plant production, the El Dorado Facility would normally purchase 200,000 to 220,000 tons per year of ammonia feedstock. In 2014 and 2013, the purchased ammonia was less than the amount required for full production due to tons paid for but not taken by Orica, lower than normal agricultural AN demand in 2013 and lower nitric acid capacity in both years due to the loss of the DSN plant in 2012.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1"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Transportation Costs</w:t>
      </w:r>
    </w:p>
    <w:p>
      <w:pPr>
        <w:spacing w:after="0" w:line="11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Costs for transporting nitrogen based products can be significant relative to their selling price. For example, ammonia is a hazardous gas at ambient temperatures and must be transported under refrigeration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that transport shorter distances an advantage.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Climate Control Business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Construction Markets</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From a market sector perspective, our Climate Control Business serves the new and renovation commercial/institutional and residential construction sectors and we believe the majority of our business is associated with the construction of new facilities. Information available from the CMFS forecast indicates that construction activity in the commercial/institutional markets we serve is expected to increase 5% in aggregate during 2015 and is heading back towards 2007 pre-recession levels. In particular, the hospitality, education and multi-family sectors are expected to grow faster than other vertical markets we serve. On the other hand, single-family residential construction is expected to grow 15% during 2015, however, it will remain well below pre-recession levels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expect the Climate Control Business to experience moderate sales growth in the short-term. Although a part of the Climate Control Business’ commercial/institutional sales are products that are used for renovation and replacement applications, sales increases in the medium-term and long-term are expected to be primarily driven by growth in new construction, as well as the introduction of new products specifically in the hospitality, education and healthcare sectors. Our expectations for residential products are that this sector will experience minimal growth due to the higher relative purchase cost of our higher efficiency GHP product offerings as compared to traditional HVAC systems creating a longer payback period in most regions due to low natural gas prices. We continue to focus our sales and marketing efforts to increase our share of the existing market for our products as well as expand the market for and application of our products, especially utilizing high efficiency and “green” technology.</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Operational Factors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Chemical Business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Facility Reliability</w:t>
      </w:r>
    </w:p>
    <w:p>
      <w:pPr>
        <w:spacing w:after="0" w:line="11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Consistent, reliable and safe operations at our chemical plants are critical to our financial performance and results of operations. Unplanned downtime of the plants typically result in lost contribution margin, increased maintenance expense and decreased inventory for sale. The financial impact of planned downtime, including Turnarounds maintenance, is mitigated through a diligent planning process that takes into the market, the availability of resources to perform the needed maintenance, feedstock logistics and other factors. Our Cherokee and Pryor Facilities have historically undergone a facility Turnaround every year. In the third quarter of 2014, our Cherokee Facility underwent an extended Turnaround replacing certain end-of-life equipment and performing additional maintenance required to move to a two-year Turnaround cycle. The extended Turnaround lasted 42 days and incurred approximately $5 million in maintenance expenses. Going forward, we anticipate that Turnarounds at our Cherokee Facility typically will be performed every two years, expecting to last 25 to 30 days. Turnarounds at our Pryor Facility currently are performed every year, and typically last between 20 to 25 days. We are currently anticipating a Turnaround at our Pryor Facility in June or July of 2015. At our El Dorado Facility, since we are able to perform Turnaround projects on individual plants without shutting down the entire facility, the impact of lost production is not significant. Upon completion of the new ammonia plant at our El Dorado Facility, that facility will begin with annual Turnarounds that will typically last between 20 to 25 days. All Turnarounds result in lost fixed overhead absorption and additional maintenance costs, which costs are expensed as incurred.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441" w:right="2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Prepay Contracts</w:t>
      </w:r>
    </w:p>
    <w:p>
      <w:pPr>
        <w:spacing w:after="0" w:line="11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depending on our view as to whether price environments will be increasing or decreasing. Fixing the selling prices of our products months in advance of their ultimate delivery to customers typically causes our reported selling prices and margins to differ from spot market prices and margins available at the time of shipment.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Climate Control Business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Product Orders, Sales and Ending Backlog</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Climate Control Business 2014 total bookings were $278 million, the highest level since 2008 ($306 million). Despite the loss of Carrier’s heat pump contracts discussed below, our commercial bookings increased 12% over 2013, whereas our residential product bookings declined 7%. Excluding Carrier heat pump activity, commercial and residential bookings increased 18% and 15%, respectively. Our backlog significantly improved in 2014 over 2013 due to increased orders for our larger custom air handlers and hydronic fan coils.</w:t>
      </w:r>
    </w:p>
    <w:p>
      <w:pPr>
        <w:spacing w:after="0" w:line="17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following table shows information relating to our product order intake level, net sales and backlog of confirmed customer product orders of our Climate Control Business: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4"/>
                <w:szCs w:val="14"/>
                <w:color w:val="auto"/>
                <w:w w:val="96"/>
              </w:rPr>
              <w:t>New Orders (1)</w:t>
            </w:r>
          </w:p>
        </w:tc>
        <w:tc>
          <w:tcPr>
            <w:tcW w:w="100" w:type="dxa"/>
            <w:vAlign w:val="bottom"/>
          </w:tcPr>
          <w:p>
            <w:pPr>
              <w:spacing w:after="0"/>
              <w:rPr>
                <w:sz w:val="14"/>
                <w:szCs w:val="14"/>
                <w:color w:val="auto"/>
              </w:rPr>
            </w:pPr>
          </w:p>
        </w:tc>
        <w:tc>
          <w:tcPr>
            <w:tcW w:w="1380" w:type="dxa"/>
            <w:vAlign w:val="bottom"/>
            <w:gridSpan w:val="6"/>
          </w:tcPr>
          <w:p>
            <w:pPr>
              <w:jc w:val="center"/>
              <w:ind w:right="360"/>
              <w:spacing w:after="0"/>
              <w:rPr>
                <w:sz w:val="20"/>
                <w:szCs w:val="20"/>
                <w:color w:val="auto"/>
              </w:rPr>
            </w:pPr>
            <w:r>
              <w:rPr>
                <w:rFonts w:ascii="Arial" w:cs="Arial" w:eastAsia="Arial" w:hAnsi="Arial"/>
                <w:sz w:val="14"/>
                <w:szCs w:val="14"/>
                <w:color w:val="auto"/>
                <w:w w:val="82"/>
              </w:rPr>
              <w:t>Net Sales</w:t>
            </w:r>
          </w:p>
        </w:tc>
        <w:tc>
          <w:tcPr>
            <w:tcW w:w="1240" w:type="dxa"/>
            <w:vAlign w:val="bottom"/>
            <w:gridSpan w:val="5"/>
          </w:tcPr>
          <w:p>
            <w:pPr>
              <w:ind w:left="60"/>
              <w:spacing w:after="0"/>
              <w:rPr>
                <w:sz w:val="20"/>
                <w:szCs w:val="20"/>
                <w:color w:val="auto"/>
              </w:rPr>
            </w:pPr>
            <w:r>
              <w:rPr>
                <w:rFonts w:ascii="Arial" w:cs="Arial" w:eastAsia="Arial" w:hAnsi="Arial"/>
                <w:sz w:val="14"/>
                <w:szCs w:val="14"/>
                <w:color w:val="auto"/>
                <w:w w:val="98"/>
              </w:rPr>
              <w:t>Ending Backlog (1)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0"/>
              <w:spacing w:after="0" w:line="133" w:lineRule="exact"/>
              <w:rPr>
                <w:sz w:val="20"/>
                <w:szCs w:val="20"/>
                <w:color w:val="auto"/>
              </w:rPr>
            </w:pPr>
            <w:r>
              <w:rPr>
                <w:rFonts w:ascii="Arial" w:cs="Arial" w:eastAsia="Arial" w:hAnsi="Arial"/>
                <w:sz w:val="14"/>
                <w:szCs w:val="14"/>
                <w:color w:val="auto"/>
                <w:w w:val="83"/>
              </w:rPr>
              <w:t>2014</w:t>
            </w:r>
          </w:p>
        </w:tc>
        <w:tc>
          <w:tcPr>
            <w:tcW w:w="2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3" w:lineRule="exact"/>
              <w:rPr>
                <w:sz w:val="20"/>
                <w:szCs w:val="20"/>
                <w:color w:val="auto"/>
              </w:rPr>
            </w:pPr>
            <w:r>
              <w:rPr>
                <w:rFonts w:ascii="Arial" w:cs="Arial" w:eastAsia="Arial" w:hAnsi="Arial"/>
                <w:sz w:val="14"/>
                <w:szCs w:val="14"/>
                <w:color w:val="auto"/>
                <w:w w:val="83"/>
              </w:rPr>
              <w:t>2013</w:t>
            </w:r>
          </w:p>
        </w:tc>
        <w:tc>
          <w:tcPr>
            <w:tcW w:w="2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3" w:lineRule="exact"/>
              <w:rPr>
                <w:sz w:val="20"/>
                <w:szCs w:val="20"/>
                <w:color w:val="auto"/>
              </w:rPr>
            </w:pPr>
            <w:r>
              <w:rPr>
                <w:rFonts w:ascii="Arial" w:cs="Arial" w:eastAsia="Arial" w:hAnsi="Arial"/>
                <w:sz w:val="14"/>
                <w:szCs w:val="14"/>
                <w:color w:val="auto"/>
                <w:w w:val="83"/>
              </w:rPr>
              <w:t>2014</w:t>
            </w: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3" w:lineRule="exact"/>
              <w:rPr>
                <w:sz w:val="20"/>
                <w:szCs w:val="20"/>
                <w:color w:val="auto"/>
              </w:rPr>
            </w:pPr>
            <w:r>
              <w:rPr>
                <w:rFonts w:ascii="Arial" w:cs="Arial" w:eastAsia="Arial" w:hAnsi="Arial"/>
                <w:sz w:val="14"/>
                <w:szCs w:val="14"/>
                <w:color w:val="auto"/>
                <w:w w:val="83"/>
              </w:rPr>
              <w:t>2013</w:t>
            </w:r>
          </w:p>
        </w:tc>
        <w:tc>
          <w:tcPr>
            <w:tcW w:w="2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59"/>
              <w:spacing w:after="0" w:line="133" w:lineRule="exact"/>
              <w:rPr>
                <w:sz w:val="20"/>
                <w:szCs w:val="20"/>
                <w:color w:val="auto"/>
              </w:rPr>
            </w:pPr>
            <w:r>
              <w:rPr>
                <w:rFonts w:ascii="Arial" w:cs="Arial" w:eastAsia="Arial" w:hAnsi="Arial"/>
                <w:sz w:val="14"/>
                <w:szCs w:val="14"/>
                <w:color w:val="auto"/>
                <w:w w:val="83"/>
              </w:rPr>
              <w:t>2014</w:t>
            </w:r>
          </w:p>
        </w:tc>
        <w:tc>
          <w:tcPr>
            <w:tcW w:w="2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9"/>
              <w:spacing w:after="0" w:line="133" w:lineRule="exact"/>
              <w:rPr>
                <w:sz w:val="20"/>
                <w:szCs w:val="20"/>
                <w:color w:val="auto"/>
              </w:rPr>
            </w:pPr>
            <w:r>
              <w:rPr>
                <w:rFonts w:ascii="Arial" w:cs="Arial" w:eastAsia="Arial" w:hAnsi="Arial"/>
                <w:sz w:val="14"/>
                <w:szCs w:val="14"/>
                <w:color w:val="auto"/>
                <w:w w:val="83"/>
              </w:rPr>
              <w:t>2013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6"/>
          </w:tcPr>
          <w:p>
            <w:pPr>
              <w:jc w:val="center"/>
              <w:ind w:right="360"/>
              <w:spacing w:after="0" w:line="133" w:lineRule="exact"/>
              <w:rPr>
                <w:sz w:val="20"/>
                <w:szCs w:val="20"/>
                <w:color w:val="auto"/>
              </w:rPr>
            </w:pPr>
            <w:r>
              <w:rPr>
                <w:rFonts w:ascii="Arial" w:cs="Arial" w:eastAsia="Arial" w:hAnsi="Arial"/>
                <w:sz w:val="14"/>
                <w:szCs w:val="14"/>
                <w:color w:val="auto"/>
                <w:w w:val="97"/>
              </w:rPr>
              <w:t>(In Millions)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First Quarter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44.7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Second Quarter</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65.4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62.8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77.3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9"/>
              <w:spacing w:after="0"/>
              <w:rPr>
                <w:sz w:val="20"/>
                <w:szCs w:val="20"/>
                <w:color w:val="auto"/>
              </w:rPr>
            </w:pPr>
            <w:r>
              <w:rPr>
                <w:rFonts w:ascii="Arial" w:cs="Arial" w:eastAsia="Arial" w:hAnsi="Arial"/>
                <w:sz w:val="17"/>
                <w:szCs w:val="17"/>
                <w:color w:val="auto"/>
              </w:rPr>
              <w:t>68.1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Fourth Quarter</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58.0</w:t>
            </w:r>
          </w:p>
        </w:tc>
        <w:tc>
          <w:tcPr>
            <w:tcW w:w="10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58.8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68.8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67.5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9"/>
              <w:spacing w:after="0"/>
              <w:rPr>
                <w:sz w:val="20"/>
                <w:szCs w:val="20"/>
                <w:color w:val="auto"/>
              </w:rPr>
            </w:pPr>
            <w:r>
              <w:rPr>
                <w:rFonts w:ascii="Arial" w:cs="Arial" w:eastAsia="Arial" w:hAnsi="Arial"/>
                <w:sz w:val="17"/>
                <w:szCs w:val="17"/>
                <w:color w:val="auto"/>
              </w:rPr>
              <w:t>64.9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Fiscal Year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278.4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256.3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265.4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285.0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80" w:hanging="438"/>
        <w:spacing w:after="0" w:line="292"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However, the December 31, 2014 backlog includes two orders totaling approximately $6.9 million expected to ship from twelve to eighteen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For January 2015, our new orders received were approximately $24.8 million and our backlog was approximately $71.7 million at January 31, 2015.</w:t>
      </w:r>
    </w:p>
    <w:p>
      <w:pPr>
        <w:spacing w:after="0" w:line="31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Operational Excellence Activities</w:t>
      </w:r>
    </w:p>
    <w:p>
      <w:pPr>
        <w:spacing w:after="0" w:line="11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We are in the second year of our operational excellence initiatives to become a world class company in terms of safety, quality, delivery and cost. We believe world class performance will benefit our Climate Control Business through a high level of customer satisfaction, enhanced employee engagement, faster growth and improved margins. During the past two years, we completed value analysis/value engineering activities that are part of our operational excellence initiatives at each of our companies within our Climate Control Business. In addition, we have laid the foundation for the continuous improvement culture desired in our organization.</w:t>
      </w:r>
    </w:p>
    <w:p>
      <w:pPr>
        <w:spacing w:after="0" w:line="148"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2014, we completed more than 15 rapid improvement events and improvement projects across our Climate Control Business. The RIE’s covered areas throughout our entire value streams; improving our response time to customer quote requests, improving material delivery to our production lines, creating flow on our assembly lines, implementing kitting operations within sheet metal fabrication to reduce material outages on our assembly lines, improving our communication and scheduling on quick cycle orders and improving our engineering design and delivery process for special feature requests from our customers.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1"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color w:val="auto"/>
        </w:rPr>
        <w:t>In addition, we implemented daily improvement activities and root cause analysis/problem solving methods. We also have completed our second year of value stream analysis (“VSA”) and management alignment (“MA”) activities, which we believe sets the stage for additional improvements in 2015 and future years.</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Certain Heat Pump Contracts</w:t>
      </w:r>
    </w:p>
    <w:p>
      <w:pPr>
        <w:spacing w:after="0" w:line="11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In November 2013, Carrier advised one of our subsidiaries, CM, that heat pump contracts would not be renewed between CM, as the manufacturer, and Carrier, as the purchaser. These contracts expired on May 11, 2014. During 2014, 2013 and 2012, net sales pursuant to these heat pump contracts represented approximately $15 million, $32 million and $36 million, respectively.</w:t>
      </w:r>
    </w:p>
    <w:p>
      <w:pPr>
        <w:spacing w:after="0" w:line="176"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Despite the loss of the Carrier heat pump contracts, we expect our Climate Control Business to report improved sales in 2015 due from higher sales of our LSB branded climate control products through new product introductions and forecast growth in the commercial and institutional construction markets.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1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following Results of Operations should be read in conjunction with our consolidated financial statements for the years ended December 31, 2014, 2013, and 2012 and accompanying notes and the discussions under “Overview” and “Liquidity and Capital Resources” included in this MD&amp;A.</w:t>
      </w:r>
    </w:p>
    <w:p>
      <w:pPr>
        <w:spacing w:after="0" w:line="165"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by business segment represents net sales less cost of sales. In addition, our chief operating decision makers use operating income by business segment for purposes of making decisions that include resource allocations and performance evaluations. Operating income by business segment represents gross profit by business segment less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80"/>
          </w:cols>
          <w:pgMar w:left="240" w:top="441" w:right="2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contains certain information about our continuing operations in different business segments for each of the three years ended December 31:</w:t>
      </w:r>
    </w:p>
    <w:p>
      <w:pPr>
        <w:spacing w:after="0" w:line="25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jc w:val="right"/>
              <w:ind w:right="260"/>
              <w:spacing w:after="0" w:line="133" w:lineRule="exact"/>
              <w:rPr>
                <w:sz w:val="20"/>
                <w:szCs w:val="20"/>
                <w:color w:val="auto"/>
              </w:rPr>
            </w:pPr>
            <w:r>
              <w:rPr>
                <w:rFonts w:ascii="Arial" w:cs="Arial" w:eastAsia="Arial" w:hAnsi="Arial"/>
                <w:sz w:val="14"/>
                <w:szCs w:val="14"/>
                <w:color w:val="auto"/>
                <w:w w:val="97"/>
              </w:rPr>
              <w:t>(In Thousands)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Chemical</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454,902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w w:val="87"/>
              </w:rPr>
              <w:t>380,669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477,813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Climate Control</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7"/>
              </w:rPr>
              <w:t>265,358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285,018</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266,171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12,250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13,600</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15,047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7"/>
              </w:rPr>
              <w:t>732,510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679,287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759,031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7"/>
                <w:szCs w:val="17"/>
                <w:color w:val="auto"/>
              </w:rPr>
              <w:t>Gross profit:</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6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Chemical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66,565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46,165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97,692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Climate Control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82,443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92,907</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80,981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4,347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4,484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153,355</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w w:val="87"/>
              </w:rPr>
              <w:t>143,556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183,736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Chemical</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51,281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87,784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82,101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Climate Control</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21,675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30,386</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25,834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1,771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1,699</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2,091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corporate expenses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(21,365)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4"/>
              </w:rPr>
              <w:t>(14,561)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(14,371)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53,362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w w:val="87"/>
              </w:rPr>
              <w:t>105,308</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95,655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21,599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13,986</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Losses on extinguishment of debt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1,296</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Non-operating expense (income), net:</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Chemical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(249)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Climate Control</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Corporate and other business operations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Provisions for income taxes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35,421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33,594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Equity in earnings of affiliate - Climate Control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55,141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58,786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7"/>
                <w:szCs w:val="17"/>
                <w:color w:val="auto"/>
              </w:rPr>
              <w:t>Additions to property, plant and equipment:</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6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Chemical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7"/>
              </w:rPr>
              <w:t>238,070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160,343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141,399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Climate Control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1,859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5,576</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5,816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Corporate</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148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2,701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7"/>
              </w:rPr>
              <w:t>240,104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166,419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150,805</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7"/>
                <w:szCs w:val="17"/>
                <w:color w:val="auto"/>
              </w:rPr>
              <w:t>Depreciation, depletion and amortization of property, plant and equipment:</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6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Chemical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23,497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16,355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Climate Control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4,946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4,707</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rPr>
                <w:sz w:val="20"/>
                <w:szCs w:val="20"/>
                <w:color w:val="auto"/>
              </w:rPr>
            </w:pPr>
            <w:r>
              <w:rPr>
                <w:rFonts w:ascii="Arial" w:cs="Arial" w:eastAsia="Arial" w:hAnsi="Arial"/>
                <w:sz w:val="17"/>
                <w:szCs w:val="17"/>
                <w:color w:val="auto"/>
              </w:rPr>
              <w:t>Corporate</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35,664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28,310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20,681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995"/>
              <w:spacing w:after="0"/>
              <w:rPr>
                <w:sz w:val="20"/>
                <w:szCs w:val="20"/>
                <w:color w:val="auto"/>
              </w:rPr>
            </w:pPr>
            <w:r>
              <w:rPr>
                <w:rFonts w:ascii="Arial" w:cs="Arial" w:eastAsia="Arial" w:hAnsi="Arial"/>
                <w:sz w:val="17"/>
                <w:szCs w:val="17"/>
                <w:color w:val="auto"/>
              </w:rPr>
              <w:t>26</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9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441" w:right="8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Year Ended December 31, 2014 Compared to Year Ended 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Chemical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certain information about our net sales, gross profit and operating income in our Chemical segment for 2014 and 2013:</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0"/>
        </w:trPr>
        <w:tc>
          <w:tcPr>
            <w:tcW w:w="5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4"/>
          </w:tcPr>
          <w:p>
            <w:pPr>
              <w:jc w:val="right"/>
              <w:ind w:right="320"/>
              <w:spacing w:after="0" w:line="133" w:lineRule="exact"/>
              <w:rPr>
                <w:sz w:val="20"/>
                <w:szCs w:val="20"/>
                <w:color w:val="auto"/>
              </w:rPr>
            </w:pPr>
            <w:r>
              <w:rPr>
                <w:rFonts w:ascii="Arial" w:cs="Arial" w:eastAsia="Arial" w:hAnsi="Arial"/>
                <w:sz w:val="14"/>
                <w:szCs w:val="14"/>
                <w:color w:val="auto"/>
                <w:w w:val="91"/>
              </w:rPr>
              <w:t>(Dollars In Thousands)</w:t>
            </w:r>
          </w:p>
        </w:tc>
        <w:tc>
          <w:tcPr>
            <w:tcW w:w="62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7"/>
                <w:szCs w:val="17"/>
                <w:color w:val="auto"/>
              </w:rPr>
              <w:t>Agricultural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215,523</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w w:val="87"/>
              </w:rPr>
              <w:t>167,614</w:t>
            </w: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w w:val="90"/>
              </w:rPr>
              <w:t>$ 47,909</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Industrial acids and other chemical products</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160,104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7"/>
              </w:rPr>
              <w:t>141,936</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18,168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7"/>
                <w:szCs w:val="17"/>
                <w:color w:val="auto"/>
              </w:rPr>
              <w:t>Mining products</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67,043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63,042</w:t>
            </w: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4,001</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products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8,077</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4,155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680"/>
              <w:spacing w:after="0"/>
              <w:rPr>
                <w:sz w:val="20"/>
                <w:szCs w:val="20"/>
                <w:color w:val="auto"/>
              </w:rPr>
            </w:pPr>
            <w:r>
              <w:rPr>
                <w:rFonts w:ascii="Arial" w:cs="Arial" w:eastAsia="Arial" w:hAnsi="Arial"/>
                <w:sz w:val="17"/>
                <w:szCs w:val="17"/>
                <w:color w:val="auto"/>
              </w:rPr>
              <w:t>Total Chemical</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line="20" w:lineRule="exact"/>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454,902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380,669</w:t>
            </w:r>
          </w:p>
        </w:tc>
        <w:tc>
          <w:tcPr>
            <w:tcW w:w="6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w w:val="90"/>
              </w:rPr>
              <w:t>$ 74,233</w:t>
            </w: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Gross profit -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66,565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46,165</w:t>
            </w:r>
          </w:p>
        </w:tc>
        <w:tc>
          <w:tcPr>
            <w:tcW w:w="6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90"/>
              </w:rPr>
              <w:t>$ 20,400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Gross profit percentage - Chemical (1)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14.6%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460"/>
              <w:spacing w:after="0" w:line="194" w:lineRule="exact"/>
              <w:rPr>
                <w:sz w:val="20"/>
                <w:szCs w:val="20"/>
                <w:color w:val="auto"/>
              </w:rPr>
            </w:pPr>
            <w:r>
              <w:rPr>
                <w:rFonts w:ascii="Arial" w:cs="Arial" w:eastAsia="Arial" w:hAnsi="Arial"/>
                <w:sz w:val="17"/>
                <w:szCs w:val="17"/>
                <w:color w:val="auto"/>
              </w:rPr>
              <w:t>12.1%</w:t>
            </w:r>
          </w:p>
        </w:tc>
        <w:tc>
          <w:tcPr>
            <w:tcW w:w="1240" w:type="dxa"/>
            <w:vAlign w:val="bottom"/>
            <w:gridSpan w:val="2"/>
          </w:tcPr>
          <w:p>
            <w:pPr>
              <w:jc w:val="right"/>
              <w:ind w:right="460"/>
              <w:spacing w:after="0" w:line="194" w:lineRule="exact"/>
              <w:rPr>
                <w:sz w:val="20"/>
                <w:szCs w:val="20"/>
                <w:color w:val="auto"/>
              </w:rPr>
            </w:pPr>
            <w:r>
              <w:rPr>
                <w:rFonts w:ascii="Arial" w:cs="Arial" w:eastAsia="Arial" w:hAnsi="Arial"/>
                <w:sz w:val="17"/>
                <w:szCs w:val="17"/>
                <w:color w:val="auto"/>
              </w:rPr>
              <w:t>2.5%</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51,281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87,784</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(36,503)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As a percentage of net sales</w:t>
      </w:r>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Sales - Chemical</w:t>
      </w:r>
    </w:p>
    <w:p>
      <w:pPr>
        <w:spacing w:after="0" w:line="11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Our Chemical Business sales in the agricultural markets primarily were at the spot market price in effect at the time of sale or at a negotiated future price. Most of our Chemical Business sales in the industrial and mining markets were pursuant to sales contracts and/or pricing arrangements on terms that include the cost of raw material feedstock as a pass through component in the sales price. Our 2014 production and sales volumes were higher in all three of our primary markets due to consistent customer demand and improved on-stream production rates at the El Dorado, Pryor and Cherokee Facilities, partially offset by an extended Turnaround in the third quarter and the approximately 30 days of downtime in the fourth quarter to complete certain unplanned maintenance at our Cherokee Facility.</w:t>
      </w:r>
    </w:p>
    <w:p>
      <w:pPr>
        <w:spacing w:after="0" w:line="64" w:lineRule="exact"/>
        <w:rPr>
          <w:sz w:val="20"/>
          <w:szCs w:val="20"/>
          <w:color w:val="auto"/>
        </w:rPr>
      </w:pPr>
    </w:p>
    <w:p>
      <w:pPr>
        <w:ind w:left="880" w:right="100" w:hanging="434"/>
        <w:spacing w:after="0" w:line="255"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Agricultural products comprised approximately 47% and 44% of the Chemical Business’ net sales for 2014 and 2013, respectively. Agricultural products sales increased in 2014 as more product was available to sell resulting from the increased on-stream rates of our facilities partially offset by lower average selling prices for nitrogen fertilizers. Compared to 2013, the 2014 average agricultural products selling prices per ton were lower by 8%, 5%, and 10% for ammonia, UAN and AN, respectively. The decrease in selling prices for the nitrogen fertilizers was due largely to record exports of urea from China combined with lower commodity prices.</w:t>
      </w:r>
    </w:p>
    <w:p>
      <w:pPr>
        <w:spacing w:after="0" w:line="92" w:lineRule="exact"/>
        <w:rPr>
          <w:rFonts w:ascii="Arial" w:cs="Arial" w:eastAsia="Arial" w:hAnsi="Arial"/>
          <w:sz w:val="17"/>
          <w:szCs w:val="17"/>
          <w:color w:val="auto"/>
        </w:rPr>
      </w:pPr>
    </w:p>
    <w:p>
      <w:pPr>
        <w:ind w:left="880" w:right="40" w:hanging="434"/>
        <w:spacing w:after="0" w:line="273"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Industrial acids and other chemical products sales increased in 2014 as a result of more product available to sell due to the improved on-stream rates of our chemical facilities.</w:t>
      </w:r>
    </w:p>
    <w:p>
      <w:pPr>
        <w:spacing w:after="0" w:line="76" w:lineRule="exact"/>
        <w:rPr>
          <w:rFonts w:ascii="Arial" w:cs="Arial" w:eastAsia="Arial" w:hAnsi="Arial"/>
          <w:sz w:val="17"/>
          <w:szCs w:val="17"/>
          <w:color w:val="auto"/>
        </w:rPr>
      </w:pPr>
    </w:p>
    <w:p>
      <w:pPr>
        <w:ind w:left="880" w:right="580" w:hanging="434"/>
        <w:spacing w:after="0" w:line="273"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Mining products sales increased in 2014 primarily as a result of more product available to sell due to the improved on-stream rates of our chemical facilities.</w:t>
      </w:r>
    </w:p>
    <w:p>
      <w:pPr>
        <w:spacing w:after="0" w:line="76" w:lineRule="exact"/>
        <w:rPr>
          <w:rFonts w:ascii="Arial" w:cs="Arial" w:eastAsia="Arial" w:hAnsi="Arial"/>
          <w:sz w:val="17"/>
          <w:szCs w:val="17"/>
          <w:color w:val="auto"/>
        </w:rPr>
      </w:pPr>
    </w:p>
    <w:p>
      <w:pPr>
        <w:ind w:left="880" w:right="20" w:hanging="434"/>
        <w:spacing w:after="0" w:line="261"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products relates to natural gas sales from our working interests in certain natural gas properties acquired in 2012 and 2013 by a subsidiary within our Chemical Business. The increase in natural gas sales is primarily due to higher production volume as these properties are developed partially offset by lower net selling prices.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1"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Gross Profit - Chemical</w:t>
      </w:r>
    </w:p>
    <w:p>
      <w:pPr>
        <w:spacing w:after="0" w:line="126" w:lineRule="exact"/>
        <w:rPr>
          <w:sz w:val="20"/>
          <w:szCs w:val="20"/>
          <w:color w:val="auto"/>
        </w:rPr>
      </w:pPr>
    </w:p>
    <w:p>
      <w:pPr>
        <w:ind w:left="880" w:right="60" w:hanging="434"/>
        <w:spacing w:after="0" w:line="294"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gross profit increased $20.4 million in 2014 as compared to 2013. Excluding business interruption insurance recoveries of $22.9 million and $28.6 million in 2014 and 2013, respectively, and $4.5 million of precious metals recovery in 2013, the increase in gross profit was $30.6 million. The increase of $30.6 million was due to the higher sales level resulting in improved fixed overhead absorption made possible by the improved on-stream production rates of our chemical facilities. The improved gross profit was partially offset by a decline in the margin per ton of nitrogen fertilizers due to lower selling prices and higher feedstock costs. Natural gas feedstock cost increased approximately 12% partially offset by a 7% decrease in ammonia feedstock costs, while AN prices decreased 10% and UAN selling prices decreased 5%, negatively affecting gross profit margins on our nitrogen fertilizer sales.</w:t>
      </w:r>
    </w:p>
    <w:p>
      <w:pPr>
        <w:spacing w:after="0" w:line="66" w:lineRule="exact"/>
        <w:rPr>
          <w:rFonts w:ascii="Arial" w:cs="Arial" w:eastAsia="Arial" w:hAnsi="Arial"/>
          <w:sz w:val="15"/>
          <w:szCs w:val="15"/>
          <w:color w:val="auto"/>
        </w:rPr>
      </w:pPr>
    </w:p>
    <w:p>
      <w:pPr>
        <w:ind w:left="880" w:hanging="434"/>
        <w:spacing w:after="0" w:line="273"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Unrealized losses related to forward contracts on natural gas purchases decreased 2014 gross profit by $2.1 million compared to a minimal unrealized gain in 2013.</w:t>
      </w:r>
    </w:p>
    <w:p>
      <w:pPr>
        <w:spacing w:after="0" w:line="76" w:lineRule="exact"/>
        <w:rPr>
          <w:rFonts w:ascii="Arial" w:cs="Arial" w:eastAsia="Arial" w:hAnsi="Arial"/>
          <w:sz w:val="17"/>
          <w:szCs w:val="17"/>
          <w:color w:val="auto"/>
        </w:rPr>
      </w:pPr>
    </w:p>
    <w:p>
      <w:pPr>
        <w:ind w:left="880" w:right="160" w:hanging="434"/>
        <w:spacing w:after="0" w:line="273"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Purchased UAN that was sold at a loss to honor forward sales commitments in excess of available production due to unplanned downtime reduced gross profit by $1.2 million in 2014.</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Operating Income - Chemical</w:t>
      </w:r>
    </w:p>
    <w:p>
      <w:pPr>
        <w:spacing w:after="0" w:line="126" w:lineRule="exact"/>
        <w:rPr>
          <w:sz w:val="20"/>
          <w:szCs w:val="20"/>
          <w:color w:val="auto"/>
        </w:rPr>
      </w:pPr>
    </w:p>
    <w:p>
      <w:pPr>
        <w:ind w:left="880" w:right="40" w:hanging="434"/>
        <w:spacing w:after="0" w:line="297" w:lineRule="auto"/>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Chemical Business’ operating income was $51.3 million, a decrease of $36.5 million. In addition to the business interruption insurance recoveries included in gross profit discussed above, property insurance recoveries of $5.1 million and $66.0 million were recognized in 2014 and 2013, respectively. Excluding all insurance recoveries of $28.0 million and $94.6 million in 2014 and 2013, respectively, and excluding the precious metals recovery of $4.5 million in 2013, our adjusted operating income was $23.3 million in 2014 compared to an adjusted operating loss of $11.3 million, or an increase of $34.6 million. Additionally net other expenses were $4.0 million lower in 2014 due primarily to dismantling expenses and penalties incurred in 2013.</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Climate Control Business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information about our net sales, gross profit and operating income in our Climate Control segment for 2014 and 2013:</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0"/>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1"/>
              </w:rPr>
              <w:t>Change</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2"/>
        </w:trPr>
        <w:tc>
          <w:tcPr>
            <w:tcW w:w="59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4"/>
          </w:tcPr>
          <w:p>
            <w:pPr>
              <w:jc w:val="center"/>
              <w:ind w:right="220"/>
              <w:spacing w:after="0" w:line="133" w:lineRule="exact"/>
              <w:rPr>
                <w:sz w:val="20"/>
                <w:szCs w:val="20"/>
                <w:color w:val="auto"/>
              </w:rPr>
            </w:pPr>
            <w:r>
              <w:rPr>
                <w:rFonts w:ascii="Arial" w:cs="Arial" w:eastAsia="Arial" w:hAnsi="Arial"/>
                <w:sz w:val="14"/>
                <w:szCs w:val="14"/>
                <w:color w:val="auto"/>
                <w:w w:val="88"/>
              </w:rPr>
              <w:t>(Dollars In Thousands)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40"/>
              <w:spacing w:after="0"/>
              <w:rPr>
                <w:sz w:val="20"/>
                <w:szCs w:val="20"/>
                <w:color w:val="auto"/>
              </w:rPr>
            </w:pPr>
            <w:r>
              <w:rPr>
                <w:rFonts w:ascii="Arial" w:cs="Arial" w:eastAsia="Arial" w:hAnsi="Arial"/>
                <w:sz w:val="17"/>
                <w:szCs w:val="17"/>
                <w:color w:val="auto"/>
              </w:rPr>
              <w:t>Water source and geothermal heat pumps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168,804</w:t>
            </w:r>
          </w:p>
        </w:tc>
        <w:tc>
          <w:tcPr>
            <w:tcW w:w="2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w w:val="87"/>
              </w:rPr>
              <w:t>183,757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0"/>
              <w:spacing w:after="0"/>
              <w:rPr>
                <w:sz w:val="20"/>
                <w:szCs w:val="20"/>
                <w:color w:val="auto"/>
              </w:rPr>
            </w:pPr>
            <w:r>
              <w:rPr>
                <w:rFonts w:ascii="Arial" w:cs="Arial" w:eastAsia="Arial" w:hAnsi="Arial"/>
                <w:sz w:val="17"/>
                <w:szCs w:val="17"/>
                <w:color w:val="auto"/>
                <w:w w:val="91"/>
              </w:rPr>
              <w:t>(14,953)</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Hydronic fan coils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61,307</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64,541</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(3,234)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3"/>
        </w:trPr>
        <w:tc>
          <w:tcPr>
            <w:tcW w:w="5900" w:type="dxa"/>
            <w:vAlign w:val="bottom"/>
          </w:tcPr>
          <w:p>
            <w:pPr>
              <w:ind w:left="340"/>
              <w:spacing w:after="0"/>
              <w:rPr>
                <w:sz w:val="20"/>
                <w:szCs w:val="20"/>
                <w:color w:val="auto"/>
              </w:rPr>
            </w:pPr>
            <w:r>
              <w:rPr>
                <w:rFonts w:ascii="Arial" w:cs="Arial" w:eastAsia="Arial" w:hAnsi="Arial"/>
                <w:sz w:val="17"/>
                <w:szCs w:val="17"/>
                <w:color w:val="auto"/>
              </w:rPr>
              <w:t>Other HVAC products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35,247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36,720</w:t>
            </w:r>
          </w:p>
        </w:tc>
        <w:tc>
          <w:tcPr>
            <w:tcW w:w="8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7"/>
                <w:szCs w:val="17"/>
                <w:color w:val="auto"/>
              </w:rPr>
              <w:t>(1,473)</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Climate Control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265,358</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87"/>
              </w:rPr>
              <w:t>285,018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1"/>
              </w:rPr>
              <w:t>(19,660)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color w:val="auto"/>
              </w:rPr>
              <w:t>Gross profit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line="20" w:lineRule="exact"/>
              <w:rPr>
                <w:sz w:val="1"/>
                <w:szCs w:val="1"/>
                <w:color w:val="auto"/>
              </w:rPr>
            </w:pPr>
          </w:p>
        </w:tc>
      </w:tr>
      <w:tr>
        <w:trPr>
          <w:trHeight w:val="194"/>
        </w:trPr>
        <w:tc>
          <w:tcPr>
            <w:tcW w:w="59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82,443</w:t>
            </w:r>
          </w:p>
        </w:tc>
        <w:tc>
          <w:tcPr>
            <w:tcW w:w="200" w:type="dxa"/>
            <w:vAlign w:val="bottom"/>
          </w:tcPr>
          <w:p>
            <w:pPr>
              <w:spacing w:after="0"/>
              <w:rPr>
                <w:sz w:val="16"/>
                <w:szCs w:val="16"/>
                <w:color w:val="auto"/>
              </w:rPr>
            </w:pPr>
          </w:p>
        </w:tc>
        <w:tc>
          <w:tcPr>
            <w:tcW w:w="4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80"/>
              <w:spacing w:after="0" w:line="194" w:lineRule="exact"/>
              <w:rPr>
                <w:sz w:val="20"/>
                <w:szCs w:val="20"/>
                <w:color w:val="auto"/>
              </w:rPr>
            </w:pPr>
            <w:r>
              <w:rPr>
                <w:rFonts w:ascii="Arial" w:cs="Arial" w:eastAsia="Arial" w:hAnsi="Arial"/>
                <w:sz w:val="17"/>
                <w:szCs w:val="17"/>
                <w:color w:val="auto"/>
              </w:rPr>
              <w:t>92,907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w w:val="91"/>
              </w:rPr>
              <w:t>(10,464)</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Gross profit percentage - Climate Control (1)</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31.1%</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32.6%</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(1.5)%</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color w:val="auto"/>
              </w:rPr>
              <w:t>Operating income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(28.7)%</w:t>
            </w:r>
          </w:p>
        </w:tc>
        <w:tc>
          <w:tcPr>
            <w:tcW w:w="0" w:type="dxa"/>
            <w:vAlign w:val="bottom"/>
          </w:tcPr>
          <w:p>
            <w:pPr>
              <w:spacing w:after="0" w:line="20" w:lineRule="exact"/>
              <w:rPr>
                <w:sz w:val="1"/>
                <w:szCs w:val="1"/>
                <w:color w:val="auto"/>
              </w:rPr>
            </w:pPr>
          </w:p>
        </w:tc>
      </w:tr>
      <w:tr>
        <w:trPr>
          <w:trHeight w:val="194"/>
        </w:trPr>
        <w:tc>
          <w:tcPr>
            <w:tcW w:w="59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21,675</w:t>
            </w:r>
          </w:p>
        </w:tc>
        <w:tc>
          <w:tcPr>
            <w:tcW w:w="200" w:type="dxa"/>
            <w:vAlign w:val="bottom"/>
          </w:tcPr>
          <w:p>
            <w:pPr>
              <w:spacing w:after="0"/>
              <w:rPr>
                <w:sz w:val="16"/>
                <w:szCs w:val="16"/>
                <w:color w:val="auto"/>
              </w:rPr>
            </w:pPr>
          </w:p>
        </w:tc>
        <w:tc>
          <w:tcPr>
            <w:tcW w:w="4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80"/>
              <w:spacing w:after="0" w:line="194" w:lineRule="exact"/>
              <w:rPr>
                <w:sz w:val="20"/>
                <w:szCs w:val="20"/>
                <w:color w:val="auto"/>
              </w:rPr>
            </w:pPr>
            <w:r>
              <w:rPr>
                <w:rFonts w:ascii="Arial" w:cs="Arial" w:eastAsia="Arial" w:hAnsi="Arial"/>
                <w:sz w:val="17"/>
                <w:szCs w:val="17"/>
                <w:color w:val="auto"/>
              </w:rPr>
              <w:t>30,386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rPr>
              <w:t>(8,711)</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As a percentage of net sales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60"/>
          </w:cols>
          <w:pgMar w:left="240" w:top="441" w:right="29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Sales - Climate Control</w:t>
      </w:r>
    </w:p>
    <w:p>
      <w:pPr>
        <w:spacing w:after="0" w:line="126" w:lineRule="exact"/>
        <w:rPr>
          <w:sz w:val="20"/>
          <w:szCs w:val="20"/>
          <w:color w:val="auto"/>
        </w:rPr>
      </w:pPr>
    </w:p>
    <w:p>
      <w:pPr>
        <w:ind w:left="880" w:right="20" w:hanging="434"/>
        <w:spacing w:after="0" w:line="271"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sales of our water source and geothermal heat pump products decreased in 2014 primarily as a result of the loss of the Carrier heat pump contracts, which generated sales in 2014 that were $17 million lower than 2013. Excluding Carrier heat pump sales, commercial/institutional product sales were flat with 2013 while residential product sales were up nearly 6.5%. Overall, the number of units sold declined; and the unit average unit selling price increased due to lower Carrier sales. From a commercial/institutional market perspective, gains were seen in the retail and multi-family sectors with a slight decline in the education sector. In addition, 2014 had an extremely slow start due to low beginning backlog and weather related delays. Incoming orders, excluding Carrier, for commercial/institutional products and residential products increased 11% and 15%, respectively. During 2014, we continued to maintain a market share leadership position based on market data supplied by the AHRI.</w:t>
      </w:r>
    </w:p>
    <w:p>
      <w:pPr>
        <w:spacing w:after="0" w:line="83" w:lineRule="exact"/>
        <w:rPr>
          <w:rFonts w:ascii="Arial" w:cs="Arial" w:eastAsia="Arial" w:hAnsi="Arial"/>
          <w:sz w:val="16"/>
          <w:szCs w:val="16"/>
          <w:color w:val="auto"/>
        </w:rPr>
      </w:pPr>
    </w:p>
    <w:p>
      <w:pPr>
        <w:ind w:left="880" w:right="140" w:hanging="434"/>
        <w:spacing w:after="0" w:line="285"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sales of our hydronic fan coils declined in 2014 primarily due to lower than expected product orders partially offset by an increase in selling prices of approximately 8% over 2013 primarily due to product and feature mix. We experienced only minor fluctuations in the vertical markets served. During 2014, we continued to maintain a market share leadership position based on market data supplied by the AHRI.</w:t>
      </w:r>
    </w:p>
    <w:p>
      <w:pPr>
        <w:spacing w:after="0" w:line="68" w:lineRule="exact"/>
        <w:rPr>
          <w:rFonts w:ascii="Arial" w:cs="Arial" w:eastAsia="Arial" w:hAnsi="Arial"/>
          <w:sz w:val="16"/>
          <w:szCs w:val="16"/>
          <w:color w:val="auto"/>
        </w:rPr>
      </w:pPr>
    </w:p>
    <w:p>
      <w:pPr>
        <w:ind w:left="880" w:right="60" w:hanging="434"/>
        <w:spacing w:after="0" w:line="341" w:lineRule="auto"/>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Net sales of our other HVAC products decreased primarily due to a lower beginning backlog entering 2014, customer scheduled delivery dates shifting out for our large custom air handlers and modular chillers, partially offset by increased activity on contracts for our engineering and construction services.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 - Climate Control</w:t>
      </w:r>
    </w:p>
    <w:p>
      <w:pPr>
        <w:spacing w:after="0" w:line="126" w:lineRule="exact"/>
        <w:rPr>
          <w:sz w:val="20"/>
          <w:szCs w:val="20"/>
          <w:color w:val="auto"/>
        </w:rPr>
      </w:pPr>
    </w:p>
    <w:p>
      <w:pPr>
        <w:ind w:left="880" w:right="460" w:hanging="434"/>
        <w:spacing w:after="0" w:line="273"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decrease in gross profit in our Climate Control Business was primarily the result of the lower net sales as discussed above and reduced overhead absorption related to fewer units sold in 2014 as compared to 2013.</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 - Climate Control</w:t>
      </w:r>
    </w:p>
    <w:p>
      <w:pPr>
        <w:spacing w:after="0" w:line="126" w:lineRule="exact"/>
        <w:rPr>
          <w:sz w:val="20"/>
          <w:szCs w:val="20"/>
          <w:color w:val="auto"/>
        </w:rPr>
      </w:pPr>
    </w:p>
    <w:p>
      <w:pPr>
        <w:ind w:left="880" w:right="20" w:hanging="434"/>
        <w:spacing w:after="0" w:line="278"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income decreased primarily as a result of the lower gross profit discussed above, partially offset by lower operating expenses. However, variable selling expenses as a percentage of sales increased due to the change in product and customer mix with lower OEM sales at CM causing freight to increase as a percentage of sales and warranty expenses increasing due to recent claims at our fan coil operation. Fixed selling and administrative expense in 2014 declined slightly from 2013 but represented a greater percentage of net sales due to lower sales in 2014.</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Corporate Expenses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General corporate expenses consist of SG&amp;A, other income and other expense that are not allocated to one of our business segments. General corporate expenses were $21.4 million during 2014 compared to $14.6 million in 2013. The increase was primarily the result of incurring approximately $4.2 million in fees and expenses related to evaluating and analyzing proposals from and settling with certain activist shareholders in the first quarter of 2014 and increases in consulting fees and services of $0.9 million, insurance and bank related expense of $0.4 million, depreciation and amortization of $0.4 and personnel costs of $0.3 million. During 2013, we recognized other income of $0.5 million relating to a litigation settlement.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Interest Expense, net</w:t>
      </w:r>
    </w:p>
    <w:p>
      <w:pPr>
        <w:spacing w:after="0" w:line="114"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color w:val="auto"/>
        </w:rPr>
        <w:t>Interest expense for 2014 was $21.6 million compared to $14.0 million for 2013. The increase is due primarily to the issuance of the Senior Secured Notes during 2013, partially offset by $14.1 million of capitalized interest on capital projects under development and construction during 2014 compared to $4.0 million capitalized during 2013.</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Loss on Extinguishment of Debt</w:t>
      </w:r>
    </w:p>
    <w:p>
      <w:pPr>
        <w:spacing w:after="0" w:line="11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As the result of the payoff of the Secured Term Loan in 2013, we incurred a loss on extinguishment of debt of $1.3 million, consisting of a prepayment premium and writing off unamortized debt issuance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1"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14"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The provision for income taxes for 2014 was approximately $12.4 million compared to $35.4 million for 2013. The resulting effective tax rate was 39% for 2014 and 40% for 2013 (excluding the benefit of $0.5 million associated with the retroactive tax relief on certain 2012 tax provisions that expired in 2012). The decrease in the effective tax rate was due primarily to certain expired tax credits reinstated during December 2014.</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Year Ended December 31, 2013 Compared to Year Ended 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Chemical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certain information about our net sales, gross profit and operating income in our Chemical segment for 2013 and 2012:</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1"/>
              </w:rPr>
              <w:t>Change</w:t>
            </w:r>
          </w:p>
        </w:tc>
        <w:tc>
          <w:tcPr>
            <w:tcW w:w="62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jc w:val="center"/>
              <w:ind w:right="80"/>
              <w:spacing w:after="0" w:line="145" w:lineRule="exact"/>
              <w:rPr>
                <w:sz w:val="20"/>
                <w:szCs w:val="20"/>
                <w:color w:val="auto"/>
              </w:rPr>
            </w:pPr>
            <w:r>
              <w:rPr>
                <w:rFonts w:ascii="Arial" w:cs="Arial" w:eastAsia="Arial" w:hAnsi="Arial"/>
                <w:sz w:val="14"/>
                <w:szCs w:val="14"/>
                <w:color w:val="auto"/>
                <w:w w:val="88"/>
              </w:rPr>
              <w:t>(Dollars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7"/>
                <w:szCs w:val="17"/>
                <w:color w:val="auto"/>
              </w:rPr>
              <w:t>Agricultural products</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167,614</w:t>
            </w:r>
          </w:p>
        </w:tc>
        <w:tc>
          <w:tcPr>
            <w:tcW w:w="2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217,329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w w:val="91"/>
              </w:rPr>
              <w:t>(49,715)</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Industrial acids and other chemical products</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141,936</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162,498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1"/>
              </w:rPr>
              <w:t>(20,562)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7"/>
                <w:szCs w:val="17"/>
                <w:color w:val="auto"/>
              </w:rPr>
              <w:t>Mining products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63,042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96,538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w w:val="91"/>
              </w:rPr>
              <w:t>(33,496)</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products</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8,077</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6,629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457.8%</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680"/>
              <w:spacing w:after="0"/>
              <w:rPr>
                <w:sz w:val="20"/>
                <w:szCs w:val="20"/>
                <w:color w:val="auto"/>
              </w:rPr>
            </w:pPr>
            <w:r>
              <w:rPr>
                <w:rFonts w:ascii="Arial" w:cs="Arial" w:eastAsia="Arial" w:hAnsi="Arial"/>
                <w:sz w:val="17"/>
                <w:szCs w:val="17"/>
                <w:color w:val="auto"/>
              </w:rPr>
              <w:t>Total Chemical</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line="20" w:lineRule="exact"/>
              <w:rPr>
                <w:sz w:val="1"/>
                <w:szCs w:val="1"/>
                <w:color w:val="auto"/>
              </w:rPr>
            </w:pPr>
          </w:p>
        </w:tc>
      </w:tr>
      <w:tr>
        <w:trPr>
          <w:trHeight w:val="208"/>
        </w:trPr>
        <w:tc>
          <w:tcPr>
            <w:tcW w:w="4640" w:type="dxa"/>
            <w:vAlign w:val="bottom"/>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380,669</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477,813</w:t>
            </w: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w w:val="91"/>
              </w:rPr>
              <w:t>(97,144)</w:t>
            </w: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Gross profit - Chemical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46,165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97,692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1"/>
              </w:rPr>
              <w:t>(51,527)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7"/>
                <w:szCs w:val="17"/>
                <w:color w:val="auto"/>
              </w:rPr>
              <w:t>Gross profit percentage - Chemical (1)</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12.1%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line="194" w:lineRule="exact"/>
              <w:rPr>
                <w:sz w:val="20"/>
                <w:szCs w:val="20"/>
                <w:color w:val="auto"/>
              </w:rPr>
            </w:pPr>
            <w:r>
              <w:rPr>
                <w:rFonts w:ascii="Arial" w:cs="Arial" w:eastAsia="Arial" w:hAnsi="Arial"/>
                <w:sz w:val="17"/>
                <w:szCs w:val="17"/>
                <w:color w:val="auto"/>
              </w:rPr>
              <w:t>20.4%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(8.3)%</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 Chemical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87,784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82,101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5,683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8"/>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a percentage of net sales</w:t>
      </w:r>
    </w:p>
    <w:p>
      <w:pPr>
        <w:spacing w:after="0" w:line="30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color w:val="auto"/>
        </w:rPr>
        <w:t>Net Sales - Chemical</w:t>
      </w:r>
    </w:p>
    <w:p>
      <w:pPr>
        <w:spacing w:after="0" w:line="126" w:lineRule="exact"/>
        <w:rPr>
          <w:rFonts w:ascii="Arial" w:cs="Arial" w:eastAsia="Arial" w:hAnsi="Arial"/>
          <w:sz w:val="17"/>
          <w:szCs w:val="17"/>
          <w:color w:val="auto"/>
        </w:rPr>
      </w:pPr>
    </w:p>
    <w:p>
      <w:pPr>
        <w:ind w:left="880" w:right="20" w:hanging="434"/>
        <w:spacing w:after="0" w:line="273"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Agricultural products sales decreased due to the lack of available products as the result of the downtime experienced at our Cherokee and Pryor Facilities, lower sales prices for nitrogen fertilizer, and periodic adverse weather conditions during 2013.</w:t>
      </w:r>
    </w:p>
    <w:p>
      <w:pPr>
        <w:spacing w:after="0" w:line="76" w:lineRule="exact"/>
        <w:rPr>
          <w:rFonts w:ascii="Arial" w:cs="Arial" w:eastAsia="Arial" w:hAnsi="Arial"/>
          <w:sz w:val="17"/>
          <w:szCs w:val="17"/>
          <w:color w:val="auto"/>
        </w:rPr>
      </w:pPr>
    </w:p>
    <w:p>
      <w:pPr>
        <w:ind w:left="880" w:right="40" w:hanging="434"/>
        <w:spacing w:after="0" w:line="257"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Industrial acids and other chemical products sales decreased due to the reduction in the average Tampa ammonia price by more than $57 per metric ton in 2013 compared to 2012 and its impact to pricing to certain of our industrial acid customers, the unplanned downtime at our Cherokee Facility, the reduction in production at our El Dorado Facility, and the timing and duration of a Turnaround performed at our Baytown Facility to coincide with a significant customer’s planned maintenance outage.</w:t>
      </w:r>
    </w:p>
    <w:p>
      <w:pPr>
        <w:spacing w:after="0" w:line="90" w:lineRule="exact"/>
        <w:rPr>
          <w:rFonts w:ascii="Arial" w:cs="Arial" w:eastAsia="Arial" w:hAnsi="Arial"/>
          <w:sz w:val="17"/>
          <w:szCs w:val="17"/>
          <w:color w:val="auto"/>
        </w:rPr>
      </w:pPr>
    </w:p>
    <w:p>
      <w:pPr>
        <w:ind w:left="880" w:hanging="434"/>
        <w:spacing w:after="0" w:line="273"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Mining products sales decreased primarily due to a 44% decrease in volumes as the result of lower customer demand due to the current low cost of natural gas as an alternative fuel for utility companies and the downtime experienced at the Cherokee Facility.</w:t>
      </w:r>
    </w:p>
    <w:p>
      <w:pPr>
        <w:spacing w:after="0" w:line="76" w:lineRule="exact"/>
        <w:rPr>
          <w:rFonts w:ascii="Arial" w:cs="Arial" w:eastAsia="Arial" w:hAnsi="Arial"/>
          <w:sz w:val="17"/>
          <w:szCs w:val="17"/>
          <w:color w:val="auto"/>
        </w:rPr>
      </w:pPr>
    </w:p>
    <w:p>
      <w:pPr>
        <w:ind w:left="880" w:right="180" w:hanging="434"/>
        <w:spacing w:after="0" w:line="261"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Other products consist of natural gas sales relating to working interests in certain natural gas properties acquired in October 2012 and August 2013 by a subsidiary within our Chemical Business. Management considers these working interests as an economic hedge against a portion of a potential rise in natural gas prices in the future for a portion of our future natural gas production requirements.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40"/>
          </w:cols>
          <w:pgMar w:left="240" w:top="441" w:right="31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Gross Profit - Chemical</w:t>
      </w:r>
    </w:p>
    <w:p>
      <w:pPr>
        <w:spacing w:after="0" w:line="126" w:lineRule="exact"/>
        <w:rPr>
          <w:sz w:val="20"/>
          <w:szCs w:val="20"/>
          <w:color w:val="auto"/>
        </w:rPr>
      </w:pPr>
    </w:p>
    <w:p>
      <w:pPr>
        <w:ind w:left="880" w:right="40" w:hanging="434"/>
        <w:spacing w:after="0" w:line="253"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Chemical Business’ gross profit was $46.2 million, including $28.6 million business interruption insurance recovery recognized. Excluding the insurance recovery, the decrease in gross profit of $72.8 million was primarily attributable to lower sales volume, unabsorbed fixed overhead costs, maintenance and repair costs, and costs associated with purchased ammonia and other products to meet some of our customers’ needs, all of which are primarily attributable to the downtime experienced at certain of our facilities, partially offset by $4.5 million precious metals recoveries during 2013. Additionally, gross margin percentages were impacted as the result of lower nitrogen fertilizer sale prices and higher natural gas feedstock costs. For 2012, the estimated cumulative impact from the downtime experienced at our facilities was approximately $32 million, which included unabsorbed fixed overhead costs, losses incurred on firm sales commitments, maintenance and repair costs, and other expenses, partially offset by $7.3 million business interruption insurance recovery.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Operating Income - Chemical</w:t>
      </w:r>
    </w:p>
    <w:p>
      <w:pPr>
        <w:spacing w:after="0" w:line="126" w:lineRule="exact"/>
        <w:rPr>
          <w:sz w:val="20"/>
          <w:szCs w:val="20"/>
          <w:color w:val="auto"/>
        </w:rPr>
      </w:pPr>
    </w:p>
    <w:p>
      <w:pPr>
        <w:ind w:left="880" w:hanging="434"/>
        <w:spacing w:after="0" w:line="254"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Chemical Business’ operating income was $87.8 million, including the $66.0 million property insurance recovery recognized (classified as property insurance recoveries in excess of losses incurred) during 2013 partially offset by the decrease in gross profit as discussed above. Selling, general and administrative expenses increased approximately $3.3 million primarily due to consulting and other fees related to the El Dorado Facility, professional fees incurred at our Pryor Facility in connection with improving plant reliability. Additionally, other net expenses increased approximately $5.5 million primarily as a result of dismantle and demolition costs incurred at the El Dorado Facility and other income of $2.3 million recognized in 2012 (none in 2013) relating to a litigation settlement with a certain vendor.</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Climate Control Business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information about our net sales, gross profit and operating income in our Climate Control segment for 2013 and 2012:</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0"/>
        </w:trPr>
        <w:tc>
          <w:tcPr>
            <w:tcW w:w="5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1"/>
              </w:rPr>
              <w:t>Change</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4"/>
          </w:tcPr>
          <w:p>
            <w:pPr>
              <w:jc w:val="right"/>
              <w:ind w:right="320"/>
              <w:spacing w:after="0" w:line="133" w:lineRule="exact"/>
              <w:rPr>
                <w:sz w:val="20"/>
                <w:szCs w:val="20"/>
                <w:color w:val="auto"/>
              </w:rPr>
            </w:pPr>
            <w:r>
              <w:rPr>
                <w:rFonts w:ascii="Arial" w:cs="Arial" w:eastAsia="Arial" w:hAnsi="Arial"/>
                <w:sz w:val="14"/>
                <w:szCs w:val="14"/>
                <w:color w:val="auto"/>
                <w:w w:val="91"/>
              </w:rPr>
              <w:t>(Dollars In Thousands)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7"/>
                <w:szCs w:val="17"/>
                <w:color w:val="auto"/>
              </w:rPr>
              <w:t>Water source and geothermal heat pumps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183,757</w:t>
            </w:r>
          </w:p>
        </w:tc>
        <w:tc>
          <w:tcPr>
            <w:tcW w:w="2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w w:val="87"/>
              </w:rPr>
              <w:t>162,697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20"/>
              <w:spacing w:after="0"/>
              <w:rPr>
                <w:sz w:val="20"/>
                <w:szCs w:val="20"/>
                <w:color w:val="auto"/>
              </w:rPr>
            </w:pPr>
            <w:r>
              <w:rPr>
                <w:rFonts w:ascii="Arial" w:cs="Arial" w:eastAsia="Arial" w:hAnsi="Arial"/>
                <w:sz w:val="17"/>
                <w:szCs w:val="17"/>
                <w:color w:val="auto"/>
                <w:w w:val="96"/>
              </w:rPr>
              <w:t>21,060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Hydronic fan coils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64,541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55,812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8,729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7"/>
                <w:szCs w:val="17"/>
                <w:color w:val="auto"/>
              </w:rPr>
              <w:t>Other HVAC products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36,720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47,662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w w:val="88"/>
              </w:rPr>
              <w:t>(10,942)</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Climate Control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285,018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266,171</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96"/>
              </w:rPr>
              <w:t>18,847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Gross profit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92,907</w:t>
            </w:r>
          </w:p>
        </w:tc>
        <w:tc>
          <w:tcPr>
            <w:tcW w:w="220" w:type="dxa"/>
            <w:vAlign w:val="bottom"/>
          </w:tcPr>
          <w:p>
            <w:pPr>
              <w:spacing w:after="0"/>
              <w:rPr>
                <w:sz w:val="16"/>
                <w:szCs w:val="16"/>
                <w:color w:val="auto"/>
              </w:rPr>
            </w:pPr>
          </w:p>
        </w:tc>
        <w:tc>
          <w:tcPr>
            <w:tcW w:w="4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rPr>
              <w:t>80,981</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w w:val="96"/>
              </w:rPr>
              <w:t>11,926</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Gross profit percentage - Climate Control (1)</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32.6%</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2.2%</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Operating income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30,386</w:t>
            </w:r>
          </w:p>
        </w:tc>
        <w:tc>
          <w:tcPr>
            <w:tcW w:w="220" w:type="dxa"/>
            <w:vAlign w:val="bottom"/>
          </w:tcPr>
          <w:p>
            <w:pPr>
              <w:spacing w:after="0"/>
              <w:rPr>
                <w:sz w:val="16"/>
                <w:szCs w:val="16"/>
                <w:color w:val="auto"/>
              </w:rPr>
            </w:pPr>
          </w:p>
        </w:tc>
        <w:tc>
          <w:tcPr>
            <w:tcW w:w="4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rPr>
              <w:t>25,834</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rPr>
              <w:t>4,552</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As a percentage of net sales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41"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Sales - Climate Control</w:t>
      </w:r>
    </w:p>
    <w:p>
      <w:pPr>
        <w:spacing w:after="0" w:line="126" w:lineRule="exact"/>
        <w:rPr>
          <w:sz w:val="20"/>
          <w:szCs w:val="20"/>
          <w:color w:val="auto"/>
        </w:rPr>
      </w:pPr>
    </w:p>
    <w:p>
      <w:pPr>
        <w:ind w:left="880" w:right="80" w:hanging="434"/>
        <w:spacing w:after="0" w:line="255"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sales of our geothermal and water source heat pump products increased primarily as a result of a 17% improvement in sales of our commercial/institutional products with an increase in the number of units sold and higher unit pricing associated with product mix as well as reducing the level of backlog and an increase in new product orders during the year. Residential product sales improved 3% as a result of reducing the level of backlog, increased orders and higher unit pricing. During 2013, we continued to maintain a market share leadership position of approximately 40%, based on market data supplied by the AHRI.</w:t>
      </w:r>
    </w:p>
    <w:p>
      <w:pPr>
        <w:spacing w:after="0" w:line="92" w:lineRule="exact"/>
        <w:rPr>
          <w:rFonts w:ascii="Arial" w:cs="Arial" w:eastAsia="Arial" w:hAnsi="Arial"/>
          <w:sz w:val="17"/>
          <w:szCs w:val="17"/>
          <w:color w:val="auto"/>
        </w:rPr>
      </w:pPr>
    </w:p>
    <w:p>
      <w:pPr>
        <w:ind w:left="880" w:right="60" w:hanging="434"/>
        <w:spacing w:after="0" w:line="261"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sales of our hydronic fan coils increased primarily as a result of an increase in the number of units sold, unit pricing and product mix related to reducing the level of backlog and an increase in new product orders during the year. During 2013, we continued to have a market share leadership position of approximately 32% based on market data supplied by the AHRI.</w:t>
      </w:r>
    </w:p>
    <w:p>
      <w:pPr>
        <w:spacing w:after="0" w:line="86" w:lineRule="exact"/>
        <w:rPr>
          <w:rFonts w:ascii="Arial" w:cs="Arial" w:eastAsia="Arial" w:hAnsi="Arial"/>
          <w:sz w:val="17"/>
          <w:szCs w:val="17"/>
          <w:color w:val="auto"/>
        </w:rPr>
      </w:pPr>
    </w:p>
    <w:p>
      <w:pPr>
        <w:ind w:left="880" w:right="260" w:hanging="434"/>
        <w:spacing w:after="0" w:line="273"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sales of our other HVAC products decreased primarily due to a decline in incoming orders for our large custom air handlers and for our engineering and construction services partially offset by increased sales of our modular chillers.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Gross Profit - Climate Control</w:t>
      </w:r>
    </w:p>
    <w:p>
      <w:pPr>
        <w:spacing w:after="0" w:line="126" w:lineRule="exact"/>
        <w:rPr>
          <w:sz w:val="20"/>
          <w:szCs w:val="20"/>
          <w:color w:val="auto"/>
        </w:rPr>
      </w:pPr>
    </w:p>
    <w:p>
      <w:pPr>
        <w:jc w:val="both"/>
        <w:ind w:left="880" w:hanging="434"/>
        <w:spacing w:after="0" w:line="261"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increase in gross profit in our Climate Control Business was primarily the result of the higher sales volume and unit pricing and change in product mix as discussed above. Gross profit as a percentage of sales improved primarily due to an improvement in raw material costs (copper, steel and aluminum) and overhead absorption related to the higher sales volume.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Operating Income - Climate Control</w:t>
      </w:r>
    </w:p>
    <w:p>
      <w:pPr>
        <w:spacing w:after="0" w:line="126" w:lineRule="exact"/>
        <w:rPr>
          <w:sz w:val="20"/>
          <w:szCs w:val="20"/>
          <w:color w:val="auto"/>
        </w:rPr>
      </w:pPr>
    </w:p>
    <w:p>
      <w:pPr>
        <w:ind w:left="880" w:right="120" w:hanging="434"/>
        <w:spacing w:after="0" w:line="278"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Operating income increased as the result of the increase in gross profit discussed above partially offset by higher variable selling expenses of $2.0 million (including commission of $0.7 million, warranty of $0.6 million, and freight of $0.6 million) primarily as the result of higher sales volume, increased consulting fees of $1.2 million primarily for services focused on future process and cost savings improvements, and increased personnel costs of $3.9 million primarily related to the increase in the number of employees and healthcare benefits.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Interest Expense, net</w:t>
      </w:r>
    </w:p>
    <w:p>
      <w:pPr>
        <w:spacing w:after="0" w:line="114"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Interest expense for 2013 was $14.0 million compared to $4.2 million for 2012. The increase is due primarily to the issuance of the Senior Secured Notes as discussed above under “Loan Agreements” partially offset by $4.0 million of capitalized interest on capital projects, while under development and construction, during 2013 compared to $0.4 million capitalized during 2012.</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Loss on Extinguishment of Debt</w:t>
      </w:r>
    </w:p>
    <w:p>
      <w:pPr>
        <w:spacing w:after="0" w:line="11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As the result of the payoff of the Secured Term Loan in 2013, we incurred a loss on extinguishment of debt of $1.3 million, consisting of a prepayment premium and writing off unamortized debt issuance costs.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1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provision for income taxes for 2013 was approximately $35.4 million compared to an income tax provision of $33.6 million for 2012. The resulting effective tax rate for 2013 and 2012 was 40% (excluding the benefit of $0.5 million associated with the retroactive tax relief on certain 2012 tax provisions that expired in 2012) and 36%, respectively. The increase in the effective tax rate was due primarily to the inability to take advantage of “domestic manufacturing deduction” as a result of the lower manufacturing income in 2013.</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1"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14"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“Results of Operations,” and “Loan Agreements” included in this MD&amp;A. Before discussing our capitalization and capital projects in detail, the following summarizes our cash flow activities in 2014:</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Flow from Continuing Operating Activities</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2014, net cash provided by continuing operating activities was $66.7 million primarily as the result of net income of $19.6 million plus adjustments of $12.8 million for deferred income taxes, and $35.7 million for depreciation, depletion and amortization of PP&amp;E.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Flow from Continuing Investing Activities</w:t>
      </w:r>
    </w:p>
    <w:p>
      <w:pPr>
        <w:spacing w:after="0" w:line="114"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Net cash used by continuing investing activities for 2014 of $12.0 million consisted primarily of $219.8 million used for expenditures for PP&amp;E primarily for the benefit of our Chemical Business and net purchases of short-term investments of $14.5 million, partially offset by net proceeds of $219.6 million from restricted cash and cash equivalents and investments primarily representing cash designated by management for specific capital projects relating to our Chemical Business.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Flow from Continuing Financing Activities</w:t>
      </w:r>
    </w:p>
    <w:p>
      <w:pPr>
        <w:spacing w:after="0" w:line="1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cash used by continuing financing activities for 2014 of $11.5 million was primarily related to payments on short-term financing and long-term debt partially offset by proceeds from short-term financing.</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Capitalization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our cash and cash equivalents, noncurrent restricted cash and investments, long-term debt and stockholders’ equity:</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8"/>
        </w:trPr>
        <w:tc>
          <w:tcPr>
            <w:tcW w:w="5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line="158" w:lineRule="exact"/>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line="158"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ind w:left="600"/>
              <w:spacing w:after="0" w:line="133"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and short-term investments</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7"/>
                <w:szCs w:val="17"/>
                <w:color w:val="auto"/>
              </w:rPr>
              <w:t>Noncurrent restricted cash and cash equivalents and investments (1)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7"/>
                <w:szCs w:val="17"/>
                <w:color w:val="auto"/>
              </w:rPr>
              <w:t>71.0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and noncurrent cash and investments</w:t>
            </w:r>
          </w:p>
        </w:tc>
        <w:tc>
          <w:tcPr>
            <w:tcW w:w="9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Long-term debt:</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Senior Secured Notes</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340"/>
              <w:spacing w:after="0"/>
              <w:rPr>
                <w:sz w:val="20"/>
                <w:szCs w:val="20"/>
                <w:color w:val="auto"/>
              </w:rPr>
            </w:pPr>
            <w:r>
              <w:rPr>
                <w:rFonts w:ascii="Arial" w:cs="Arial" w:eastAsia="Arial" w:hAnsi="Arial"/>
                <w:sz w:val="17"/>
                <w:szCs w:val="17"/>
                <w:color w:val="auto"/>
              </w:rPr>
              <w:t>Secured Promissory Note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7"/>
                <w:szCs w:val="17"/>
                <w:color w:val="auto"/>
              </w:rPr>
              <w:t>22.8</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Arial" w:cs="Arial" w:eastAsia="Arial" w:hAnsi="Arial"/>
                <w:sz w:val="17"/>
                <w:szCs w:val="17"/>
                <w:color w:val="auto"/>
              </w:rPr>
              <w:t>Total long-term debt, including current portion</w:t>
            </w:r>
          </w:p>
        </w:tc>
        <w:tc>
          <w:tcPr>
            <w:tcW w:w="10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457.3</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434.0</w:t>
            </w: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411.7</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Long-term debt to stockholders’ equity ratio (2)</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w:t>
            </w:r>
          </w:p>
        </w:tc>
        <w:tc>
          <w:tcPr>
            <w:tcW w:w="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220" w:hanging="438"/>
        <w:spacing w:after="0" w:line="272"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 December 31, 2014, this balance includes a certificate of deposit with an original maturity no longer than approximately 26 weeks. We have designated this balance for specific purposes relating to capital projects. All of these investments were held by financial institutions within the U.S.</w:t>
      </w:r>
    </w:p>
    <w:p>
      <w:pPr>
        <w:spacing w:after="0" w:line="1" w:lineRule="exact"/>
        <w:rPr>
          <w:rFonts w:ascii="Arial" w:cs="Arial" w:eastAsia="Arial" w:hAnsi="Arial"/>
          <w:sz w:val="16"/>
          <w:szCs w:val="16"/>
          <w:color w:val="auto"/>
        </w:rPr>
      </w:pPr>
    </w:p>
    <w:p>
      <w:pPr>
        <w:ind w:left="440" w:right="80" w:hanging="438"/>
        <w:spacing w:after="0" w:line="259"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ratio is based on total long-term debt divided by total stockholders’ equity and excludes the use of cash or noncurrent restricted cash and investments to pay down debt.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1"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color w:val="auto"/>
        </w:rPr>
        <w:t>As of December 31, 2014, our current and noncurrent cash and investments totaled $272.3 million. In addition, our $100 million revolving credit facility was undrawn and available to fund operations as discussed below, if needed, subject to the amount of our eligible collateral and outstanding letters of credit.</w:t>
      </w:r>
    </w:p>
    <w:p>
      <w:pPr>
        <w:spacing w:after="0" w:line="14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For 2015, we have extensive planned capital expenditures. Our primary cash needs for this period of time will be to fund our planned capital spending program, as well as, our operations, our general obligations, and our interest payment requirements. Based upon our projections for 2015, we expect to fund these cash needs from the noncurrent restricted cash and investments (provided from the proceeds from the Senior Secured Notes), working capital, internally generated cash flows, and third-party financing. We are currently in discussion with certain lenders to finance three separately identifiable pieces of equipment that are included in the planned expansion project. We have received a conditional commitment for $16 million to finance a natural gas pipeline being constructed at our El Dorado Facility. Additionally, we are in final discussions regarding financing $21 million related to the construction of a cogeneration facility at our El Dorado Facility. We continue to consider additional borrowing for a third piece of equipment. Subject to the terms of our existing loan agreements, including the Senior Secured Notes, these total secured borrowings being considered and under discussion is approximately $50 million. We believe that neither the Senior Secured Notes nor the Amended Working Capital Revolver Loan will preclude us from entering into the additional borrowings. See additional discussions below under “Capital Additions”. Our internally generated cash flows and liquidity have been, and could be, affected by possible declines in sales volumes resulting from the uncertainty regarding current economic conditions and production inefficiency of our facilities.</w:t>
      </w:r>
    </w:p>
    <w:p>
      <w:pPr>
        <w:spacing w:after="0" w:line="172" w:lineRule="exact"/>
        <w:rPr>
          <w:sz w:val="20"/>
          <w:szCs w:val="20"/>
          <w:color w:val="auto"/>
        </w:rPr>
      </w:pPr>
    </w:p>
    <w:p>
      <w:pPr>
        <w:ind w:right="720"/>
        <w:spacing w:after="0" w:line="273" w:lineRule="auto"/>
        <w:rPr>
          <w:sz w:val="20"/>
          <w:szCs w:val="20"/>
          <w:color w:val="auto"/>
        </w:rPr>
      </w:pPr>
      <w:r>
        <w:rPr>
          <w:rFonts w:ascii="Arial" w:cs="Arial" w:eastAsia="Arial" w:hAnsi="Arial"/>
          <w:sz w:val="17"/>
          <w:szCs w:val="17"/>
          <w:color w:val="auto"/>
        </w:rPr>
        <w:t>We are party to an Indenture governing the Senior Secured Notes. The Indenture contains covenants that, among other things, limit LSB’s ability, with certain exceptions and as defined in the Indenture, to certain transactions.</w:t>
      </w:r>
    </w:p>
    <w:p>
      <w:pPr>
        <w:spacing w:after="0" w:line="16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As discussed below under “Loan Agreements”, we and certain of our subsidiaries are party to an amended and restated revolving credit facility. Pursuant to the terms of the Amended Working Capital Revolver Loan, the principal amount the Borrowers may borrow is up to $100.0 million, based on specific percentages of eligible accounts receivable and inventories. At December 31, 2014, there were no outstanding borrowings under the Amended Working Capital Revolver Loan and the net credit available for borrowings was approximately $71.1 million, based on our eligible collateral, less outstanding letters of credit as of that date.</w:t>
      </w:r>
    </w:p>
    <w:p>
      <w:pPr>
        <w:spacing w:after="0" w:line="16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Due to the overall increase in our outstanding long-term debt, our interest payment obligations have increased and will continue during future periods. A portion of our interest has been, and will be capitalized relating to major capital projects.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 November 2012, we filed a universal shelf registration statement on Form S-3, with the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post-effective amendment. </w:t>
      </w:r>
      <w:r>
        <w:rPr>
          <w:rFonts w:ascii="Arial" w:cs="Arial" w:eastAsia="Arial" w:hAnsi="Arial"/>
          <w:sz w:val="17"/>
          <w:szCs w:val="17"/>
          <w:b w:val="1"/>
          <w:bCs w:val="1"/>
          <w:color w:val="auto"/>
        </w:rPr>
        <w:t>This disclosure shall not constitute an offer to sell or the</w:t>
      </w:r>
      <w:r>
        <w:rPr>
          <w:rFonts w:ascii="Arial" w:cs="Arial" w:eastAsia="Arial" w:hAnsi="Arial"/>
          <w:sz w:val="17"/>
          <w:szCs w:val="17"/>
          <w:color w:val="auto"/>
        </w:rPr>
        <w:t xml:space="preserve"> </w:t>
      </w:r>
      <w:r>
        <w:rPr>
          <w:rFonts w:ascii="Arial" w:cs="Arial" w:eastAsia="Arial" w:hAnsi="Arial"/>
          <w:sz w:val="17"/>
          <w:szCs w:val="17"/>
          <w:b w:val="1"/>
          <w:bCs w:val="1"/>
          <w:color w:val="auto"/>
        </w:rPr>
        <w:t>solicitation of an offer to buy, nor shall there be any sale of these securities in any state in which such offer, solicitation or sale would be unlawful prior to registration or qualification under the securities laws of any such state.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Capital Additions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Capital Additions - 2014</w:t>
      </w:r>
    </w:p>
    <w:p>
      <w:pPr>
        <w:spacing w:after="0" w:line="11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Capital additions during 2014 were $248.1 million, including $241.3 million for the benefit of our Chemical Business. The Chemical Business capital additions included $175.8 million for expansion projects at our El Dorado Facility, approximately $19.4 million associated with maintaining compliance with environmental laws, regulations and guidelines, approximately $23.0 million for various major renewal and improvement projects, and $6.9 million for the development of natural gas leaseholds. The capital additions were funded primarily from noncurrent restricted cash and investments and working capital. Due to the increase in the amount of capital additions incurred and planned, our depreciation, depletion and amortization expenses have increased and are expected to continue to increase during 2015 and future years.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1"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Planned Capital Additions</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100" w:type="dxa"/>
            <w:vAlign w:val="bottom"/>
            <w:gridSpan w:val="5"/>
          </w:tcPr>
          <w:p>
            <w:pPr>
              <w:jc w:val="center"/>
              <w:ind w:right="80"/>
              <w:spacing w:after="0"/>
              <w:rPr>
                <w:sz w:val="20"/>
                <w:szCs w:val="20"/>
                <w:color w:val="auto"/>
              </w:rPr>
            </w:pPr>
            <w:r>
              <w:rPr>
                <w:rFonts w:ascii="Arial" w:cs="Arial" w:eastAsia="Arial" w:hAnsi="Arial"/>
                <w:sz w:val="14"/>
                <w:szCs w:val="14"/>
                <w:color w:val="auto"/>
                <w:w w:val="86"/>
              </w:rPr>
              <w:t>Planned Capital</w:t>
            </w:r>
          </w:p>
        </w:tc>
      </w:tr>
      <w:tr>
        <w:trPr>
          <w:trHeight w:val="158"/>
        </w:trPr>
        <w:tc>
          <w:tcPr>
            <w:tcW w:w="6660" w:type="dxa"/>
            <w:vAlign w:val="bottom"/>
          </w:tcPr>
          <w:p>
            <w:pPr>
              <w:spacing w:after="0"/>
              <w:rPr>
                <w:sz w:val="13"/>
                <w:szCs w:val="13"/>
                <w:color w:val="auto"/>
              </w:rPr>
            </w:pPr>
          </w:p>
        </w:tc>
        <w:tc>
          <w:tcPr>
            <w:tcW w:w="1100" w:type="dxa"/>
            <w:vAlign w:val="bottom"/>
            <w:gridSpan w:val="5"/>
          </w:tcPr>
          <w:p>
            <w:pPr>
              <w:jc w:val="center"/>
              <w:ind w:right="80"/>
              <w:spacing w:after="0" w:line="158" w:lineRule="exact"/>
              <w:rPr>
                <w:sz w:val="20"/>
                <w:szCs w:val="20"/>
                <w:color w:val="auto"/>
              </w:rPr>
            </w:pPr>
            <w:r>
              <w:rPr>
                <w:rFonts w:ascii="Arial" w:cs="Arial" w:eastAsia="Arial" w:hAnsi="Arial"/>
                <w:sz w:val="14"/>
                <w:szCs w:val="14"/>
                <w:color w:val="auto"/>
                <w:w w:val="93"/>
              </w:rPr>
              <w:t>Additions</w:t>
            </w:r>
          </w:p>
        </w:tc>
      </w:tr>
      <w:tr>
        <w:trPr>
          <w:trHeight w:val="132"/>
        </w:trPr>
        <w:tc>
          <w:tcPr>
            <w:tcW w:w="666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4"/>
                <w:szCs w:val="14"/>
                <w:color w:val="auto"/>
                <w:w w:val="83"/>
              </w:rPr>
              <w:t>2015</w:t>
            </w:r>
          </w:p>
        </w:tc>
        <w:tc>
          <w:tcPr>
            <w:tcW w:w="34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6660" w:type="dxa"/>
            <w:vAlign w:val="bottom"/>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Arial" w:cs="Arial" w:eastAsia="Arial" w:hAnsi="Arial"/>
                <w:sz w:val="14"/>
                <w:szCs w:val="14"/>
                <w:color w:val="auto"/>
                <w:w w:val="97"/>
              </w:rPr>
              <w:t>(In Millions)</w:t>
            </w:r>
          </w:p>
        </w:tc>
        <w:tc>
          <w:tcPr>
            <w:tcW w:w="100" w:type="dxa"/>
            <w:vAlign w:val="bottom"/>
            <w:gridSpan w:val="2"/>
          </w:tcPr>
          <w:p>
            <w:pPr>
              <w:spacing w:after="0"/>
              <w:rPr>
                <w:sz w:val="11"/>
                <w:szCs w:val="11"/>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Chemical:</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660" w:type="dxa"/>
            <w:vAlign w:val="bottom"/>
          </w:tcPr>
          <w:p>
            <w:pPr>
              <w:ind w:left="340"/>
              <w:spacing w:after="0"/>
              <w:rPr>
                <w:sz w:val="20"/>
                <w:szCs w:val="20"/>
                <w:color w:val="auto"/>
              </w:rPr>
            </w:pPr>
            <w:r>
              <w:rPr>
                <w:rFonts w:ascii="Arial" w:cs="Arial" w:eastAsia="Arial" w:hAnsi="Arial"/>
                <w:sz w:val="17"/>
                <w:szCs w:val="17"/>
                <w:color w:val="auto"/>
              </w:rPr>
              <w:t>El Dorado Facility Expansion Projects</w:t>
            </w:r>
          </w:p>
        </w:tc>
        <w:tc>
          <w:tcPr>
            <w:tcW w:w="360" w:type="dxa"/>
            <w:vAlign w:val="bottom"/>
          </w:tcPr>
          <w:p>
            <w:pPr>
              <w:jc w:val="right"/>
              <w:spacing w:after="0"/>
              <w:rPr>
                <w:sz w:val="20"/>
                <w:szCs w:val="20"/>
                <w:color w:val="auto"/>
              </w:rPr>
            </w:pPr>
            <w:r>
              <w:rPr>
                <w:rFonts w:ascii="Arial" w:cs="Arial" w:eastAsia="Arial" w:hAnsi="Arial"/>
                <w:sz w:val="17"/>
                <w:szCs w:val="17"/>
                <w:color w:val="auto"/>
                <w:w w:val="84"/>
              </w:rPr>
              <w:t>$225</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$260</w:t>
            </w:r>
          </w:p>
        </w:tc>
        <w:tc>
          <w:tcPr>
            <w:tcW w:w="80" w:type="dxa"/>
            <w:vAlign w:val="bottom"/>
          </w:tcPr>
          <w:p>
            <w:pPr>
              <w:spacing w:after="0"/>
              <w:rPr>
                <w:sz w:val="17"/>
                <w:szCs w:val="17"/>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Development of Natural Gas Leaseholds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r>
      <w:tr>
        <w:trPr>
          <w:trHeight w:val="203"/>
        </w:trPr>
        <w:tc>
          <w:tcPr>
            <w:tcW w:w="6660" w:type="dxa"/>
            <w:vAlign w:val="bottom"/>
          </w:tcPr>
          <w:p>
            <w:pPr>
              <w:ind w:left="340"/>
              <w:spacing w:after="0"/>
              <w:rPr>
                <w:sz w:val="20"/>
                <w:szCs w:val="20"/>
                <w:color w:val="auto"/>
              </w:rPr>
            </w:pPr>
            <w:r>
              <w:rPr>
                <w:rFonts w:ascii="Arial" w:cs="Arial" w:eastAsia="Arial" w:hAnsi="Arial"/>
                <w:sz w:val="17"/>
                <w:szCs w:val="17"/>
                <w:color w:val="auto"/>
              </w:rPr>
              <w:t>Environmental Projects</w:t>
            </w:r>
          </w:p>
        </w:tc>
        <w:tc>
          <w:tcPr>
            <w:tcW w:w="360" w:type="dxa"/>
            <w:vAlign w:val="bottom"/>
          </w:tcPr>
          <w:p>
            <w:pPr>
              <w:jc w:val="right"/>
              <w:spacing w:after="0"/>
              <w:rPr>
                <w:sz w:val="20"/>
                <w:szCs w:val="20"/>
                <w:color w:val="auto"/>
              </w:rPr>
            </w:pPr>
            <w:r>
              <w:rPr>
                <w:rFonts w:ascii="Arial" w:cs="Arial" w:eastAsia="Arial" w:hAnsi="Arial"/>
                <w:sz w:val="17"/>
                <w:szCs w:val="17"/>
                <w:color w:val="auto"/>
              </w:rPr>
              <w:t>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7"/>
                <w:szCs w:val="17"/>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Major Renewal and Improvement Projects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7"/>
                <w:szCs w:val="17"/>
                <w:color w:val="auto"/>
              </w:rPr>
            </w:pPr>
          </w:p>
        </w:tc>
      </w:tr>
      <w:tr>
        <w:trPr>
          <w:trHeight w:val="209"/>
        </w:trPr>
        <w:tc>
          <w:tcPr>
            <w:tcW w:w="6660" w:type="dxa"/>
            <w:vAlign w:val="bottom"/>
          </w:tcPr>
          <w:p>
            <w:pPr>
              <w:ind w:left="340"/>
              <w:spacing w:after="0"/>
              <w:rPr>
                <w:sz w:val="20"/>
                <w:szCs w:val="20"/>
                <w:color w:val="auto"/>
              </w:rPr>
            </w:pPr>
            <w:r>
              <w:rPr>
                <w:rFonts w:ascii="Arial" w:cs="Arial" w:eastAsia="Arial" w:hAnsi="Arial"/>
                <w:sz w:val="17"/>
                <w:szCs w:val="17"/>
                <w:color w:val="auto"/>
              </w:rPr>
              <w:t>Other (1)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6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Chemical</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273</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w:t>
            </w:r>
            <w:r>
              <w:rPr>
                <w:rFonts w:ascii="Arial" w:cs="Arial" w:eastAsia="Arial" w:hAnsi="Arial"/>
                <w:sz w:val="17"/>
                <w:szCs w:val="17"/>
                <w:color w:val="auto"/>
              </w:rPr>
              <w:t>326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6660" w:type="dxa"/>
            <w:vAlign w:val="bottom"/>
          </w:tcPr>
          <w:p>
            <w:pPr>
              <w:ind w:left="340"/>
              <w:spacing w:after="0"/>
              <w:rPr>
                <w:sz w:val="20"/>
                <w:szCs w:val="20"/>
                <w:color w:val="auto"/>
              </w:rPr>
            </w:pPr>
            <w:r>
              <w:rPr>
                <w:rFonts w:ascii="Arial" w:cs="Arial" w:eastAsia="Arial" w:hAnsi="Arial"/>
                <w:sz w:val="17"/>
                <w:szCs w:val="17"/>
                <w:color w:val="auto"/>
              </w:rPr>
              <w:t>Climate Control</w:t>
            </w: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r>
      <w:tr>
        <w:trPr>
          <w:trHeight w:val="204"/>
        </w:trPr>
        <w:tc>
          <w:tcPr>
            <w:tcW w:w="6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and Other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666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283</w:t>
            </w: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w:t>
            </w:r>
            <w:r>
              <w:rPr>
                <w:rFonts w:ascii="Arial" w:cs="Arial" w:eastAsia="Arial" w:hAnsi="Arial"/>
                <w:sz w:val="17"/>
                <w:szCs w:val="17"/>
                <w:color w:val="auto"/>
              </w:rPr>
              <w:t>346</w:t>
            </w:r>
          </w:p>
        </w:tc>
        <w:tc>
          <w:tcPr>
            <w:tcW w:w="8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8"/>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cost associated with savings initiatives, new market development, and other capital projects.</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Included in planned capital expenditures is capitalized interest of approximately $21.7 million for 2015. The planned capital expenditures for Corporate and Other are primarily for the replacement of our enterprise resource planning, financial and operations management system. The new ERP system replaces our legacy systems, which are out-of-date and largely unsupported, and will improve our access to operational and financial information utilized to manage the business and improve our security and regulatory compliance capability. This project began in 2013 and is expected to be fully implemented in 2016 at a total cost of $24.0 million to $26.0 million</w:t>
      </w:r>
      <w:r>
        <w:rPr>
          <w:rFonts w:ascii="Arial" w:cs="Arial" w:eastAsia="Arial" w:hAnsi="Arial"/>
          <w:sz w:val="17"/>
          <w:szCs w:val="17"/>
          <w:b w:val="1"/>
          <w:bCs w:val="1"/>
          <w:color w:val="auto"/>
        </w:rPr>
        <w:t>.</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Planned capital expenditures are presented as a range to provide for engineering estimates, the status of bidding, variable material costs, unplanned delays in construction, and other contingencies. As the engineering, design, and bidding processes progress and project construction proceeds, the estimated costs are more certain and the range of estimates narrows. The planned capital expenditures include investments that we anticipate making for expansion and development projects, environmental requirements, and major renewal and improvement projects. These capital expenditures are subject to economic conditions, which are continually reviewed by us, and may increase or decrease as new information is obtained or circumstances change. We plan to fund the planned capital expenditures from working capital, noncurrent cash and investments, internally generated cash flows, and third-party financing.</w:t>
      </w:r>
    </w:p>
    <w:p>
      <w:pPr>
        <w:spacing w:after="0" w:line="168"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As discussed below, the construction of the El Dorado Expansion projects are expected to be completed by the end of 2015. Beyond 2015, specific capital projects are less identified but are expected to include approximately $40 million to $60 million per year at our chemical facilities for ongoing capital maintenance, including environmental compliance, major renewal and improvement projects, and other capital projects, and approximately $24 million from 2016-2019 to fully develop our natural gas working interests.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El Dorado Facility Expansion Projects</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El Dorado Facility has certain expansion projects underway. These expansion projects include an ammonia production plant; a new 65% strength nitric acid plant and concentrator; and other support infrastructure, all of which were analyzed and evaluated based on their forecasted return on investment. The expected costs of these projects are outlined below, which planned amounts are included in the table above.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441" w:right="2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color w:val="auto"/>
                <w:w w:val="86"/>
              </w:rPr>
              <w:t>Capitalized</w:t>
            </w:r>
          </w:p>
        </w:tc>
        <w:tc>
          <w:tcPr>
            <w:tcW w:w="1720" w:type="dxa"/>
            <w:vAlign w:val="bottom"/>
            <w:gridSpan w:val="6"/>
          </w:tcPr>
          <w:p>
            <w:pPr>
              <w:jc w:val="right"/>
              <w:ind w:right="35"/>
              <w:spacing w:after="0"/>
              <w:rPr>
                <w:sz w:val="20"/>
                <w:szCs w:val="20"/>
                <w:color w:val="auto"/>
              </w:rPr>
            </w:pPr>
            <w:r>
              <w:rPr>
                <w:rFonts w:ascii="Arial" w:cs="Arial" w:eastAsia="Arial" w:hAnsi="Arial"/>
                <w:sz w:val="14"/>
                <w:szCs w:val="14"/>
                <w:color w:val="auto"/>
                <w:w w:val="98"/>
              </w:rPr>
              <w:t>Planned Capital Additions</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65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9"/>
              <w:spacing w:after="0" w:line="158" w:lineRule="exact"/>
              <w:rPr>
                <w:sz w:val="20"/>
                <w:szCs w:val="20"/>
                <w:color w:val="auto"/>
              </w:rPr>
            </w:pPr>
            <w:r>
              <w:rPr>
                <w:rFonts w:ascii="Arial" w:cs="Arial" w:eastAsia="Arial" w:hAnsi="Arial"/>
                <w:sz w:val="14"/>
                <w:szCs w:val="14"/>
                <w:color w:val="auto"/>
                <w:w w:val="84"/>
              </w:rPr>
              <w:t>To Date</w:t>
            </w: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20"/>
              <w:spacing w:after="0" w:line="158"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89"/>
              </w:rPr>
              <w:t>Total</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right"/>
              <w:ind w:right="75"/>
              <w:spacing w:after="0" w:line="133"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Ammonia Plant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 $172</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$300</w:t>
            </w: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Arial" w:cs="Arial" w:eastAsia="Arial" w:hAnsi="Arial"/>
                <w:sz w:val="17"/>
                <w:szCs w:val="17"/>
                <w:color w:val="auto"/>
              </w:rPr>
              <w:t>Nitric Acid Plant and Concentrator</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125</w:t>
            </w:r>
          </w:p>
        </w:tc>
        <w:tc>
          <w:tcPr>
            <w:tcW w:w="36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130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Other Support Infrastructure</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260</w:t>
            </w:r>
          </w:p>
        </w:tc>
        <w:tc>
          <w:tcPr>
            <w:tcW w:w="5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225</w:t>
            </w:r>
          </w:p>
        </w:tc>
        <w:tc>
          <w:tcPr>
            <w:tcW w:w="840" w:type="dxa"/>
            <w:vAlign w:val="bottom"/>
            <w:gridSpan w:val="3"/>
          </w:tcPr>
          <w:p>
            <w:pPr>
              <w:ind w:left="1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w:t>
            </w:r>
            <w:r>
              <w:rPr>
                <w:rFonts w:ascii="Arial" w:cs="Arial" w:eastAsia="Arial" w:hAnsi="Arial"/>
                <w:sz w:val="17"/>
                <w:szCs w:val="17"/>
                <w:color w:val="auto"/>
              </w:rPr>
              <w:t>260</w:t>
            </w:r>
          </w:p>
        </w:tc>
        <w:tc>
          <w:tcPr>
            <w:tcW w:w="36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485</w:t>
            </w: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w:t>
            </w: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Our El Dorado Facility produces nitric acid and agricultural and industrial grade AN from purchased ammonia, which is currently at a cost disadvantage compared to products produced from natural gas. The El Dorado Facility historically purchased 600-700 tons of ammonia per day when operating at full capacity. We are constructing a 1,150 ton per day ammonia production plant at the El Dorado Facility, which we believe should eliminate the cost disadvantage, increase capacity, and the improve efficiency of the El Dorado Facility. The construction of this project is expected to be complete in late 2015 and operational in early 2016.</w:t>
      </w:r>
    </w:p>
    <w:p>
      <w:pPr>
        <w:spacing w:after="0" w:line="148"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In addition, we are constructing a new 1,100 ton per day, 65% strength nitric acid plant and concentrator to replace the concentrated nitric acid capacity lost in May 2012. These plants are scheduled to begin production in the third quarter of 2015 and are designed to be more efficient and provide increased nitric acid production capacity.</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a result of the increased production capacity at the El Dorado Facility, it is necessary to expand and improve certain support infrastructure, including utility capacity, control room facilities, inventory storage and handling, and ammonia distribution. Also, other cost reduction and cost recovery equipment, including an electric cogeneration plant, are being added to improve efficiency and lower the cost of production.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Plant Turnarounds</w:t>
      </w:r>
    </w:p>
    <w:p>
      <w:pPr>
        <w:spacing w:after="0" w:line="11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Unplanned downtime of the plants typically result in lost contribution margin, increased maintenance expense and decreased inventory for sale. The financial impact of planned downtime, such as major Turnaround maintenance, is mitigated through a diligent planning process that takes into the market, the availability of resources to perform the needed maintenance, feedstock logistics and other factors.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Expenses Associated with Environmental Regulatory Compliance</w:t>
      </w:r>
    </w:p>
    <w:p>
      <w:pPr>
        <w:spacing w:after="0" w:line="11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Our Chemical Business is subject to specific federal and state environmental compliance laws, regulations and guidelines. As a result, our Chemical Business incurred expenses of $5.5 million in 2014 in connection with environmental projects. For 2015, we expect to incur expenses ranging from $4.6 million to $5.6 million in connection with additional environmental projects. However, it is possible that the actual costs could be significantly different than our estimates.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Dividends</w:t>
      </w:r>
    </w:p>
    <w:p>
      <w:pPr>
        <w:spacing w:after="0" w:line="114" w:lineRule="exact"/>
        <w:rPr>
          <w:sz w:val="20"/>
          <w:szCs w:val="20"/>
          <w:color w:val="auto"/>
        </w:rPr>
      </w:pPr>
    </w:p>
    <w:p>
      <w:pPr>
        <w:jc w:val="both"/>
        <w:ind w:right="540"/>
        <w:spacing w:after="0" w:line="341" w:lineRule="auto"/>
        <w:rPr>
          <w:sz w:val="20"/>
          <w:szCs w:val="20"/>
          <w:color w:val="auto"/>
        </w:rPr>
      </w:pPr>
      <w:r>
        <w:rPr>
          <w:rFonts w:ascii="Arial" w:cs="Arial" w:eastAsia="Arial" w:hAnsi="Arial"/>
          <w:sz w:val="15"/>
          <w:szCs w:val="15"/>
          <w:color w:val="auto"/>
        </w:rPr>
        <w:t>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2015.</w:t>
      </w:r>
    </w:p>
    <w:p>
      <w:pPr>
        <w:spacing w:after="0" w:line="120" w:lineRule="exact"/>
        <w:rPr>
          <w:sz w:val="20"/>
          <w:szCs w:val="20"/>
          <w:color w:val="auto"/>
        </w:rPr>
      </w:pPr>
    </w:p>
    <w:p>
      <w:pPr>
        <w:ind w:right="340"/>
        <w:spacing w:after="0" w:line="341" w:lineRule="auto"/>
        <w:rPr>
          <w:sz w:val="20"/>
          <w:szCs w:val="20"/>
          <w:color w:val="auto"/>
        </w:rPr>
      </w:pPr>
      <w:r>
        <w:rPr>
          <w:rFonts w:ascii="Arial" w:cs="Arial" w:eastAsia="Arial" w:hAnsi="Arial"/>
          <w:sz w:val="15"/>
          <w:szCs w:val="15"/>
          <w:color w:val="auto"/>
        </w:rPr>
        <w:t>During the first quarter of 2014, dividends totaling $300,000 were declared on our outstanding preferred stock and subsequently paid in 2014 using funds from our working capital. Each share of preferred stock is entitled to receive an annual dividend, only when declared by our Board of Directors, payable as follows:</w:t>
      </w:r>
    </w:p>
    <w:p>
      <w:pPr>
        <w:spacing w:after="0" w:line="31" w:lineRule="exact"/>
        <w:rPr>
          <w:sz w:val="20"/>
          <w:szCs w:val="20"/>
          <w:color w:val="auto"/>
        </w:rPr>
      </w:pPr>
    </w:p>
    <w:p>
      <w:pPr>
        <w:ind w:left="880" w:hanging="434"/>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$0.06 per share on our outstanding non-redeemable Series D Preferred for an aggregate dividend of $60,000, and</w:t>
      </w:r>
    </w:p>
    <w:p>
      <w:pPr>
        <w:spacing w:after="0" w:line="122" w:lineRule="exact"/>
        <w:rPr>
          <w:rFonts w:ascii="Arial" w:cs="Arial" w:eastAsia="Arial" w:hAnsi="Arial"/>
          <w:sz w:val="17"/>
          <w:szCs w:val="17"/>
          <w:color w:val="auto"/>
        </w:rPr>
      </w:pPr>
    </w:p>
    <w:p>
      <w:pPr>
        <w:ind w:left="5620" w:right="2960" w:hanging="5174"/>
        <w:spacing w:after="0" w:line="445" w:lineRule="auto"/>
        <w:tabs>
          <w:tab w:leader="none" w:pos="869" w:val="left"/>
        </w:tabs>
        <w:numPr>
          <w:ilvl w:val="0"/>
          <w:numId w:val="30"/>
        </w:numPr>
        <w:rPr>
          <w:rFonts w:ascii="Arial" w:cs="Arial" w:eastAsia="Arial" w:hAnsi="Arial"/>
          <w:sz w:val="17"/>
          <w:szCs w:val="17"/>
          <w:color w:val="auto"/>
        </w:rPr>
      </w:pPr>
      <w:r>
        <w:rPr>
          <w:rFonts w:ascii="Arial" w:cs="Arial" w:eastAsia="Arial" w:hAnsi="Arial"/>
          <w:sz w:val="17"/>
          <w:szCs w:val="17"/>
          <w:color w:val="auto"/>
        </w:rPr>
        <w:t>$12.00 per share on our outstanding non-redeemable Series B Preferred for an aggregate dividend of $240,000. 36</w:t>
      </w:r>
    </w:p>
    <w:p>
      <w:pPr>
        <w:sectPr>
          <w:pgSz w:w="11900" w:h="16838" w:orient="portrait"/>
          <w:cols w:equalWidth="0" w:num="1">
            <w:col w:w="11380"/>
          </w:cols>
          <w:pgMar w:left="240" w:top="441" w:right="2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In January 2015, our Board of Directors declared the following dividends:</w:t>
      </w:r>
    </w:p>
    <w:p>
      <w:pPr>
        <w:spacing w:after="0" w:line="122" w:lineRule="exact"/>
        <w:rPr>
          <w:sz w:val="20"/>
          <w:szCs w:val="20"/>
          <w:color w:val="auto"/>
        </w:rPr>
      </w:pPr>
    </w:p>
    <w:p>
      <w:pPr>
        <w:ind w:left="880" w:hanging="434"/>
        <w:spacing w:after="0"/>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$0.06 per share on our outstanding non-redeemable Series D Preferred for an aggregate dividend of $60,000, which were paid in February 2015, and</w:t>
      </w:r>
    </w:p>
    <w:p>
      <w:pPr>
        <w:spacing w:after="0" w:line="145" w:lineRule="exact"/>
        <w:rPr>
          <w:rFonts w:ascii="Arial" w:cs="Arial" w:eastAsia="Arial" w:hAnsi="Arial"/>
          <w:sz w:val="15"/>
          <w:szCs w:val="15"/>
          <w:color w:val="auto"/>
        </w:rPr>
      </w:pPr>
    </w:p>
    <w:p>
      <w:pPr>
        <w:ind w:left="880" w:hanging="434"/>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$12.00 per share on our outstanding non-redeemable Series B Preferred for an aggregate dividend of $240,000, which were paid in February 2015.</w:t>
      </w:r>
    </w:p>
    <w:p>
      <w:pPr>
        <w:spacing w:after="0" w:line="2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All shares of the Series D Preferred and Series B Preferred are owned by the Golsen Group. There are no optional or mandatory redemption rights with respect to the Series B Preferred or Series D Preferred.</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Compliance with Long - Term Debt Covenants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As discussed below under “Loan Agreements”, the Amended Working Capital Revolver Loan requires, among other things, that we meet certain financial covenants.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Currently, our forecast is that we will be able to meet all financial covenant requirements for the next twelve months.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Loan Agreements</w:t>
      </w:r>
    </w:p>
    <w:p>
      <w:pPr>
        <w:spacing w:after="0" w:line="110"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b w:val="1"/>
          <w:bCs w:val="1"/>
          <w:color w:val="auto"/>
        </w:rPr>
        <w:t xml:space="preserve">Senior Secured Notes </w:t>
      </w:r>
      <w:r>
        <w:rPr>
          <w:rFonts w:ascii="Arial" w:cs="Arial" w:eastAsia="Arial" w:hAnsi="Arial"/>
          <w:sz w:val="16"/>
          <w:szCs w:val="16"/>
          <w:color w:val="auto"/>
        </w:rPr>
        <w:t>- On August 7, 2013, LSB sold $425 million aggregate principal amount of the 7.75% Senior Secured Notes due 2019 in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to qualified institutional buyers under Rule 144A and, outside of the U.S., pursuant to Regulation S of the Securities Act of 1933, as amended. In accordance with the registration rights agreement entered into at the time of the issuance of the Senior Secured Notes, LSB and the guarantor subsidiaries completed an exchange offer to exchange the Senior Secured Notes for substantially identical notes registered under the Securities Act. The registration statement for the exchange offer was declared effective by the SEC in May 2014, and the exchange offer was completed in June 2014. The Senior Secured Notes bear interest at the rate of 7.75% per year and mature on August 1, 2019. Interest is to be paid semiannually on February 1st and August 1st. See footnote (B) under Note 9 of Notes to Consolidated Financial Statements included in this report for additional information on these notes.</w:t>
      </w:r>
    </w:p>
    <w:p>
      <w:pPr>
        <w:spacing w:after="0" w:line="16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b w:val="1"/>
          <w:bCs w:val="1"/>
          <w:color w:val="auto"/>
        </w:rPr>
        <w:t xml:space="preserve">Amended Working Capital Revolver Loan </w:t>
      </w:r>
      <w:r>
        <w:rPr>
          <w:rFonts w:ascii="Arial" w:cs="Arial" w:eastAsia="Arial" w:hAnsi="Arial"/>
          <w:sz w:val="17"/>
          <w:szCs w:val="17"/>
          <w:color w:val="auto"/>
        </w:rPr>
        <w:t>- Effective December 31, 2013, LSB and certain of its subsidiaries entered into an amendment to the existing senior</w:t>
      </w:r>
      <w:r>
        <w:rPr>
          <w:rFonts w:ascii="Arial" w:cs="Arial" w:eastAsia="Arial" w:hAnsi="Arial"/>
          <w:sz w:val="17"/>
          <w:szCs w:val="17"/>
          <w:b w:val="1"/>
          <w:bCs w:val="1"/>
          <w:color w:val="auto"/>
        </w:rPr>
        <w:t xml:space="preserve"> </w:t>
      </w:r>
      <w:r>
        <w:rPr>
          <w:rFonts w:ascii="Arial" w:cs="Arial" w:eastAsia="Arial" w:hAnsi="Arial"/>
          <w:sz w:val="17"/>
          <w:szCs w:val="17"/>
          <w:color w:val="auto"/>
        </w:rPr>
        <w:t>secured revolving credit facility. Pursuant to the terms of the Amended Working Capital Revolver Loan, the Borrowers may borrow on a revolving basis up to $100.0 million, based on specific percentages of eligible accounts receivable and inventories and permits the Senior Secured Notes and the secured guarantees to be secured on a first-priority basis by the Priority Collateral and on a second-priority basis by the certain collateral securing the Amended Working Capital Revolver Loan and provides that the Amended Working Capital Revolver Loan be secured on a second-priority basis by the Priority Collateral. The Amended Working Capital Revolver Loan will mature on April 13, 2018.</w:t>
      </w:r>
    </w:p>
    <w:p>
      <w:pPr>
        <w:spacing w:after="0" w:line="18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December 31, 2014, the interest rate was 3.75% based on LIBOR. Interest is paid monthly, if applicable.</w:t>
      </w:r>
    </w:p>
    <w:p>
      <w:pPr>
        <w:spacing w:after="0" w:line="158"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At December 31, 2014, there were no outstanding borrowings under the Amended Working Capital Revolver Loan. At December 31, 2014, the net credit available for borrowings under our Amended Working Capital Revolver Loan was approximately $71.1 million, based on our eligible collateral, less outstanding letters of credit as of that date.</w:t>
      </w:r>
    </w:p>
    <w:p>
      <w:pPr>
        <w:spacing w:after="0" w:line="176"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As of December 31, 2014, as defined in the agreement, the fixed charge coverage ratio was 3.5 to 1. See footnote (A) under Note 9 of Notes to Consolidated Financial Statements included in this report for additional information on this loan.</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color w:val="auto"/>
        </w:rPr>
        <w:t xml:space="preserve">Secured Promissory Note </w:t>
      </w:r>
      <w:r>
        <w:rPr>
          <w:rFonts w:ascii="Arial" w:cs="Arial" w:eastAsia="Arial" w:hAnsi="Arial"/>
          <w:sz w:val="17"/>
          <w:szCs w:val="17"/>
          <w:color w:val="auto"/>
        </w:rPr>
        <w:t>- On February 1, 2013, Zena, a subsidiary within our Chemical Business, entered into the Secured Promissory Note with a lender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principal amount of $35 million. The Secured Promissory Note follows the original acquisition by Zena of Working Interests in certain natural gas properties during October 2012. The proceeds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1"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Secured Promissory Note effectively financed $35 million of the approximately $50 million purchase price of the Working Interests previously paid out of LSB’s working capital. The Secured Promissory Note matures on February 1, 2016. Principal and interest are payable monthly based on a five-year amortization at a defined LIBOR rate plus 300 basis points with a final balloon payment of $15.3 million due at maturity. Zena currently plans to fund the final balloon payment with cash on hand. The interest rate at December 31, 2014 was 3.23%. The loan is secured by the Working Interests and related properties and proceeds.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Seasonality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See discussion above under “Part1-Item 1 Business” for seasonality trends.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Related Party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See discussion above under “Liquidity and Capital Resources-Dividends” relating to the Golsen Group.</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Off-Balance Sheet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and Payment Bonds</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2014, we have agreed to indemnify the sureties for payments, up to $10.6 million, made by them in respect of such bonds. All of these insurance bonds are expected to expire or be renewed in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20"/>
          </w:cols>
          <w:pgMar w:left="240" w:top="441"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Aggregate Contractual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aggregate contractual obligations as of December 31, 2014 are summarized in the following table (1) (2):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w w:val="87"/>
              </w:rPr>
              <w:t>Payments Due in the Year Ending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32"/>
        </w:trPr>
        <w:tc>
          <w:tcPr>
            <w:tcW w:w="51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76"/>
              <w:spacing w:after="0" w:line="133"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1"/>
                <w:szCs w:val="11"/>
                <w:color w:val="auto"/>
              </w:rPr>
            </w:pPr>
          </w:p>
        </w:tc>
        <w:tc>
          <w:tcPr>
            <w:tcW w:w="64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3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ind w:left="60"/>
              <w:spacing w:after="0" w:line="133" w:lineRule="exact"/>
              <w:rPr>
                <w:sz w:val="20"/>
                <w:szCs w:val="20"/>
                <w:color w:val="auto"/>
              </w:rPr>
            </w:pPr>
            <w:r>
              <w:rPr>
                <w:rFonts w:ascii="Arial" w:cs="Arial" w:eastAsia="Arial" w:hAnsi="Arial"/>
                <w:sz w:val="14"/>
                <w:szCs w:val="14"/>
                <w:color w:val="auto"/>
                <w:w w:val="97"/>
              </w:rPr>
              <w:t>(In Thousands)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ind w:left="320"/>
              <w:spacing w:after="0"/>
              <w:rPr>
                <w:sz w:val="20"/>
                <w:szCs w:val="20"/>
                <w:color w:val="auto"/>
              </w:rPr>
            </w:pPr>
            <w:r>
              <w:rPr>
                <w:rFonts w:ascii="Arial" w:cs="Arial" w:eastAsia="Arial" w:hAnsi="Arial"/>
                <w:sz w:val="17"/>
                <w:szCs w:val="17"/>
                <w:color w:val="auto"/>
              </w:rPr>
              <w:t>Senior Secured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425,000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$425,000</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Capital leases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18,115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long-term debt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457,318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10,680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18,167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2,994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4"/>
        </w:trPr>
        <w:tc>
          <w:tcPr>
            <w:tcW w:w="5160" w:type="dxa"/>
            <w:vAlign w:val="bottom"/>
            <w:gridSpan w:val="3"/>
          </w:tcPr>
          <w:p>
            <w:pPr>
              <w:spacing w:after="0"/>
              <w:rPr>
                <w:sz w:val="20"/>
                <w:szCs w:val="20"/>
                <w:color w:val="auto"/>
              </w:rPr>
            </w:pPr>
            <w:r>
              <w:rPr>
                <w:rFonts w:ascii="Arial" w:cs="Arial" w:eastAsia="Arial" w:hAnsi="Arial"/>
                <w:sz w:val="17"/>
                <w:szCs w:val="17"/>
                <w:color w:val="auto"/>
              </w:rPr>
              <w:t>Interest payments on long-term debt (3)</w:t>
            </w:r>
          </w:p>
        </w:tc>
        <w:tc>
          <w:tcPr>
            <w:tcW w:w="1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149,726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33,934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33,244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33,086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32,993</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16,469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contract (4)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El Dorado facility expansion projects (5)</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260,000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260,000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capital expenditures (6)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25,129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5,367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4,474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4,177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3,909</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3,397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Natural gas pipeline commitment (7)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1,787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Firm purchase commitments</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46,243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40,107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6,136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contractual obligations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6,313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2,118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1,220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11,094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gridSpan w:val="2"/>
          </w:tcPr>
          <w:p>
            <w:pPr>
              <w:spacing w:after="0" w:line="191" w:lineRule="exact"/>
              <w:rPr>
                <w:sz w:val="20"/>
                <w:szCs w:val="20"/>
                <w:color w:val="auto"/>
              </w:rPr>
            </w:pPr>
            <w:r>
              <w:rPr>
                <w:rFonts w:ascii="Arial" w:cs="Arial" w:eastAsia="Arial" w:hAnsi="Arial"/>
                <w:sz w:val="17"/>
                <w:szCs w:val="17"/>
                <w:color w:val="auto"/>
                <w:w w:val="96"/>
              </w:rPr>
              <w:t>Other contractual obligations included in noncurrent accrued and other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gridSpan w:val="2"/>
          </w:tcPr>
          <w:p>
            <w:pPr>
              <w:ind w:left="160"/>
              <w:spacing w:after="0"/>
              <w:rPr>
                <w:sz w:val="20"/>
                <w:szCs w:val="20"/>
                <w:color w:val="auto"/>
              </w:rPr>
            </w:pPr>
            <w:r>
              <w:rPr>
                <w:rFonts w:ascii="Arial" w:cs="Arial" w:eastAsia="Arial" w:hAnsi="Arial"/>
                <w:sz w:val="17"/>
                <w:szCs w:val="17"/>
                <w:color w:val="auto"/>
              </w:rPr>
              <w:t>liabilities (8)</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1,068,181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7"/>
              </w:rPr>
              <w:t>444,750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66,125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40,837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42,994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447,965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25,510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140" w:hanging="438"/>
        <w:spacing w:after="0" w:line="256"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table does not include amounts relating to future purchases of ammonia by EDC pursuant to a supply agreement through December 2015. The terms of this supply agreement do not include minimum volumes or take-or-pay provisions.</w:t>
      </w:r>
    </w:p>
    <w:p>
      <w:pPr>
        <w:spacing w:after="0" w:line="1" w:lineRule="exact"/>
        <w:rPr>
          <w:rFonts w:ascii="Arial" w:cs="Arial" w:eastAsia="Arial" w:hAnsi="Arial"/>
          <w:sz w:val="17"/>
          <w:szCs w:val="17"/>
          <w:color w:val="auto"/>
        </w:rPr>
      </w:pPr>
    </w:p>
    <w:p>
      <w:pPr>
        <w:ind w:left="440" w:right="240" w:hanging="438"/>
        <w:spacing w:after="0" w:line="249"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table does not include our estimated accrued warranty costs of $8.8 million at December 31, 2014 as discussed below under “Critical Accounting Policies and Estimates”.</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estimated interest payments relating to variable interest rate debt are based on interest rates at December 31, 2014.</w:t>
      </w:r>
    </w:p>
    <w:p>
      <w:pPr>
        <w:spacing w:after="0" w:line="7" w:lineRule="exact"/>
        <w:rPr>
          <w:rFonts w:ascii="Arial" w:cs="Arial" w:eastAsia="Arial" w:hAnsi="Arial"/>
          <w:sz w:val="17"/>
          <w:szCs w:val="17"/>
          <w:color w:val="auto"/>
        </w:rPr>
      </w:pPr>
    </w:p>
    <w:p>
      <w:pPr>
        <w:ind w:left="440" w:hanging="438"/>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estimated future cash flows are based on the estimated fair value of these contracts at December 31, 2014.</w:t>
      </w:r>
    </w:p>
    <w:p>
      <w:pPr>
        <w:spacing w:after="0" w:line="7" w:lineRule="exact"/>
        <w:rPr>
          <w:rFonts w:ascii="Arial" w:cs="Arial" w:eastAsia="Arial" w:hAnsi="Arial"/>
          <w:sz w:val="17"/>
          <w:szCs w:val="17"/>
          <w:color w:val="auto"/>
        </w:rPr>
      </w:pPr>
    </w:p>
    <w:p>
      <w:pPr>
        <w:ind w:left="440" w:hanging="438"/>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Capital expenditures are based on estimates (high end of range) at December 31, 2014.</w:t>
      </w:r>
    </w:p>
    <w:p>
      <w:pPr>
        <w:spacing w:after="0" w:line="7" w:lineRule="exact"/>
        <w:rPr>
          <w:rFonts w:ascii="Arial" w:cs="Arial" w:eastAsia="Arial" w:hAnsi="Arial"/>
          <w:sz w:val="17"/>
          <w:szCs w:val="17"/>
          <w:color w:val="auto"/>
        </w:rPr>
      </w:pPr>
    </w:p>
    <w:p>
      <w:pPr>
        <w:ind w:left="440" w:right="480" w:hanging="438"/>
        <w:spacing w:after="0" w:line="249"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capital expenditures include only the estimated committed amounts (high end of range) at December 31, 2014 but exclude amounts relating to the El Dorado facility expansion projects.</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proportionate share of the minimum costs to ensure capacity relating to a gathering and pipeline system.</w:t>
      </w:r>
    </w:p>
    <w:p>
      <w:pPr>
        <w:spacing w:after="0" w:line="7" w:lineRule="exact"/>
        <w:rPr>
          <w:rFonts w:ascii="Arial" w:cs="Arial" w:eastAsia="Arial" w:hAnsi="Arial"/>
          <w:sz w:val="17"/>
          <w:szCs w:val="17"/>
          <w:color w:val="auto"/>
        </w:rPr>
      </w:pPr>
    </w:p>
    <w:p>
      <w:pPr>
        <w:ind w:left="440" w:hanging="438"/>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future cash flows relating to executive and death benefits are based on estimates at December 31, 2014.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1"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114"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preparation of financial statements requires management to make estimates and assumptions that affect the reported amount of assets, liabilities, revenues and expenses, and disclosures of contingencies and fair values. For each of the last three years ended December 31, 2014, 2013, and 2012, we did not experience a material change in accounting estimates. However, it is reasonably possible that the estimates and assumptions utilized as of December 31, 2014 could change in the near term. In addition, the more critical areas of financial reporting impacted by management’s judgment, estimates and assumptions include the following:</w:t>
      </w:r>
    </w:p>
    <w:p>
      <w:pPr>
        <w:spacing w:after="0" w:line="144" w:lineRule="exact"/>
        <w:rPr>
          <w:sz w:val="20"/>
          <w:szCs w:val="20"/>
          <w:color w:val="auto"/>
        </w:rPr>
      </w:pPr>
    </w:p>
    <w:p>
      <w:pPr>
        <w:ind w:right="200" w:firstLine="457"/>
        <w:spacing w:after="0" w:line="278" w:lineRule="auto"/>
        <w:rPr>
          <w:sz w:val="20"/>
          <w:szCs w:val="20"/>
          <w:color w:val="auto"/>
        </w:rPr>
      </w:pPr>
      <w:r>
        <w:rPr>
          <w:rFonts w:ascii="Arial" w:cs="Arial" w:eastAsia="Arial" w:hAnsi="Arial"/>
          <w:sz w:val="17"/>
          <w:szCs w:val="17"/>
          <w:b w:val="1"/>
          <w:bCs w:val="1"/>
          <w:color w:val="auto"/>
        </w:rPr>
        <w:t xml:space="preserve">Accrued Warranty Costs </w:t>
      </w:r>
      <w:r>
        <w:rPr>
          <w:rFonts w:ascii="Arial" w:cs="Arial" w:eastAsia="Arial" w:hAnsi="Arial"/>
          <w:sz w:val="17"/>
          <w:szCs w:val="17"/>
          <w:color w:val="auto"/>
        </w:rPr>
        <w:t>– Our Climate Control Business sells equipment that has an expected life, under normal circumstances and use, which extends over</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years. As such, we provide warranties after equipment shipment/start up covering defects in materials and workmanship.</w:t>
      </w:r>
    </w:p>
    <w:p>
      <w:pPr>
        <w:spacing w:after="0" w:line="16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and long term.</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Generally for commercial/institutional products, the base warranty coverage for most of the manufactured equipment in the Climate Control Business is limited to eighteen months from the date of shipment or twelve months from the date of start 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Since 2003, our residential products warranty carried a ten-year standard parts warranty on the refrigerant circuit (including air coils, compressors, thermal expansion valves, water coils, and reversing valves) and five-years on the other components (motors being the major component). In 2010, the warranty policy was amended to include a full ten-year standard parts and five-year standard labor warranty. Without a full ten-year experience on the other components (motors), there is a risk we could incur higher than projected warranty costs over the next five years.</w:t>
      </w:r>
    </w:p>
    <w:p>
      <w:pPr>
        <w:spacing w:after="0" w:line="17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At December 31, 2014 and 2013, our accrued product warranty obligations were $8.8 million and $7.3 million, respectively and are included in current and noncurrent accrued and other liabilities in the consolidated balance sheets. For 2014, 2013, and 2012, our warranty expense was $7.9 million, $7.4 million, and $6.7 million, respectively</w:t>
      </w:r>
    </w:p>
    <w:p>
      <w:pPr>
        <w:spacing w:after="0" w:line="172"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Certain conditions may exist which may result in a loss, but which will only be resolved when future events occur. We and our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assess such contingent liabilities (including the explosion at West, Texas) and related insurance coverage, if applicable,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 We are a party to various litigation and other contingencies, the ultimate outcome of is not presently known. Should the ultimate outcome of these contingencies be adverse, such outcome could adversely impact our liquidity, capital resources and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1"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b w:val="1"/>
          <w:bCs w:val="1"/>
          <w:color w:val="auto"/>
        </w:rPr>
        <w:t xml:space="preserve">Regulatory Compliance </w:t>
      </w:r>
      <w:r>
        <w:rPr>
          <w:rFonts w:ascii="Arial" w:cs="Arial" w:eastAsia="Arial" w:hAnsi="Arial"/>
          <w:sz w:val="16"/>
          <w:szCs w:val="16"/>
          <w:color w:val="auto"/>
        </w:rPr>
        <w:t>– Our Chemical Business is subject to specific federal and state regulatory compliance laws and guidelines. We have developed</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Business facilities should we discontinue the operations of a facility. However, certain conditions exist which may result in a loss but which will only be resolved when future events occur relating to these matters. At December 31, 2014, liabilities totaling $0.4 million have been accrued relating to these issues as discussed under “Environmental, Health and Safety Matters” in Item 1 of this report. This liability is included in current accrued and other liabilities and is based on current estimates that may be revised in the near term.</w:t>
      </w:r>
    </w:p>
    <w:p>
      <w:pPr>
        <w:spacing w:after="0" w:line="167"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b w:val="1"/>
          <w:bCs w:val="1"/>
          <w:color w:val="auto"/>
        </w:rPr>
        <w:t xml:space="preserve">Recognition of Insurance Recoveries </w:t>
      </w:r>
      <w:r>
        <w:rPr>
          <w:rFonts w:ascii="Arial" w:cs="Arial" w:eastAsia="Arial" w:hAnsi="Arial"/>
          <w:sz w:val="17"/>
          <w:szCs w:val="17"/>
          <w:color w:val="auto"/>
        </w:rPr>
        <w:t>– If an insurance claim relates to a recovery of our losses, we recognize the recovery when it is probable and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estimable. If our insurance claim relates to a contingent gain, we recognize the recovery when it is realized or realizable and earned. An insurance recovery in excess of recoverable costs relating to a business interruption claim is a reduction to cost of sales. An insurance recovery in excess of recoverable costs relating to a property insurance claim is included in property insurance recoveries in excess of losses incurred</w:t>
      </w:r>
    </w:p>
    <w:p>
      <w:pPr>
        <w:spacing w:after="0" w:line="177"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30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u w:val="single" w:color="auto"/>
          <w:color w:val="auto"/>
        </w:rPr>
        <w:t>ITEM 7A.</w:t>
      </w:r>
      <w:r>
        <w:rPr>
          <w:sz w:val="20"/>
          <w:szCs w:val="20"/>
          <w:color w:val="auto"/>
        </w:rPr>
        <w:tab/>
      </w:r>
      <w:r>
        <w:rPr>
          <w:rFonts w:ascii="Arial" w:cs="Arial" w:eastAsia="Arial" w:hAnsi="Arial"/>
          <w:sz w:val="17"/>
          <w:szCs w:val="17"/>
          <w:b w:val="1"/>
          <w:bCs w:val="1"/>
          <w:u w:val="single" w:color="auto"/>
          <w:color w:val="auto"/>
        </w:rPr>
        <w:t>QUANTITATIVE AND QUALITATIVE DISCLOSURES ABOUT MARKET RISK</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results of operations and operating cash flows are impacted by changes in market prices of ammonia, natural gas, copper, and steel, changes in market interest rates and changes in market currency exchange rates.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 Sales Commitments Risk</w:t>
      </w:r>
    </w:p>
    <w:p>
      <w:pPr>
        <w:spacing w:after="0" w:line="11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Periodically, our Chemical and Climate Control Businesses enter into forward firm sales commitments for products to be delivered in future periods. As a result, we could be exposed to embedded losses should our product costs exceed the firm sales prices. At December 31, 2014, we had a $0.5 million amount of embedded losses associated with sales commitments with firm sales prices in our Chemical Business.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Commodity Price Risk</w:t>
      </w:r>
    </w:p>
    <w:p>
      <w:pPr>
        <w:spacing w:after="0" w:line="11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Our Chemical Business buys substantial quantities of natural gas (as a feedstock) and platinum (as a catalyst in the manufacturing process) generally at market prices and our Climate Control Business buys substantial quantities of copper for use in manufacturing processes. As part of our raw material price risk management, periodically, our Chemical Business enters into firm purchase commitments and/or futures/forward contracts for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8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During 2014, certain subsidiaries within the Chemical Business entered into contracts to purchase natural gas for anticipated production needs. A portion of these contracts are considered derivatives and are accounted for on a mark-to-market basis and a portion of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w:t>
      </w:r>
    </w:p>
    <w:p>
      <w:pPr>
        <w:spacing w:after="0" w:line="164" w:lineRule="exact"/>
        <w:rPr>
          <w:sz w:val="20"/>
          <w:szCs w:val="20"/>
          <w:color w:val="auto"/>
        </w:rPr>
      </w:pPr>
    </w:p>
    <w:p>
      <w:pPr>
        <w:ind w:right="120"/>
        <w:spacing w:after="0" w:line="341" w:lineRule="auto"/>
        <w:rPr>
          <w:sz w:val="20"/>
          <w:szCs w:val="20"/>
          <w:color w:val="auto"/>
        </w:rPr>
      </w:pPr>
      <w:r>
        <w:rPr>
          <w:rFonts w:ascii="Arial" w:cs="Arial" w:eastAsia="Arial" w:hAnsi="Arial"/>
          <w:sz w:val="15"/>
          <w:szCs w:val="15"/>
          <w:color w:val="auto"/>
        </w:rPr>
        <w:t>At December 31, 2014, the natural gas contracts accounted for on a mark-to-market basis were for approximately 8.3 million MMBtu of natural gas. These contracts extend through June 2016 at a weighted-average cost of $3.24 per MMBtu ($26.8 million) and a weighted-average market value of $2.99 per MMBtu ($24.7 million).</w:t>
      </w:r>
    </w:p>
    <w:p>
      <w:pPr>
        <w:spacing w:after="0" w:line="12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At December 31, 2014, our futures/forward natural gas contracts which are exempt from mark-to-market accounting included the firm purchase commitments of approximately 2.9 million MMBtu of natural gas. These contracts extend through December 2015 at a weighted-average cost of $3.25 per MMBtu ($9.5 million) and a weighted-average market value of $3.01 per MMBtu ($8.8 million).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40" w:top="441" w:right="2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December 31, 2014, our platinum contracts included 3,000 ounces of platinum, extend through April 2015 at a weighted-average cost of $1,224.26 per ounce ($3.67 million) and a weighted-average market value of $1,209.50 per ounce ($3.63 million).</w:t>
      </w:r>
    </w:p>
    <w:p>
      <w:pPr>
        <w:spacing w:after="0" w:line="16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At December 31, 2014, our futures/forward copper contracts included 1,750,000 pounds of copper, extend through May 2015 at a weighted-average cost of $2.98 per pound ($5.2 million) and a weighted-average market value of $2.82 per pound ($4.9 million).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Interest Rate Risk</w:t>
      </w:r>
    </w:p>
    <w:p>
      <w:pPr>
        <w:spacing w:after="0" w:line="114"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part of our interest rate risk management, we periodically purchase and/or enter into various interest rate contracts. At December 31, 2014, we have an interest rate swap, which sets a fixed three-month LIBOR of 3.23% on a declining balance (from $23.8 million to $18.8 million) for the period beginning April 2012 through March 2016. This contract is a free-standing derivative and is accounted for on a mark-to-market basis. At December 31, 2014, the fair value of this contract (unrealized loss) was $0.7 million.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41" w:right="2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460"/>
        <w:spacing w:after="0" w:line="341" w:lineRule="auto"/>
        <w:rPr>
          <w:sz w:val="20"/>
          <w:szCs w:val="20"/>
          <w:color w:val="auto"/>
        </w:rPr>
      </w:pPr>
      <w:r>
        <w:rPr>
          <w:rFonts w:ascii="Arial" w:cs="Arial" w:eastAsia="Arial" w:hAnsi="Arial"/>
          <w:sz w:val="15"/>
          <w:szCs w:val="15"/>
          <w:color w:val="auto"/>
        </w:rPr>
        <w:t>The following table presents principal amounts and related weighted-average interest rates by maturity date for our interest rate sensitive debt agreements and the estimated future cash flows and related estimated weighted-average receive rate for our interest rate sensitive interest rate swaps as of December 31, 2014: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Years ending December 31,</w:t>
            </w: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4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77"/>
              <w:spacing w:after="0" w:line="133" w:lineRule="exact"/>
              <w:rPr>
                <w:sz w:val="20"/>
                <w:szCs w:val="20"/>
                <w:color w:val="auto"/>
              </w:rPr>
            </w:pPr>
            <w:r>
              <w:rPr>
                <w:rFonts w:ascii="Arial" w:cs="Arial" w:eastAsia="Arial" w:hAnsi="Arial"/>
                <w:sz w:val="14"/>
                <w:szCs w:val="14"/>
                <w:b w:val="1"/>
                <w:bCs w:val="1"/>
                <w:color w:val="auto"/>
                <w:w w:val="83"/>
              </w:rPr>
              <w:t>2015</w:t>
            </w:r>
          </w:p>
        </w:tc>
        <w:tc>
          <w:tcPr>
            <w:tcW w:w="200" w:type="dxa"/>
            <w:vAlign w:val="bottom"/>
          </w:tcPr>
          <w:p>
            <w:pPr>
              <w:spacing w:after="0"/>
              <w:rPr>
                <w:sz w:val="11"/>
                <w:szCs w:val="11"/>
                <w:color w:val="auto"/>
              </w:rPr>
            </w:pPr>
          </w:p>
        </w:tc>
        <w:tc>
          <w:tcPr>
            <w:tcW w:w="720" w:type="dxa"/>
            <w:vAlign w:val="bottom"/>
          </w:tcPr>
          <w:p>
            <w:pPr>
              <w:jc w:val="right"/>
              <w:ind w:right="320"/>
              <w:spacing w:after="0" w:line="133" w:lineRule="exact"/>
              <w:rPr>
                <w:sz w:val="20"/>
                <w:szCs w:val="20"/>
                <w:color w:val="auto"/>
              </w:rPr>
            </w:pPr>
            <w:r>
              <w:rPr>
                <w:rFonts w:ascii="Arial" w:cs="Arial" w:eastAsia="Arial" w:hAnsi="Arial"/>
                <w:sz w:val="14"/>
                <w:szCs w:val="14"/>
                <w:b w:val="1"/>
                <w:bCs w:val="1"/>
                <w:color w:val="auto"/>
                <w:w w:val="96"/>
              </w:rPr>
              <w:t>2016</w:t>
            </w:r>
          </w:p>
        </w:tc>
        <w:tc>
          <w:tcPr>
            <w:tcW w:w="760" w:type="dxa"/>
            <w:vAlign w:val="bottom"/>
          </w:tcPr>
          <w:p>
            <w:pPr>
              <w:jc w:val="right"/>
              <w:ind w:right="221"/>
              <w:spacing w:after="0" w:line="133" w:lineRule="exact"/>
              <w:rPr>
                <w:sz w:val="20"/>
                <w:szCs w:val="20"/>
                <w:color w:val="auto"/>
              </w:rPr>
            </w:pPr>
            <w:r>
              <w:rPr>
                <w:rFonts w:ascii="Arial" w:cs="Arial" w:eastAsia="Arial" w:hAnsi="Arial"/>
                <w:sz w:val="14"/>
                <w:szCs w:val="14"/>
                <w:b w:val="1"/>
                <w:bCs w:val="1"/>
                <w:color w:val="auto"/>
              </w:rPr>
              <w:t>2017</w:t>
            </w:r>
          </w:p>
        </w:tc>
        <w:tc>
          <w:tcPr>
            <w:tcW w:w="840" w:type="dxa"/>
            <w:vAlign w:val="bottom"/>
          </w:tcPr>
          <w:p>
            <w:pPr>
              <w:jc w:val="right"/>
              <w:ind w:right="261"/>
              <w:spacing w:after="0" w:line="133"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jc w:val="right"/>
              <w:ind w:right="101"/>
              <w:spacing w:after="0" w:line="133"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gridSpan w:val="3"/>
          </w:tcPr>
          <w:p>
            <w:pPr>
              <w:jc w:val="right"/>
              <w:ind w:right="541"/>
              <w:spacing w:after="0" w:line="133" w:lineRule="exact"/>
              <w:rPr>
                <w:sz w:val="20"/>
                <w:szCs w:val="20"/>
                <w:color w:val="auto"/>
              </w:rPr>
            </w:pPr>
            <w:r>
              <w:rPr>
                <w:rFonts w:ascii="Arial" w:cs="Arial" w:eastAsia="Arial" w:hAnsi="Arial"/>
                <w:sz w:val="14"/>
                <w:szCs w:val="14"/>
                <w:color w:val="auto"/>
              </w:rPr>
              <w:t>(Dollars In Thousands)</w:t>
            </w:r>
          </w:p>
        </w:tc>
        <w:tc>
          <w:tcPr>
            <w:tcW w:w="7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Expected maturities of long-term debt (1):</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340"/>
              <w:spacing w:after="0"/>
              <w:rPr>
                <w:sz w:val="20"/>
                <w:szCs w:val="20"/>
                <w:color w:val="auto"/>
              </w:rPr>
            </w:pPr>
            <w:r>
              <w:rPr>
                <w:rFonts w:ascii="Arial" w:cs="Arial" w:eastAsia="Arial" w:hAnsi="Arial"/>
                <w:sz w:val="17"/>
                <w:szCs w:val="17"/>
                <w:color w:val="auto"/>
              </w:rPr>
              <w:t>Variable interest rate debt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7"/>
              <w:spacing w:after="0"/>
              <w:rPr>
                <w:sz w:val="20"/>
                <w:szCs w:val="20"/>
                <w:color w:val="auto"/>
              </w:rPr>
            </w:pPr>
            <w:r>
              <w:rPr>
                <w:rFonts w:ascii="Arial" w:cs="Arial" w:eastAsia="Arial" w:hAnsi="Arial"/>
                <w:sz w:val="17"/>
                <w:szCs w:val="17"/>
                <w:color w:val="auto"/>
                <w:w w:val="84"/>
              </w:rPr>
              <w:t>6,968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60"/>
              <w:spacing w:after="0"/>
              <w:rPr>
                <w:sz w:val="20"/>
                <w:szCs w:val="20"/>
                <w:color w:val="auto"/>
              </w:rPr>
            </w:pPr>
            <w:r>
              <w:rPr>
                <w:rFonts w:ascii="Arial" w:cs="Arial" w:eastAsia="Arial" w:hAnsi="Arial"/>
                <w:sz w:val="17"/>
                <w:szCs w:val="17"/>
                <w:color w:val="auto"/>
                <w:w w:val="88"/>
              </w:rPr>
              <w:t>15,846</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22,814</w:t>
            </w:r>
          </w:p>
        </w:tc>
        <w:tc>
          <w:tcPr>
            <w:tcW w:w="0" w:type="dxa"/>
            <w:vAlign w:val="bottom"/>
          </w:tcPr>
          <w:p>
            <w:pPr>
              <w:spacing w:after="0"/>
              <w:rPr>
                <w:sz w:val="1"/>
                <w:szCs w:val="1"/>
                <w:color w:val="auto"/>
              </w:rPr>
            </w:pPr>
          </w:p>
        </w:tc>
      </w:tr>
      <w:tr>
        <w:trPr>
          <w:trHeight w:val="90"/>
        </w:trPr>
        <w:tc>
          <w:tcPr>
            <w:tcW w:w="4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Weighted-average interest rate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3.23%</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3.23%</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304"/>
        </w:trPr>
        <w:tc>
          <w:tcPr>
            <w:tcW w:w="4540" w:type="dxa"/>
            <w:vAlign w:val="bottom"/>
          </w:tcPr>
          <w:p>
            <w:pPr>
              <w:ind w:left="340"/>
              <w:spacing w:after="0"/>
              <w:rPr>
                <w:sz w:val="20"/>
                <w:szCs w:val="20"/>
                <w:color w:val="auto"/>
              </w:rPr>
            </w:pPr>
            <w:r>
              <w:rPr>
                <w:rFonts w:ascii="Arial" w:cs="Arial" w:eastAsia="Arial" w:hAnsi="Arial"/>
                <w:sz w:val="17"/>
                <w:szCs w:val="17"/>
                <w:color w:val="auto"/>
              </w:rPr>
              <w:t>Fixed interest rate debt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7"/>
              <w:spacing w:after="0"/>
              <w:rPr>
                <w:sz w:val="20"/>
                <w:szCs w:val="20"/>
                <w:color w:val="auto"/>
              </w:rPr>
            </w:pPr>
            <w:r>
              <w:rPr>
                <w:rFonts w:ascii="Arial" w:cs="Arial" w:eastAsia="Arial" w:hAnsi="Arial"/>
                <w:sz w:val="17"/>
                <w:szCs w:val="17"/>
                <w:color w:val="auto"/>
                <w:w w:val="84"/>
              </w:rPr>
              <w:t>3,712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60"/>
              <w:spacing w:after="0"/>
              <w:rPr>
                <w:sz w:val="20"/>
                <w:szCs w:val="20"/>
                <w:color w:val="auto"/>
              </w:rPr>
            </w:pPr>
            <w:r>
              <w:rPr>
                <w:rFonts w:ascii="Arial" w:cs="Arial" w:eastAsia="Arial" w:hAnsi="Arial"/>
                <w:sz w:val="17"/>
                <w:szCs w:val="17"/>
                <w:color w:val="auto"/>
              </w:rPr>
              <w:t>2,321</w:t>
            </w:r>
          </w:p>
        </w:tc>
        <w:tc>
          <w:tcPr>
            <w:tcW w:w="760" w:type="dxa"/>
            <w:vAlign w:val="bottom"/>
          </w:tcPr>
          <w:p>
            <w:pPr>
              <w:jc w:val="right"/>
              <w:ind w:right="161"/>
              <w:spacing w:after="0"/>
              <w:rPr>
                <w:sz w:val="20"/>
                <w:szCs w:val="20"/>
                <w:color w:val="auto"/>
              </w:rPr>
            </w:pPr>
            <w:r>
              <w:rPr>
                <w:rFonts w:ascii="Arial" w:cs="Arial" w:eastAsia="Arial" w:hAnsi="Arial"/>
                <w:sz w:val="17"/>
                <w:szCs w:val="17"/>
                <w:color w:val="auto"/>
              </w:rPr>
              <w:t>$ 477</w:t>
            </w:r>
          </w:p>
        </w:tc>
        <w:tc>
          <w:tcPr>
            <w:tcW w:w="840" w:type="dxa"/>
            <w:vAlign w:val="bottom"/>
          </w:tcPr>
          <w:p>
            <w:pPr>
              <w:jc w:val="right"/>
              <w:ind w:right="161"/>
              <w:spacing w:after="0"/>
              <w:rPr>
                <w:sz w:val="20"/>
                <w:szCs w:val="20"/>
                <w:color w:val="auto"/>
              </w:rPr>
            </w:pPr>
            <w:r>
              <w:rPr>
                <w:rFonts w:ascii="Arial" w:cs="Arial" w:eastAsia="Arial" w:hAnsi="Arial"/>
                <w:sz w:val="17"/>
                <w:szCs w:val="17"/>
                <w:color w:val="auto"/>
              </w:rPr>
              <w:t>$2,994</w:t>
            </w:r>
          </w:p>
        </w:tc>
        <w:tc>
          <w:tcPr>
            <w:tcW w:w="760" w:type="dxa"/>
            <w:vAlign w:val="bottom"/>
          </w:tcPr>
          <w:p>
            <w:pPr>
              <w:jc w:val="right"/>
              <w:spacing w:after="0"/>
              <w:rPr>
                <w:sz w:val="20"/>
                <w:szCs w:val="20"/>
                <w:color w:val="auto"/>
              </w:rPr>
            </w:pPr>
            <w:r>
              <w:rPr>
                <w:rFonts w:ascii="Arial" w:cs="Arial" w:eastAsia="Arial" w:hAnsi="Arial"/>
                <w:sz w:val="17"/>
                <w:szCs w:val="17"/>
                <w:color w:val="auto"/>
              </w:rPr>
              <w:t>$425,000</w:t>
            </w:r>
          </w:p>
        </w:tc>
        <w:tc>
          <w:tcPr>
            <w:tcW w:w="3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434,504</w:t>
            </w:r>
          </w:p>
        </w:tc>
        <w:tc>
          <w:tcPr>
            <w:tcW w:w="0" w:type="dxa"/>
            <w:vAlign w:val="bottom"/>
          </w:tcPr>
          <w:p>
            <w:pPr>
              <w:spacing w:after="0"/>
              <w:rPr>
                <w:sz w:val="1"/>
                <w:szCs w:val="1"/>
                <w:color w:val="auto"/>
              </w:rPr>
            </w:pPr>
          </w:p>
        </w:tc>
      </w:tr>
      <w:tr>
        <w:trPr>
          <w:trHeight w:val="102"/>
        </w:trPr>
        <w:tc>
          <w:tcPr>
            <w:tcW w:w="4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Weighted-average interest rate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7.68%</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7.71%</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7.73%</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7.74%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7.75%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305"/>
        </w:trPr>
        <w:tc>
          <w:tcPr>
            <w:tcW w:w="4540" w:type="dxa"/>
            <w:vAlign w:val="bottom"/>
          </w:tcPr>
          <w:p>
            <w:pPr>
              <w:spacing w:after="0"/>
              <w:rPr>
                <w:sz w:val="20"/>
                <w:szCs w:val="20"/>
                <w:color w:val="auto"/>
              </w:rPr>
            </w:pPr>
            <w:r>
              <w:rPr>
                <w:rFonts w:ascii="Arial" w:cs="Arial" w:eastAsia="Arial" w:hAnsi="Arial"/>
                <w:sz w:val="17"/>
                <w:szCs w:val="17"/>
                <w:b w:val="1"/>
                <w:bCs w:val="1"/>
                <w:color w:val="auto"/>
              </w:rPr>
              <w:t>Estimated future cash flows of interest rate swaps (2):</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Variable to Fixed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562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109</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304"/>
        </w:trPr>
        <w:tc>
          <w:tcPr>
            <w:tcW w:w="4540" w:type="dxa"/>
            <w:vAlign w:val="bottom"/>
          </w:tcPr>
          <w:p>
            <w:pPr>
              <w:ind w:left="680"/>
              <w:spacing w:after="0"/>
              <w:rPr>
                <w:sz w:val="20"/>
                <w:szCs w:val="20"/>
                <w:color w:val="auto"/>
              </w:rPr>
            </w:pPr>
            <w:r>
              <w:rPr>
                <w:rFonts w:ascii="Arial" w:cs="Arial" w:eastAsia="Arial" w:hAnsi="Arial"/>
                <w:sz w:val="17"/>
                <w:szCs w:val="17"/>
                <w:color w:val="auto"/>
              </w:rPr>
              <w:t>Weighted-average pay rate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7"/>
                <w:szCs w:val="17"/>
                <w:color w:val="auto"/>
              </w:rPr>
              <w:t>3.23%</w:t>
            </w:r>
          </w:p>
        </w:tc>
        <w:tc>
          <w:tcPr>
            <w:tcW w:w="20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7"/>
                <w:szCs w:val="17"/>
                <w:color w:val="auto"/>
              </w:rPr>
              <w:t>3.23%</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02"/>
        </w:trPr>
        <w:tc>
          <w:tcPr>
            <w:tcW w:w="4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Weighted-average receive rate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0.42%</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0.95%</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40" w:right="180" w:hanging="438"/>
        <w:spacing w:after="0" w:line="256"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variable and fixed interest rate debt balances and weighted-average interest rate are based on the aggregate amount of debt outstanding as of December 31, 2014.</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estimated future cash flows and related weighted-average receive rate are based on the estimated fair value of these contracts as of December 31, 2014.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1"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purchase commitments under firm purchase commitments and related weighted-average contract costs by contract terms as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Borders>
              <w:bottom w:val="single" w:sz="8" w:color="auto"/>
            </w:tcBorders>
          </w:tcPr>
          <w:p>
            <w:pPr>
              <w:spacing w:after="0"/>
              <w:rPr>
                <w:sz w:val="14"/>
                <w:szCs w:val="14"/>
                <w:color w:val="auto"/>
              </w:rPr>
            </w:pPr>
          </w:p>
        </w:tc>
        <w:tc>
          <w:tcPr>
            <w:tcW w:w="11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Thereafter</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6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40"/>
              <w:spacing w:after="0" w:line="133"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520" w:type="dxa"/>
            <w:vAlign w:val="bottom"/>
          </w:tcPr>
          <w:p>
            <w:pPr>
              <w:jc w:val="right"/>
              <w:ind w:right="161"/>
              <w:spacing w:after="0" w:line="133" w:lineRule="exact"/>
              <w:rPr>
                <w:sz w:val="20"/>
                <w:szCs w:val="20"/>
                <w:color w:val="auto"/>
              </w:rPr>
            </w:pPr>
            <w:r>
              <w:rPr>
                <w:rFonts w:ascii="Arial" w:cs="Arial" w:eastAsia="Arial" w:hAnsi="Arial"/>
                <w:sz w:val="14"/>
                <w:szCs w:val="14"/>
                <w:b w:val="1"/>
                <w:bCs w:val="1"/>
                <w:color w:val="auto"/>
                <w:w w:val="83"/>
              </w:rPr>
              <w:t>2016</w:t>
            </w:r>
          </w:p>
        </w:tc>
        <w:tc>
          <w:tcPr>
            <w:tcW w:w="980" w:type="dxa"/>
            <w:vAlign w:val="bottom"/>
          </w:tcPr>
          <w:p>
            <w:pPr>
              <w:jc w:val="right"/>
              <w:ind w:right="32"/>
              <w:spacing w:after="0" w:line="133" w:lineRule="exact"/>
              <w:rPr>
                <w:sz w:val="20"/>
                <w:szCs w:val="20"/>
                <w:color w:val="auto"/>
              </w:rPr>
            </w:pPr>
            <w:r>
              <w:rPr>
                <w:rFonts w:ascii="Arial" w:cs="Arial" w:eastAsia="Arial" w:hAnsi="Arial"/>
                <w:sz w:val="14"/>
                <w:szCs w:val="14"/>
                <w:b w:val="1"/>
                <w:bCs w:val="1"/>
                <w:color w:val="auto"/>
              </w:rPr>
              <w:t>2017   2018</w:t>
            </w:r>
          </w:p>
        </w:tc>
        <w:tc>
          <w:tcPr>
            <w:tcW w:w="3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2019</w:t>
            </w:r>
          </w:p>
        </w:tc>
        <w:tc>
          <w:tcPr>
            <w:tcW w:w="11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940" w:type="dxa"/>
            <w:vAlign w:val="bottom"/>
            <w:tcBorders>
              <w:top w:val="single" w:sz="8" w:color="auto"/>
            </w:tcBorders>
            <w:gridSpan w:val="6"/>
          </w:tcPr>
          <w:p>
            <w:pPr>
              <w:ind w:left="580"/>
              <w:spacing w:after="0" w:line="133" w:lineRule="exact"/>
              <w:rPr>
                <w:sz w:val="20"/>
                <w:szCs w:val="20"/>
                <w:color w:val="auto"/>
              </w:rPr>
            </w:pPr>
            <w:r>
              <w:rPr>
                <w:rFonts w:ascii="Arial" w:cs="Arial" w:eastAsia="Arial" w:hAnsi="Arial"/>
                <w:sz w:val="14"/>
                <w:szCs w:val="14"/>
                <w:color w:val="auto"/>
                <w:w w:val="88"/>
              </w:rPr>
              <w:t>(Dollars In Thousands, Except For Weighted Average Costs)</w:t>
            </w: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Firm purchase commitments: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6720" w:type="dxa"/>
            <w:vAlign w:val="bottom"/>
          </w:tcPr>
          <w:p>
            <w:pPr>
              <w:ind w:left="340"/>
              <w:spacing w:after="0"/>
              <w:rPr>
                <w:sz w:val="20"/>
                <w:szCs w:val="20"/>
                <w:color w:val="auto"/>
              </w:rPr>
            </w:pPr>
            <w:r>
              <w:rPr>
                <w:rFonts w:ascii="Arial" w:cs="Arial" w:eastAsia="Arial" w:hAnsi="Arial"/>
                <w:sz w:val="17"/>
                <w:szCs w:val="17"/>
                <w:color w:val="auto"/>
              </w:rPr>
              <w:t>Natural gas: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cost of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30,179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6,136</w:t>
            </w:r>
          </w:p>
        </w:tc>
        <w:tc>
          <w:tcPr>
            <w:tcW w:w="9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36,315</w:t>
            </w:r>
          </w:p>
        </w:tc>
        <w:tc>
          <w:tcPr>
            <w:tcW w:w="0" w:type="dxa"/>
            <w:vAlign w:val="bottom"/>
          </w:tcPr>
          <w:p>
            <w:pPr>
              <w:spacing w:after="0"/>
              <w:rPr>
                <w:sz w:val="1"/>
                <w:szCs w:val="1"/>
                <w:color w:val="auto"/>
              </w:rPr>
            </w:pPr>
          </w:p>
        </w:tc>
      </w:tr>
      <w:tr>
        <w:trPr>
          <w:trHeight w:val="304"/>
        </w:trPr>
        <w:tc>
          <w:tcPr>
            <w:tcW w:w="6720" w:type="dxa"/>
            <w:vAlign w:val="bottom"/>
          </w:tcPr>
          <w:p>
            <w:pPr>
              <w:ind w:left="680"/>
              <w:spacing w:after="0"/>
              <w:rPr>
                <w:sz w:val="20"/>
                <w:szCs w:val="20"/>
                <w:color w:val="auto"/>
              </w:rPr>
            </w:pPr>
            <w:r>
              <w:rPr>
                <w:rFonts w:ascii="Arial" w:cs="Arial" w:eastAsia="Arial" w:hAnsi="Arial"/>
                <w:sz w:val="17"/>
                <w:szCs w:val="17"/>
                <w:color w:val="auto"/>
              </w:rPr>
              <w:t>Weighted-average cost per MMBtu</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0"/>
              <w:spacing w:after="0"/>
              <w:rPr>
                <w:sz w:val="20"/>
                <w:szCs w:val="20"/>
                <w:color w:val="auto"/>
              </w:rPr>
            </w:pPr>
            <w:r>
              <w:rPr>
                <w:rFonts w:ascii="Arial" w:cs="Arial" w:eastAsia="Arial" w:hAnsi="Arial"/>
                <w:sz w:val="17"/>
                <w:szCs w:val="17"/>
                <w:color w:val="auto"/>
              </w:rPr>
              <w:t>3.22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61"/>
              <w:spacing w:after="0"/>
              <w:rPr>
                <w:sz w:val="20"/>
                <w:szCs w:val="20"/>
                <w:color w:val="auto"/>
              </w:rPr>
            </w:pPr>
            <w:r>
              <w:rPr>
                <w:rFonts w:ascii="Arial" w:cs="Arial" w:eastAsia="Arial" w:hAnsi="Arial"/>
                <w:sz w:val="17"/>
                <w:szCs w:val="17"/>
                <w:color w:val="auto"/>
              </w:rPr>
              <w:t>3.37</w:t>
            </w:r>
          </w:p>
        </w:tc>
        <w:tc>
          <w:tcPr>
            <w:tcW w:w="98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102"/>
        </w:trPr>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Copper:</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680"/>
              <w:spacing w:after="0"/>
              <w:rPr>
                <w:sz w:val="20"/>
                <w:szCs w:val="20"/>
                <w:color w:val="auto"/>
              </w:rPr>
            </w:pPr>
            <w:r>
              <w:rPr>
                <w:rFonts w:ascii="Arial" w:cs="Arial" w:eastAsia="Arial" w:hAnsi="Arial"/>
                <w:sz w:val="17"/>
                <w:szCs w:val="17"/>
                <w:color w:val="auto"/>
              </w:rPr>
              <w:t>Total cost of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0"/>
              <w:spacing w:after="0"/>
              <w:rPr>
                <w:sz w:val="20"/>
                <w:szCs w:val="20"/>
                <w:color w:val="auto"/>
              </w:rPr>
            </w:pPr>
            <w:r>
              <w:rPr>
                <w:rFonts w:ascii="Arial" w:cs="Arial" w:eastAsia="Arial" w:hAnsi="Arial"/>
                <w:sz w:val="17"/>
                <w:szCs w:val="17"/>
                <w:color w:val="auto"/>
              </w:rPr>
              <w:t>5,212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5,212</w:t>
            </w:r>
          </w:p>
        </w:tc>
        <w:tc>
          <w:tcPr>
            <w:tcW w:w="0" w:type="dxa"/>
            <w:vAlign w:val="bottom"/>
          </w:tcPr>
          <w:p>
            <w:pPr>
              <w:spacing w:after="0"/>
              <w:rPr>
                <w:sz w:val="1"/>
                <w:szCs w:val="1"/>
                <w:color w:val="auto"/>
              </w:rPr>
            </w:pPr>
          </w:p>
        </w:tc>
      </w:tr>
      <w:tr>
        <w:trPr>
          <w:trHeight w:val="90"/>
        </w:trPr>
        <w:tc>
          <w:tcPr>
            <w:tcW w:w="6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Weighted-average cost per pound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2.98</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305"/>
        </w:trPr>
        <w:tc>
          <w:tcPr>
            <w:tcW w:w="6720" w:type="dxa"/>
            <w:vAlign w:val="bottom"/>
          </w:tcPr>
          <w:p>
            <w:pPr>
              <w:ind w:left="340"/>
              <w:spacing w:after="0"/>
              <w:rPr>
                <w:sz w:val="20"/>
                <w:szCs w:val="20"/>
                <w:color w:val="auto"/>
              </w:rPr>
            </w:pPr>
            <w:r>
              <w:rPr>
                <w:rFonts w:ascii="Arial" w:cs="Arial" w:eastAsia="Arial" w:hAnsi="Arial"/>
                <w:sz w:val="17"/>
                <w:szCs w:val="17"/>
                <w:color w:val="auto"/>
              </w:rPr>
              <w:t>Platinum:</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cost of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3,673</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3,673</w:t>
            </w:r>
          </w:p>
        </w:tc>
        <w:tc>
          <w:tcPr>
            <w:tcW w:w="0" w:type="dxa"/>
            <w:vAlign w:val="bottom"/>
          </w:tcPr>
          <w:p>
            <w:pPr>
              <w:spacing w:after="0"/>
              <w:rPr>
                <w:sz w:val="1"/>
                <w:szCs w:val="1"/>
                <w:color w:val="auto"/>
              </w:rPr>
            </w:pPr>
          </w:p>
        </w:tc>
      </w:tr>
      <w:tr>
        <w:trPr>
          <w:trHeight w:val="304"/>
        </w:trPr>
        <w:tc>
          <w:tcPr>
            <w:tcW w:w="6720" w:type="dxa"/>
            <w:vAlign w:val="bottom"/>
          </w:tcPr>
          <w:p>
            <w:pPr>
              <w:ind w:left="680"/>
              <w:spacing w:after="0"/>
              <w:rPr>
                <w:sz w:val="20"/>
                <w:szCs w:val="20"/>
                <w:color w:val="auto"/>
              </w:rPr>
            </w:pPr>
            <w:r>
              <w:rPr>
                <w:rFonts w:ascii="Arial" w:cs="Arial" w:eastAsia="Arial" w:hAnsi="Arial"/>
                <w:sz w:val="17"/>
                <w:szCs w:val="17"/>
                <w:color w:val="auto"/>
              </w:rPr>
              <w:t>Weighted-average cost per Troy oz.</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0"/>
              <w:spacing w:after="0"/>
              <w:rPr>
                <w:sz w:val="20"/>
                <w:szCs w:val="20"/>
                <w:color w:val="auto"/>
              </w:rPr>
            </w:pPr>
            <w:r>
              <w:rPr>
                <w:rFonts w:ascii="Arial" w:cs="Arial" w:eastAsia="Arial" w:hAnsi="Arial"/>
                <w:sz w:val="17"/>
                <w:szCs w:val="17"/>
                <w:color w:val="auto"/>
                <w:w w:val="87"/>
              </w:rPr>
              <w:t>1,224.26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1,224.26</w:t>
            </w:r>
          </w:p>
        </w:tc>
        <w:tc>
          <w:tcPr>
            <w:tcW w:w="0" w:type="dxa"/>
            <w:vAlign w:val="bottom"/>
          </w:tcPr>
          <w:p>
            <w:pPr>
              <w:spacing w:after="0"/>
              <w:rPr>
                <w:sz w:val="1"/>
                <w:szCs w:val="1"/>
                <w:color w:val="auto"/>
              </w:rPr>
            </w:pPr>
          </w:p>
        </w:tc>
      </w:tr>
      <w:tr>
        <w:trPr>
          <w:trHeight w:val="102"/>
        </w:trPr>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680"/>
              <w:spacing w:after="0"/>
              <w:rPr>
                <w:sz w:val="20"/>
                <w:szCs w:val="20"/>
                <w:color w:val="auto"/>
              </w:rPr>
            </w:pPr>
            <w:r>
              <w:rPr>
                <w:rFonts w:ascii="Arial" w:cs="Arial" w:eastAsia="Arial" w:hAnsi="Arial"/>
                <w:sz w:val="17"/>
                <w:szCs w:val="17"/>
                <w:color w:val="auto"/>
              </w:rPr>
              <w:t>Total cost of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0"/>
              <w:spacing w:after="0"/>
              <w:rPr>
                <w:sz w:val="20"/>
                <w:szCs w:val="20"/>
                <w:color w:val="auto"/>
              </w:rPr>
            </w:pPr>
            <w:r>
              <w:rPr>
                <w:rFonts w:ascii="Arial" w:cs="Arial" w:eastAsia="Arial" w:hAnsi="Arial"/>
                <w:sz w:val="17"/>
                <w:szCs w:val="17"/>
                <w:color w:val="auto"/>
              </w:rPr>
              <w:t>1,043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90"/>
        </w:trPr>
        <w:tc>
          <w:tcPr>
            <w:tcW w:w="6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Weighted-average contract exchange rate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1.27</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620" w:right="3600" w:hanging="5618"/>
        <w:spacing w:after="0" w:line="445" w:lineRule="auto"/>
        <w:tabs>
          <w:tab w:leader="none" w:pos="4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commitments under these contracts are to pay in U.S. Dollars and receive approximately 819,000 Euros. 44</w:t>
      </w:r>
    </w:p>
    <w:p>
      <w:pPr>
        <w:sectPr>
          <w:pgSz w:w="11900" w:h="16838" w:orient="portrait"/>
          <w:cols w:equalWidth="0" w:num="1">
            <w:col w:w="11420"/>
          </w:cols>
          <w:pgMar w:left="240" w:top="441"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At December 31, 2014 and 2013, we did not have any financial instruments with fair values significantly different from their carrying amounts, except for the Senior Secured Notes. At December 31, 2014, the estimated fair value of the Senior Secured Notes exceeded the carrying value by approximately $17 million based on a quoted price of 104.0. At December 31, 2013, the estimated fair value of the Senior Secured Notes exceeded the carrying value by approximately $20 million based on the range of ask/bid prices (104.5 to 104.9) for these notes which were trades in a limited and low volume market as they were not registered at that time. These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114"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263" w:lineRule="exact"/>
        <w:rPr>
          <w:sz w:val="20"/>
          <w:szCs w:val="20"/>
          <w:color w:val="auto"/>
        </w:rPr>
      </w:pPr>
    </w:p>
    <w:p>
      <w:pPr>
        <w:ind w:right="1820"/>
        <w:spacing w:after="0" w:line="403" w:lineRule="auto"/>
        <w:rPr>
          <w:sz w:val="20"/>
          <w:szCs w:val="20"/>
          <w:color w:val="auto"/>
        </w:rPr>
      </w:pPr>
      <w:r>
        <w:rPr>
          <w:rFonts w:ascii="Arial" w:cs="Arial" w:eastAsia="Arial" w:hAnsi="Arial"/>
          <w:sz w:val="17"/>
          <w:szCs w:val="17"/>
          <w:b w:val="1"/>
          <w:bCs w:val="1"/>
          <w:u w:val="single" w:color="auto"/>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19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u w:val="single" w:color="auto"/>
          <w:color w:val="auto"/>
        </w:rPr>
        <w:t>ITEM 9A.</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114"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w:t>
      </w:r>
    </w:p>
    <w:p>
      <w:pPr>
        <w:spacing w:after="0" w:line="1"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There were no changes to our internal control over financial reporting during the quarter ended December 31, 2014 that have materially affected, or are reasonably likely to materially affect, our internal control over financial reporting.</w:t>
      </w:r>
    </w:p>
    <w:p>
      <w:pPr>
        <w:spacing w:after="0" w:line="176"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During the third quarter of 2014, we began implementing a new enterprise resource planning system. We are implementing this system in discreet phases during the next few years. As a result, this implementation requires us to monitor and maintain appropriate internal control over financial reporting during this transition. It is possible that during each future phase of the implementation, we may make changes to our internal control over financial reporting that could materially affect our internal control over financial reporting. In addition, it is possible that during each phase of the implementation, we may make changes to our internal control over financial reporting that did not materially affect our internal control over financial reporting, but, when fully implemented, the cumulative effect of the changes made may be considered material.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9"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2014. In making this assessment, it used the criteria set forth by the Committee of Sponsoring Organizations of the Treadway Commission in Internal Control - Integrated Framework (2013 Framework). Based on our assessment, we believe that, as of December 31, 2014, our internal control over financial reporting is effective based on those criteria.</w:t>
      </w:r>
    </w:p>
    <w:p>
      <w:pPr>
        <w:spacing w:after="0" w:line="15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independent registered public accounting firm has issued an attestation report on our internal control over financial reporting. This report appears on the following page.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1"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LSB Industries, Inc.</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have audited LSB Industries, Inc.’s internal control over financial reporting as of December 31, 2014 based on criteria established in Internal Control-Integrated Framework issued by the Committee of Sponsoring Organizations of the Treadway Commission (2013 Framework) (the COSO criteria). LSB Industries,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our opinion, LSB Industries, Inc. maintained, in all material respects, effective internal control over financial reporting as of December 31, 2014, based on the COSO criteria</w:t>
      </w:r>
      <w:r>
        <w:rPr>
          <w:rFonts w:ascii="Arial" w:cs="Arial" w:eastAsia="Arial" w:hAnsi="Arial"/>
          <w:sz w:val="17"/>
          <w:szCs w:val="17"/>
          <w:b w:val="1"/>
          <w:bCs w:val="1"/>
          <w:color w:val="auto"/>
        </w:rPr>
        <w:t>.</w:t>
      </w:r>
    </w:p>
    <w:p>
      <w:pPr>
        <w:spacing w:after="0" w:line="16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LSB Industries, Inc. as of December 31, 2014 and 2013, and the related consolidated statements of income, stockholders’ equity, and cash flows for each of the three years in the period ended December 31, 2014 of LSB Industries, Inc. and our report dated February 27, 2015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Oklahoma City, Oklahoma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2015</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1"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u w:val="single" w:color="auto"/>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not limited to, the following:</w:t>
      </w:r>
    </w:p>
    <w:p>
      <w:pPr>
        <w:spacing w:after="0" w:line="93" w:lineRule="exact"/>
        <w:rPr>
          <w:sz w:val="20"/>
          <w:szCs w:val="20"/>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invest in projects that will generate best returns for our stockholders;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construction and sales outlook for the markets we serve and the products we sell in the Climate Control Business;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outlook our chemical products and related markets;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 timing and impact on the nitrogen market from the current nitrogen expansion projects;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demand for our geothermal products;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from the lack of non-seasonal volume in the Chemical Business;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competition is based upon service, price, location of production and distribution sites, and product quality and performance;</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outlook for the coal industry;</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availability of raw materials;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result of our product and market diversification strategy for our Chemical Business;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leadership positions in certain product categories for our Climate Control Business;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shipment of backlog;</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from the ongoing Operational Excellence activities;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results of our strategy for our Climate Control Business;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geothermal technology being one of the most energy efficient;</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eliminating our external ammonia purchase requirements;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domestic fertilizer production;</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increasing output and capacity of our existing production facilities;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ability to moderate risk inherent in agricultural markets;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stimulating sales of our geothermal heat pump products, and other “green” products;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eliminating the current ammonia cost disadvantage;</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improved sales in 2015 for our Climate Control Business;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sources to fund our cash needs and how this cash will be used;</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to entering into the additional borrowings;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completing the ERP implemented in 2016;</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completing the El Dorado expansion project during 2015;</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results from the El Dorado expansion project;</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cost of our capital projects;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ability to pass to our customers cost increases in the form of higher prices;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sufficient sources for materials and components;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ability to obtain ammonia from other sources;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annual natural gas requirements;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compliance by the El Dorado Facility of the terms of its permits;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dissolved mineral issue should not be an issue since the pipeline is operational;</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costs of compliance with environmental laws, health laws, security regulations and transportation regulations;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 Turnarounds will be performed and completed;</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costs of Turnarounds during 2015;</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expenses in connection with environmental projects;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estimated accrued warranty costs could change in the near and long term;</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projected warranty costs;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litigation and other contingencies;</w:t>
      </w:r>
    </w:p>
    <w:p>
      <w:pPr>
        <w:sectPr>
          <w:pgSz w:w="11900" w:h="16838" w:orient="portrait"/>
          <w:cols w:equalWidth="0" w:num="1">
            <w:col w:w="11300"/>
          </w:cols>
          <w:pgMar w:left="240" w:top="441" w:right="359" w:bottom="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019"/>
          </w:cols>
          <w:pgMar w:left="1440" w:top="127" w:right="1440"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20" w:hanging="317"/>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increase in depreciation, depletion and amortization;</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costs and other negative effects relating to proxy contests;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we should repurchase stock, we currently intend to fund any repurchases from our available working capital;</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benefits from the El Dorado expansion projects; and</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meeting all required covenant tests for the next twelve months.</w:t>
      </w:r>
    </w:p>
    <w:p>
      <w:pPr>
        <w:spacing w:after="0" w:line="211"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87" w:lineRule="exact"/>
        <w:rPr>
          <w:sz w:val="20"/>
          <w:szCs w:val="20"/>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general economic conditions, both domestic and foreign,</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reduction in revenues,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changes in interest rates,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ability to collect in a timely manner a material amount of receivables,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increased competitive pressures,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adverse effect on increases in prices of raw materials;</w:t>
      </w:r>
    </w:p>
    <w:p>
      <w:pPr>
        <w:spacing w:after="0" w:line="122" w:lineRule="exact"/>
        <w:rPr>
          <w:rFonts w:ascii="Arial" w:cs="Arial" w:eastAsia="Arial" w:hAnsi="Arial"/>
          <w:sz w:val="17"/>
          <w:szCs w:val="17"/>
          <w:color w:val="auto"/>
        </w:rPr>
      </w:pPr>
    </w:p>
    <w:p>
      <w:pPr>
        <w:ind w:left="420" w:hanging="317"/>
        <w:spacing w:after="0" w:line="273" w:lineRule="auto"/>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federal, state and local laws and regulations, especially environmental regulations or the American Reinvestment and Recovery act, or in interpretation of such,</w:t>
      </w:r>
    </w:p>
    <w:p>
      <w:pPr>
        <w:spacing w:after="0" w:line="76"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releases of pollutants into the environment exceeding our permitted limits,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increases in equipment, maintenance, operating or labor costs not presently anticipated by us,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requirement to use internally generated funds for purposes not presently anticipated,</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inability to secure additional financing for planned capital expenditures or financing obligations due in the near future,</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substantial existing indebtedness;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changes in the cost of certain precious metals, ammonia, natural gas, copper, steel and purchased components,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limitations due to financial covenants;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competition,</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loss of any significant customer,</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 in cost to maintain internal controls over financial reporting;</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operating strategy or development plans,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inability to fund the working capital and expansion of our businesses,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problems with product equipment,</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production efficiency of our facilities,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adverse results in our contingencies including pending litigation,</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unplanned downtime at one or more of our chemical facilities;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production rates at any of our chemical plants;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inability to obtain necessary raw materials and purchased components,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increases is cost of raw materials;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changes in our accounting estimates,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significant problems within our production equipment,</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fire or natural disasters,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inability to obtain or retain our insurance coverage,</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obtaining necessary permits;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third-party financing;</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risk associated with drilling natural gas wells;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risks associated with proxy contests initiated by dissident stockholders;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fertilizer production;</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reduction in acres planted for crops requiring fertilizer;</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decrease in duties for products we sell resulting in an increase in imported products into the U.S.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uncertainties in estimating natural gas reserves;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volatility of natural gas prices;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 in imported agricultural products;</w:t>
      </w:r>
    </w:p>
    <w:p>
      <w:pPr>
        <w:sectPr>
          <w:pgSz w:w="11900" w:h="16838" w:orient="portrait"/>
          <w:cols w:equalWidth="0" w:num="1">
            <w:col w:w="11400"/>
          </w:cols>
          <w:pgMar w:left="240" w:top="441" w:right="259" w:bottom="0" w:gutter="0" w:footer="0" w:header="0"/>
        </w:sectPr>
      </w:pPr>
    </w:p>
    <w:bookmarkStart w:id="51" w:name="page52"/>
    <w:bookmarkEnd w:id="51"/>
    <w:p>
      <w:pPr>
        <w:ind w:left="320" w:hanging="317"/>
        <w:spacing w:after="0"/>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factors described in the MD&amp;A contained in this report, and</w:t>
      </w:r>
    </w:p>
    <w:p>
      <w:pPr>
        <w:spacing w:after="0" w:line="122" w:lineRule="exact"/>
        <w:rPr>
          <w:rFonts w:ascii="Arial" w:cs="Arial" w:eastAsia="Arial" w:hAnsi="Arial"/>
          <w:sz w:val="17"/>
          <w:szCs w:val="17"/>
          <w:color w:val="auto"/>
        </w:rPr>
      </w:pPr>
    </w:p>
    <w:p>
      <w:pPr>
        <w:ind w:left="320" w:hanging="317"/>
        <w:spacing w:after="0"/>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factors described in “Risk Factors”.</w:t>
      </w:r>
    </w:p>
    <w:p>
      <w:pPr>
        <w:spacing w:after="0" w:line="148"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119"/>
          </w:cols>
          <w:pgMar w:left="340" w:top="127" w:right="1440"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220"/>
        <w:spacing w:after="0" w:line="341" w:lineRule="auto"/>
        <w:rPr>
          <w:sz w:val="20"/>
          <w:szCs w:val="20"/>
          <w:color w:val="auto"/>
        </w:rPr>
      </w:pPr>
      <w:r>
        <w:rPr>
          <w:rFonts w:ascii="Arial" w:cs="Arial" w:eastAsia="Arial" w:hAnsi="Arial"/>
          <w:sz w:val="15"/>
          <w:szCs w:val="15"/>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Defined Terms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list of terms used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AHRI </w:t>
      </w:r>
      <w:r>
        <w:rPr>
          <w:rFonts w:ascii="Arial" w:cs="Arial" w:eastAsia="Arial" w:hAnsi="Arial"/>
          <w:sz w:val="17"/>
          <w:szCs w:val="17"/>
          <w:color w:val="auto"/>
        </w:rPr>
        <w:t>- The Air-Conditioning, Heating and Refrigeration Institute.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Amended Working Capital Revolver Loan </w:t>
      </w:r>
      <w:r>
        <w:rPr>
          <w:rFonts w:ascii="Arial" w:cs="Arial" w:eastAsia="Arial" w:hAnsi="Arial"/>
          <w:sz w:val="17"/>
          <w:szCs w:val="17"/>
          <w:color w:val="auto"/>
        </w:rPr>
        <w:t>- The senior secured revolving credit facility, amended effective 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 </w:t>
      </w:r>
      <w:r>
        <w:rPr>
          <w:rFonts w:ascii="Arial" w:cs="Arial" w:eastAsia="Arial" w:hAnsi="Arial"/>
          <w:sz w:val="17"/>
          <w:szCs w:val="17"/>
          <w:color w:val="auto"/>
        </w:rPr>
        <w:t>- Ammonium nitrate.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ARO </w:t>
      </w:r>
      <w:r>
        <w:rPr>
          <w:rFonts w:ascii="Arial" w:cs="Arial" w:eastAsia="Arial" w:hAnsi="Arial"/>
          <w:sz w:val="17"/>
          <w:szCs w:val="17"/>
          <w:color w:val="auto"/>
        </w:rPr>
        <w:t>- Asset retirement obligation.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Bayer </w:t>
      </w:r>
      <w:r>
        <w:rPr>
          <w:rFonts w:ascii="Arial" w:cs="Arial" w:eastAsia="Arial" w:hAnsi="Arial"/>
          <w:sz w:val="17"/>
          <w:szCs w:val="17"/>
          <w:color w:val="auto"/>
        </w:rPr>
        <w:t>- Bayer MaterialScience LLC.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Bayer Agreement </w:t>
      </w:r>
      <w:r>
        <w:rPr>
          <w:rFonts w:ascii="Arial" w:cs="Arial" w:eastAsia="Arial" w:hAnsi="Arial"/>
          <w:sz w:val="17"/>
          <w:szCs w:val="17"/>
          <w:color w:val="auto"/>
        </w:rPr>
        <w:t>- A long-term contract that provides for a pass-through of certain costs, including the ammonia costs, plus a fixed dollar profit.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Baytown Facility </w:t>
      </w:r>
      <w:r>
        <w:rPr>
          <w:rFonts w:ascii="Arial" w:cs="Arial" w:eastAsia="Arial" w:hAnsi="Arial"/>
          <w:sz w:val="17"/>
          <w:szCs w:val="17"/>
          <w:color w:val="auto"/>
        </w:rPr>
        <w:t>- Bayer’s nitric acid production facility located in Baytown, Texas.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Borrowers </w:t>
      </w:r>
      <w:r>
        <w:rPr>
          <w:rFonts w:ascii="Arial" w:cs="Arial" w:eastAsia="Arial" w:hAnsi="Arial"/>
          <w:sz w:val="17"/>
          <w:szCs w:val="17"/>
          <w:color w:val="auto"/>
        </w:rPr>
        <w:t>- LSB and certain of its subsidiaries that are party to the Amended Working Capital Revolver Loan.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Carrier </w:t>
      </w:r>
      <w:r>
        <w:rPr>
          <w:rFonts w:ascii="Arial" w:cs="Arial" w:eastAsia="Arial" w:hAnsi="Arial"/>
          <w:sz w:val="17"/>
          <w:szCs w:val="17"/>
          <w:color w:val="auto"/>
        </w:rPr>
        <w:t>- Carrier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Chemical Business </w:t>
      </w:r>
      <w:r>
        <w:rPr>
          <w:rFonts w:ascii="Arial" w:cs="Arial" w:eastAsia="Arial" w:hAnsi="Arial"/>
          <w:sz w:val="15"/>
          <w:szCs w:val="15"/>
          <w:color w:val="auto"/>
        </w:rPr>
        <w:t>- LSB’s business segment that manufactures and sells nitrogen-based chemical products for the agricultural, industrial, and mining markets.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Cherokee Facility </w:t>
      </w:r>
      <w:r>
        <w:rPr>
          <w:rFonts w:ascii="Arial" w:cs="Arial" w:eastAsia="Arial" w:hAnsi="Arial"/>
          <w:sz w:val="17"/>
          <w:szCs w:val="17"/>
          <w:color w:val="auto"/>
        </w:rPr>
        <w:t>- Our chemical production facility located in Cherokee, Alabama.</w:t>
      </w:r>
    </w:p>
    <w:p>
      <w:pPr>
        <w:spacing w:after="0" w:line="211"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Climate Control Business </w:t>
      </w:r>
      <w:r>
        <w:rPr>
          <w:rFonts w:ascii="Arial" w:cs="Arial" w:eastAsia="Arial" w:hAnsi="Arial"/>
          <w:sz w:val="16"/>
          <w:szCs w:val="16"/>
          <w:color w:val="auto"/>
        </w:rPr>
        <w:t>- LSB’s business segment manufactures and sells a broad range of HVAC products that include water source and geothermal heat pumps,</w:t>
      </w:r>
      <w:r>
        <w:rPr>
          <w:rFonts w:ascii="Arial" w:cs="Arial" w:eastAsia="Arial" w:hAnsi="Arial"/>
          <w:sz w:val="16"/>
          <w:szCs w:val="16"/>
          <w:b w:val="1"/>
          <w:bCs w:val="1"/>
          <w:color w:val="auto"/>
        </w:rPr>
        <w:t xml:space="preserve"> </w:t>
      </w:r>
      <w:r>
        <w:rPr>
          <w:rFonts w:ascii="Arial" w:cs="Arial" w:eastAsia="Arial" w:hAnsi="Arial"/>
          <w:sz w:val="16"/>
          <w:szCs w:val="16"/>
          <w:color w:val="auto"/>
        </w:rPr>
        <w:t>hydronic fan coils, large custom air handlers, modular geothermal and other chillers, and other related products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CM </w:t>
      </w:r>
      <w:r>
        <w:rPr>
          <w:rFonts w:ascii="Arial" w:cs="Arial" w:eastAsia="Arial" w:hAnsi="Arial"/>
          <w:sz w:val="17"/>
          <w:szCs w:val="17"/>
          <w:color w:val="auto"/>
        </w:rPr>
        <w:t>- Climate Master,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CMFS </w:t>
      </w:r>
      <w:r>
        <w:rPr>
          <w:rFonts w:ascii="Arial" w:cs="Arial" w:eastAsia="Arial" w:hAnsi="Arial"/>
          <w:sz w:val="17"/>
          <w:szCs w:val="17"/>
          <w:color w:val="auto"/>
        </w:rPr>
        <w:t>- The Dodge Data &amp; Analytics Construction Market Forecasting Service.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DEF </w:t>
      </w:r>
      <w:r>
        <w:rPr>
          <w:rFonts w:ascii="Arial" w:cs="Arial" w:eastAsia="Arial" w:hAnsi="Arial"/>
          <w:sz w:val="17"/>
          <w:szCs w:val="17"/>
          <w:color w:val="auto"/>
        </w:rPr>
        <w:t>- Diesel Exhaust Fluid.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DHS </w:t>
      </w:r>
      <w:r>
        <w:rPr>
          <w:rFonts w:ascii="Arial" w:cs="Arial" w:eastAsia="Arial" w:hAnsi="Arial"/>
          <w:sz w:val="17"/>
          <w:szCs w:val="17"/>
          <w:color w:val="auto"/>
        </w:rPr>
        <w:t>- The U.S. Department of Homeland Security.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DSN </w:t>
      </w:r>
      <w:r>
        <w:rPr>
          <w:rFonts w:ascii="Arial" w:cs="Arial" w:eastAsia="Arial" w:hAnsi="Arial"/>
          <w:sz w:val="17"/>
          <w:szCs w:val="17"/>
          <w:color w:val="auto"/>
        </w:rPr>
        <w:t>- A 98% strength nitric acid plant which was located at the El Dorado Facility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DOC </w:t>
      </w:r>
      <w:r>
        <w:rPr>
          <w:rFonts w:ascii="Arial" w:cs="Arial" w:eastAsia="Arial" w:hAnsi="Arial"/>
          <w:sz w:val="17"/>
          <w:szCs w:val="17"/>
          <w:color w:val="auto"/>
        </w:rPr>
        <w:t>- The U.S. Department of Commerce.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EDC </w:t>
      </w:r>
      <w:r>
        <w:rPr>
          <w:rFonts w:ascii="Arial" w:cs="Arial" w:eastAsia="Arial" w:hAnsi="Arial"/>
          <w:sz w:val="17"/>
          <w:szCs w:val="17"/>
          <w:color w:val="auto"/>
        </w:rPr>
        <w:t>- El Dorado Chemical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EIA </w:t>
      </w:r>
      <w:r>
        <w:rPr>
          <w:rFonts w:ascii="Arial" w:cs="Arial" w:eastAsia="Arial" w:hAnsi="Arial"/>
          <w:sz w:val="17"/>
          <w:szCs w:val="17"/>
          <w:color w:val="auto"/>
        </w:rPr>
        <w:t>- The U.S. Energy Information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El Dorado Facility </w:t>
      </w:r>
      <w:r>
        <w:rPr>
          <w:rFonts w:ascii="Arial" w:cs="Arial" w:eastAsia="Arial" w:hAnsi="Arial"/>
          <w:sz w:val="17"/>
          <w:szCs w:val="17"/>
          <w:color w:val="auto"/>
        </w:rPr>
        <w:t>- Our chemical production facility located in El Dorado, Arkansas.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 Numerous federal, state and local environmental laws.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EPA </w:t>
      </w:r>
      <w:r>
        <w:rPr>
          <w:rFonts w:ascii="Arial" w:cs="Arial" w:eastAsia="Arial" w:hAnsi="Arial"/>
          <w:sz w:val="17"/>
          <w:szCs w:val="17"/>
          <w:color w:val="auto"/>
        </w:rPr>
        <w:t>- The U.S. Environmental Protection Agency.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ERP </w:t>
      </w:r>
      <w:r>
        <w:rPr>
          <w:rFonts w:ascii="Arial" w:cs="Arial" w:eastAsia="Arial" w:hAnsi="Arial"/>
          <w:sz w:val="17"/>
          <w:szCs w:val="17"/>
          <w:color w:val="auto"/>
        </w:rPr>
        <w:t>- Enterprise resource planning.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GHP </w:t>
      </w:r>
      <w:r>
        <w:rPr>
          <w:rFonts w:ascii="Arial" w:cs="Arial" w:eastAsia="Arial" w:hAnsi="Arial"/>
          <w:sz w:val="17"/>
          <w:szCs w:val="17"/>
          <w:color w:val="auto"/>
        </w:rPr>
        <w:t>- Geothermal heat pump.</w:t>
      </w:r>
    </w:p>
    <w:p>
      <w:pPr>
        <w:spacing w:after="0" w:line="211"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Golsen Group </w:t>
      </w:r>
      <w:r>
        <w:rPr>
          <w:rFonts w:ascii="Arial" w:cs="Arial" w:eastAsia="Arial" w:hAnsi="Arial"/>
          <w:sz w:val="17"/>
          <w:szCs w:val="17"/>
          <w:color w:val="auto"/>
        </w:rPr>
        <w:t>- Jack E. Golsen, our Executive Chairman of the Board of Directors, members of his immediate family, including Barry H. Golsen, our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and President, entities owned by them and trusts for which they possess voting or dispositive power as trustee.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Health Laws </w:t>
      </w:r>
      <w:r>
        <w:rPr>
          <w:rFonts w:ascii="Arial" w:cs="Arial" w:eastAsia="Arial" w:hAnsi="Arial"/>
          <w:sz w:val="17"/>
          <w:szCs w:val="17"/>
          <w:color w:val="auto"/>
        </w:rPr>
        <w:t>- Numerous federal, state and local health and safety laws.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Indenture </w:t>
      </w:r>
      <w:r>
        <w:rPr>
          <w:rFonts w:ascii="Arial" w:cs="Arial" w:eastAsia="Arial" w:hAnsi="Arial"/>
          <w:sz w:val="17"/>
          <w:szCs w:val="17"/>
          <w:color w:val="auto"/>
        </w:rPr>
        <w:t>- The agreement governing the Senior Secured Notes.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LSB </w:t>
      </w:r>
      <w:r>
        <w:rPr>
          <w:rFonts w:ascii="Arial" w:cs="Arial" w:eastAsia="Arial" w:hAnsi="Arial"/>
          <w:sz w:val="17"/>
          <w:szCs w:val="17"/>
          <w:color w:val="auto"/>
        </w:rPr>
        <w:t>- LSB Industries, Inc.</w:t>
      </w:r>
    </w:p>
    <w:p>
      <w:pPr>
        <w:spacing w:after="0" w:line="211"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b w:val="1"/>
          <w:bCs w:val="1"/>
          <w:color w:val="auto"/>
        </w:rPr>
        <w:t xml:space="preserve">MA </w:t>
      </w:r>
      <w:r>
        <w:rPr>
          <w:rFonts w:ascii="Arial" w:cs="Arial" w:eastAsia="Arial" w:hAnsi="Arial"/>
          <w:sz w:val="16"/>
          <w:szCs w:val="16"/>
          <w:color w:val="auto"/>
        </w:rPr>
        <w:t>- A management alignment consisting of a structured process to identify the most critical improvement opportunities within a business, prioritize and staff the</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activities and to align the entire organization around achieving those improvement objectives over the next twelve months.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MD&amp;A </w:t>
      </w:r>
      <w:r>
        <w:rPr>
          <w:rFonts w:ascii="Arial" w:cs="Arial" w:eastAsia="Arial" w:hAnsi="Arial"/>
          <w:sz w:val="17"/>
          <w:szCs w:val="17"/>
          <w:color w:val="auto"/>
        </w:rPr>
        <w:t>- 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MMBtu </w:t>
      </w:r>
      <w:r>
        <w:rPr>
          <w:rFonts w:ascii="Arial" w:cs="Arial" w:eastAsia="Arial" w:hAnsi="Arial"/>
          <w:sz w:val="17"/>
          <w:szCs w:val="17"/>
          <w:color w:val="auto"/>
        </w:rPr>
        <w:t>- Million Metric British thermal units.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OEM </w:t>
      </w:r>
      <w:r>
        <w:rPr>
          <w:rFonts w:ascii="Arial" w:cs="Arial" w:eastAsia="Arial" w:hAnsi="Arial"/>
          <w:sz w:val="17"/>
          <w:szCs w:val="17"/>
          <w:color w:val="auto"/>
        </w:rPr>
        <w:t>- An original equipment manufacturer.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Orica </w:t>
      </w:r>
      <w:r>
        <w:rPr>
          <w:rFonts w:ascii="Arial" w:cs="Arial" w:eastAsia="Arial" w:hAnsi="Arial"/>
          <w:sz w:val="17"/>
          <w:szCs w:val="17"/>
          <w:color w:val="auto"/>
        </w:rPr>
        <w:t>- Orica International Pte Ltd.</w:t>
      </w:r>
    </w:p>
    <w:p>
      <w:pPr>
        <w:sectPr>
          <w:pgSz w:w="11900" w:h="16838" w:orient="portrait"/>
          <w:cols w:equalWidth="0" w:num="1">
            <w:col w:w="11340"/>
          </w:cols>
          <w:pgMar w:left="240" w:top="441" w:right="319" w:bottom="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 xml:space="preserve">PCC </w:t>
      </w:r>
      <w:r>
        <w:rPr>
          <w:rFonts w:ascii="Arial" w:cs="Arial" w:eastAsia="Arial" w:hAnsi="Arial"/>
          <w:sz w:val="17"/>
          <w:szCs w:val="17"/>
          <w:color w:val="auto"/>
        </w:rPr>
        <w:t>- Pryor Chemical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PP&amp;E </w:t>
      </w:r>
      <w:r>
        <w:rPr>
          <w:rFonts w:ascii="Arial" w:cs="Arial" w:eastAsia="Arial" w:hAnsi="Arial"/>
          <w:sz w:val="17"/>
          <w:szCs w:val="17"/>
          <w:color w:val="auto"/>
        </w:rPr>
        <w:t>- Plant, property and equipment.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Pryor Facility </w:t>
      </w:r>
      <w:r>
        <w:rPr>
          <w:rFonts w:ascii="Arial" w:cs="Arial" w:eastAsia="Arial" w:hAnsi="Arial"/>
          <w:sz w:val="17"/>
          <w:szCs w:val="17"/>
          <w:color w:val="auto"/>
        </w:rPr>
        <w:t>- Our chemical production facility located in Pryor, Oklahoma.</w:t>
      </w:r>
    </w:p>
    <w:p>
      <w:pPr>
        <w:spacing w:after="0" w:line="152"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219"/>
          </w:cols>
          <w:pgMar w:left="240" w:top="123" w:right="1440"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color w:val="auto"/>
        </w:rPr>
        <w:t xml:space="preserve">RIE </w:t>
      </w:r>
      <w:r>
        <w:rPr>
          <w:rFonts w:ascii="Arial" w:cs="Arial" w:eastAsia="Arial" w:hAnsi="Arial"/>
          <w:sz w:val="17"/>
          <w:szCs w:val="17"/>
          <w:color w:val="auto"/>
        </w:rPr>
        <w:t>- A rapid improvement event that is generally a week long, concentrated process that involves a cross functional team focused on improving a specific area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(or process).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 </w:t>
      </w:r>
      <w:r>
        <w:rPr>
          <w:rFonts w:ascii="Arial" w:cs="Arial" w:eastAsia="Arial" w:hAnsi="Arial"/>
          <w:sz w:val="17"/>
          <w:szCs w:val="17"/>
          <w:color w:val="auto"/>
        </w:rPr>
        <w:t>- The U.S.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Senior Secured Notes </w:t>
      </w:r>
      <w:r>
        <w:rPr>
          <w:rFonts w:ascii="Arial" w:cs="Arial" w:eastAsia="Arial" w:hAnsi="Arial"/>
          <w:sz w:val="17"/>
          <w:szCs w:val="17"/>
          <w:color w:val="auto"/>
        </w:rPr>
        <w:t>- The $425 million aggregate principal amount of 7.75% Senior Secured Notes due August 1, 2019.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SG&amp;A </w:t>
      </w:r>
      <w:r>
        <w:rPr>
          <w:rFonts w:ascii="Arial" w:cs="Arial" w:eastAsia="Arial" w:hAnsi="Arial"/>
          <w:sz w:val="17"/>
          <w:szCs w:val="17"/>
          <w:color w:val="auto"/>
        </w:rPr>
        <w:t>- Selling, general and administrative expense.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Turnaround </w:t>
      </w:r>
      <w:r>
        <w:rPr>
          <w:rFonts w:ascii="Arial" w:cs="Arial" w:eastAsia="Arial" w:hAnsi="Arial"/>
          <w:sz w:val="17"/>
          <w:szCs w:val="17"/>
          <w:color w:val="auto"/>
        </w:rPr>
        <w:t>- A planned major maintenance activity.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UAN </w:t>
      </w:r>
      <w:r>
        <w:rPr>
          <w:rFonts w:ascii="Arial" w:cs="Arial" w:eastAsia="Arial" w:hAnsi="Arial"/>
          <w:sz w:val="17"/>
          <w:szCs w:val="17"/>
          <w:color w:val="auto"/>
        </w:rPr>
        <w:t>- Urea ammonium nitrate.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U.S. </w:t>
      </w:r>
      <w:r>
        <w:rPr>
          <w:rFonts w:ascii="Arial" w:cs="Arial" w:eastAsia="Arial" w:hAnsi="Arial"/>
          <w:sz w:val="17"/>
          <w:szCs w:val="17"/>
          <w:color w:val="auto"/>
        </w:rPr>
        <w:t>- United States.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color w:val="auto"/>
        </w:rPr>
        <w:t xml:space="preserve">VSA </w:t>
      </w:r>
      <w:r>
        <w:rPr>
          <w:rFonts w:ascii="Arial" w:cs="Arial" w:eastAsia="Arial" w:hAnsi="Arial"/>
          <w:sz w:val="17"/>
          <w:szCs w:val="17"/>
          <w:color w:val="auto"/>
        </w:rPr>
        <w:t>- A value stream analysis that is a structured activity that helps visualize and document an entire business process flow and the interactions between functional</w:t>
      </w:r>
      <w:r>
        <w:rPr>
          <w:rFonts w:ascii="Arial" w:cs="Arial" w:eastAsia="Arial" w:hAnsi="Arial"/>
          <w:sz w:val="17"/>
          <w:szCs w:val="17"/>
          <w:b w:val="1"/>
          <w:bCs w:val="1"/>
          <w:color w:val="auto"/>
        </w:rPr>
        <w:t xml:space="preserve"> </w:t>
      </w:r>
      <w:r>
        <w:rPr>
          <w:rFonts w:ascii="Arial" w:cs="Arial" w:eastAsia="Arial" w:hAnsi="Arial"/>
          <w:sz w:val="17"/>
          <w:szCs w:val="17"/>
          <w:color w:val="auto"/>
        </w:rPr>
        <w:t>departments. By creating a process map of the current state, the future state and identifying improvement opportunities, activity becomes the basis for an improvement plan.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WASDE </w:t>
      </w:r>
      <w:r>
        <w:rPr>
          <w:rFonts w:ascii="Arial" w:cs="Arial" w:eastAsia="Arial" w:hAnsi="Arial"/>
          <w:sz w:val="17"/>
          <w:szCs w:val="17"/>
          <w:color w:val="auto"/>
        </w:rPr>
        <w:t>- World Agricultural Supply and Demand Estimates Report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PART III</w:t>
      </w:r>
    </w:p>
    <w:p>
      <w:pPr>
        <w:spacing w:after="0" w:line="215"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Item 10, Item 11, Item 12, Item 13 and Item 14 are incorporated by reference to our definitive proxy statement which we intend to file with the SEC on or before April 30, 2015.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8"/>
              </w:rPr>
              <w:t>PART IV</w:t>
            </w:r>
          </w:p>
        </w:tc>
        <w:tc>
          <w:tcPr>
            <w:tcW w:w="4900" w:type="dxa"/>
            <w:vAlign w:val="bottom"/>
            <w:gridSpan w:val="4"/>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7"/>
                <w:szCs w:val="17"/>
                <w:b w:val="1"/>
                <w:bCs w:val="1"/>
                <w:color w:val="auto"/>
                <w:w w:val="98"/>
              </w:rPr>
              <w:t>ITEM 15.</w:t>
            </w:r>
          </w:p>
        </w:tc>
        <w:tc>
          <w:tcPr>
            <w:tcW w:w="10260" w:type="dxa"/>
            <w:vAlign w:val="bottom"/>
            <w:gridSpan w:val="14"/>
          </w:tcPr>
          <w:p>
            <w:pPr>
              <w:ind w:left="440"/>
              <w:spacing w:after="0"/>
              <w:rPr>
                <w:sz w:val="20"/>
                <w:szCs w:val="20"/>
                <w:color w:val="auto"/>
              </w:rPr>
            </w:pPr>
            <w:r>
              <w:rPr>
                <w:rFonts w:ascii="Arial" w:cs="Arial" w:eastAsia="Arial" w:hAnsi="Arial"/>
                <w:sz w:val="17"/>
                <w:szCs w:val="17"/>
                <w:b w:val="1"/>
                <w:bCs w:val="1"/>
                <w:color w:val="auto"/>
              </w:rPr>
              <w:t>EXHIBITS AND FINANCIAL STATEMENT SCHEDULES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0960" w:type="dxa"/>
            <w:vAlign w:val="bottom"/>
            <w:gridSpan w:val="15"/>
          </w:tcPr>
          <w:p>
            <w:pPr>
              <w:spacing w:after="0"/>
              <w:rPr>
                <w:sz w:val="20"/>
                <w:szCs w:val="20"/>
                <w:color w:val="auto"/>
              </w:rPr>
            </w:pPr>
            <w:r>
              <w:rPr>
                <w:rFonts w:ascii="Arial" w:cs="Arial" w:eastAsia="Arial" w:hAnsi="Arial"/>
                <w:sz w:val="17"/>
                <w:szCs w:val="17"/>
                <w:b w:val="1"/>
                <w:bCs w:val="1"/>
                <w:color w:val="auto"/>
              </w:rPr>
              <w:t>(a) (1) Financial Statements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960" w:type="dxa"/>
            <w:vAlign w:val="bottom"/>
            <w:gridSpan w:val="15"/>
          </w:tcPr>
          <w:p>
            <w:pPr>
              <w:spacing w:after="0"/>
              <w:rPr>
                <w:sz w:val="20"/>
                <w:szCs w:val="20"/>
                <w:color w:val="auto"/>
              </w:rPr>
            </w:pPr>
            <w:r>
              <w:rPr>
                <w:rFonts w:ascii="Arial" w:cs="Arial" w:eastAsia="Arial" w:hAnsi="Arial"/>
                <w:sz w:val="17"/>
                <w:szCs w:val="17"/>
                <w:color w:val="auto"/>
              </w:rPr>
              <w:t>The following consolidated financial statements of the Company appear immediately following this Part IV:</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980" w:type="dxa"/>
            <w:vAlign w:val="bottom"/>
            <w:gridSpan w:val="7"/>
            <w:vMerge w:val="restart"/>
          </w:tcPr>
          <w:p>
            <w:pPr>
              <w:spacing w:after="0"/>
              <w:rPr>
                <w:rFonts w:ascii="Arial" w:cs="Arial" w:eastAsia="Arial" w:hAnsi="Arial"/>
                <w:sz w:val="17"/>
                <w:szCs w:val="17"/>
                <w:color w:val="0000EE"/>
                <w:w w:val="91"/>
              </w:rPr>
            </w:pPr>
            <w:hyperlink w:anchor="page64">
              <w:r>
                <w:rPr>
                  <w:rFonts w:ascii="Arial" w:cs="Arial" w:eastAsia="Arial" w:hAnsi="Arial"/>
                  <w:sz w:val="17"/>
                  <w:szCs w:val="17"/>
                  <w:color w:val="0000EE"/>
                  <w:w w:val="91"/>
                </w:rPr>
                <w:t>Report of Independent Registered Public Accounting Firm</w:t>
              </w:r>
            </w:hyperlink>
          </w:p>
        </w:tc>
        <w:tc>
          <w:tcPr>
            <w:tcW w:w="6980" w:type="dxa"/>
            <w:vAlign w:val="bottom"/>
            <w:gridSpan w:val="8"/>
            <w:vMerge w:val="restart"/>
          </w:tcPr>
          <w:p>
            <w:pPr>
              <w:spacing w:after="0"/>
              <w:rPr>
                <w:sz w:val="24"/>
                <w:szCs w:val="2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50"/>
        </w:trPr>
        <w:tc>
          <w:tcPr>
            <w:tcW w:w="3980" w:type="dxa"/>
            <w:vAlign w:val="bottom"/>
            <w:tcBorders>
              <w:bottom w:val="single" w:sz="8" w:color="0000EE"/>
            </w:tcBorders>
            <w:gridSpan w:val="7"/>
            <w:vMerge w:val="continue"/>
          </w:tcPr>
          <w:p>
            <w:pPr>
              <w:spacing w:after="0"/>
              <w:rPr>
                <w:sz w:val="12"/>
                <w:szCs w:val="12"/>
                <w:color w:val="auto"/>
              </w:rPr>
            </w:pPr>
          </w:p>
        </w:tc>
        <w:tc>
          <w:tcPr>
            <w:tcW w:w="6980" w:type="dxa"/>
            <w:vAlign w:val="bottom"/>
            <w:gridSpan w:val="8"/>
            <w:vMerge w:val="continue"/>
          </w:tcPr>
          <w:p>
            <w:pPr>
              <w:spacing w:after="0"/>
              <w:rPr>
                <w:sz w:val="12"/>
                <w:szCs w:val="12"/>
                <w:color w:val="auto"/>
              </w:rPr>
            </w:pPr>
          </w:p>
        </w:tc>
        <w:tc>
          <w:tcPr>
            <w:tcW w:w="3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5"/>
                <w:szCs w:val="15"/>
                <w:color w:val="auto"/>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4180" w:type="dxa"/>
            <w:vAlign w:val="bottom"/>
            <w:tcBorders>
              <w:bottom w:val="single" w:sz="8" w:color="0000EE"/>
            </w:tcBorders>
            <w:gridSpan w:val="8"/>
          </w:tcPr>
          <w:p>
            <w:pPr>
              <w:spacing w:after="0"/>
              <w:rPr>
                <w:rFonts w:ascii="Arial" w:cs="Arial" w:eastAsia="Arial" w:hAnsi="Arial"/>
                <w:sz w:val="17"/>
                <w:szCs w:val="17"/>
                <w:color w:val="0000EE"/>
                <w:w w:val="88"/>
              </w:rPr>
            </w:pPr>
            <w:hyperlink w:anchor="page65">
              <w:r>
                <w:rPr>
                  <w:rFonts w:ascii="Arial" w:cs="Arial" w:eastAsia="Arial" w:hAnsi="Arial"/>
                  <w:sz w:val="17"/>
                  <w:szCs w:val="17"/>
                  <w:color w:val="0000EE"/>
                  <w:w w:val="88"/>
                </w:rPr>
                <w:t>Consolidated Balance Sheets at December 31, 2014 and 2013</w:t>
              </w:r>
            </w:hyperlink>
          </w:p>
        </w:tc>
        <w:tc>
          <w:tcPr>
            <w:tcW w:w="678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85"/>
        </w:trPr>
        <w:tc>
          <w:tcPr>
            <w:tcW w:w="6940" w:type="dxa"/>
            <w:vAlign w:val="bottom"/>
            <w:tcBorders>
              <w:bottom w:val="single" w:sz="8" w:color="0000EE"/>
            </w:tcBorders>
            <w:gridSpan w:val="12"/>
          </w:tcPr>
          <w:p>
            <w:pPr>
              <w:spacing w:after="0"/>
              <w:rPr>
                <w:rFonts w:ascii="Arial" w:cs="Arial" w:eastAsia="Arial" w:hAnsi="Arial"/>
                <w:sz w:val="17"/>
                <w:szCs w:val="17"/>
                <w:color w:val="0000EE"/>
                <w:w w:val="89"/>
              </w:rPr>
            </w:pPr>
            <w:hyperlink w:anchor="page67">
              <w:r>
                <w:rPr>
                  <w:rFonts w:ascii="Arial" w:cs="Arial" w:eastAsia="Arial" w:hAnsi="Arial"/>
                  <w:sz w:val="17"/>
                  <w:szCs w:val="17"/>
                  <w:color w:val="0000EE"/>
                  <w:w w:val="89"/>
                </w:rPr>
                <w:t>Consolidated Statements of Income for each of the three years in the period ended December 31, 2014</w:t>
              </w:r>
            </w:hyperlink>
          </w:p>
        </w:tc>
        <w:tc>
          <w:tcPr>
            <w:tcW w:w="402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85"/>
        </w:trPr>
        <w:tc>
          <w:tcPr>
            <w:tcW w:w="10960" w:type="dxa"/>
            <w:vAlign w:val="bottom"/>
            <w:gridSpan w:val="15"/>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Consolidated Statements of Stockholders’ Equity for each of the three years in the period ended December 31, 2014</w:t>
              </w:r>
            </w:hyperlink>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85"/>
        </w:trPr>
        <w:tc>
          <w:tcPr>
            <w:tcW w:w="7860" w:type="dxa"/>
            <w:vAlign w:val="bottom"/>
            <w:tcBorders>
              <w:top w:val="single" w:sz="8" w:color="0000EE"/>
            </w:tcBorders>
            <w:gridSpan w:val="14"/>
          </w:tcPr>
          <w:p>
            <w:pPr>
              <w:spacing w:after="0"/>
              <w:rPr>
                <w:rFonts w:ascii="Arial" w:cs="Arial" w:eastAsia="Arial" w:hAnsi="Arial"/>
                <w:sz w:val="17"/>
                <w:szCs w:val="17"/>
                <w:color w:val="0000EE"/>
                <w:w w:val="96"/>
              </w:rPr>
            </w:pPr>
            <w:hyperlink w:anchor="page69">
              <w:r>
                <w:rPr>
                  <w:rFonts w:ascii="Arial" w:cs="Arial" w:eastAsia="Arial" w:hAnsi="Arial"/>
                  <w:sz w:val="17"/>
                  <w:szCs w:val="17"/>
                  <w:color w:val="0000EE"/>
                  <w:w w:val="96"/>
                </w:rPr>
                <w:t>Consolidated Statements of Cash Flows for each of the three years in the period ended December 31, 2014</w:t>
              </w:r>
            </w:hyperlink>
          </w:p>
        </w:tc>
        <w:tc>
          <w:tcPr>
            <w:tcW w:w="3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85"/>
        </w:trPr>
        <w:tc>
          <w:tcPr>
            <w:tcW w:w="7260" w:type="dxa"/>
            <w:vAlign w:val="bottom"/>
            <w:tcBorders>
              <w:top w:val="single" w:sz="8" w:color="0000EE"/>
            </w:tcBorders>
            <w:gridSpan w:val="13"/>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Notes to Consolidated Financial Statements</w:t>
              </w:r>
            </w:hyperlink>
          </w:p>
        </w:tc>
        <w:tc>
          <w:tcPr>
            <w:tcW w:w="370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r>
        <w:trPr>
          <w:trHeight w:val="285"/>
        </w:trPr>
        <w:tc>
          <w:tcPr>
            <w:tcW w:w="2960" w:type="dxa"/>
            <w:vAlign w:val="bottom"/>
            <w:tcBorders>
              <w:top w:val="single" w:sz="8" w:color="0000EE"/>
            </w:tcBorders>
            <w:gridSpan w:val="6"/>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Quarterly Financial Data (Unaudited)</w:t>
              </w:r>
            </w:hyperlink>
          </w:p>
        </w:tc>
        <w:tc>
          <w:tcPr>
            <w:tcW w:w="8000" w:type="dxa"/>
            <w:vAlign w:val="bottom"/>
            <w:gridSpan w:val="9"/>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F-47</w:t>
            </w:r>
          </w:p>
        </w:tc>
        <w:tc>
          <w:tcPr>
            <w:tcW w:w="0" w:type="dxa"/>
            <w:vAlign w:val="bottom"/>
          </w:tcPr>
          <w:p>
            <w:pPr>
              <w:spacing w:after="0"/>
              <w:rPr>
                <w:sz w:val="1"/>
                <w:szCs w:val="1"/>
                <w:color w:val="auto"/>
              </w:rPr>
            </w:pPr>
          </w:p>
        </w:tc>
      </w:tr>
      <w:tr>
        <w:trPr>
          <w:trHeight w:val="20"/>
        </w:trPr>
        <w:tc>
          <w:tcPr>
            <w:tcW w:w="2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34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0960" w:type="dxa"/>
            <w:vAlign w:val="bottom"/>
            <w:gridSpan w:val="15"/>
          </w:tcPr>
          <w:p>
            <w:pPr>
              <w:spacing w:after="0"/>
              <w:rPr>
                <w:sz w:val="20"/>
                <w:szCs w:val="20"/>
                <w:color w:val="auto"/>
              </w:rPr>
            </w:pPr>
            <w:r>
              <w:rPr>
                <w:rFonts w:ascii="Arial" w:cs="Arial" w:eastAsia="Arial" w:hAnsi="Arial"/>
                <w:sz w:val="17"/>
                <w:szCs w:val="17"/>
                <w:b w:val="1"/>
                <w:bCs w:val="1"/>
                <w:color w:val="auto"/>
              </w:rPr>
              <w:t>(a) (2) Financial Statement Schedule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gridSpan w:val="5"/>
            <w:shd w:val="clear" w:color="auto" w:fill="000000"/>
          </w:tcPr>
          <w:p>
            <w:pPr>
              <w:spacing w:after="0" w:line="20" w:lineRule="exact"/>
              <w:rPr>
                <w:sz w:val="1"/>
                <w:szCs w:val="1"/>
                <w:color w:val="auto"/>
              </w:rPr>
            </w:pPr>
          </w:p>
        </w:tc>
        <w:tc>
          <w:tcPr>
            <w:tcW w:w="834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960" w:type="dxa"/>
            <w:vAlign w:val="bottom"/>
            <w:gridSpan w:val="15"/>
          </w:tcPr>
          <w:p>
            <w:pPr>
              <w:spacing w:after="0"/>
              <w:rPr>
                <w:sz w:val="20"/>
                <w:szCs w:val="20"/>
                <w:color w:val="auto"/>
              </w:rPr>
            </w:pPr>
            <w:r>
              <w:rPr>
                <w:rFonts w:ascii="Arial" w:cs="Arial" w:eastAsia="Arial" w:hAnsi="Arial"/>
                <w:sz w:val="17"/>
                <w:szCs w:val="17"/>
                <w:color w:val="auto"/>
              </w:rPr>
              <w:t>The Company has included the following schedule in this report: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960" w:type="dxa"/>
            <w:vAlign w:val="bottom"/>
            <w:gridSpan w:val="15"/>
          </w:tcPr>
          <w:p>
            <w:pPr>
              <w:spacing w:after="0"/>
              <w:rPr>
                <w:rFonts w:ascii="Arial" w:cs="Arial" w:eastAsia="Arial" w:hAnsi="Arial"/>
                <w:sz w:val="17"/>
                <w:szCs w:val="17"/>
                <w:color w:val="0000EE"/>
              </w:rPr>
            </w:pPr>
            <w:hyperlink w:anchor="page111">
              <w:r>
                <w:rPr>
                  <w:rFonts w:ascii="Arial" w:cs="Arial" w:eastAsia="Arial" w:hAnsi="Arial"/>
                  <w:sz w:val="17"/>
                  <w:szCs w:val="17"/>
                  <w:color w:val="0000EE"/>
                </w:rPr>
                <w:t>II - Valuation and Qualifying Accounts</w:t>
              </w:r>
            </w:hyperlink>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F-49</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60"/>
          </w:cols>
          <w:pgMar w:left="240" w:top="441" w:right="2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(a)(3) Exhibits</w:t>
            </w:r>
          </w:p>
        </w:tc>
        <w:tc>
          <w:tcPr>
            <w:tcW w:w="10260" w:type="dxa"/>
            <w:vAlign w:val="bottom"/>
          </w:tcPr>
          <w:p>
            <w:pPr>
              <w:spacing w:after="0"/>
              <w:rPr>
                <w:sz w:val="16"/>
                <w:szCs w:val="16"/>
                <w:color w:val="auto"/>
              </w:rPr>
            </w:pPr>
          </w:p>
        </w:tc>
      </w:tr>
      <w:tr>
        <w:trPr>
          <w:trHeight w:val="438"/>
        </w:trPr>
        <w:tc>
          <w:tcPr>
            <w:tcW w:w="1040" w:type="dxa"/>
            <w:vAlign w:val="bottom"/>
            <w:tcBorders>
              <w:top w:val="single" w:sz="8" w:color="auto"/>
            </w:tcBorders>
          </w:tcPr>
          <w:p>
            <w:pPr>
              <w:jc w:val="right"/>
              <w:ind w:right="535"/>
              <w:spacing w:after="0"/>
              <w:rPr>
                <w:sz w:val="20"/>
                <w:szCs w:val="20"/>
                <w:color w:val="auto"/>
              </w:rPr>
            </w:pPr>
            <w:r>
              <w:rPr>
                <w:rFonts w:ascii="Arial" w:cs="Arial" w:eastAsia="Arial" w:hAnsi="Arial"/>
                <w:sz w:val="17"/>
                <w:szCs w:val="17"/>
                <w:color w:val="auto"/>
              </w:rPr>
              <w:t>3(i).1</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1"/>
              </w:rPr>
              <w:t>Restated Certificate of Incorporation, as amended, which the Company hereby incorporates by reference from Exhibit 3(i).1 to the Company’s Form</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10-K for the fiscal year ended December 31, 2012, filed February 28, 2013.</w:t>
            </w:r>
          </w:p>
        </w:tc>
      </w:tr>
      <w:tr>
        <w:trPr>
          <w:trHeight w:val="293"/>
        </w:trPr>
        <w:tc>
          <w:tcPr>
            <w:tcW w:w="1160" w:type="dxa"/>
            <w:vAlign w:val="bottom"/>
            <w:gridSpan w:val="2"/>
          </w:tcPr>
          <w:p>
            <w:pPr>
              <w:jc w:val="right"/>
              <w:ind w:right="740"/>
              <w:spacing w:after="0"/>
              <w:rPr>
                <w:sz w:val="20"/>
                <w:szCs w:val="20"/>
                <w:color w:val="auto"/>
              </w:rPr>
            </w:pPr>
            <w:r>
              <w:rPr>
                <w:rFonts w:ascii="Arial" w:cs="Arial" w:eastAsia="Arial" w:hAnsi="Arial"/>
                <w:sz w:val="17"/>
                <w:szCs w:val="17"/>
                <w:color w:val="auto"/>
                <w:w w:val="94"/>
              </w:rPr>
              <w:t>3(ii).1</w:t>
            </w:r>
          </w:p>
        </w:tc>
        <w:tc>
          <w:tcPr>
            <w:tcW w:w="10260" w:type="dxa"/>
            <w:vAlign w:val="bottom"/>
          </w:tcPr>
          <w:p>
            <w:pPr>
              <w:ind w:left="100"/>
              <w:spacing w:after="0"/>
              <w:rPr>
                <w:sz w:val="20"/>
                <w:szCs w:val="20"/>
                <w:color w:val="auto"/>
              </w:rPr>
            </w:pPr>
            <w:r>
              <w:rPr>
                <w:rFonts w:ascii="Arial" w:cs="Arial" w:eastAsia="Arial" w:hAnsi="Arial"/>
                <w:sz w:val="17"/>
                <w:szCs w:val="17"/>
                <w:color w:val="auto"/>
                <w:w w:val="91"/>
              </w:rPr>
              <w:t>Amended and Restated Bylaws of LSB Industries, Inc. dated August 20, 2009, as amended February 18, 2010, January 17, 2014, February 4, 2014</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3"/>
              </w:rPr>
              <w:t>and August 21, 2014, which the Company hereby incorporates by reference from Exhibit 3.II to the Company’s Form 8-K, filed August 27, 2014. .</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See SEC file number 001-07677.</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1"/>
              </w:rPr>
              <w:t>Specimen Certificate for the Company’s Series B Preferred Stock, having a par value of $100 per share, which the Company hereby incorporates by</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reference from Exhibit 4.27 to the Company’s Registration Statement No. 33-9848. See SEC file number 001-07677.</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0"/>
              </w:rPr>
              <w:t>Specimen of Certificate of Series D 6% Cumulative, Convertible Class C Preferred Stock, which the Company hereby incorporates by reference from</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Exhibit 4.3 to the Company’s Form 10-K for the fiscal year ended December 31, 2010.</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See SEC file number 001-07677.</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7"/>
              </w:rPr>
              <w:t>Specimen Certificate for the Company’s Common Stock, which the Company incorporates by reference from Exhibit 4.4 to the Company’s</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Registration Statement No. 333-184995, filed November 6, 2012.</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0"/>
              </w:rPr>
              <w:t>Renewed Rights Agreement, dated as of December 2, 2008, between the Company and UMB Bank, n.a., which the Company hereby incorporates by</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reference from Exhibit 4.1 to the Company’s Form 8-K, dated December 5, 2008.</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See SEC file number 001-07677.</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1"/>
              </w:rPr>
              <w:t>First Amendment to Renewed Rights Agreement, dated December 3, 2008, between LSB Industries, Inc. and UMB Bank, n.a., which the Company</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7"/>
              </w:rPr>
              <w:t>hereby incorporates by reference from Exhibit 4.3 to the Company’s Form 8-K, dated December 5, 2008. See SEC file number 001-07677.</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5"/>
              </w:rPr>
              <w:t>Indenture, dated August 7, 2013, among LSB Industries, Inc., the subsidiary guarantors named therein, UMB Bank, n.a., as trustee, which the</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Company hereby incorporates by reference from Exhibit 4.1 to the Company’s Form 8-K, filed August 14, 2013.</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5"/>
              </w:rPr>
              <w:t>Registration Rights Agreement, dated August 7, 2013, among LSB Industries, Inc., the subsidiary guarantors named therein and Wells Fargo</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1"/>
              </w:rPr>
              <w:t>Securities, LLC, as representative of the initial purchasers named therein, which the Company hereby incorporates by reference from Exhibit 4.2 to</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the Company’s Form 8-K, filed August 14, 2013.</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2"/>
              </w:rPr>
              <w:t>Second Amended and Restated Loan and Security Agreement, dated effective December 31, 2013, by and among LSB Industries, Inc., each of its</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6"/>
              </w:rPr>
              <w:t>subsidiaries that are signatories thereto, the lenders signatories thereto, and Wells Fargo Capital Finance, LLC, which the Company hereby</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5"/>
              </w:rPr>
              <w:t>incorporates by reference from Exhibit 4.9 to the Company’s Form 10-K for the fiscal year ended December 31, 2013, filed February 27, 2014.</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1"/>
              </w:rPr>
              <w:t>Intercreditor Agreement by and among Wells Fargo Capital Finance, Inc., as agent and UMB Bank, n.a., as collateral agent, and acknowledged and</w:t>
            </w:r>
          </w:p>
        </w:tc>
      </w:t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0"/>
              </w:rPr>
              <w:t>agreed to by LSB Industries, Inc. and the other grantors named therein, which the Company hereby incorporates by reference from Exhibit 99.1 to the</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Company’s Form 8-K, filed August 14, 2013.</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4"/>
              </w:rPr>
              <w:t>Form of Death Benefit Plan Agreement between the Company and the employees covered under the plan, which the Company incorporates by</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8"/>
              </w:rPr>
              <w:t>reference from Exhibit 10.2 to the Company’s Form 10-K for the fiscal year ended December 31, 2005. See SEC file number 001-07677.</w:t>
            </w:r>
          </w:p>
        </w:tc>
      </w:tr>
      <w:tr>
        <w:trPr>
          <w:trHeight w:val="293"/>
        </w:trPr>
        <w:tc>
          <w:tcPr>
            <w:tcW w:w="1040" w:type="dxa"/>
            <w:vAlign w:val="bottom"/>
          </w:tcPr>
          <w:p>
            <w:pPr>
              <w:jc w:val="right"/>
              <w:ind w:right="575"/>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4"/>
                <w:szCs w:val="24"/>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w w:val="92"/>
              </w:rPr>
              <w:t>The Company’s 1998 Stock Option and Incentive Plan, which the Company hereby incorporates by reference from Exhibit 10.44 to the Company’s</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100"/>
              <w:spacing w:after="0"/>
              <w:rPr>
                <w:sz w:val="20"/>
                <w:szCs w:val="20"/>
                <w:color w:val="auto"/>
              </w:rPr>
            </w:pPr>
            <w:r>
              <w:rPr>
                <w:rFonts w:ascii="Arial" w:cs="Arial" w:eastAsia="Arial" w:hAnsi="Arial"/>
                <w:sz w:val="17"/>
                <w:szCs w:val="17"/>
                <w:color w:val="auto"/>
              </w:rPr>
              <w:t>Form 10-K for the fiscal year ended December 31, 1998. See SEC file number 001-07677.</w:t>
            </w:r>
          </w:p>
        </w:tc>
      </w:tr>
      <w:tr>
        <w:trPr>
          <w:trHeight w:val="343"/>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7"/>
                <w:szCs w:val="17"/>
                <w:color w:val="auto"/>
              </w:rPr>
              <w:t>51</w:t>
            </w:r>
          </w:p>
        </w:tc>
      </w:tr>
    </w:tbl>
    <w:p>
      <w:pPr>
        <w:sectPr>
          <w:pgSz w:w="11900" w:h="16838" w:orient="portrait"/>
          <w:cols w:equalWidth="0" w:num="1">
            <w:col w:w="11420"/>
          </w:cols>
          <w:pgMar w:left="240" w:top="441"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Arial" w:cs="Arial" w:eastAsia="Arial" w:hAnsi="Arial"/>
                <w:sz w:val="17"/>
                <w:szCs w:val="17"/>
                <w:color w:val="auto"/>
              </w:rPr>
              <w:t>10.3</w:t>
            </w:r>
          </w:p>
        </w:tc>
        <w:tc>
          <w:tcPr>
            <w:tcW w:w="10560" w:type="dxa"/>
            <w:vAlign w:val="bottom"/>
          </w:tcPr>
          <w:p>
            <w:pPr>
              <w:ind w:left="420"/>
              <w:spacing w:after="0"/>
              <w:rPr>
                <w:sz w:val="20"/>
                <w:szCs w:val="20"/>
                <w:color w:val="auto"/>
              </w:rPr>
            </w:pPr>
            <w:r>
              <w:rPr>
                <w:rFonts w:ascii="Arial" w:cs="Arial" w:eastAsia="Arial" w:hAnsi="Arial"/>
                <w:sz w:val="17"/>
                <w:szCs w:val="17"/>
                <w:color w:val="auto"/>
                <w:w w:val="91"/>
              </w:rPr>
              <w:t>LSB Industries, Inc. Outside Directors Stock Option Plan, which the Company hereby incorporates by reference from Exhibit 99.2 to the Company’s</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Form 8-K, filed October 23, 2014.</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10.4</w:t>
            </w:r>
          </w:p>
        </w:tc>
        <w:tc>
          <w:tcPr>
            <w:tcW w:w="10560" w:type="dxa"/>
            <w:vAlign w:val="bottom"/>
          </w:tcPr>
          <w:p>
            <w:pPr>
              <w:ind w:left="420"/>
              <w:spacing w:after="0"/>
              <w:rPr>
                <w:sz w:val="20"/>
                <w:szCs w:val="20"/>
                <w:color w:val="auto"/>
              </w:rPr>
            </w:pPr>
            <w:r>
              <w:rPr>
                <w:rFonts w:ascii="Arial" w:cs="Arial" w:eastAsia="Arial" w:hAnsi="Arial"/>
                <w:sz w:val="17"/>
                <w:szCs w:val="17"/>
                <w:color w:val="auto"/>
                <w:w w:val="90"/>
              </w:rPr>
              <w:t>Nonqualified Stock Option Agreement, dated June 19, 2006, between LSB Industries, Inc. and Dan Ellis, which the Company hereby incorporates by</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reference from Exhibit 99.1 to the Company’s Form S-8, dated September 10, 2007. See SEC file number 001-07677.</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10.5</w:t>
            </w:r>
          </w:p>
        </w:tc>
        <w:tc>
          <w:tcPr>
            <w:tcW w:w="10560" w:type="dxa"/>
            <w:vAlign w:val="bottom"/>
          </w:tcPr>
          <w:p>
            <w:pPr>
              <w:ind w:left="420"/>
              <w:spacing w:after="0"/>
              <w:rPr>
                <w:sz w:val="20"/>
                <w:szCs w:val="20"/>
                <w:color w:val="auto"/>
              </w:rPr>
            </w:pPr>
            <w:r>
              <w:rPr>
                <w:rFonts w:ascii="Arial" w:cs="Arial" w:eastAsia="Arial" w:hAnsi="Arial"/>
                <w:sz w:val="17"/>
                <w:szCs w:val="17"/>
                <w:color w:val="auto"/>
                <w:w w:val="90"/>
              </w:rPr>
              <w:t>Nonqualified Stock Option Agreement, dated June 19, 2006, between LSB Industries, Inc. and John Bailey, which the Company hereby incorporates</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by reference from Exhibit 99.2 to the Company’s Form S-8, dated September 10, 2007. See SEC file number 001-07677.</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10.6</w:t>
            </w:r>
          </w:p>
        </w:tc>
        <w:tc>
          <w:tcPr>
            <w:tcW w:w="10560" w:type="dxa"/>
            <w:vAlign w:val="bottom"/>
          </w:tcPr>
          <w:p>
            <w:pPr>
              <w:ind w:left="420"/>
              <w:spacing w:after="0"/>
              <w:rPr>
                <w:sz w:val="20"/>
                <w:szCs w:val="20"/>
                <w:color w:val="auto"/>
              </w:rPr>
            </w:pPr>
            <w:r>
              <w:rPr>
                <w:rFonts w:ascii="Arial" w:cs="Arial" w:eastAsia="Arial" w:hAnsi="Arial"/>
                <w:sz w:val="17"/>
                <w:szCs w:val="17"/>
                <w:color w:val="auto"/>
                <w:w w:val="95"/>
              </w:rPr>
              <w:t>LSB Industries, Inc. 2008 Incentive Stock Plan, effective June 5, 2008, as amended by the First Amendment effective June 5, 2014, which the</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3"/>
              </w:rPr>
              <w:t>Company hereby incorporates by reference from Exhibit 99.3 to the Company’s Form 8-K, filed June 11, 2014. See SEC file number 001-07677.</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10.7</w:t>
            </w:r>
          </w:p>
        </w:tc>
        <w:tc>
          <w:tcPr>
            <w:tcW w:w="10560" w:type="dxa"/>
            <w:vAlign w:val="bottom"/>
          </w:tcPr>
          <w:p>
            <w:pPr>
              <w:ind w:left="420"/>
              <w:spacing w:after="0"/>
              <w:rPr>
                <w:sz w:val="20"/>
                <w:szCs w:val="20"/>
                <w:color w:val="auto"/>
              </w:rPr>
            </w:pPr>
            <w:r>
              <w:rPr>
                <w:rFonts w:ascii="Arial" w:cs="Arial" w:eastAsia="Arial" w:hAnsi="Arial"/>
                <w:sz w:val="17"/>
                <w:szCs w:val="17"/>
                <w:color w:val="auto"/>
                <w:w w:val="92"/>
              </w:rPr>
              <w:t>Non-Employee Director Compensation and Stock Ownership Policy, effective June 5, 2014, which the Company hereby incorporates by reference</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from Exhibit 99.1 to the Company’s Form 8-K, filed October 23, 2014.</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10.8</w:t>
            </w:r>
          </w:p>
        </w:tc>
        <w:tc>
          <w:tcPr>
            <w:tcW w:w="10560" w:type="dxa"/>
            <w:vAlign w:val="bottom"/>
          </w:tcPr>
          <w:p>
            <w:pPr>
              <w:ind w:left="420"/>
              <w:spacing w:after="0"/>
              <w:rPr>
                <w:sz w:val="20"/>
                <w:szCs w:val="20"/>
                <w:color w:val="auto"/>
              </w:rPr>
            </w:pPr>
            <w:r>
              <w:rPr>
                <w:rFonts w:ascii="Arial" w:cs="Arial" w:eastAsia="Arial" w:hAnsi="Arial"/>
                <w:sz w:val="17"/>
                <w:szCs w:val="17"/>
                <w:color w:val="auto"/>
                <w:w w:val="96"/>
              </w:rPr>
              <w:t>Amendment to Severance Agreement, dated December 17, 2008, between Barry H. Golsen and the Company, which the Company hereby</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6"/>
              </w:rPr>
              <w:t>incorporates by reference from Exhibit 99.2 to the Company’s Form 8-K, dated December 23, 2008. See SEC file number 001-07677. Each</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3"/>
              </w:rPr>
              <w:t>Amendment to Severance Agreement with Jack E. Golsen, Tony M. Shelby, David R. Goss and David M. Shear is substantially the same as this</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exhibit and will be provided to the Commission upon request.</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10.9</w:t>
            </w:r>
          </w:p>
        </w:tc>
        <w:tc>
          <w:tcPr>
            <w:tcW w:w="10560" w:type="dxa"/>
            <w:vAlign w:val="bottom"/>
          </w:tcPr>
          <w:p>
            <w:pPr>
              <w:ind w:left="420"/>
              <w:spacing w:after="0"/>
              <w:rPr>
                <w:sz w:val="20"/>
                <w:szCs w:val="20"/>
                <w:color w:val="auto"/>
              </w:rPr>
            </w:pPr>
            <w:r>
              <w:rPr>
                <w:rFonts w:ascii="Arial" w:cs="Arial" w:eastAsia="Arial" w:hAnsi="Arial"/>
                <w:sz w:val="17"/>
                <w:szCs w:val="17"/>
                <w:color w:val="auto"/>
                <w:w w:val="90"/>
              </w:rPr>
              <w:t>Employment Agreement and Amendment to Severance Agreement dated January 12, 1989, between the Company and Jack E. Golsen, dated March</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89"/>
              </w:rPr>
              <w:t>21, 1996, (with Severance Agreement dated January 17, 1989 attached) as amended by the First Amendment to Employment Agreement, dated April</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5"/>
              </w:rPr>
              <w:t>29, 2003, as amended by the Second Amendment to Employment Agreement, dated May 12, 2005, as amended by the Third Amendment to</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89"/>
              </w:rPr>
              <w:t>Employment and Severance Agreement, dated December 17, 2008, as amended by the Fourth Amendment to Employment Agreement, dated January</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1, 2015.</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10.10</w:t>
            </w:r>
          </w:p>
        </w:tc>
        <w:tc>
          <w:tcPr>
            <w:tcW w:w="10560" w:type="dxa"/>
            <w:vAlign w:val="bottom"/>
          </w:tcPr>
          <w:p>
            <w:pPr>
              <w:ind w:left="420"/>
              <w:spacing w:after="0"/>
              <w:rPr>
                <w:sz w:val="20"/>
                <w:szCs w:val="20"/>
                <w:color w:val="auto"/>
              </w:rPr>
            </w:pPr>
            <w:r>
              <w:rPr>
                <w:rFonts w:ascii="Arial" w:cs="Arial" w:eastAsia="Arial" w:hAnsi="Arial"/>
                <w:sz w:val="17"/>
                <w:szCs w:val="17"/>
                <w:color w:val="auto"/>
                <w:w w:val="96"/>
              </w:rPr>
              <w:t>Nitric Acid Supply Operating and Maintenance Agreement, dated October 23, 2008, between El Dorado Nitrogen, L.P., El Dorado Chemical</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2"/>
              </w:rPr>
              <w:t>Company and Bayer MaterialScience, LLC, which the Company hereby incorporates by reference from Exhibit 10.1 to the Company’s Form 10-Q</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7"/>
              </w:rPr>
              <w:t>for the fiscal quarter ended September 30, 2008. See SEC file number 001-07677. CERTAIN INFORMATION WITHIN THIS EXHIBIT HAS</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5"/>
              </w:rPr>
              <w:t>BEEN OMITTED AS IT IS THE SUBJECT OF A COMMISSION ORDER CF #30125, DATED OCTOBER 4, 2013, GRANTING REQUEST BY</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8"/>
              </w:rPr>
              <w:t>THE COMPANY FOR CONFIDENTIAL TREATMENT BY THE SECURITIES AND EXCHANGE COMMISSION UNDER THE FREEDOM</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OF INFORMATION ACT.</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10.11</w:t>
            </w:r>
          </w:p>
        </w:tc>
        <w:tc>
          <w:tcPr>
            <w:tcW w:w="10560" w:type="dxa"/>
            <w:vAlign w:val="bottom"/>
          </w:tcPr>
          <w:p>
            <w:pPr>
              <w:ind w:left="420"/>
              <w:spacing w:after="0"/>
              <w:rPr>
                <w:sz w:val="20"/>
                <w:szCs w:val="20"/>
                <w:color w:val="auto"/>
              </w:rPr>
            </w:pPr>
            <w:r>
              <w:rPr>
                <w:rFonts w:ascii="Arial" w:cs="Arial" w:eastAsia="Arial" w:hAnsi="Arial"/>
                <w:sz w:val="17"/>
                <w:szCs w:val="17"/>
                <w:color w:val="auto"/>
                <w:w w:val="92"/>
              </w:rPr>
              <w:t>Second Amendment to the Nitric Acid Supply, Operating and Maintenance Agreement, dated June 16, 2010, between El Dorado Nitrogen, L.P., El</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5"/>
              </w:rPr>
              <w:t>Dorado Chemical Company and Bayer MaterialScience, LLC., which the Company hereby incorporates by reference from Exhibit 10.2 to the</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5"/>
              </w:rPr>
              <w:t>Company’s Form 10-Q for the fiscal quarter ended June 30, 2010. See SEC file number 001-07677. CERTAIN INFORMATION WITHIN THIS</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5"/>
              </w:rPr>
              <w:t>EXHIBIT HAS BEEN OMITTED AS IT IS THE SUBJECT OF A COMMISSION ORDER CF #30124, DATED OCTOBER 4, 2013, GRANTING</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6"/>
              </w:rPr>
              <w:t>REQUEST BY THE COMPANY FOR CONFIDENTIAL TREATMENT BY THE SECURITIES AND EXCHANGE COMMISSION UNDER THE</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FREEDOM OF INFORMATION ACT.</w:t>
            </w:r>
          </w:p>
        </w:tc>
      </w:tr>
      <w:tr>
        <w:trPr>
          <w:trHeight w:val="293"/>
        </w:trPr>
        <w:tc>
          <w:tcPr>
            <w:tcW w:w="800" w:type="dxa"/>
            <w:vAlign w:val="bottom"/>
          </w:tcPr>
          <w:p>
            <w:pPr>
              <w:spacing w:after="0"/>
              <w:rPr>
                <w:sz w:val="20"/>
                <w:szCs w:val="20"/>
                <w:color w:val="auto"/>
              </w:rPr>
            </w:pPr>
            <w:r>
              <w:rPr>
                <w:rFonts w:ascii="Arial" w:cs="Arial" w:eastAsia="Arial" w:hAnsi="Arial"/>
                <w:sz w:val="17"/>
                <w:szCs w:val="17"/>
                <w:color w:val="auto"/>
              </w:rPr>
              <w:t>10.12</w:t>
            </w:r>
          </w:p>
        </w:tc>
        <w:tc>
          <w:tcPr>
            <w:tcW w:w="10560" w:type="dxa"/>
            <w:vAlign w:val="bottom"/>
          </w:tcPr>
          <w:p>
            <w:pPr>
              <w:ind w:left="420"/>
              <w:spacing w:after="0"/>
              <w:rPr>
                <w:sz w:val="20"/>
                <w:szCs w:val="20"/>
                <w:color w:val="auto"/>
              </w:rPr>
            </w:pPr>
            <w:r>
              <w:rPr>
                <w:rFonts w:ascii="Arial" w:cs="Arial" w:eastAsia="Arial" w:hAnsi="Arial"/>
                <w:sz w:val="17"/>
                <w:szCs w:val="17"/>
                <w:color w:val="auto"/>
                <w:w w:val="92"/>
              </w:rPr>
              <w:t>Third Amendment to Nitric Acid Supply, Operating and Maintenance Agreement between El Dorado Nitrogen, L.P., El Dorado Chemical Company</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3"/>
              </w:rPr>
              <w:t>and Bayer MaterialScience LLC, dated June 25, 2013, which the Company hereby incorporates by reference from Exhibit 10.3 to the Company’s</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w w:val="98"/>
              </w:rPr>
              <w:t>Form 10-Q for the fiscal quarter ended June 30, 2013. CERTAIN INFORMATION WITHIN THIS EXHIBIT HAS BEEN OMITTED AS IT IS</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SUBJECT OF A COMMISSION ORDER CF #30123, DATED OCTOBER 4, 2013, GRANTING REQUEST BY THE COMPANY FOR</w:t>
            </w:r>
          </w:p>
        </w:tc>
      </w:tr>
      <w:tr>
        <w:trPr>
          <w:trHeight w:val="203"/>
        </w:trPr>
        <w:tc>
          <w:tcPr>
            <w:tcW w:w="800" w:type="dxa"/>
            <w:vAlign w:val="bottom"/>
          </w:tcPr>
          <w:p>
            <w:pPr>
              <w:spacing w:after="0"/>
              <w:rPr>
                <w:sz w:val="17"/>
                <w:szCs w:val="17"/>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CONFIDENTIAL TREATMENT BY THE SECURITIES AND EXCHANGE COMMISSION UNDER THE FREEDOM OF INFORMATION</w:t>
            </w:r>
          </w:p>
        </w:tc>
      </w:tr>
      <w:tr>
        <w:trPr>
          <w:trHeight w:val="215"/>
        </w:trPr>
        <w:tc>
          <w:tcPr>
            <w:tcW w:w="80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7"/>
                <w:szCs w:val="17"/>
                <w:color w:val="auto"/>
              </w:rPr>
              <w:t>ACT.</w:t>
            </w:r>
          </w:p>
        </w:tc>
      </w:tr>
      <w:tr>
        <w:trPr>
          <w:trHeight w:val="343"/>
        </w:trPr>
        <w:tc>
          <w:tcPr>
            <w:tcW w:w="80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7"/>
                <w:szCs w:val="17"/>
                <w:color w:val="auto"/>
              </w:rPr>
              <w:t>52</w:t>
            </w:r>
          </w:p>
        </w:tc>
      </w:tr>
    </w:tbl>
    <w:p>
      <w:pPr>
        <w:sectPr>
          <w:pgSz w:w="11900" w:h="16838" w:orient="portrait"/>
          <w:cols w:equalWidth="0" w:num="1">
            <w:col w:w="11400"/>
          </w:cols>
          <w:pgMar w:left="240" w:top="441" w:right="2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10.13</w:t>
            </w:r>
          </w:p>
        </w:tc>
        <w:tc>
          <w:tcPr>
            <w:tcW w:w="10580" w:type="dxa"/>
            <w:vAlign w:val="bottom"/>
          </w:tcPr>
          <w:p>
            <w:pPr>
              <w:ind w:left="420"/>
              <w:spacing w:after="0"/>
              <w:rPr>
                <w:sz w:val="20"/>
                <w:szCs w:val="20"/>
                <w:color w:val="auto"/>
              </w:rPr>
            </w:pPr>
            <w:r>
              <w:rPr>
                <w:rFonts w:ascii="Arial" w:cs="Arial" w:eastAsia="Arial" w:hAnsi="Arial"/>
                <w:sz w:val="17"/>
                <w:szCs w:val="17"/>
                <w:color w:val="auto"/>
                <w:w w:val="97"/>
              </w:rPr>
              <w:t>AN Supply Agreement, dated effective January 1, 2010, between El Dorado Chemical Company and Orica International Pte Ltd., which the</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0"/>
              </w:rPr>
              <w:t>Company hereby incorporates by reference from Exhibit 10.27 to the Company’s Form 10-K for the fiscal year ended December 31, 2009. CERTAIN</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6"/>
              </w:rPr>
              <w:t>INFORMATION WITHIN THIS EXHIBIT HAS BEEN OMITTED AS IT IS THE SUBJECT OF A COMMISSION ORDERS CF #24842, DATED</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MARCH 25, 2010, AND CF #31968, DATED FEBRUARY 3, 2015 GRANTING REQUEST BY THE COMPANY FOR CONFIDENTIAL</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TREATMENT BY THE SECURITIES AND EXCHANGE COMMISSION UNDER THE FREEDOM OF INFORMATION ACT.</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10.14</w:t>
            </w:r>
          </w:p>
        </w:tc>
        <w:tc>
          <w:tcPr>
            <w:tcW w:w="10580" w:type="dxa"/>
            <w:vAlign w:val="bottom"/>
          </w:tcPr>
          <w:p>
            <w:pPr>
              <w:ind w:left="420"/>
              <w:spacing w:after="0"/>
              <w:rPr>
                <w:sz w:val="20"/>
                <w:szCs w:val="20"/>
                <w:color w:val="auto"/>
              </w:rPr>
            </w:pPr>
            <w:r>
              <w:rPr>
                <w:rFonts w:ascii="Arial" w:cs="Arial" w:eastAsia="Arial" w:hAnsi="Arial"/>
                <w:sz w:val="17"/>
                <w:szCs w:val="17"/>
                <w:color w:val="auto"/>
                <w:w w:val="91"/>
              </w:rPr>
              <w:t>First Amendment to AN Supply Agreement, dated effective March 1, 2010, between El Dorado Chemical Company and Orica International Pte Ltd.,</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1"/>
              </w:rPr>
              <w:t>which the Company hereby incorporates by reference from Exhibit 10.28 to the Company’s Form 10-K for the fiscal year ended December 31, 2009.</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See SEC file number 001-07677.</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10.15</w:t>
            </w:r>
          </w:p>
        </w:tc>
        <w:tc>
          <w:tcPr>
            <w:tcW w:w="10580" w:type="dxa"/>
            <w:vAlign w:val="bottom"/>
          </w:tcPr>
          <w:p>
            <w:pPr>
              <w:ind w:left="420"/>
              <w:spacing w:after="0"/>
              <w:rPr>
                <w:sz w:val="20"/>
                <w:szCs w:val="20"/>
                <w:color w:val="auto"/>
              </w:rPr>
            </w:pPr>
            <w:r>
              <w:rPr>
                <w:rFonts w:ascii="Arial" w:cs="Arial" w:eastAsia="Arial" w:hAnsi="Arial"/>
                <w:sz w:val="17"/>
                <w:szCs w:val="17"/>
                <w:color w:val="auto"/>
                <w:w w:val="92"/>
              </w:rPr>
              <w:t>Third Amendment to AN Supply Agreement, dated effective April 9, 2013, between El Dorado Chemical Company and Orica International Pte Ltd.,</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which the Company hereby incorporates by reference from Exhibit 99.1 to the Company’s Form 8-K, filed May 1, 2013.</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10.16</w:t>
            </w:r>
          </w:p>
        </w:tc>
        <w:tc>
          <w:tcPr>
            <w:tcW w:w="10580" w:type="dxa"/>
            <w:vAlign w:val="bottom"/>
          </w:tcPr>
          <w:p>
            <w:pPr>
              <w:ind w:left="420"/>
              <w:spacing w:after="0"/>
              <w:rPr>
                <w:sz w:val="20"/>
                <w:szCs w:val="20"/>
                <w:color w:val="auto"/>
              </w:rPr>
            </w:pPr>
            <w:r>
              <w:rPr>
                <w:rFonts w:ascii="Arial" w:cs="Arial" w:eastAsia="Arial" w:hAnsi="Arial"/>
                <w:sz w:val="17"/>
                <w:szCs w:val="17"/>
                <w:color w:val="auto"/>
                <w:w w:val="95"/>
              </w:rPr>
              <w:t>Agreement, dated effective August 1, 2013, between United Steel Workers of America International Union on behalf of LOCAL 13-434 and El</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2"/>
              </w:rPr>
              <w:t>Dorado Chemical Company, which the Company hereby incorporates by reference from Exhibit 99.1 to the Company’s Form 8-K, filed October 11,</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2013.</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10.17</w:t>
            </w:r>
          </w:p>
        </w:tc>
        <w:tc>
          <w:tcPr>
            <w:tcW w:w="10580" w:type="dxa"/>
            <w:vAlign w:val="bottom"/>
          </w:tcPr>
          <w:p>
            <w:pPr>
              <w:ind w:left="420"/>
              <w:spacing w:after="0"/>
              <w:rPr>
                <w:sz w:val="20"/>
                <w:szCs w:val="20"/>
                <w:color w:val="auto"/>
              </w:rPr>
            </w:pPr>
            <w:r>
              <w:rPr>
                <w:rFonts w:ascii="Arial" w:cs="Arial" w:eastAsia="Arial" w:hAnsi="Arial"/>
                <w:sz w:val="17"/>
                <w:szCs w:val="17"/>
                <w:color w:val="auto"/>
                <w:w w:val="91"/>
              </w:rPr>
              <w:t>Agreement, dated effective October 17, 2013, between International Association of Machinists and Aerospace Workers, AFL-CIO Local No. 224 and</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2"/>
              </w:rPr>
              <w:t>El Dorado Chemical Company, which the Company hereby incorporates by reference from Exhibit 99.2 to the Company’s Form 8-K, filed October</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11, 2013.</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10.18</w:t>
            </w:r>
          </w:p>
        </w:tc>
        <w:tc>
          <w:tcPr>
            <w:tcW w:w="10580" w:type="dxa"/>
            <w:vAlign w:val="bottom"/>
          </w:tcPr>
          <w:p>
            <w:pPr>
              <w:ind w:left="420"/>
              <w:spacing w:after="0"/>
              <w:rPr>
                <w:sz w:val="20"/>
                <w:szCs w:val="20"/>
                <w:color w:val="auto"/>
              </w:rPr>
            </w:pPr>
            <w:r>
              <w:rPr>
                <w:rFonts w:ascii="Arial" w:cs="Arial" w:eastAsia="Arial" w:hAnsi="Arial"/>
                <w:sz w:val="17"/>
                <w:szCs w:val="17"/>
                <w:color w:val="auto"/>
                <w:w w:val="93"/>
              </w:rPr>
              <w:t>Agreement, dated November 12, 2013, between United Steel, Paper and Forestry, Rubber, Manufacturing, Energy, Allied Industrial and Service</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8"/>
              </w:rPr>
              <w:t>Workers International Union, AFL-CIO, CLC, on behalf of Local No. 00417 and Cherokee Nitrogen Company, which the Company hereby</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incorporates by reference from Exhibit 99.1 to the Company’s Form 8-K, filed February 13, 2014.</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10.19</w:t>
            </w:r>
          </w:p>
        </w:tc>
        <w:tc>
          <w:tcPr>
            <w:tcW w:w="10580" w:type="dxa"/>
            <w:vAlign w:val="bottom"/>
          </w:tcPr>
          <w:p>
            <w:pPr>
              <w:ind w:left="420"/>
              <w:spacing w:after="0"/>
              <w:rPr>
                <w:sz w:val="20"/>
                <w:szCs w:val="20"/>
                <w:color w:val="auto"/>
              </w:rPr>
            </w:pPr>
            <w:r>
              <w:rPr>
                <w:rFonts w:ascii="Arial" w:cs="Arial" w:eastAsia="Arial" w:hAnsi="Arial"/>
                <w:sz w:val="17"/>
                <w:szCs w:val="17"/>
                <w:color w:val="auto"/>
                <w:w w:val="92"/>
              </w:rPr>
              <w:t>Asset Purchase Agreement, dated as of December 6, 2002 by and among Energetic Systems Inc. LLC, UTeC Corporation, LLC, SEC Investment</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8"/>
              </w:rPr>
              <w:t>Corp. LLC, DetaCorp Inc. LLC, Energetic Properties, LLC, Slurry Explosive Corporation, Universal Tech Corporation, El Dorado Chemical</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9"/>
              </w:rPr>
              <w:t>Company, LSB Chemical Corp., LSB Industries, Inc. and Slurry Explosive Manufacturing Corporation, LLC, which the Company hereby</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incorporates by reference from Exhibit 2.1 to the Company’s Form 8-K, dated December 12, 2002. See SEC file number 001-07677.</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10.20</w:t>
            </w:r>
          </w:p>
        </w:tc>
        <w:tc>
          <w:tcPr>
            <w:tcW w:w="10580" w:type="dxa"/>
            <w:vAlign w:val="bottom"/>
          </w:tcPr>
          <w:p>
            <w:pPr>
              <w:ind w:left="420"/>
              <w:spacing w:after="0"/>
              <w:rPr>
                <w:sz w:val="20"/>
                <w:szCs w:val="20"/>
                <w:color w:val="auto"/>
              </w:rPr>
            </w:pPr>
            <w:r>
              <w:rPr>
                <w:rFonts w:ascii="Arial" w:cs="Arial" w:eastAsia="Arial" w:hAnsi="Arial"/>
                <w:sz w:val="17"/>
                <w:szCs w:val="17"/>
                <w:color w:val="auto"/>
                <w:w w:val="91"/>
              </w:rPr>
              <w:t>Exhibits and Disclosure Letters to the Asset Purchase Agreement, dated as of December 6, 2002 by and among Energetic Systems Inc. LLC, UTeC</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6"/>
              </w:rPr>
              <w:t>Corporation, LLC, SEC Investment Corp. LLC, DetaCorp Inc. LLC, Energetic Properties, LLC, Slurry Explosive Corporation, Universal Tech</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5"/>
              </w:rPr>
              <w:t>Corporation, El Dorado Chemical Company, LSB Chemical Corp., LSB Industries, Inc. and Slurry Explosive Manufacturing Corporation, LLC.,</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2"/>
              </w:rPr>
              <w:t>which the Company hereby incorporates by reference from Exhibit 10.1b to the Company’s Form 10-Q for the fiscal quarter ended June 30, 2010.</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See SEC file number 001-07677.</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10.21</w:t>
            </w:r>
          </w:p>
        </w:tc>
        <w:tc>
          <w:tcPr>
            <w:tcW w:w="10580" w:type="dxa"/>
            <w:vAlign w:val="bottom"/>
          </w:tcPr>
          <w:p>
            <w:pPr>
              <w:ind w:left="420"/>
              <w:spacing w:after="0"/>
              <w:rPr>
                <w:sz w:val="20"/>
                <w:szCs w:val="20"/>
                <w:color w:val="auto"/>
              </w:rPr>
            </w:pPr>
            <w:r>
              <w:rPr>
                <w:rFonts w:ascii="Arial" w:cs="Arial" w:eastAsia="Arial" w:hAnsi="Arial"/>
                <w:sz w:val="17"/>
                <w:szCs w:val="17"/>
                <w:color w:val="auto"/>
                <w:w w:val="97"/>
              </w:rPr>
              <w:t>Anhydrous Ammonia Sales Agreement, dated effective January 1, 2009 between Koch Nitrogen International Sàrl and El Dorado Chemical</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0"/>
              </w:rPr>
              <w:t>Company, which the Company hereby incorporates by reference from Exhibit 10.49 to the Company’s Form 10-K for the fiscal year ended December</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4"/>
              </w:rPr>
              <w:t>31, 2008. See SEC file number 001-07677. CERTAIN INFORMATION WITHIN THIS EXHIBIT HAS BEEN OMITTED AS IT IS THE SUBJECT</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OF A COMMISSION ORDER CF #28828, DATED SEPTEMBER 14, 2012, GRANTING REQUEST BY THE COMPANY FOR</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CONFIDENTIAL TREATMENT BY THE SECURITIES AND EXCHANGE COMMISSION UNDER THE FREEDOM OF INFORMATION</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ACT.</w:t>
            </w:r>
          </w:p>
        </w:tc>
      </w:tr>
      <w:tr>
        <w:trPr>
          <w:trHeight w:val="293"/>
        </w:trPr>
        <w:tc>
          <w:tcPr>
            <w:tcW w:w="800" w:type="dxa"/>
            <w:vAlign w:val="bottom"/>
          </w:tcPr>
          <w:p>
            <w:pPr>
              <w:jc w:val="right"/>
              <w:ind w:right="335"/>
              <w:spacing w:after="0"/>
              <w:rPr>
                <w:sz w:val="20"/>
                <w:szCs w:val="20"/>
                <w:color w:val="auto"/>
              </w:rPr>
            </w:pPr>
            <w:r>
              <w:rPr>
                <w:rFonts w:ascii="Arial" w:cs="Arial" w:eastAsia="Arial" w:hAnsi="Arial"/>
                <w:sz w:val="17"/>
                <w:szCs w:val="17"/>
                <w:color w:val="auto"/>
                <w:w w:val="84"/>
              </w:rPr>
              <w:t>10.22</w:t>
            </w:r>
          </w:p>
        </w:tc>
        <w:tc>
          <w:tcPr>
            <w:tcW w:w="10580" w:type="dxa"/>
            <w:vAlign w:val="bottom"/>
          </w:tcPr>
          <w:p>
            <w:pPr>
              <w:ind w:left="420"/>
              <w:spacing w:after="0"/>
              <w:rPr>
                <w:sz w:val="20"/>
                <w:szCs w:val="20"/>
                <w:color w:val="auto"/>
              </w:rPr>
            </w:pPr>
            <w:r>
              <w:rPr>
                <w:rFonts w:ascii="Arial" w:cs="Arial" w:eastAsia="Arial" w:hAnsi="Arial"/>
                <w:sz w:val="17"/>
                <w:szCs w:val="17"/>
                <w:color w:val="auto"/>
                <w:w w:val="92"/>
              </w:rPr>
              <w:t>Second Amendment to Anhydrous Ammonia Sales Agreement, dated February 23, 2010, between Koch Nitrogen International Sàrl and El Dorado</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1"/>
              </w:rPr>
              <w:t>Chemical Company, which the Company hereby incorporates by reference from Exhibit 10.35 to the Company’s Form 10-K for the fiscal year ended</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4"/>
              </w:rPr>
              <w:t>December 31, 2009. See SEC file number 001-07677. CERTAIN INFORMATION WITHIN THIS EXHIBIT HAS BEEN OMITTED AS IT IS THE</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w w:val="99"/>
              </w:rPr>
              <w:t>SUBJECT OF A COMMISSION ORDER CF #28827, DATED SEPTEMBER 14, 2012, GRANTING REQUEST BY THE COMPANY FOR</w:t>
            </w:r>
          </w:p>
        </w:tc>
      </w:tr>
      <w:tr>
        <w:trPr>
          <w:trHeight w:val="203"/>
        </w:trPr>
        <w:tc>
          <w:tcPr>
            <w:tcW w:w="800" w:type="dxa"/>
            <w:vAlign w:val="bottom"/>
          </w:tcPr>
          <w:p>
            <w:pPr>
              <w:spacing w:after="0"/>
              <w:rPr>
                <w:sz w:val="17"/>
                <w:szCs w:val="17"/>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CONFIDENTIAL TREATMENT BY THE SECURITIES AND EXCHANGE COMMISSION UNDER THE FREEDOM OF INFORMATION</w:t>
            </w:r>
          </w:p>
        </w:tc>
      </w:tr>
      <w:tr>
        <w:trPr>
          <w:trHeight w:val="215"/>
        </w:trPr>
        <w:tc>
          <w:tcPr>
            <w:tcW w:w="80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7"/>
                <w:szCs w:val="17"/>
                <w:color w:val="auto"/>
              </w:rPr>
              <w:t>ACT.</w:t>
            </w:r>
          </w:p>
        </w:tc>
      </w:tr>
      <w:tr>
        <w:trPr>
          <w:trHeight w:val="343"/>
        </w:trPr>
        <w:tc>
          <w:tcPr>
            <w:tcW w:w="80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7"/>
                <w:szCs w:val="17"/>
                <w:color w:val="auto"/>
              </w:rPr>
              <w:t>53</w:t>
            </w:r>
          </w:p>
        </w:tc>
      </w:tr>
    </w:tbl>
    <w:p>
      <w:pPr>
        <w:sectPr>
          <w:pgSz w:w="11900" w:h="16838" w:orient="portrait"/>
          <w:cols w:equalWidth="0" w:num="1">
            <w:col w:w="11420"/>
          </w:cols>
          <w:pgMar w:left="240" w:top="441"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10.23</w:t>
            </w:r>
          </w:p>
        </w:tc>
        <w:tc>
          <w:tcPr>
            <w:tcW w:w="10680" w:type="dxa"/>
            <w:vAlign w:val="bottom"/>
          </w:tcPr>
          <w:p>
            <w:pPr>
              <w:ind w:left="320"/>
              <w:spacing w:after="0"/>
              <w:rPr>
                <w:sz w:val="20"/>
                <w:szCs w:val="20"/>
                <w:color w:val="auto"/>
              </w:rPr>
            </w:pPr>
            <w:r>
              <w:rPr>
                <w:rFonts w:ascii="Arial" w:cs="Arial" w:eastAsia="Arial" w:hAnsi="Arial"/>
                <w:sz w:val="17"/>
                <w:szCs w:val="17"/>
                <w:color w:val="auto"/>
                <w:w w:val="94"/>
              </w:rPr>
              <w:t>Fifth Amendment to the Anhydrous Ammonia Sales Agreement, dated August 22, 2012, between KOCH Nitrogen International Sàrl and El Dorado</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5"/>
              </w:rPr>
              <w:t>Chemical Company, which the Company hereby incorporates by reference from Exhibit 99.1 to the Company’s Form 8-K, filed August 28, 2012.</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8"/>
              </w:rPr>
              <w:t>CERTAIN INFORMATION WITHIN THIS EXHIBIT HAS BEEN OMITTED AS IT IS THE SUBJECT OF A COMMISSION ORDER CF#28826,</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6"/>
              </w:rPr>
              <w:t>DATED SEPTEMBER 14, 2012, GRANTING REQUEST BY THE COMPANY FOR CONFIDENTIAL TREATMENT BY THE SECURITIES AND</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EXCHANGE COMMISSION UNDER THE FREEDOM OF INFORMATION ACT.</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10.24</w:t>
            </w:r>
          </w:p>
        </w:tc>
        <w:tc>
          <w:tcPr>
            <w:tcW w:w="10680" w:type="dxa"/>
            <w:vAlign w:val="bottom"/>
          </w:tcPr>
          <w:p>
            <w:pPr>
              <w:ind w:left="320"/>
              <w:spacing w:after="0"/>
              <w:rPr>
                <w:sz w:val="20"/>
                <w:szCs w:val="20"/>
                <w:color w:val="auto"/>
              </w:rPr>
            </w:pPr>
            <w:r>
              <w:rPr>
                <w:rFonts w:ascii="Arial" w:cs="Arial" w:eastAsia="Arial" w:hAnsi="Arial"/>
                <w:sz w:val="17"/>
                <w:szCs w:val="17"/>
                <w:color w:val="auto"/>
                <w:w w:val="92"/>
              </w:rPr>
              <w:t>Urea Ammonium Nitrate Purchase and Sale Agreement, dated May 7, 2009, between Pryor Chemical Company and Koch Nitrogen Company, LLC.,</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3"/>
              </w:rPr>
              <w:t>which the Company hereby incorporates by reference from Exhibit 99.1 to the Company’s Form 8-K, filed May 13, 2009. See SEC file number 001-</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8"/>
              </w:rPr>
              <w:t>07677. CERTAIN INFORMATION WITHIN THIS EXHIBIT HAS BEEN OMITTED AS IT IS THE SUBJECT OF A COMMISSION ORDER CF</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6"/>
              </w:rPr>
              <w:t>#23659, DATED JUNE 9, 2009, GRANTING REQUEST BY THE COMPANY FOR CONFIDENTIAL TREATMENT BY THE SECURITIES AND</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EXCHANGE COMMISSION UNDER THE FREEDOM OF INFORMATION ACT.</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10.25</w:t>
            </w:r>
          </w:p>
        </w:tc>
        <w:tc>
          <w:tcPr>
            <w:tcW w:w="10680" w:type="dxa"/>
            <w:vAlign w:val="bottom"/>
          </w:tcPr>
          <w:p>
            <w:pPr>
              <w:ind w:left="320"/>
              <w:spacing w:after="0"/>
              <w:rPr>
                <w:sz w:val="20"/>
                <w:szCs w:val="20"/>
                <w:color w:val="auto"/>
              </w:rPr>
            </w:pPr>
            <w:r>
              <w:rPr>
                <w:rFonts w:ascii="Arial" w:cs="Arial" w:eastAsia="Arial" w:hAnsi="Arial"/>
                <w:sz w:val="17"/>
                <w:szCs w:val="17"/>
                <w:color w:val="auto"/>
                <w:w w:val="92"/>
              </w:rPr>
              <w:t>Amendment No. 1 to Urea Ammonium Nitrate Purchase and Sale Agreement, dated October 29, 2009, between Pryor Chemical Company and Koch</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1"/>
              </w:rPr>
              <w:t>Nitrogen Company, LLC, which the Company hereby incorporates by reference from Exhibit 99.1 to the Company’s Form 8-K, filed November 4, 2009.</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9"/>
              </w:rPr>
              <w:t>See SEC file number 001-07677. CERTAIN INFORMATION WITHIN THIS EXHIBIT HAS BEEN OMITTED AS IT IS THE SUBJECT OF A</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COMMISSION ORDER CF #24284, DATED NOVEMBER 19, 2009, GRANTING REQUEST BY THE COMPANY FOR CONFIDENTIAL</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TREATMENT BY THE SECURITIES AND EXCHANGE COMMISSION UNDER THE FREEDOM OF INFORMATION ACT.</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10.26</w:t>
            </w:r>
          </w:p>
        </w:tc>
        <w:tc>
          <w:tcPr>
            <w:tcW w:w="10680" w:type="dxa"/>
            <w:vAlign w:val="bottom"/>
          </w:tcPr>
          <w:p>
            <w:pPr>
              <w:ind w:left="320"/>
              <w:spacing w:after="0"/>
              <w:rPr>
                <w:sz w:val="20"/>
                <w:szCs w:val="20"/>
                <w:color w:val="auto"/>
              </w:rPr>
            </w:pPr>
            <w:r>
              <w:rPr>
                <w:rFonts w:ascii="Arial" w:cs="Arial" w:eastAsia="Arial" w:hAnsi="Arial"/>
                <w:sz w:val="17"/>
                <w:szCs w:val="17"/>
                <w:color w:val="auto"/>
                <w:w w:val="94"/>
              </w:rPr>
              <w:t>Railcar Management Agreement, dated May 7, 2009, between Pryor Chemical Company and Koch Nitrogen Company, LLC, which the Company</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hereby incorporates by reference from Exhibit 99.2 to the Company’s Form 8-K, filed May 13, 2009. See SEC file number 001-07677.</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10.27</w:t>
            </w:r>
          </w:p>
        </w:tc>
        <w:tc>
          <w:tcPr>
            <w:tcW w:w="10680" w:type="dxa"/>
            <w:vAlign w:val="bottom"/>
          </w:tcPr>
          <w:p>
            <w:pPr>
              <w:ind w:left="320"/>
              <w:spacing w:after="0"/>
              <w:rPr>
                <w:sz w:val="20"/>
                <w:szCs w:val="20"/>
                <w:color w:val="auto"/>
              </w:rPr>
            </w:pPr>
            <w:r>
              <w:rPr>
                <w:rFonts w:ascii="Arial" w:cs="Arial" w:eastAsia="Arial" w:hAnsi="Arial"/>
                <w:sz w:val="17"/>
                <w:szCs w:val="17"/>
                <w:color w:val="auto"/>
                <w:w w:val="92"/>
              </w:rPr>
              <w:t>Real Estate Purchase Contract, dated as of May 26, 2011, by and between DPMG, Inc., Prime Financial L.L.C., Landmark Land Company, Gerald G.</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2"/>
              </w:rPr>
              <w:t>Barton and Jack E. Golsen, which the Company hereby incorporates by reference from Exhibit 10.1 to the Company’s Form 10-Q, filed November 7,</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2011.</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10.28</w:t>
            </w:r>
          </w:p>
        </w:tc>
        <w:tc>
          <w:tcPr>
            <w:tcW w:w="10680" w:type="dxa"/>
            <w:vAlign w:val="bottom"/>
          </w:tcPr>
          <w:p>
            <w:pPr>
              <w:ind w:left="320"/>
              <w:spacing w:after="0"/>
              <w:rPr>
                <w:sz w:val="20"/>
                <w:szCs w:val="20"/>
                <w:color w:val="auto"/>
              </w:rPr>
            </w:pPr>
            <w:r>
              <w:rPr>
                <w:rFonts w:ascii="Arial" w:cs="Arial" w:eastAsia="Arial" w:hAnsi="Arial"/>
                <w:sz w:val="17"/>
                <w:szCs w:val="17"/>
                <w:color w:val="auto"/>
                <w:w w:val="95"/>
              </w:rPr>
              <w:t>Real Estate Purchase Contract, dated as of September 8, 2011, by and between South Padre Island Development, LLC, Prime Financial L.L.C.,</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5"/>
              </w:rPr>
              <w:t>Landmark Land Company, Gerald G. Barton and Jack E. Golsen, which the Company hereby incorporates by reference from Exhibit 10.2 to the</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Company’s Form 10-Q, filed November 7, 2011.</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10.29</w:t>
            </w:r>
          </w:p>
        </w:tc>
        <w:tc>
          <w:tcPr>
            <w:tcW w:w="10680" w:type="dxa"/>
            <w:vAlign w:val="bottom"/>
          </w:tcPr>
          <w:p>
            <w:pPr>
              <w:ind w:left="320"/>
              <w:spacing w:after="0"/>
              <w:rPr>
                <w:sz w:val="20"/>
                <w:szCs w:val="20"/>
                <w:color w:val="auto"/>
              </w:rPr>
            </w:pPr>
            <w:r>
              <w:rPr>
                <w:rFonts w:ascii="Arial" w:cs="Arial" w:eastAsia="Arial" w:hAnsi="Arial"/>
                <w:sz w:val="17"/>
                <w:szCs w:val="17"/>
                <w:color w:val="auto"/>
                <w:w w:val="90"/>
              </w:rPr>
              <w:t>Common Stock Purchase Warrant granted by Landmark Land Company to Prime Financial, L.L.C., dated February 7, 2012, which the Company hereby</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incorporates by reference from Exhibit 99.4 to the Company’s Form 8-K, filed February 16, 2012.</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10.30</w:t>
            </w:r>
          </w:p>
        </w:tc>
        <w:tc>
          <w:tcPr>
            <w:tcW w:w="10680" w:type="dxa"/>
            <w:vAlign w:val="bottom"/>
          </w:tcPr>
          <w:p>
            <w:pPr>
              <w:ind w:left="320"/>
              <w:spacing w:after="0"/>
              <w:rPr>
                <w:sz w:val="20"/>
                <w:szCs w:val="20"/>
                <w:color w:val="auto"/>
              </w:rPr>
            </w:pPr>
            <w:r>
              <w:rPr>
                <w:rFonts w:ascii="Arial" w:cs="Arial" w:eastAsia="Arial" w:hAnsi="Arial"/>
                <w:sz w:val="17"/>
                <w:szCs w:val="17"/>
                <w:color w:val="auto"/>
                <w:w w:val="92"/>
              </w:rPr>
              <w:t>Geothermal Use Contract, between South Padre Island Development, LLC and Prime Financial, L.L.C., dated February 7, 2012, which the Company</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hereby incorporates by reference from Exhibit 99.5 to the Company’s Form 8-K, filed February 16, 2012.</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10.31</w:t>
            </w:r>
          </w:p>
        </w:tc>
        <w:tc>
          <w:tcPr>
            <w:tcW w:w="10680" w:type="dxa"/>
            <w:vAlign w:val="bottom"/>
          </w:tcPr>
          <w:p>
            <w:pPr>
              <w:ind w:left="320"/>
              <w:spacing w:after="0"/>
              <w:rPr>
                <w:sz w:val="20"/>
                <w:szCs w:val="20"/>
                <w:color w:val="auto"/>
              </w:rPr>
            </w:pPr>
            <w:r>
              <w:rPr>
                <w:rFonts w:ascii="Arial" w:cs="Arial" w:eastAsia="Arial" w:hAnsi="Arial"/>
                <w:sz w:val="17"/>
                <w:szCs w:val="17"/>
                <w:color w:val="auto"/>
                <w:w w:val="91"/>
              </w:rPr>
              <w:t>Purchase and Sale Agreement, dated October 31, 2012, between Clearwater Enterprises, L.L.C. and Zena Energy, L.L.C., which the Company hereby</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2"/>
              </w:rPr>
              <w:t>incorporates by reference from Exhibit 99.1 to the Company’s Form 8-K, filed November 2, 2012. Exhibits to the Purchase and Sale Agreement have</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4"/>
              </w:rPr>
              <w:t>been omitted pursuant to Item 601(b)(2) of Regulation S-K and will be provided supplementally to the Securities and Exchange Commission upon</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request.</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10.32</w:t>
            </w:r>
          </w:p>
        </w:tc>
        <w:tc>
          <w:tcPr>
            <w:tcW w:w="10680" w:type="dxa"/>
            <w:vAlign w:val="bottom"/>
          </w:tcPr>
          <w:p>
            <w:pPr>
              <w:ind w:left="320"/>
              <w:spacing w:after="0"/>
              <w:rPr>
                <w:sz w:val="20"/>
                <w:szCs w:val="20"/>
                <w:color w:val="auto"/>
              </w:rPr>
            </w:pPr>
            <w:r>
              <w:rPr>
                <w:rFonts w:ascii="Arial" w:cs="Arial" w:eastAsia="Arial" w:hAnsi="Arial"/>
                <w:sz w:val="17"/>
                <w:szCs w:val="17"/>
                <w:color w:val="auto"/>
                <w:w w:val="93"/>
              </w:rPr>
              <w:t>Purchase and Sale Agreement, dated August 28, 2013, between Hat Creek Energy LLC, Citrus Energy Appalachia, LLC, Troy Energy Investments,</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w w:val="93"/>
              </w:rPr>
              <w:t>LLC, and Zena Energy, L.L.C., which the Company hereby incorporates by reference from Exhibit 99.1 to the Company’s Form 8-K, filed August 30,</w:t>
            </w:r>
          </w:p>
        </w:tc>
      </w:tr>
      <w:tr>
        <w:trPr>
          <w:trHeight w:val="203"/>
        </w:trPr>
        <w:tc>
          <w:tcPr>
            <w:tcW w:w="680" w:type="dxa"/>
            <w:vAlign w:val="bottom"/>
          </w:tcPr>
          <w:p>
            <w:pPr>
              <w:spacing w:after="0"/>
              <w:rPr>
                <w:sz w:val="17"/>
                <w:szCs w:val="17"/>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2013. Exhibits to the Purchase and Sale Agreement have been omitted pursuant to Item 601(b)(2) of Regulation S-K and will be provided</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supplementally to the Securities and Exchange Commission upon request.</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10.33</w:t>
            </w:r>
          </w:p>
        </w:tc>
        <w:tc>
          <w:tcPr>
            <w:tcW w:w="10680" w:type="dxa"/>
            <w:vAlign w:val="bottom"/>
          </w:tcPr>
          <w:p>
            <w:pPr>
              <w:ind w:left="320"/>
              <w:spacing w:after="0"/>
              <w:rPr>
                <w:sz w:val="20"/>
                <w:szCs w:val="20"/>
                <w:color w:val="auto"/>
              </w:rPr>
            </w:pPr>
            <w:r>
              <w:rPr>
                <w:rFonts w:ascii="Arial" w:cs="Arial" w:eastAsia="Arial" w:hAnsi="Arial"/>
                <w:sz w:val="17"/>
                <w:szCs w:val="17"/>
                <w:color w:val="auto"/>
                <w:w w:val="90"/>
              </w:rPr>
              <w:t>Contract, between Weatherly Inc. and El Dorado Chemical Company, dated November 30, 2012, which the Company hereby incorporates by reference</w:t>
            </w:r>
          </w:p>
        </w:tc>
      </w:tr>
      <w:tr>
        <w:trPr>
          <w:trHeight w:val="215"/>
        </w:trPr>
        <w:tc>
          <w:tcPr>
            <w:tcW w:w="68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7"/>
                <w:szCs w:val="17"/>
                <w:color w:val="auto"/>
              </w:rPr>
              <w:t>from Exhibit 99.2 to the Company’s Form 8-K, filed December 6, 2012.</w:t>
            </w:r>
          </w:p>
        </w:tc>
      </w:tr>
      <w:tr>
        <w:trPr>
          <w:trHeight w:val="343"/>
        </w:trPr>
        <w:tc>
          <w:tcPr>
            <w:tcW w:w="68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7"/>
                <w:szCs w:val="17"/>
                <w:color w:val="auto"/>
              </w:rPr>
              <w:t>54</w:t>
            </w:r>
          </w:p>
        </w:tc>
      </w:tr>
    </w:tbl>
    <w:p>
      <w:pPr>
        <w:sectPr>
          <w:pgSz w:w="11900" w:h="16838" w:orient="portrait"/>
          <w:cols w:equalWidth="0" w:num="1">
            <w:col w:w="11400"/>
          </w:cols>
          <w:pgMar w:left="240" w:top="441" w:right="2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10.34</w:t>
            </w:r>
          </w:p>
        </w:tc>
        <w:tc>
          <w:tcPr>
            <w:tcW w:w="10580" w:type="dxa"/>
            <w:vAlign w:val="bottom"/>
          </w:tcPr>
          <w:p>
            <w:pPr>
              <w:ind w:left="320"/>
              <w:spacing w:after="0"/>
              <w:rPr>
                <w:sz w:val="20"/>
                <w:szCs w:val="20"/>
                <w:color w:val="auto"/>
              </w:rPr>
            </w:pPr>
            <w:r>
              <w:rPr>
                <w:rFonts w:ascii="Arial" w:cs="Arial" w:eastAsia="Arial" w:hAnsi="Arial"/>
                <w:sz w:val="17"/>
                <w:szCs w:val="17"/>
                <w:color w:val="auto"/>
                <w:w w:val="93"/>
              </w:rPr>
              <w:t>Engineering Procurement and Construction Agreement, dated August 12, 2013, between El Dorado Ammonia L.L.C. and SAIC Constructors, LLC,</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which the Company hereby incorporates by reference from Exhibit 10.1 to the Company’s Form 8-K, filed August 15, 2013.</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10.35</w:t>
            </w:r>
          </w:p>
        </w:tc>
        <w:tc>
          <w:tcPr>
            <w:tcW w:w="10580" w:type="dxa"/>
            <w:vAlign w:val="bottom"/>
          </w:tcPr>
          <w:p>
            <w:pPr>
              <w:ind w:left="320"/>
              <w:spacing w:after="0"/>
              <w:rPr>
                <w:sz w:val="20"/>
                <w:szCs w:val="20"/>
                <w:color w:val="auto"/>
              </w:rPr>
            </w:pPr>
            <w:r>
              <w:rPr>
                <w:rFonts w:ascii="Arial" w:cs="Arial" w:eastAsia="Arial" w:hAnsi="Arial"/>
                <w:sz w:val="17"/>
                <w:szCs w:val="17"/>
                <w:color w:val="auto"/>
                <w:w w:val="91"/>
              </w:rPr>
              <w:t>Construction Agreement-DMW2, dated November 6, 2013, between El Dorado Chemical Company and SAIC Constructors, LLC, which the Company</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hereby incorporates by reference from Exhibit 99.1 to the Company’s Form 8-K, filed November 12, 2013.</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10.36</w:t>
            </w:r>
          </w:p>
        </w:tc>
        <w:tc>
          <w:tcPr>
            <w:tcW w:w="10580" w:type="dxa"/>
            <w:vAlign w:val="bottom"/>
          </w:tcPr>
          <w:p>
            <w:pPr>
              <w:ind w:left="320"/>
              <w:spacing w:after="0"/>
              <w:rPr>
                <w:sz w:val="20"/>
                <w:szCs w:val="20"/>
                <w:color w:val="auto"/>
              </w:rPr>
            </w:pPr>
            <w:r>
              <w:rPr>
                <w:rFonts w:ascii="Arial" w:cs="Arial" w:eastAsia="Arial" w:hAnsi="Arial"/>
                <w:sz w:val="17"/>
                <w:szCs w:val="17"/>
                <w:color w:val="auto"/>
                <w:w w:val="96"/>
              </w:rPr>
              <w:t>Construction Agreement-NACSAC, dated November 6, 2013, between El Dorado Chemical Company and SAIC Constructors, LLC, which the</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Company hereby incorporates by reference from Exhibit 99.2 to the Company’s Form 8-K, filed November 12, 2013.</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10.37</w:t>
            </w:r>
          </w:p>
        </w:tc>
        <w:tc>
          <w:tcPr>
            <w:tcW w:w="10580" w:type="dxa"/>
            <w:vAlign w:val="bottom"/>
          </w:tcPr>
          <w:p>
            <w:pPr>
              <w:ind w:left="320"/>
              <w:spacing w:after="0"/>
              <w:rPr>
                <w:sz w:val="20"/>
                <w:szCs w:val="20"/>
                <w:color w:val="auto"/>
              </w:rPr>
            </w:pPr>
            <w:r>
              <w:rPr>
                <w:rFonts w:ascii="Arial" w:cs="Arial" w:eastAsia="Arial" w:hAnsi="Arial"/>
                <w:sz w:val="17"/>
                <w:szCs w:val="17"/>
                <w:color w:val="auto"/>
                <w:w w:val="91"/>
              </w:rPr>
              <w:t>Engineering, Procurement and Construction Agreement, dated December 31, 2013, between El Dorado Chemical Company and SAIC Constructors,</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LLC which the Company hereby incorporates by reference from Exhibit 99.1 to the Company’s Form 8-K, filed January 7, 2014.</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10.38</w:t>
            </w:r>
          </w:p>
        </w:tc>
        <w:tc>
          <w:tcPr>
            <w:tcW w:w="10580" w:type="dxa"/>
            <w:vAlign w:val="bottom"/>
          </w:tcPr>
          <w:p>
            <w:pPr>
              <w:ind w:left="320"/>
              <w:spacing w:after="0"/>
              <w:rPr>
                <w:sz w:val="20"/>
                <w:szCs w:val="20"/>
                <w:color w:val="auto"/>
              </w:rPr>
            </w:pPr>
            <w:r>
              <w:rPr>
                <w:rFonts w:ascii="Arial" w:cs="Arial" w:eastAsia="Arial" w:hAnsi="Arial"/>
                <w:sz w:val="17"/>
                <w:szCs w:val="17"/>
                <w:color w:val="auto"/>
                <w:w w:val="92"/>
              </w:rPr>
              <w:t>Promissory Note, dated February 1, 2013, in the original principal amount of $35 million, issued by Zena Energy L.L.C. in favor of International Bank</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w w:val="98"/>
              </w:rPr>
              <w:t>of Commerce, which the Company hereby incorporates by reference from Exhibit 99.1 to the Company’s Form 8-K, filed February 7, 2013.</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10.39</w:t>
            </w:r>
          </w:p>
        </w:tc>
        <w:tc>
          <w:tcPr>
            <w:tcW w:w="10580" w:type="dxa"/>
            <w:vAlign w:val="bottom"/>
          </w:tcPr>
          <w:p>
            <w:pPr>
              <w:ind w:left="320"/>
              <w:spacing w:after="0"/>
              <w:rPr>
                <w:sz w:val="20"/>
                <w:szCs w:val="20"/>
                <w:color w:val="auto"/>
              </w:rPr>
            </w:pPr>
            <w:r>
              <w:rPr>
                <w:rFonts w:ascii="Arial" w:cs="Arial" w:eastAsia="Arial" w:hAnsi="Arial"/>
                <w:sz w:val="17"/>
                <w:szCs w:val="17"/>
                <w:color w:val="auto"/>
                <w:w w:val="92"/>
              </w:rPr>
              <w:t>Leasehold Mortgage, Security Agreement, Assignment and Fixture Filing, dated February 1, 2013, from Zena Energy L.L.C. to International Bank of</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Commerce, which the Company hereby incorporates by reference from Exhibit 99.2 to the Company’s Form 8-K, filed February 7, 2013.</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10.40</w:t>
            </w:r>
          </w:p>
        </w:tc>
        <w:tc>
          <w:tcPr>
            <w:tcW w:w="10580" w:type="dxa"/>
            <w:vAlign w:val="bottom"/>
          </w:tcPr>
          <w:p>
            <w:pPr>
              <w:ind w:left="320"/>
              <w:spacing w:after="0"/>
              <w:rPr>
                <w:sz w:val="20"/>
                <w:szCs w:val="20"/>
                <w:color w:val="auto"/>
              </w:rPr>
            </w:pPr>
            <w:r>
              <w:rPr>
                <w:rFonts w:ascii="Arial" w:cs="Arial" w:eastAsia="Arial" w:hAnsi="Arial"/>
                <w:sz w:val="17"/>
                <w:szCs w:val="17"/>
                <w:color w:val="auto"/>
                <w:w w:val="90"/>
              </w:rPr>
              <w:t>Guaranty, dated February 1, 2013, issued by LSB Industries, Inc. in favor of International Bank of Commerce, which the Company hereby incorporates</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by reference from Exhibit 99.3 to the Company’s Form 8-K, filed February 7, 2013.</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10.41</w:t>
            </w:r>
          </w:p>
        </w:tc>
        <w:tc>
          <w:tcPr>
            <w:tcW w:w="10580" w:type="dxa"/>
            <w:vAlign w:val="bottom"/>
          </w:tcPr>
          <w:p>
            <w:pPr>
              <w:ind w:left="320"/>
              <w:spacing w:after="0"/>
              <w:rPr>
                <w:sz w:val="20"/>
                <w:szCs w:val="20"/>
                <w:color w:val="auto"/>
              </w:rPr>
            </w:pPr>
            <w:r>
              <w:rPr>
                <w:rFonts w:ascii="Arial" w:cs="Arial" w:eastAsia="Arial" w:hAnsi="Arial"/>
                <w:sz w:val="17"/>
                <w:szCs w:val="17"/>
                <w:color w:val="auto"/>
                <w:w w:val="96"/>
              </w:rPr>
              <w:t>Agreement by and among the Company and Starboard Value LP, and certain of its affiliates, dated April 3, 2014, which the Company hereby</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incorporates by reference from Exhibit 99.1 to the Company’s Form 8-K, filed April 4, 2014.</w:t>
            </w:r>
          </w:p>
        </w:tc>
      </w:tr>
      <w:tr>
        <w:trPr>
          <w:trHeight w:val="293"/>
        </w:trPr>
        <w:tc>
          <w:tcPr>
            <w:tcW w:w="680" w:type="dxa"/>
            <w:vAlign w:val="bottom"/>
          </w:tcPr>
          <w:p>
            <w:pPr>
              <w:jc w:val="right"/>
              <w:ind w:right="215"/>
              <w:spacing w:after="0"/>
              <w:rPr>
                <w:sz w:val="20"/>
                <w:szCs w:val="20"/>
                <w:color w:val="auto"/>
              </w:rPr>
            </w:pPr>
            <w:r>
              <w:rPr>
                <w:rFonts w:ascii="Arial" w:cs="Arial" w:eastAsia="Arial" w:hAnsi="Arial"/>
                <w:sz w:val="17"/>
                <w:szCs w:val="17"/>
                <w:color w:val="auto"/>
                <w:w w:val="84"/>
              </w:rPr>
              <w:t>10.42</w:t>
            </w:r>
          </w:p>
        </w:tc>
        <w:tc>
          <w:tcPr>
            <w:tcW w:w="10580" w:type="dxa"/>
            <w:vAlign w:val="bottom"/>
          </w:tcPr>
          <w:p>
            <w:pPr>
              <w:ind w:left="320"/>
              <w:spacing w:after="0"/>
              <w:rPr>
                <w:sz w:val="20"/>
                <w:szCs w:val="20"/>
                <w:color w:val="auto"/>
              </w:rPr>
            </w:pPr>
            <w:r>
              <w:rPr>
                <w:rFonts w:ascii="Arial" w:cs="Arial" w:eastAsia="Arial" w:hAnsi="Arial"/>
                <w:sz w:val="17"/>
                <w:szCs w:val="17"/>
                <w:color w:val="auto"/>
                <w:w w:val="91"/>
              </w:rPr>
              <w:t>Agreement by and among the Company and Engine Capital, L.P., Red Alder, LLC, and certain of their respective affiliates, dated April 3, 2014, which</w:t>
            </w:r>
          </w:p>
        </w:tc>
      </w:tr>
      <w:tr>
        <w:trPr>
          <w:trHeight w:val="215"/>
        </w:trPr>
        <w:tc>
          <w:tcPr>
            <w:tcW w:w="68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7"/>
                <w:szCs w:val="17"/>
                <w:color w:val="auto"/>
              </w:rPr>
              <w:t>the Company hereby incorporates by reference from Exhibit 99.2 to the Company’s Form 8-K, filed April 4, 2014.</w:t>
            </w:r>
          </w:p>
        </w:tc>
      </w:tr>
      <w:tr>
        <w:trPr>
          <w:trHeight w:val="343"/>
        </w:trPr>
        <w:tc>
          <w:tcPr>
            <w:tcW w:w="680" w:type="dxa"/>
            <w:vAlign w:val="bottom"/>
          </w:tcPr>
          <w:p>
            <w:pPr>
              <w:spacing w:after="0"/>
              <w:rPr>
                <w:sz w:val="24"/>
                <w:szCs w:val="24"/>
                <w:color w:val="auto"/>
              </w:rPr>
            </w:pPr>
          </w:p>
        </w:tc>
        <w:tc>
          <w:tcPr>
            <w:tcW w:w="10580" w:type="dxa"/>
            <w:vAlign w:val="bottom"/>
          </w:tcPr>
          <w:p>
            <w:pPr>
              <w:ind w:left="4900"/>
              <w:spacing w:after="0"/>
              <w:rPr>
                <w:sz w:val="20"/>
                <w:szCs w:val="20"/>
                <w:color w:val="auto"/>
              </w:rPr>
            </w:pPr>
            <w:r>
              <w:rPr>
                <w:rFonts w:ascii="Arial" w:cs="Arial" w:eastAsia="Arial" w:hAnsi="Arial"/>
                <w:sz w:val="17"/>
                <w:szCs w:val="17"/>
                <w:color w:val="auto"/>
              </w:rPr>
              <w:t>55</w:t>
            </w:r>
          </w:p>
        </w:tc>
      </w:tr>
    </w:tbl>
    <w:p>
      <w:pPr>
        <w:sectPr>
          <w:pgSz w:w="11900" w:h="16838" w:orient="portrait"/>
          <w:cols w:equalWidth="0" w:num="1">
            <w:col w:w="11300"/>
          </w:cols>
          <w:pgMar w:left="240" w:top="441" w:right="359" w:bottom="144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spacing w:after="0"/>
              <w:rPr>
                <w:rFonts w:ascii="Arial" w:cs="Arial" w:eastAsia="Arial" w:hAnsi="Arial"/>
                <w:sz w:val="17"/>
                <w:szCs w:val="17"/>
                <w:b w:val="1"/>
                <w:bCs w:val="1"/>
                <w:color w:val="0000EE"/>
                <w:w w:val="87"/>
              </w:rPr>
            </w:pPr>
            <w:hyperlink w:anchor="page3">
              <w:r>
                <w:rPr>
                  <w:rFonts w:ascii="Arial" w:cs="Arial" w:eastAsia="Arial" w:hAnsi="Arial"/>
                  <w:sz w:val="17"/>
                  <w:szCs w:val="17"/>
                  <w:b w:val="1"/>
                  <w:bCs w:val="1"/>
                  <w:color w:val="0000EE"/>
                  <w:w w:val="87"/>
                </w:rPr>
                <w:t>Table of Contents</w:t>
              </w:r>
            </w:hyperlink>
          </w:p>
        </w:tc>
        <w:tc>
          <w:tcPr>
            <w:tcW w:w="10120" w:type="dxa"/>
            <w:vAlign w:val="bottom"/>
          </w:tcPr>
          <w:p>
            <w:pPr>
              <w:spacing w:after="0"/>
              <w:rPr>
                <w:sz w:val="16"/>
                <w:szCs w:val="16"/>
                <w:color w:val="auto"/>
              </w:rPr>
            </w:pPr>
          </w:p>
        </w:tc>
      </w:tr>
      <w:tr>
        <w:trPr>
          <w:trHeight w:val="590"/>
        </w:trPr>
        <w:tc>
          <w:tcPr>
            <w:tcW w:w="1260" w:type="dxa"/>
            <w:vAlign w:val="bottom"/>
            <w:tcBorders>
              <w:top w:val="single" w:sz="8" w:color="0000EE"/>
            </w:tcBorders>
          </w:tcPr>
          <w:p>
            <w:pPr>
              <w:ind w:left="80"/>
              <w:spacing w:after="0"/>
              <w:rPr>
                <w:sz w:val="20"/>
                <w:szCs w:val="20"/>
                <w:color w:val="auto"/>
              </w:rPr>
            </w:pPr>
            <w:r>
              <w:rPr>
                <w:rFonts w:ascii="Arial" w:cs="Arial" w:eastAsia="Arial" w:hAnsi="Arial"/>
                <w:sz w:val="17"/>
                <w:szCs w:val="17"/>
                <w:color w:val="auto"/>
              </w:rPr>
              <w:t>10.43</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w w:val="90"/>
              </w:rPr>
              <w:t>Consent Decree, dated May 28, 2014, by and among, LSB Industries, Inc., El Dorado Chemical Co., Cherokee Nitrogen Co., Pryor Chemical Co., El</w:t>
            </w:r>
          </w:p>
        </w:tc>
      </w:tr>
      <w:tr>
        <w:trPr>
          <w:trHeight w:val="203"/>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w w:val="94"/>
              </w:rPr>
              <w:t>Dorado Nitrogen, L.P.; the U.S. Department of Justice, the U.S. Environmental Protection Agency, the Alabama Department of Environmental</w:t>
            </w:r>
          </w:p>
        </w:tc>
      </w:tr>
      <w:tr>
        <w:trPr>
          <w:trHeight w:val="203"/>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w w:val="91"/>
              </w:rPr>
              <w:t>Management, and the Oklahoma Department of Environment Quality which the Company hereby incorporates by reference from Exhibit 99.1 to the</w:t>
            </w:r>
          </w:p>
        </w:tc>
      </w:tr>
      <w:tr>
        <w:trPr>
          <w:trHeight w:val="215"/>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Company’s Form 8K, filed June 3, 2014.</w:t>
            </w:r>
          </w:p>
        </w:tc>
      </w:tr>
      <w:tr>
        <w:trPr>
          <w:trHeight w:val="305"/>
        </w:trPr>
        <w:tc>
          <w:tcPr>
            <w:tcW w:w="1260" w:type="dxa"/>
            <w:vAlign w:val="bottom"/>
          </w:tcPr>
          <w:p>
            <w:pPr>
              <w:ind w:left="80"/>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Calculation of Ratios of Earnings to Fixed Charges and Combined Fixed Charges and Preferred Stock Dividends.</w:t>
            </w:r>
          </w:p>
        </w:tc>
      </w:tr>
      <w:tr>
        <w:trPr>
          <w:trHeight w:val="305"/>
        </w:trPr>
        <w:tc>
          <w:tcPr>
            <w:tcW w:w="1260" w:type="dxa"/>
            <w:vAlign w:val="bottom"/>
          </w:tcPr>
          <w:p>
            <w:pPr>
              <w:ind w:left="80"/>
              <w:spacing w:after="0"/>
              <w:rPr>
                <w:sz w:val="20"/>
                <w:szCs w:val="20"/>
                <w:color w:val="auto"/>
              </w:rPr>
            </w:pPr>
            <w:r>
              <w:rPr>
                <w:rFonts w:ascii="Arial" w:cs="Arial" w:eastAsia="Arial" w:hAnsi="Arial"/>
                <w:sz w:val="17"/>
                <w:szCs w:val="17"/>
                <w:color w:val="auto"/>
              </w:rPr>
              <w:t>21.1</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Subsidiaries of the Company.</w:t>
            </w:r>
          </w:p>
        </w:tc>
      </w:tr>
      <w:tr>
        <w:trPr>
          <w:trHeight w:val="305"/>
        </w:trPr>
        <w:tc>
          <w:tcPr>
            <w:tcW w:w="1260" w:type="dxa"/>
            <w:vAlign w:val="bottom"/>
          </w:tcPr>
          <w:p>
            <w:pPr>
              <w:ind w:left="80"/>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305"/>
        </w:trPr>
        <w:tc>
          <w:tcPr>
            <w:tcW w:w="1260" w:type="dxa"/>
            <w:vAlign w:val="bottom"/>
          </w:tcPr>
          <w:p>
            <w:pPr>
              <w:ind w:left="80"/>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Certification of Barry H. Golsen, Chief Executive Officer, pursuant to Sarbanes-Oxley Act of 2002, Section 302.</w:t>
            </w:r>
          </w:p>
        </w:tc>
      </w:tr>
      <w:tr>
        <w:trPr>
          <w:trHeight w:val="305"/>
        </w:trPr>
        <w:tc>
          <w:tcPr>
            <w:tcW w:w="1260" w:type="dxa"/>
            <w:vAlign w:val="bottom"/>
          </w:tcPr>
          <w:p>
            <w:pPr>
              <w:ind w:left="80"/>
              <w:spacing w:after="0"/>
              <w:rPr>
                <w:sz w:val="20"/>
                <w:szCs w:val="20"/>
                <w:color w:val="auto"/>
              </w:rPr>
            </w:pPr>
            <w:r>
              <w:rPr>
                <w:rFonts w:ascii="Arial" w:cs="Arial" w:eastAsia="Arial" w:hAnsi="Arial"/>
                <w:sz w:val="17"/>
                <w:szCs w:val="17"/>
                <w:color w:val="auto"/>
              </w:rPr>
              <w:t>31.2</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Certification of Tony M. Shelby, Chief Financial Officer, pursuant to Sarbanes-Oxley Act of 2002, Section 302.</w:t>
            </w:r>
          </w:p>
        </w:tc>
      </w:tr>
      <w:tr>
        <w:trPr>
          <w:trHeight w:val="305"/>
        </w:trPr>
        <w:tc>
          <w:tcPr>
            <w:tcW w:w="1260" w:type="dxa"/>
            <w:vAlign w:val="bottom"/>
          </w:tcPr>
          <w:p>
            <w:pPr>
              <w:ind w:left="80"/>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Certification of Barry H. Golsen, Chief Executive Officer, furnished pursuant to Sarbanes-Oxley Act of 2002, Section 906.</w:t>
            </w:r>
          </w:p>
        </w:tc>
      </w:tr>
      <w:tr>
        <w:trPr>
          <w:trHeight w:val="305"/>
        </w:trPr>
        <w:tc>
          <w:tcPr>
            <w:tcW w:w="1260" w:type="dxa"/>
            <w:vAlign w:val="bottom"/>
          </w:tcPr>
          <w:p>
            <w:pPr>
              <w:ind w:left="80"/>
              <w:spacing w:after="0"/>
              <w:rPr>
                <w:sz w:val="20"/>
                <w:szCs w:val="20"/>
                <w:color w:val="auto"/>
              </w:rPr>
            </w:pPr>
            <w:r>
              <w:rPr>
                <w:rFonts w:ascii="Arial" w:cs="Arial" w:eastAsia="Arial" w:hAnsi="Arial"/>
                <w:sz w:val="17"/>
                <w:szCs w:val="17"/>
                <w:color w:val="auto"/>
              </w:rPr>
              <w:t>32.2</w:t>
            </w:r>
          </w:p>
        </w:tc>
        <w:tc>
          <w:tcPr>
            <w:tcW w:w="2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Arial" w:cs="Arial" w:eastAsia="Arial" w:hAnsi="Arial"/>
                <w:sz w:val="17"/>
                <w:szCs w:val="17"/>
                <w:color w:val="auto"/>
              </w:rPr>
              <w:t>Certification of Tony M. Shelby, Chief Financial Officer, furnished pursuant to Sarbanes-Oxley Act of 2002, Section 906.</w:t>
            </w:r>
          </w:p>
        </w:tc>
      </w:tr>
      <w:tr>
        <w:trPr>
          <w:trHeight w:val="305"/>
        </w:trPr>
        <w:tc>
          <w:tcPr>
            <w:tcW w:w="1280" w:type="dxa"/>
            <w:vAlign w:val="bottom"/>
            <w:gridSpan w:val="2"/>
          </w:tcPr>
          <w:p>
            <w:pPr>
              <w:spacing w:after="0"/>
              <w:rPr>
                <w:sz w:val="20"/>
                <w:szCs w:val="20"/>
                <w:color w:val="auto"/>
              </w:rPr>
            </w:pPr>
            <w:r>
              <w:rPr>
                <w:rFonts w:ascii="Arial" w:cs="Arial" w:eastAsia="Arial" w:hAnsi="Arial"/>
                <w:sz w:val="17"/>
                <w:szCs w:val="17"/>
                <w:color w:val="auto"/>
              </w:rPr>
              <w:t>101.INS</w:t>
            </w:r>
          </w:p>
        </w:tc>
        <w:tc>
          <w:tcPr>
            <w:tcW w:w="10120" w:type="dxa"/>
            <w:vAlign w:val="bottom"/>
          </w:tcPr>
          <w:p>
            <w:pPr>
              <w:ind w:left="20"/>
              <w:spacing w:after="0"/>
              <w:rPr>
                <w:sz w:val="20"/>
                <w:szCs w:val="20"/>
                <w:color w:val="auto"/>
              </w:rPr>
            </w:pPr>
            <w:r>
              <w:rPr>
                <w:rFonts w:ascii="Arial" w:cs="Arial" w:eastAsia="Arial" w:hAnsi="Arial"/>
                <w:sz w:val="17"/>
                <w:szCs w:val="17"/>
                <w:color w:val="auto"/>
              </w:rPr>
              <w:t>XBRL Instance Document</w:t>
            </w:r>
          </w:p>
        </w:tc>
      </w:tr>
      <w:tr>
        <w:trPr>
          <w:trHeight w:val="305"/>
        </w:trPr>
        <w:tc>
          <w:tcPr>
            <w:tcW w:w="1280" w:type="dxa"/>
            <w:vAlign w:val="bottom"/>
            <w:gridSpan w:val="2"/>
          </w:tcPr>
          <w:p>
            <w:pPr>
              <w:spacing w:after="0"/>
              <w:rPr>
                <w:sz w:val="20"/>
                <w:szCs w:val="20"/>
                <w:color w:val="auto"/>
              </w:rPr>
            </w:pPr>
            <w:r>
              <w:rPr>
                <w:rFonts w:ascii="Arial" w:cs="Arial" w:eastAsia="Arial" w:hAnsi="Arial"/>
                <w:sz w:val="17"/>
                <w:szCs w:val="17"/>
                <w:color w:val="auto"/>
              </w:rPr>
              <w:t>101.SCH</w:t>
            </w:r>
          </w:p>
        </w:tc>
        <w:tc>
          <w:tcPr>
            <w:tcW w:w="10120" w:type="dxa"/>
            <w:vAlign w:val="bottom"/>
          </w:tcPr>
          <w:p>
            <w:pPr>
              <w:ind w:left="20"/>
              <w:spacing w:after="0"/>
              <w:rPr>
                <w:sz w:val="20"/>
                <w:szCs w:val="20"/>
                <w:color w:val="auto"/>
              </w:rPr>
            </w:pPr>
            <w:r>
              <w:rPr>
                <w:rFonts w:ascii="Arial" w:cs="Arial" w:eastAsia="Arial" w:hAnsi="Arial"/>
                <w:sz w:val="17"/>
                <w:szCs w:val="17"/>
                <w:color w:val="auto"/>
              </w:rPr>
              <w:t>XBRL Taxonomy Extension Schema Document</w:t>
            </w:r>
          </w:p>
        </w:tc>
      </w:tr>
      <w:tr>
        <w:trPr>
          <w:trHeight w:val="305"/>
        </w:trPr>
        <w:tc>
          <w:tcPr>
            <w:tcW w:w="1280" w:type="dxa"/>
            <w:vAlign w:val="bottom"/>
            <w:gridSpan w:val="2"/>
          </w:tcPr>
          <w:p>
            <w:pPr>
              <w:spacing w:after="0"/>
              <w:rPr>
                <w:sz w:val="20"/>
                <w:szCs w:val="20"/>
                <w:color w:val="auto"/>
              </w:rPr>
            </w:pPr>
            <w:r>
              <w:rPr>
                <w:rFonts w:ascii="Arial" w:cs="Arial" w:eastAsia="Arial" w:hAnsi="Arial"/>
                <w:sz w:val="17"/>
                <w:szCs w:val="17"/>
                <w:color w:val="auto"/>
              </w:rPr>
              <w:t>101.CAL</w:t>
            </w:r>
          </w:p>
        </w:tc>
        <w:tc>
          <w:tcPr>
            <w:tcW w:w="10120" w:type="dxa"/>
            <w:vAlign w:val="bottom"/>
          </w:tcPr>
          <w:p>
            <w:pPr>
              <w:ind w:left="20"/>
              <w:spacing w:after="0"/>
              <w:rPr>
                <w:sz w:val="20"/>
                <w:szCs w:val="20"/>
                <w:color w:val="auto"/>
              </w:rPr>
            </w:pPr>
            <w:r>
              <w:rPr>
                <w:rFonts w:ascii="Arial" w:cs="Arial" w:eastAsia="Arial" w:hAnsi="Arial"/>
                <w:sz w:val="17"/>
                <w:szCs w:val="17"/>
                <w:color w:val="auto"/>
              </w:rPr>
              <w:t>XBRL Taxonomy Extension Calculation Linkbase Document</w:t>
            </w:r>
          </w:p>
        </w:tc>
      </w:tr>
      <w:tr>
        <w:trPr>
          <w:trHeight w:val="305"/>
        </w:trPr>
        <w:tc>
          <w:tcPr>
            <w:tcW w:w="1280" w:type="dxa"/>
            <w:vAlign w:val="bottom"/>
            <w:gridSpan w:val="2"/>
          </w:tcPr>
          <w:p>
            <w:pPr>
              <w:spacing w:after="0"/>
              <w:rPr>
                <w:sz w:val="20"/>
                <w:szCs w:val="20"/>
                <w:color w:val="auto"/>
              </w:rPr>
            </w:pPr>
            <w:r>
              <w:rPr>
                <w:rFonts w:ascii="Arial" w:cs="Arial" w:eastAsia="Arial" w:hAnsi="Arial"/>
                <w:sz w:val="17"/>
                <w:szCs w:val="17"/>
                <w:color w:val="auto"/>
              </w:rPr>
              <w:t>101.DEF</w:t>
            </w:r>
          </w:p>
        </w:tc>
        <w:tc>
          <w:tcPr>
            <w:tcW w:w="10120" w:type="dxa"/>
            <w:vAlign w:val="bottom"/>
          </w:tcPr>
          <w:p>
            <w:pPr>
              <w:ind w:left="20"/>
              <w:spacing w:after="0"/>
              <w:rPr>
                <w:sz w:val="20"/>
                <w:szCs w:val="20"/>
                <w:color w:val="auto"/>
              </w:rPr>
            </w:pPr>
            <w:r>
              <w:rPr>
                <w:rFonts w:ascii="Arial" w:cs="Arial" w:eastAsia="Arial" w:hAnsi="Arial"/>
                <w:sz w:val="17"/>
                <w:szCs w:val="17"/>
                <w:color w:val="auto"/>
              </w:rPr>
              <w:t>XBRL Taxonomy Extension Definition Linkbase Document</w:t>
            </w:r>
          </w:p>
        </w:tc>
      </w:tr>
      <w:tr>
        <w:trPr>
          <w:trHeight w:val="305"/>
        </w:trPr>
        <w:tc>
          <w:tcPr>
            <w:tcW w:w="1280" w:type="dxa"/>
            <w:vAlign w:val="bottom"/>
            <w:gridSpan w:val="2"/>
          </w:tcPr>
          <w:p>
            <w:pPr>
              <w:spacing w:after="0"/>
              <w:rPr>
                <w:sz w:val="20"/>
                <w:szCs w:val="20"/>
                <w:color w:val="auto"/>
              </w:rPr>
            </w:pPr>
            <w:r>
              <w:rPr>
                <w:rFonts w:ascii="Arial" w:cs="Arial" w:eastAsia="Arial" w:hAnsi="Arial"/>
                <w:sz w:val="17"/>
                <w:szCs w:val="17"/>
                <w:color w:val="auto"/>
              </w:rPr>
              <w:t>101.LAB</w:t>
            </w:r>
          </w:p>
        </w:tc>
        <w:tc>
          <w:tcPr>
            <w:tcW w:w="10120" w:type="dxa"/>
            <w:vAlign w:val="bottom"/>
          </w:tcPr>
          <w:p>
            <w:pPr>
              <w:ind w:left="20"/>
              <w:spacing w:after="0"/>
              <w:rPr>
                <w:sz w:val="20"/>
                <w:szCs w:val="20"/>
                <w:color w:val="auto"/>
              </w:rPr>
            </w:pPr>
            <w:r>
              <w:rPr>
                <w:rFonts w:ascii="Arial" w:cs="Arial" w:eastAsia="Arial" w:hAnsi="Arial"/>
                <w:sz w:val="17"/>
                <w:szCs w:val="17"/>
                <w:color w:val="auto"/>
              </w:rPr>
              <w:t>XBRL Taxonomy Extension Labels Linkbase Document</w:t>
            </w:r>
          </w:p>
        </w:tc>
      </w:tr>
      <w:tr>
        <w:trPr>
          <w:trHeight w:val="305"/>
        </w:trPr>
        <w:tc>
          <w:tcPr>
            <w:tcW w:w="1280" w:type="dxa"/>
            <w:vAlign w:val="bottom"/>
            <w:gridSpan w:val="2"/>
          </w:tcPr>
          <w:p>
            <w:pPr>
              <w:spacing w:after="0"/>
              <w:rPr>
                <w:sz w:val="20"/>
                <w:szCs w:val="20"/>
                <w:color w:val="auto"/>
              </w:rPr>
            </w:pPr>
            <w:r>
              <w:rPr>
                <w:rFonts w:ascii="Arial" w:cs="Arial" w:eastAsia="Arial" w:hAnsi="Arial"/>
                <w:sz w:val="17"/>
                <w:szCs w:val="17"/>
                <w:color w:val="auto"/>
              </w:rPr>
              <w:t>101.PRE</w:t>
            </w:r>
          </w:p>
        </w:tc>
        <w:tc>
          <w:tcPr>
            <w:tcW w:w="10120" w:type="dxa"/>
            <w:vAlign w:val="bottom"/>
          </w:tcPr>
          <w:p>
            <w:pPr>
              <w:ind w:left="2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343"/>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7"/>
                <w:szCs w:val="17"/>
                <w:color w:val="auto"/>
              </w:rPr>
              <w:t>56</w:t>
            </w:r>
          </w:p>
        </w:tc>
      </w:tr>
    </w:tbl>
    <w:p>
      <w:pPr>
        <w:sectPr>
          <w:pgSz w:w="11900" w:h="16838" w:orient="portrait"/>
          <w:cols w:equalWidth="0" w:num="1">
            <w:col w:w="11400"/>
          </w:cols>
          <w:pgMar w:left="240" w:top="427" w:right="2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7"/>
                <w:szCs w:val="17"/>
                <w:color w:val="auto"/>
              </w:rPr>
              <w:t>Dated:</w:t>
            </w:r>
          </w:p>
        </w:tc>
        <w:tc>
          <w:tcPr>
            <w:tcW w:w="7820" w:type="dxa"/>
            <w:vAlign w:val="bottom"/>
            <w:gridSpan w:val="2"/>
          </w:tcPr>
          <w:p>
            <w:pPr>
              <w:ind w:left="2340"/>
              <w:spacing w:after="0"/>
              <w:rPr>
                <w:sz w:val="20"/>
                <w:szCs w:val="20"/>
                <w:color w:val="auto"/>
              </w:rPr>
            </w:pPr>
            <w:r>
              <w:rPr>
                <w:rFonts w:ascii="Arial" w:cs="Arial" w:eastAsia="Arial" w:hAnsi="Arial"/>
                <w:sz w:val="17"/>
                <w:szCs w:val="17"/>
                <w:color w:val="auto"/>
              </w:rPr>
              <w:t>By:  /s/ Barry H. Golsen</w:t>
            </w:r>
          </w:p>
        </w:tc>
      </w:tr>
      <w:tr>
        <w:trPr>
          <w:trHeight w:val="208"/>
        </w:trPr>
        <w:tc>
          <w:tcPr>
            <w:tcW w:w="3600" w:type="dxa"/>
            <w:vAlign w:val="bottom"/>
          </w:tcPr>
          <w:p>
            <w:pPr>
              <w:spacing w:after="0"/>
              <w:rPr>
                <w:sz w:val="20"/>
                <w:szCs w:val="20"/>
                <w:color w:val="auto"/>
              </w:rPr>
            </w:pPr>
            <w:r>
              <w:rPr>
                <w:rFonts w:ascii="Arial" w:cs="Arial" w:eastAsia="Arial" w:hAnsi="Arial"/>
                <w:sz w:val="17"/>
                <w:szCs w:val="17"/>
                <w:color w:val="auto"/>
              </w:rPr>
              <w:t>February 27, 2015</w:t>
            </w:r>
          </w:p>
        </w:tc>
        <w:tc>
          <w:tcPr>
            <w:tcW w:w="270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Barry H. Golsen, President and Chief Executive Officer</w:t>
            </w:r>
          </w:p>
        </w:tc>
      </w:tr>
    </w:tbl>
    <w:p>
      <w:pPr>
        <w:spacing w:after="0" w:line="192" w:lineRule="exact"/>
        <w:rPr>
          <w:sz w:val="20"/>
          <w:szCs w:val="20"/>
          <w:color w:val="auto"/>
        </w:rPr>
      </w:pPr>
    </w:p>
    <w:p>
      <w:pPr>
        <w:ind w:right="720"/>
        <w:spacing w:after="0" w:line="273"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20"/>
          </w:cols>
          <w:pgMar w:left="240" w:top="441" w:right="2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2015</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Barry H. Golsen, President and Chief Executive Officer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(Principal Executive Officer) and Director</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Tony M. Shelby, Executive Vice President of Finance,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Chief Financial Officer (Principal Financial Officer)</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Harold L. Rieker Jr., Vice President and Corporate Controller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(Principal Accounting Officer)</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jc w:val="right"/>
        <w:ind w:right="900"/>
        <w:spacing w:after="0"/>
        <w:rPr>
          <w:sz w:val="20"/>
          <w:szCs w:val="20"/>
          <w:color w:val="auto"/>
        </w:rPr>
      </w:pPr>
      <w:r>
        <w:rPr>
          <w:rFonts w:ascii="Arial" w:cs="Arial" w:eastAsia="Arial" w:hAnsi="Arial"/>
          <w:sz w:val="17"/>
          <w:szCs w:val="17"/>
          <w:color w:val="auto"/>
        </w:rPr>
        <w:t>Jack E. Golsen, Executive Chairman of the Board of Directors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Webster L. Benham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Webster L. Benham, Director</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Charles A. Burtch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Charles A. Burtch, Director</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Robert A. Butkin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Robert A. Butkin, Director</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Daniel D. Greenwell, Director</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Robert H.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Robert H. Henry, Director</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Gail P. Lapidus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Gail P. Lapidus, Director</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William F. Murdy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William F. Murdy, Director</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/s/ Richard S. Sanders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12700</wp:posOffset>
            </wp:positionV>
            <wp:extent cx="32600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Richard S. Sanders Jr., Director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ectPr>
          <w:pgSz w:w="11900" w:h="16838" w:orient="portrait"/>
          <w:cols w:equalWidth="0" w:num="2">
            <w:col w:w="4900" w:space="720"/>
            <w:col w:w="5800"/>
          </w:cols>
          <w:pgMar w:left="240" w:top="441" w:right="239" w:bottom="1440" w:gutter="0" w:footer="0" w:header="0"/>
          <w:type w:val="continuous"/>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80" w:type="dxa"/>
            <w:vAlign w:val="bottom"/>
            <w:gridSpan w:val="3"/>
          </w:tcPr>
          <w:p>
            <w:pPr>
              <w:jc w:val="center"/>
              <w:ind w:right="3960"/>
              <w:spacing w:after="0"/>
              <w:rPr>
                <w:sz w:val="20"/>
                <w:szCs w:val="20"/>
                <w:color w:val="auto"/>
              </w:rPr>
            </w:pPr>
            <w:r>
              <w:rPr>
                <w:rFonts w:ascii="Arial" w:cs="Arial" w:eastAsia="Arial" w:hAnsi="Arial"/>
                <w:sz w:val="17"/>
                <w:szCs w:val="17"/>
                <w:color w:val="auto"/>
                <w:w w:val="92"/>
              </w:rPr>
              <w:t>LSB Industries, Inc.</w:t>
            </w:r>
          </w:p>
        </w:tc>
        <w:tc>
          <w:tcPr>
            <w:tcW w:w="0" w:type="dxa"/>
            <w:vAlign w:val="bottom"/>
          </w:tcPr>
          <w:p>
            <w:pPr>
              <w:spacing w:after="0"/>
              <w:rPr>
                <w:sz w:val="1"/>
                <w:szCs w:val="1"/>
                <w:color w:val="auto"/>
              </w:rPr>
            </w:pPr>
          </w:p>
        </w:tc>
      </w:tr>
      <w:tr>
        <w:trPr>
          <w:trHeight w:val="395"/>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80" w:type="dxa"/>
            <w:vAlign w:val="bottom"/>
            <w:gridSpan w:val="3"/>
          </w:tcPr>
          <w:p>
            <w:pPr>
              <w:jc w:val="center"/>
              <w:ind w:right="3960"/>
              <w:spacing w:after="0"/>
              <w:rPr>
                <w:sz w:val="20"/>
                <w:szCs w:val="20"/>
                <w:color w:val="auto"/>
              </w:rPr>
            </w:pPr>
            <w:r>
              <w:rPr>
                <w:rFonts w:ascii="Arial" w:cs="Arial" w:eastAsia="Arial" w:hAnsi="Arial"/>
                <w:sz w:val="17"/>
                <w:szCs w:val="17"/>
                <w:color w:val="auto"/>
                <w:w w:val="89"/>
              </w:rPr>
              <w:t>Consolidated Financial Statements</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gridSpan w:val="3"/>
          </w:tcPr>
          <w:p>
            <w:pPr>
              <w:jc w:val="center"/>
              <w:ind w:right="3960"/>
              <w:spacing w:after="0"/>
              <w:rPr>
                <w:sz w:val="20"/>
                <w:szCs w:val="20"/>
                <w:color w:val="auto"/>
              </w:rPr>
            </w:pPr>
            <w:r>
              <w:rPr>
                <w:rFonts w:ascii="Arial" w:cs="Arial" w:eastAsia="Arial" w:hAnsi="Arial"/>
                <w:sz w:val="17"/>
                <w:szCs w:val="17"/>
                <w:color w:val="auto"/>
                <w:w w:val="93"/>
              </w:rPr>
              <w:t>And Schedule for Inclusion in Form 10-K</w:t>
            </w: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80" w:type="dxa"/>
            <w:vAlign w:val="bottom"/>
            <w:gridSpan w:val="3"/>
          </w:tcPr>
          <w:p>
            <w:pPr>
              <w:jc w:val="center"/>
              <w:ind w:right="3980"/>
              <w:spacing w:after="0"/>
              <w:rPr>
                <w:sz w:val="20"/>
                <w:szCs w:val="20"/>
                <w:color w:val="auto"/>
              </w:rPr>
            </w:pPr>
            <w:r>
              <w:rPr>
                <w:rFonts w:ascii="Arial" w:cs="Arial" w:eastAsia="Arial" w:hAnsi="Arial"/>
                <w:sz w:val="17"/>
                <w:szCs w:val="17"/>
                <w:color w:val="auto"/>
                <w:w w:val="88"/>
              </w:rPr>
              <w:t>For the Fiscal Year ended December 31, 2014</w:t>
            </w:r>
          </w:p>
        </w:tc>
        <w:tc>
          <w:tcPr>
            <w:tcW w:w="0" w:type="dxa"/>
            <w:vAlign w:val="bottom"/>
          </w:tcPr>
          <w:p>
            <w:pPr>
              <w:spacing w:after="0"/>
              <w:rPr>
                <w:sz w:val="1"/>
                <w:szCs w:val="1"/>
                <w:color w:val="auto"/>
              </w:rPr>
            </w:pPr>
          </w:p>
        </w:tc>
      </w:tr>
      <w:tr>
        <w:trPr>
          <w:trHeight w:val="407"/>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80" w:type="dxa"/>
            <w:vAlign w:val="bottom"/>
            <w:gridSpan w:val="3"/>
          </w:tcPr>
          <w:p>
            <w:pPr>
              <w:jc w:val="center"/>
              <w:ind w:right="3960"/>
              <w:spacing w:after="0"/>
              <w:rPr>
                <w:sz w:val="20"/>
                <w:szCs w:val="20"/>
                <w:color w:val="auto"/>
              </w:rPr>
            </w:pPr>
            <w:r>
              <w:rPr>
                <w:rFonts w:ascii="Arial" w:cs="Arial" w:eastAsia="Arial" w:hAnsi="Arial"/>
                <w:sz w:val="17"/>
                <w:szCs w:val="17"/>
                <w:color w:val="auto"/>
                <w:w w:val="89"/>
              </w:rPr>
              <w:t>Table of Contents</w:t>
            </w:r>
          </w:p>
        </w:tc>
        <w:tc>
          <w:tcPr>
            <w:tcW w:w="0" w:type="dxa"/>
            <w:vAlign w:val="bottom"/>
          </w:tcPr>
          <w:p>
            <w:pPr>
              <w:spacing w:after="0"/>
              <w:rPr>
                <w:sz w:val="1"/>
                <w:szCs w:val="1"/>
                <w:color w:val="auto"/>
              </w:rPr>
            </w:pPr>
          </w:p>
        </w:tc>
      </w:tr>
      <w:tr>
        <w:trPr>
          <w:trHeight w:val="382"/>
        </w:trPr>
        <w:tc>
          <w:tcPr>
            <w:tcW w:w="1420" w:type="dxa"/>
            <w:vAlign w:val="bottom"/>
            <w:vMerge w:val="restart"/>
          </w:tcPr>
          <w:p>
            <w:pPr>
              <w:spacing w:after="0"/>
              <w:rPr>
                <w:sz w:val="20"/>
                <w:szCs w:val="20"/>
                <w:color w:val="auto"/>
              </w:rPr>
            </w:pPr>
            <w:r>
              <w:rPr>
                <w:rFonts w:ascii="Arial" w:cs="Arial" w:eastAsia="Arial" w:hAnsi="Arial"/>
                <w:sz w:val="17"/>
                <w:szCs w:val="17"/>
                <w:color w:val="auto"/>
                <w:w w:val="88"/>
              </w:rPr>
              <w:t>Financial Statements</w:t>
            </w:r>
          </w:p>
        </w:tc>
        <w:tc>
          <w:tcPr>
            <w:tcW w:w="2640" w:type="dxa"/>
            <w:vAlign w:val="bottom"/>
            <w:gridSpan w:val="9"/>
            <w:vMerge w:val="restart"/>
          </w:tcPr>
          <w:p>
            <w:pPr>
              <w:spacing w:after="0"/>
              <w:rPr>
                <w:sz w:val="24"/>
                <w:szCs w:val="24"/>
                <w:color w:val="auto"/>
              </w:rPr>
            </w:pPr>
          </w:p>
        </w:tc>
        <w:tc>
          <w:tcPr>
            <w:tcW w:w="6900" w:type="dxa"/>
            <w:vAlign w:val="bottom"/>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50"/>
        </w:trPr>
        <w:tc>
          <w:tcPr>
            <w:tcW w:w="1420" w:type="dxa"/>
            <w:vAlign w:val="bottom"/>
            <w:tcBorders>
              <w:bottom w:val="single" w:sz="8" w:color="auto"/>
            </w:tcBorders>
            <w:vMerge w:val="continue"/>
          </w:tcPr>
          <w:p>
            <w:pPr>
              <w:spacing w:after="0"/>
              <w:rPr>
                <w:sz w:val="12"/>
                <w:szCs w:val="12"/>
                <w:color w:val="auto"/>
              </w:rPr>
            </w:pPr>
          </w:p>
        </w:tc>
        <w:tc>
          <w:tcPr>
            <w:tcW w:w="2640" w:type="dxa"/>
            <w:vAlign w:val="bottom"/>
            <w:gridSpan w:val="9"/>
            <w:vMerge w:val="continue"/>
          </w:tcPr>
          <w:p>
            <w:pPr>
              <w:spacing w:after="0"/>
              <w:rPr>
                <w:sz w:val="12"/>
                <w:szCs w:val="12"/>
                <w:color w:val="auto"/>
              </w:rPr>
            </w:pPr>
          </w:p>
        </w:tc>
        <w:tc>
          <w:tcPr>
            <w:tcW w:w="6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3980" w:type="dxa"/>
            <w:vAlign w:val="bottom"/>
            <w:tcBorders>
              <w:bottom w:val="single" w:sz="8" w:color="0000EE"/>
            </w:tcBorders>
            <w:gridSpan w:val="9"/>
          </w:tcPr>
          <w:p>
            <w:pPr>
              <w:spacing w:after="0"/>
              <w:rPr>
                <w:rFonts w:ascii="Arial" w:cs="Arial" w:eastAsia="Arial" w:hAnsi="Arial"/>
                <w:sz w:val="17"/>
                <w:szCs w:val="17"/>
                <w:color w:val="0000EE"/>
                <w:w w:val="91"/>
              </w:rPr>
            </w:pPr>
            <w:hyperlink w:anchor="page64">
              <w:r>
                <w:rPr>
                  <w:rFonts w:ascii="Arial" w:cs="Arial" w:eastAsia="Arial" w:hAnsi="Arial"/>
                  <w:sz w:val="17"/>
                  <w:szCs w:val="17"/>
                  <w:color w:val="0000EE"/>
                  <w:w w:val="91"/>
                </w:rPr>
                <w:t>Report of Independent Registered Public Accounting Firm</w:t>
              </w:r>
            </w:hyperlink>
          </w:p>
        </w:tc>
        <w:tc>
          <w:tcPr>
            <w:tcW w:w="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2"/>
              </w:rPr>
              <w:t>F – 2</w:t>
            </w:r>
          </w:p>
        </w:tc>
        <w:tc>
          <w:tcPr>
            <w:tcW w:w="0" w:type="dxa"/>
            <w:vAlign w:val="bottom"/>
          </w:tcPr>
          <w:p>
            <w:pPr>
              <w:spacing w:after="0"/>
              <w:rPr>
                <w:sz w:val="1"/>
                <w:szCs w:val="1"/>
                <w:color w:val="auto"/>
              </w:rPr>
            </w:pPr>
          </w:p>
        </w:tc>
      </w:tr>
      <w:tr>
        <w:trPr>
          <w:trHeight w:val="285"/>
        </w:trPr>
        <w:tc>
          <w:tcPr>
            <w:tcW w:w="4060" w:type="dxa"/>
            <w:vAlign w:val="bottom"/>
            <w:gridSpan w:val="10"/>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Consolidated Balance Sheets</w:t>
              </w:r>
            </w:hyperlink>
          </w:p>
        </w:tc>
        <w:tc>
          <w:tcPr>
            <w:tcW w:w="69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2"/>
              </w:rPr>
              <w:t>F – 3</w:t>
            </w:r>
          </w:p>
        </w:tc>
        <w:tc>
          <w:tcPr>
            <w:tcW w:w="0" w:type="dxa"/>
            <w:vAlign w:val="bottom"/>
          </w:tcPr>
          <w:p>
            <w:pPr>
              <w:spacing w:after="0"/>
              <w:rPr>
                <w:sz w:val="1"/>
                <w:szCs w:val="1"/>
                <w:color w:val="auto"/>
              </w:rPr>
            </w:pPr>
          </w:p>
        </w:tc>
      </w:tr>
      <w:tr>
        <w:trPr>
          <w:trHeight w:val="20"/>
        </w:trPr>
        <w:tc>
          <w:tcPr>
            <w:tcW w:w="19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42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67">
              <w:r>
                <w:rPr>
                  <w:rFonts w:ascii="Arial" w:cs="Arial" w:eastAsia="Arial" w:hAnsi="Arial"/>
                  <w:sz w:val="17"/>
                  <w:szCs w:val="17"/>
                  <w:color w:val="0000EE"/>
                  <w:w w:val="89"/>
                </w:rPr>
                <w:t>Consolidated Statements of Income</w:t>
              </w:r>
            </w:hyperlink>
          </w:p>
        </w:tc>
        <w:tc>
          <w:tcPr>
            <w:tcW w:w="1640" w:type="dxa"/>
            <w:vAlign w:val="bottom"/>
            <w:gridSpan w:val="6"/>
          </w:tcPr>
          <w:p>
            <w:pPr>
              <w:spacing w:after="0"/>
              <w:rPr>
                <w:sz w:val="24"/>
                <w:szCs w:val="24"/>
                <w:color w:val="auto"/>
              </w:rPr>
            </w:pPr>
          </w:p>
        </w:tc>
        <w:tc>
          <w:tcPr>
            <w:tcW w:w="69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2"/>
              </w:rPr>
              <w:t>F – 5</w:t>
            </w:r>
          </w:p>
        </w:tc>
        <w:tc>
          <w:tcPr>
            <w:tcW w:w="0" w:type="dxa"/>
            <w:vAlign w:val="bottom"/>
          </w:tcPr>
          <w:p>
            <w:pPr>
              <w:spacing w:after="0"/>
              <w:rPr>
                <w:sz w:val="1"/>
                <w:szCs w:val="1"/>
                <w:color w:val="auto"/>
              </w:rPr>
            </w:pPr>
          </w:p>
        </w:tc>
      </w:tr>
      <w:tr>
        <w:trPr>
          <w:trHeight w:val="285"/>
        </w:trPr>
        <w:tc>
          <w:tcPr>
            <w:tcW w:w="4060" w:type="dxa"/>
            <w:vAlign w:val="bottom"/>
            <w:gridSpan w:val="10"/>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Consolidated Statements of Stockholders’ Equity</w:t>
              </w:r>
            </w:hyperlink>
          </w:p>
        </w:tc>
        <w:tc>
          <w:tcPr>
            <w:tcW w:w="69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2"/>
              </w:rPr>
              <w:t>F – 6</w:t>
            </w:r>
          </w:p>
        </w:tc>
        <w:tc>
          <w:tcPr>
            <w:tcW w:w="0" w:type="dxa"/>
            <w:vAlign w:val="bottom"/>
          </w:tcPr>
          <w:p>
            <w:pPr>
              <w:spacing w:after="0"/>
              <w:rPr>
                <w:sz w:val="1"/>
                <w:szCs w:val="1"/>
                <w:color w:val="auto"/>
              </w:rPr>
            </w:pPr>
          </w:p>
        </w:tc>
      </w:tr>
      <w:tr>
        <w:trPr>
          <w:trHeight w:val="285"/>
        </w:trPr>
        <w:tc>
          <w:tcPr>
            <w:tcW w:w="3340" w:type="dxa"/>
            <w:vAlign w:val="bottom"/>
            <w:tcBorders>
              <w:top w:val="single" w:sz="8" w:color="0000EE"/>
            </w:tcBorders>
            <w:gridSpan w:val="8"/>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Consolidated Statements of Cash Flows</w:t>
              </w:r>
            </w:hyperlink>
          </w:p>
        </w:tc>
        <w:tc>
          <w:tcPr>
            <w:tcW w:w="720" w:type="dxa"/>
            <w:vAlign w:val="bottom"/>
            <w:gridSpan w:val="2"/>
          </w:tcPr>
          <w:p>
            <w:pPr>
              <w:spacing w:after="0"/>
              <w:rPr>
                <w:sz w:val="24"/>
                <w:szCs w:val="24"/>
                <w:color w:val="auto"/>
              </w:rPr>
            </w:pPr>
          </w:p>
        </w:tc>
        <w:tc>
          <w:tcPr>
            <w:tcW w:w="69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2"/>
              </w:rPr>
              <w:t>F – 7</w:t>
            </w:r>
          </w:p>
        </w:tc>
        <w:tc>
          <w:tcPr>
            <w:tcW w:w="0" w:type="dxa"/>
            <w:vAlign w:val="bottom"/>
          </w:tcPr>
          <w:p>
            <w:pPr>
              <w:spacing w:after="0"/>
              <w:rPr>
                <w:sz w:val="1"/>
                <w:szCs w:val="1"/>
                <w:color w:val="auto"/>
              </w:rPr>
            </w:pPr>
          </w:p>
        </w:tc>
      </w:tr>
      <w:tr>
        <w:trPr>
          <w:trHeight w:val="20"/>
        </w:trPr>
        <w:tc>
          <w:tcPr>
            <w:tcW w:w="20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060" w:type="dxa"/>
            <w:vAlign w:val="bottom"/>
            <w:gridSpan w:val="10"/>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Notes to Consolidated Financial Statements</w:t>
              </w:r>
            </w:hyperlink>
          </w:p>
        </w:tc>
        <w:tc>
          <w:tcPr>
            <w:tcW w:w="69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2"/>
              </w:rPr>
              <w:t>F – 9</w:t>
            </w:r>
          </w:p>
        </w:tc>
        <w:tc>
          <w:tcPr>
            <w:tcW w:w="0" w:type="dxa"/>
            <w:vAlign w:val="bottom"/>
          </w:tcPr>
          <w:p>
            <w:pPr>
              <w:spacing w:after="0"/>
              <w:rPr>
                <w:sz w:val="1"/>
                <w:szCs w:val="1"/>
                <w:color w:val="auto"/>
              </w:rPr>
            </w:pPr>
          </w:p>
        </w:tc>
      </w:tr>
      <w:tr>
        <w:trPr>
          <w:trHeight w:val="285"/>
        </w:trPr>
        <w:tc>
          <w:tcPr>
            <w:tcW w:w="2960" w:type="dxa"/>
            <w:vAlign w:val="bottom"/>
            <w:tcBorders>
              <w:top w:val="single" w:sz="8" w:color="0000EE"/>
            </w:tcBorders>
            <w:gridSpan w:val="7"/>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Quarterly Financial Data (Unaudited)</w:t>
              </w:r>
            </w:hyperlink>
          </w:p>
        </w:tc>
        <w:tc>
          <w:tcPr>
            <w:tcW w:w="1100" w:type="dxa"/>
            <w:vAlign w:val="bottom"/>
            <w:gridSpan w:val="3"/>
          </w:tcPr>
          <w:p>
            <w:pPr>
              <w:spacing w:after="0"/>
              <w:rPr>
                <w:sz w:val="24"/>
                <w:szCs w:val="24"/>
                <w:color w:val="auto"/>
              </w:rPr>
            </w:pPr>
          </w:p>
        </w:tc>
        <w:tc>
          <w:tcPr>
            <w:tcW w:w="7280" w:type="dxa"/>
            <w:vAlign w:val="bottom"/>
            <w:gridSpan w:val="3"/>
          </w:tcPr>
          <w:p>
            <w:pPr>
              <w:jc w:val="right"/>
              <w:spacing w:after="0"/>
              <w:rPr>
                <w:sz w:val="20"/>
                <w:szCs w:val="20"/>
                <w:color w:val="auto"/>
              </w:rPr>
            </w:pPr>
            <w:r>
              <w:rPr>
                <w:rFonts w:ascii="Arial" w:cs="Arial" w:eastAsia="Arial" w:hAnsi="Arial"/>
                <w:sz w:val="17"/>
                <w:szCs w:val="17"/>
                <w:color w:val="auto"/>
              </w:rPr>
              <w:t>F – 47</w:t>
            </w:r>
          </w:p>
        </w:tc>
        <w:tc>
          <w:tcPr>
            <w:tcW w:w="0" w:type="dxa"/>
            <w:vAlign w:val="bottom"/>
          </w:tcPr>
          <w:p>
            <w:pPr>
              <w:spacing w:after="0"/>
              <w:rPr>
                <w:sz w:val="1"/>
                <w:szCs w:val="1"/>
                <w:color w:val="auto"/>
              </w:rPr>
            </w:pPr>
          </w:p>
        </w:tc>
      </w:tr>
      <w:tr>
        <w:trPr>
          <w:trHeight w:val="285"/>
        </w:trPr>
        <w:tc>
          <w:tcPr>
            <w:tcW w:w="2020" w:type="dxa"/>
            <w:vAlign w:val="bottom"/>
            <w:tcBorders>
              <w:top w:val="single" w:sz="8" w:color="0000EE"/>
              <w:bottom w:val="single" w:sz="8" w:color="auto"/>
            </w:tcBorders>
            <w:gridSpan w:val="3"/>
          </w:tcPr>
          <w:p>
            <w:pPr>
              <w:spacing w:after="0"/>
              <w:rPr>
                <w:sz w:val="20"/>
                <w:szCs w:val="20"/>
                <w:color w:val="auto"/>
              </w:rPr>
            </w:pPr>
            <w:r>
              <w:rPr>
                <w:rFonts w:ascii="Arial" w:cs="Arial" w:eastAsia="Arial" w:hAnsi="Arial"/>
                <w:sz w:val="17"/>
                <w:szCs w:val="17"/>
                <w:color w:val="auto"/>
                <w:w w:val="88"/>
              </w:rPr>
              <w:t>Financial Statement Schedule</w:t>
            </w:r>
          </w:p>
        </w:tc>
        <w:tc>
          <w:tcPr>
            <w:tcW w:w="520" w:type="dxa"/>
            <w:vAlign w:val="bottom"/>
            <w:tcBorders>
              <w:top w:val="single" w:sz="8" w:color="0000EE"/>
            </w:tcBorders>
            <w:gridSpan w:val="2"/>
          </w:tcPr>
          <w:p>
            <w:pPr>
              <w:spacing w:after="0"/>
              <w:rPr>
                <w:sz w:val="24"/>
                <w:szCs w:val="24"/>
                <w:color w:val="auto"/>
              </w:rPr>
            </w:pPr>
          </w:p>
        </w:tc>
        <w:tc>
          <w:tcPr>
            <w:tcW w:w="1520" w:type="dxa"/>
            <w:vAlign w:val="bottom"/>
            <w:gridSpan w:val="5"/>
          </w:tcPr>
          <w:p>
            <w:pPr>
              <w:spacing w:after="0"/>
              <w:rPr>
                <w:sz w:val="24"/>
                <w:szCs w:val="24"/>
                <w:color w:val="auto"/>
              </w:rPr>
            </w:pPr>
          </w:p>
        </w:tc>
        <w:tc>
          <w:tcPr>
            <w:tcW w:w="6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60" w:type="dxa"/>
            <w:vAlign w:val="bottom"/>
            <w:gridSpan w:val="10"/>
          </w:tcPr>
          <w:p>
            <w:pPr>
              <w:spacing w:after="0"/>
              <w:rPr>
                <w:rFonts w:ascii="Arial" w:cs="Arial" w:eastAsia="Arial" w:hAnsi="Arial"/>
                <w:sz w:val="17"/>
                <w:szCs w:val="17"/>
                <w:color w:val="0000EE"/>
              </w:rPr>
            </w:pPr>
            <w:hyperlink w:anchor="page111">
              <w:r>
                <w:rPr>
                  <w:rFonts w:ascii="Arial" w:cs="Arial" w:eastAsia="Arial" w:hAnsi="Arial"/>
                  <w:sz w:val="17"/>
                  <w:szCs w:val="17"/>
                  <w:color w:val="0000EE"/>
                </w:rPr>
                <w:t>Schedule II – Valuation and Qualifying Accounts</w:t>
              </w:r>
            </w:hyperlink>
          </w:p>
        </w:tc>
        <w:tc>
          <w:tcPr>
            <w:tcW w:w="7280" w:type="dxa"/>
            <w:vAlign w:val="bottom"/>
            <w:gridSpan w:val="3"/>
          </w:tcPr>
          <w:p>
            <w:pPr>
              <w:jc w:val="right"/>
              <w:spacing w:after="0"/>
              <w:rPr>
                <w:sz w:val="20"/>
                <w:szCs w:val="20"/>
                <w:color w:val="auto"/>
              </w:rPr>
            </w:pPr>
            <w:r>
              <w:rPr>
                <w:rFonts w:ascii="Arial" w:cs="Arial" w:eastAsia="Arial" w:hAnsi="Arial"/>
                <w:sz w:val="17"/>
                <w:szCs w:val="17"/>
                <w:color w:val="auto"/>
              </w:rPr>
              <w:t>F – 49</w:t>
            </w:r>
          </w:p>
        </w:tc>
        <w:tc>
          <w:tcPr>
            <w:tcW w:w="0" w:type="dxa"/>
            <w:vAlign w:val="bottom"/>
          </w:tcPr>
          <w:p>
            <w:pPr>
              <w:spacing w:after="0"/>
              <w:rPr>
                <w:sz w:val="1"/>
                <w:szCs w:val="1"/>
                <w:color w:val="auto"/>
              </w:rPr>
            </w:pPr>
          </w:p>
        </w:tc>
      </w:tr>
      <w:tr>
        <w:trPr>
          <w:trHeight w:val="360"/>
        </w:trPr>
        <w:tc>
          <w:tcPr>
            <w:tcW w:w="14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80" w:type="dxa"/>
            <w:vAlign w:val="bottom"/>
            <w:gridSpan w:val="3"/>
          </w:tcPr>
          <w:p>
            <w:pPr>
              <w:jc w:val="center"/>
              <w:ind w:right="3960"/>
              <w:spacing w:after="0"/>
              <w:rPr>
                <w:sz w:val="20"/>
                <w:szCs w:val="20"/>
                <w:color w:val="auto"/>
              </w:rPr>
            </w:pPr>
            <w:r>
              <w:rPr>
                <w:rFonts w:ascii="Arial" w:cs="Arial" w:eastAsia="Arial" w:hAnsi="Arial"/>
                <w:sz w:val="17"/>
                <w:szCs w:val="17"/>
                <w:color w:val="auto"/>
                <w:w w:val="93"/>
              </w:rPr>
              <w:t>F-1</w:t>
            </w:r>
          </w:p>
        </w:tc>
        <w:tc>
          <w:tcPr>
            <w:tcW w:w="0" w:type="dxa"/>
            <w:vAlign w:val="bottom"/>
          </w:tcPr>
          <w:p>
            <w:pPr>
              <w:spacing w:after="0"/>
              <w:rPr>
                <w:sz w:val="1"/>
                <w:szCs w:val="1"/>
                <w:color w:val="auto"/>
              </w:rPr>
            </w:pPr>
          </w:p>
        </w:tc>
      </w:tr>
    </w:tbl>
    <w:p>
      <w:pPr>
        <w:sectPr>
          <w:pgSz w:w="11900" w:h="16838" w:orient="portrait"/>
          <w:cols w:equalWidth="0" w:num="1">
            <w:col w:w="11340"/>
          </w:cols>
          <w:pgMar w:left="240" w:top="441" w:right="3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LSB Industries, Inc.</w:t>
      </w:r>
    </w:p>
    <w:p>
      <w:pPr>
        <w:spacing w:after="0" w:line="211"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We have audited the accompanying consolidated balance sheets of LSB Industries, Inc. as of December 31, 2014 and 2013, and the related consolidated statements of income, stockholders’ equity, and cash flows for each of the three years in the period ended December 31, 2014. Our audits also included the financial statement schedule listed in the Index at Item 15(a) (2). These financial statements and schedule are the responsibility of the Company’s management. Our responsibility is to express an opinion on these financial statements and schedule based on our audits.</w:t>
      </w:r>
    </w:p>
    <w:p>
      <w:pPr>
        <w:spacing w:after="0" w:line="164"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LSB Industries, Inc.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LSB Industries, Inc.’s internal control over financial reporting as of December 31, 2014, based on criteria established in Internal Control-Integrated Framework issued by the Committee of Sponsoring Organizations of the Treadway Commission (2013 Framework) and our report dated February 27, 2015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Oklahoma City, Oklahoma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2015</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1"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5"/>
          </w:tcPr>
          <w:p>
            <w:pPr>
              <w:jc w:val="right"/>
              <w:ind w:right="436"/>
              <w:spacing w:after="0" w:line="133"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186,811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Restricted cash and cash equivalents</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365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Short-term investments</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14,500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0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88,074</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80,570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56,586</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Supplies, prepaid items and other: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Prepaid insurance</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13,752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660"/>
              <w:spacing w:after="0"/>
              <w:rPr>
                <w:sz w:val="20"/>
                <w:szCs w:val="20"/>
                <w:color w:val="auto"/>
              </w:rPr>
            </w:pPr>
            <w:r>
              <w:rPr>
                <w:rFonts w:ascii="Arial" w:cs="Arial" w:eastAsia="Arial" w:hAnsi="Arial"/>
                <w:sz w:val="17"/>
                <w:szCs w:val="17"/>
                <w:color w:val="auto"/>
              </w:rPr>
              <w:t>Precious metals</w:t>
            </w:r>
          </w:p>
        </w:tc>
        <w:tc>
          <w:tcPr>
            <w:tcW w:w="10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12,838</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14,927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Supplies</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15,927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660"/>
              <w:spacing w:after="0"/>
              <w:rPr>
                <w:sz w:val="20"/>
                <w:szCs w:val="20"/>
                <w:color w:val="auto"/>
              </w:rPr>
            </w:pPr>
            <w:r>
              <w:rPr>
                <w:rFonts w:ascii="Arial" w:cs="Arial" w:eastAsia="Arial" w:hAnsi="Arial"/>
                <w:sz w:val="17"/>
                <w:szCs w:val="17"/>
                <w:color w:val="auto"/>
              </w:rPr>
              <w:t>Prepaid and refundable income taxes</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7,387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12,644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tcPr>
          <w:p>
            <w:pPr>
              <w:ind w:left="1000"/>
              <w:spacing w:after="0"/>
              <w:rPr>
                <w:sz w:val="20"/>
                <w:szCs w:val="20"/>
                <w:color w:val="auto"/>
              </w:rPr>
            </w:pPr>
            <w:r>
              <w:rPr>
                <w:rFonts w:ascii="Arial" w:cs="Arial" w:eastAsia="Arial" w:hAnsi="Arial"/>
                <w:sz w:val="17"/>
                <w:szCs w:val="17"/>
                <w:color w:val="auto"/>
              </w:rPr>
              <w:t>Total supplies, prepaid items and 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55,342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60,034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income taxes</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17,204</w:t>
            </w:r>
          </w:p>
        </w:tc>
        <w:tc>
          <w:tcPr>
            <w:tcW w:w="300" w:type="dxa"/>
            <w:vAlign w:val="bottom"/>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8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418,882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353,839</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619,205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416,801</w:t>
            </w:r>
          </w:p>
        </w:tc>
        <w:tc>
          <w:tcPr>
            <w:tcW w:w="0" w:type="dxa"/>
            <w:vAlign w:val="bottom"/>
          </w:tcPr>
          <w:p>
            <w:pPr>
              <w:spacing w:after="0"/>
              <w:rPr>
                <w:sz w:val="1"/>
                <w:szCs w:val="1"/>
                <w:color w:val="auto"/>
              </w:rPr>
            </w:pPr>
          </w:p>
        </w:tc>
      </w:tr>
      <w:tr>
        <w:trPr>
          <w:trHeight w:val="305"/>
        </w:trPr>
        <w:tc>
          <w:tcPr>
            <w:tcW w:w="94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Noncurrent restricted cash and cash equivalents</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45,969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Noncurrent restricted investments</w:t>
            </w:r>
          </w:p>
        </w:tc>
        <w:tc>
          <w:tcPr>
            <w:tcW w:w="10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25,000</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209,990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Capitalized software costs, net</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12,595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Other, net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15,354</w:t>
            </w: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98,918</w:t>
            </w:r>
          </w:p>
        </w:tc>
        <w:tc>
          <w:tcPr>
            <w:tcW w:w="300" w:type="dxa"/>
            <w:vAlign w:val="bottom"/>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312,457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87"/>
              </w:rPr>
              <w:t>1,137,005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1,083,097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 on following page)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1"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 (continued)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5"/>
          </w:tcPr>
          <w:p>
            <w:pPr>
              <w:jc w:val="right"/>
              <w:ind w:right="436"/>
              <w:spacing w:after="0" w:line="133"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81,456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Short-term financing</w:t>
            </w:r>
          </w:p>
        </w:tc>
        <w:tc>
          <w:tcPr>
            <w:tcW w:w="10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11,955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and other liabilities</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51,166</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10,680</w:t>
            </w: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155,257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133,893</w:t>
            </w:r>
          </w:p>
        </w:tc>
        <w:tc>
          <w:tcPr>
            <w:tcW w:w="0" w:type="dxa"/>
            <w:vAlign w:val="bottom"/>
          </w:tcPr>
          <w:p>
            <w:pPr>
              <w:spacing w:after="0"/>
              <w:rPr>
                <w:sz w:val="1"/>
                <w:szCs w:val="1"/>
                <w:color w:val="auto"/>
              </w:rPr>
            </w:pPr>
          </w:p>
        </w:tc>
      </w:tr>
      <w:tr>
        <w:trPr>
          <w:trHeight w:val="304"/>
        </w:trPr>
        <w:tc>
          <w:tcPr>
            <w:tcW w:w="94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446,638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453,705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Noncurrent accrued and other liabilities</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17,934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17,086</w:t>
            </w:r>
          </w:p>
        </w:tc>
        <w:tc>
          <w:tcPr>
            <w:tcW w:w="0" w:type="dxa"/>
            <w:vAlign w:val="bottom"/>
          </w:tcPr>
          <w:p>
            <w:pPr>
              <w:spacing w:after="0"/>
              <w:rPr>
                <w:sz w:val="1"/>
                <w:szCs w:val="1"/>
                <w:color w:val="auto"/>
              </w:rPr>
            </w:pPr>
          </w:p>
        </w:tc>
      </w:tr>
      <w:tr>
        <w:trPr>
          <w:trHeight w:val="304"/>
        </w:trPr>
        <w:tc>
          <w:tcPr>
            <w:tcW w:w="948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83,128</w:t>
            </w: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66,698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948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Series B 12% cumulative, convertible preferred stock, $100 par value; 20,000 shares issued and outstanding</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2,000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Series D 6% cumulative, convertible Class C preferred stock, no par value; 1,000,000 shares issued and outstanding</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1"/>
              </w:rPr>
              <w:t>Common stock, $.10 par value; 75,000,000 shares authorized, 26,968,212 shares issued (26,846,470 shares at December 31, 2013)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2,697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tcPr>
          <w:p>
            <w:pPr>
              <w:ind w:left="320"/>
              <w:spacing w:after="0"/>
              <w:rPr>
                <w:sz w:val="20"/>
                <w:szCs w:val="20"/>
                <w:color w:val="auto"/>
              </w:rPr>
            </w:pPr>
            <w:r>
              <w:rPr>
                <w:rFonts w:ascii="Arial" w:cs="Arial" w:eastAsia="Arial" w:hAnsi="Arial"/>
                <w:sz w:val="17"/>
                <w:szCs w:val="17"/>
                <w:color w:val="auto"/>
              </w:rPr>
              <w:t>Capital in excess of par value</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170,537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167,550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286,188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462,422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440,089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treasury stock, at cost: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tcPr>
          <w:p>
            <w:pPr>
              <w:ind w:left="660"/>
              <w:spacing w:after="0"/>
              <w:rPr>
                <w:sz w:val="20"/>
                <w:szCs w:val="20"/>
                <w:color w:val="auto"/>
              </w:rPr>
            </w:pPr>
            <w:r>
              <w:rPr>
                <w:rFonts w:ascii="Arial" w:cs="Arial" w:eastAsia="Arial" w:hAnsi="Arial"/>
                <w:sz w:val="17"/>
                <w:szCs w:val="17"/>
                <w:color w:val="auto"/>
              </w:rPr>
              <w:t>Common stock, 4,320,462 shares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28,374</w:t>
            </w: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434,048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87"/>
              </w:rPr>
              <w:t>1,137,005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1,083,097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1"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8"/>
          </w:tcPr>
          <w:p>
            <w:pPr>
              <w:jc w:val="center"/>
              <w:ind w:left="397"/>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2013</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gridSpan w:val="9"/>
          </w:tcPr>
          <w:p>
            <w:pPr>
              <w:jc w:val="center"/>
              <w:spacing w:after="0" w:line="133" w:lineRule="exact"/>
              <w:rPr>
                <w:sz w:val="20"/>
                <w:szCs w:val="20"/>
                <w:color w:val="auto"/>
              </w:rPr>
            </w:pPr>
            <w:r>
              <w:rPr>
                <w:rFonts w:ascii="Arial" w:cs="Arial" w:eastAsia="Arial" w:hAnsi="Arial"/>
                <w:sz w:val="14"/>
                <w:szCs w:val="14"/>
                <w:color w:val="auto"/>
                <w:w w:val="86"/>
              </w:rPr>
              <w:t>(In Thousands, Except Per 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1"/>
              </w:rPr>
              <w:t>732,510</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679,287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759,031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Cost of sales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w w:val="91"/>
              </w:rPr>
              <w:t>579,155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535,731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575,295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153,355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143,556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183,736</w:t>
            </w:r>
          </w:p>
        </w:tc>
        <w:tc>
          <w:tcPr>
            <w:tcW w:w="0" w:type="dxa"/>
            <w:vAlign w:val="bottom"/>
          </w:tcPr>
          <w:p>
            <w:pPr>
              <w:spacing w:after="0"/>
              <w:rPr>
                <w:sz w:val="1"/>
                <w:szCs w:val="1"/>
                <w:color w:val="auto"/>
              </w:rPr>
            </w:pPr>
          </w:p>
        </w:tc>
      </w:tr>
      <w:tr>
        <w:trPr>
          <w:trHeight w:val="304"/>
        </w:trPr>
        <w:tc>
          <w:tcPr>
            <w:tcW w:w="8640" w:type="dxa"/>
            <w:vAlign w:val="bottom"/>
            <w:gridSpan w:val="2"/>
          </w:tcPr>
          <w:p>
            <w:pPr>
              <w:spacing w:after="0"/>
              <w:rPr>
                <w:sz w:val="20"/>
                <w:szCs w:val="20"/>
                <w:color w:val="auto"/>
              </w:rPr>
            </w:pPr>
            <w:r>
              <w:rPr>
                <w:rFonts w:ascii="Arial" w:cs="Arial" w:eastAsia="Arial" w:hAnsi="Arial"/>
                <w:sz w:val="17"/>
                <w:szCs w:val="17"/>
                <w:color w:val="auto"/>
              </w:rPr>
              <w:t>Selling, general and administrative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1"/>
              </w:rPr>
              <w:t>103,886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100,674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89,988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Provisions for (recovery of) losses on accounts receivable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478</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Property insurance recoveries in excess of losses incurred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(5,147)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(66,255)</w:t>
            </w:r>
          </w:p>
        </w:tc>
        <w:tc>
          <w:tcPr>
            <w:tcW w:w="1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(1,693)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7"/>
                <w:szCs w:val="17"/>
                <w:color w:val="auto"/>
              </w:rPr>
              <w:t>Operating income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53,362</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105,308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95,655</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21,599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13,986</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1,296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Non-operating other income,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7"/>
                <w:szCs w:val="17"/>
                <w:color w:val="auto"/>
              </w:rPr>
              <w:t>Income from continuing operations before provisions for income taxes and equity in earnings of affiliate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32,044</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90,126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91,699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Provisions for income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12,400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35,421</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Equity in earnings of affiliate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(436)</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19,723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55,141</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58,786</w:t>
            </w:r>
          </w:p>
        </w:tc>
        <w:tc>
          <w:tcPr>
            <w:tcW w:w="0" w:type="dxa"/>
            <w:vAlign w:val="bottom"/>
          </w:tcPr>
          <w:p>
            <w:pPr>
              <w:spacing w:after="0"/>
              <w:rPr>
                <w:sz w:val="1"/>
                <w:szCs w:val="1"/>
                <w:color w:val="auto"/>
              </w:rPr>
            </w:pPr>
          </w:p>
        </w:tc>
      </w:tr>
      <w:tr>
        <w:trPr>
          <w:trHeight w:val="305"/>
        </w:trPr>
        <w:tc>
          <w:tcPr>
            <w:tcW w:w="8640" w:type="dxa"/>
            <w:vAlign w:val="bottom"/>
            <w:gridSpan w:val="2"/>
          </w:tcPr>
          <w:p>
            <w:pPr>
              <w:spacing w:after="0"/>
              <w:rPr>
                <w:sz w:val="20"/>
                <w:szCs w:val="20"/>
                <w:color w:val="auto"/>
              </w:rPr>
            </w:pPr>
            <w:r>
              <w:rPr>
                <w:rFonts w:ascii="Arial" w:cs="Arial" w:eastAsia="Arial" w:hAnsi="Arial"/>
                <w:sz w:val="17"/>
                <w:szCs w:val="17"/>
                <w:color w:val="auto"/>
              </w:rPr>
              <w:t>Net loss from discontinued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89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179</w:t>
            </w: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19,634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54,962</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58,604</w:t>
            </w:r>
          </w:p>
        </w:tc>
        <w:tc>
          <w:tcPr>
            <w:tcW w:w="0" w:type="dxa"/>
            <w:vAlign w:val="bottom"/>
          </w:tcPr>
          <w:p>
            <w:pPr>
              <w:spacing w:after="0"/>
              <w:rPr>
                <w:sz w:val="1"/>
                <w:szCs w:val="1"/>
                <w:color w:val="auto"/>
              </w:rPr>
            </w:pPr>
          </w:p>
        </w:tc>
      </w:tr>
      <w:tr>
        <w:trPr>
          <w:trHeight w:val="305"/>
        </w:trPr>
        <w:tc>
          <w:tcPr>
            <w:tcW w:w="8640" w:type="dxa"/>
            <w:vAlign w:val="bottom"/>
            <w:gridSpan w:val="2"/>
          </w:tcPr>
          <w:p>
            <w:pPr>
              <w:spacing w:after="0"/>
              <w:rPr>
                <w:sz w:val="20"/>
                <w:szCs w:val="20"/>
                <w:color w:val="auto"/>
              </w:rPr>
            </w:pPr>
            <w:r>
              <w:rPr>
                <w:rFonts w:ascii="Arial" w:cs="Arial" w:eastAsia="Arial" w:hAnsi="Arial"/>
                <w:sz w:val="17"/>
                <w:szCs w:val="17"/>
                <w:color w:val="auto"/>
              </w:rPr>
              <w:t>Dividends on preferred stocks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300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Net income applicable to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19,334</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54,662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58,304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7"/>
                <w:szCs w:val="17"/>
                <w:color w:val="auto"/>
              </w:rPr>
              <w:t>Income (loss)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Pr>
          <w:p>
            <w:pPr>
              <w:ind w:left="660"/>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0.86</w:t>
            </w:r>
          </w:p>
        </w:tc>
        <w:tc>
          <w:tcPr>
            <w:tcW w:w="16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2.44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loss from discontinued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660"/>
              <w:spacing w:after="0"/>
              <w:rPr>
                <w:sz w:val="20"/>
                <w:szCs w:val="20"/>
                <w:color w:val="auto"/>
              </w:rPr>
            </w:pPr>
            <w:r>
              <w:rPr>
                <w:rFonts w:ascii="Arial" w:cs="Arial" w:eastAsia="Arial" w:hAnsi="Arial"/>
                <w:sz w:val="17"/>
                <w:szCs w:val="17"/>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0.86</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2.43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6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Diluted: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Pr>
          <w:p>
            <w:pPr>
              <w:ind w:left="660"/>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0.83</w:t>
            </w:r>
          </w:p>
        </w:tc>
        <w:tc>
          <w:tcPr>
            <w:tcW w:w="16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2.34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loss from discontinued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660"/>
              <w:spacing w:after="0"/>
              <w:rPr>
                <w:sz w:val="20"/>
                <w:szCs w:val="20"/>
                <w:color w:val="auto"/>
              </w:rPr>
            </w:pPr>
            <w:r>
              <w:rPr>
                <w:rFonts w:ascii="Arial" w:cs="Arial" w:eastAsia="Arial" w:hAnsi="Arial"/>
                <w:sz w:val="17"/>
                <w:szCs w:val="17"/>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0.83</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2.33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41"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Stockholders’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00" w:type="dxa"/>
            <w:vAlign w:val="bottom"/>
            <w:gridSpan w:val="3"/>
          </w:tcPr>
          <w:p>
            <w:pPr>
              <w:jc w:val="center"/>
              <w:ind w:right="140"/>
              <w:spacing w:after="0" w:line="140"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1020" w:type="dxa"/>
            <w:vAlign w:val="bottom"/>
            <w:gridSpan w:val="3"/>
          </w:tcPr>
          <w:p>
            <w:pPr>
              <w:jc w:val="right"/>
              <w:ind w:right="300"/>
              <w:spacing w:after="0" w:line="140" w:lineRule="exact"/>
              <w:rPr>
                <w:sz w:val="20"/>
                <w:szCs w:val="20"/>
                <w:color w:val="auto"/>
              </w:rPr>
            </w:pPr>
            <w:r>
              <w:rPr>
                <w:rFonts w:ascii="Arial" w:cs="Arial" w:eastAsia="Arial" w:hAnsi="Arial"/>
                <w:sz w:val="14"/>
                <w:szCs w:val="14"/>
                <w:b w:val="1"/>
                <w:bCs w:val="1"/>
                <w:color w:val="auto"/>
                <w:w w:val="84"/>
              </w:rPr>
              <w:t>Redeemable</w:t>
            </w:r>
          </w:p>
        </w:tc>
        <w:tc>
          <w:tcPr>
            <w:tcW w:w="7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8"/>
              </w:rPr>
              <w:t>Capital in</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58"/>
              <w:spacing w:after="0" w:line="140" w:lineRule="exact"/>
              <w:rPr>
                <w:sz w:val="20"/>
                <w:szCs w:val="20"/>
                <w:color w:val="auto"/>
              </w:rPr>
            </w:pPr>
            <w:r>
              <w:rPr>
                <w:rFonts w:ascii="Arial" w:cs="Arial" w:eastAsia="Arial" w:hAnsi="Arial"/>
                <w:sz w:val="14"/>
                <w:szCs w:val="14"/>
                <w:b w:val="1"/>
                <w:bCs w:val="1"/>
                <w:color w:val="auto"/>
                <w:w w:val="87"/>
              </w:rPr>
              <w:t>Treasury</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00" w:type="dxa"/>
            <w:vAlign w:val="bottom"/>
            <w:gridSpan w:val="3"/>
          </w:tcPr>
          <w:p>
            <w:pPr>
              <w:jc w:val="center"/>
              <w:ind w:right="140"/>
              <w:spacing w:after="0" w:line="140"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020" w:type="dxa"/>
            <w:vAlign w:val="bottom"/>
            <w:gridSpan w:val="3"/>
          </w:tcPr>
          <w:p>
            <w:pPr>
              <w:jc w:val="center"/>
              <w:ind w:right="300"/>
              <w:spacing w:after="0" w:line="140" w:lineRule="exact"/>
              <w:rPr>
                <w:sz w:val="20"/>
                <w:szCs w:val="20"/>
                <w:color w:val="auto"/>
              </w:rPr>
            </w:pPr>
            <w:r>
              <w:rPr>
                <w:rFonts w:ascii="Arial" w:cs="Arial" w:eastAsia="Arial" w:hAnsi="Arial"/>
                <w:sz w:val="14"/>
                <w:szCs w:val="14"/>
                <w:b w:val="1"/>
                <w:bCs w:val="1"/>
                <w:color w:val="auto"/>
                <w:w w:val="89"/>
              </w:rPr>
              <w:t>Preferred</w:t>
            </w:r>
          </w:p>
        </w:tc>
        <w:tc>
          <w:tcPr>
            <w:tcW w:w="7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Stock Par</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79"/>
              </w:rPr>
              <w:t>Excess of</w:t>
            </w:r>
          </w:p>
        </w:tc>
        <w:tc>
          <w:tcPr>
            <w:tcW w:w="820" w:type="dxa"/>
            <w:vAlign w:val="bottom"/>
            <w:gridSpan w:val="2"/>
          </w:tcPr>
          <w:p>
            <w:pPr>
              <w:jc w:val="right"/>
              <w:ind w:right="240"/>
              <w:spacing w:after="0" w:line="140"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940" w:type="dxa"/>
            <w:vAlign w:val="bottom"/>
            <w:gridSpan w:val="2"/>
          </w:tcPr>
          <w:p>
            <w:pPr>
              <w:jc w:val="center"/>
              <w:ind w:right="258"/>
              <w:spacing w:after="0" w:line="140" w:lineRule="exact"/>
              <w:rPr>
                <w:sz w:val="20"/>
                <w:szCs w:val="20"/>
                <w:color w:val="auto"/>
              </w:rPr>
            </w:pPr>
            <w:r>
              <w:rPr>
                <w:rFonts w:ascii="Arial" w:cs="Arial" w:eastAsia="Arial" w:hAnsi="Arial"/>
                <w:sz w:val="14"/>
                <w:szCs w:val="14"/>
                <w:b w:val="1"/>
                <w:bCs w:val="1"/>
                <w:color w:val="auto"/>
                <w:w w:val="84"/>
              </w:rPr>
              <w:t>Stock-</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Par Value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3"/>
                <w:szCs w:val="13"/>
                <w:color w:val="auto"/>
              </w:rPr>
            </w:pPr>
          </w:p>
        </w:tc>
        <w:tc>
          <w:tcPr>
            <w:tcW w:w="94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5"/>
              </w:rPr>
              <w:t>Common</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right"/>
              <w:ind w:right="160"/>
              <w:spacing w:after="0" w:line="133" w:lineRule="exact"/>
              <w:rPr>
                <w:sz w:val="20"/>
                <w:szCs w:val="20"/>
                <w:color w:val="auto"/>
              </w:rPr>
            </w:pPr>
            <w:r>
              <w:rPr>
                <w:rFonts w:ascii="Arial" w:cs="Arial" w:eastAsia="Arial" w:hAnsi="Arial"/>
                <w:sz w:val="14"/>
                <w:szCs w:val="14"/>
                <w:color w:val="auto"/>
                <w:w w:val="97"/>
              </w:rPr>
              <w:t>(In Thousands)</w:t>
            </w: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26,638</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2,664</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$162,092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$153,888</w:t>
            </w:r>
          </w:p>
        </w:tc>
        <w:tc>
          <w:tcPr>
            <w:tcW w:w="1060" w:type="dxa"/>
            <w:vAlign w:val="bottom"/>
            <w:gridSpan w:val="3"/>
            <w:shd w:val="clear" w:color="auto" w:fill="CCEEFF"/>
          </w:tcPr>
          <w:p>
            <w:pPr>
              <w:jc w:val="right"/>
              <w:ind w:right="218"/>
              <w:spacing w:after="0"/>
              <w:rPr>
                <w:sz w:val="20"/>
                <w:szCs w:val="20"/>
                <w:color w:val="auto"/>
              </w:rPr>
            </w:pPr>
            <w:r>
              <w:rPr>
                <w:rFonts w:ascii="Arial" w:cs="Arial" w:eastAsia="Arial" w:hAnsi="Arial"/>
                <w:sz w:val="17"/>
                <w:szCs w:val="17"/>
                <w:color w:val="auto"/>
              </w:rPr>
              <w:t>$(28,374)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$293,270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58,604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58,604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on preferred stocks</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7"/>
                <w:szCs w:val="17"/>
                <w:color w:val="auto"/>
              </w:rPr>
              <w:t>1,652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758</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w w:val="97"/>
              </w:rPr>
              <w:t>Excess income tax benefit associated with stock-based compensation</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7"/>
                <w:szCs w:val="17"/>
                <w:color w:val="auto"/>
              </w:rPr>
              <w:t>498</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w w:val="92"/>
              </w:rPr>
              <w:t>Conversion of 68 shares of redeemable preferred stock to common stock</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7"/>
                <w:szCs w:val="17"/>
                <w:color w:val="auto"/>
              </w:rPr>
              <w:t>Balance at December 31, 2012</w:t>
            </w: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26,731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2,673</w:t>
            </w:r>
          </w:p>
        </w:tc>
        <w:tc>
          <w:tcPr>
            <w:tcW w:w="1100" w:type="dxa"/>
            <w:vAlign w:val="bottom"/>
            <w:gridSpan w:val="3"/>
          </w:tcPr>
          <w:p>
            <w:pPr>
              <w:jc w:val="right"/>
              <w:ind w:right="300"/>
              <w:spacing w:after="0"/>
              <w:rPr>
                <w:sz w:val="20"/>
                <w:szCs w:val="20"/>
                <w:color w:val="auto"/>
              </w:rPr>
            </w:pPr>
            <w:r>
              <w:rPr>
                <w:rFonts w:ascii="Arial" w:cs="Arial" w:eastAsia="Arial" w:hAnsi="Arial"/>
                <w:sz w:val="17"/>
                <w:szCs w:val="17"/>
                <w:color w:val="auto"/>
              </w:rPr>
              <w:t>165,006</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212,192</w:t>
            </w:r>
          </w:p>
        </w:tc>
        <w:tc>
          <w:tcPr>
            <w:tcW w:w="1060" w:type="dxa"/>
            <w:vAlign w:val="bottom"/>
            <w:gridSpan w:val="3"/>
          </w:tcPr>
          <w:p>
            <w:pPr>
              <w:jc w:val="right"/>
              <w:ind w:right="218"/>
              <w:spacing w:after="0"/>
              <w:rPr>
                <w:sz w:val="20"/>
                <w:szCs w:val="20"/>
                <w:color w:val="auto"/>
              </w:rPr>
            </w:pPr>
            <w:r>
              <w:rPr>
                <w:rFonts w:ascii="Arial" w:cs="Arial" w:eastAsia="Arial" w:hAnsi="Arial"/>
                <w:sz w:val="17"/>
                <w:szCs w:val="17"/>
                <w:color w:val="auto"/>
              </w:rPr>
              <w:t>(28,374)</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354,497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54,962</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Dividends paid on preferred stocks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1,542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7"/>
                <w:szCs w:val="17"/>
                <w:color w:val="auto"/>
              </w:rPr>
              <w:t>115</w:t>
            </w:r>
          </w:p>
        </w:tc>
        <w:tc>
          <w:tcPr>
            <w:tcW w:w="1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1,002</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2,685</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167,550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266,854</w:t>
            </w:r>
          </w:p>
        </w:tc>
        <w:tc>
          <w:tcPr>
            <w:tcW w:w="1060" w:type="dxa"/>
            <w:vAlign w:val="bottom"/>
            <w:gridSpan w:val="3"/>
            <w:shd w:val="clear" w:color="auto" w:fill="CCEEFF"/>
          </w:tcPr>
          <w:p>
            <w:pPr>
              <w:jc w:val="right"/>
              <w:ind w:right="218"/>
              <w:spacing w:after="0"/>
              <w:rPr>
                <w:sz w:val="20"/>
                <w:szCs w:val="20"/>
                <w:color w:val="auto"/>
              </w:rPr>
            </w:pPr>
            <w:r>
              <w:rPr>
                <w:rFonts w:ascii="Arial" w:cs="Arial" w:eastAsia="Arial" w:hAnsi="Arial"/>
                <w:sz w:val="17"/>
                <w:szCs w:val="17"/>
                <w:color w:val="auto"/>
              </w:rPr>
              <w:t>(28,374)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19,634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on preferred stocks</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(300)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1,925</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1,062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1,074</w:t>
            </w:r>
          </w:p>
        </w:tc>
        <w:tc>
          <w:tcPr>
            <w:tcW w:w="0" w:type="dxa"/>
            <w:vAlign w:val="bottom"/>
          </w:tcPr>
          <w:p>
            <w:pPr>
              <w:spacing w:after="0"/>
              <w:rPr>
                <w:sz w:val="1"/>
                <w:szCs w:val="1"/>
                <w:color w:val="auto"/>
              </w:rPr>
            </w:pPr>
          </w:p>
        </w:tc>
      </w:tr>
      <w:tr>
        <w:trPr>
          <w:trHeight w:val="209"/>
        </w:trPr>
        <w:tc>
          <w:tcPr>
            <w:tcW w:w="5140" w:type="dxa"/>
            <w:vAlign w:val="bottom"/>
            <w:gridSpan w:val="2"/>
          </w:tcPr>
          <w:p>
            <w:pPr>
              <w:spacing w:after="0"/>
              <w:rPr>
                <w:sz w:val="20"/>
                <w:szCs w:val="20"/>
                <w:color w:val="auto"/>
              </w:rPr>
            </w:pPr>
            <w:r>
              <w:rPr>
                <w:rFonts w:ascii="Arial" w:cs="Arial" w:eastAsia="Arial" w:hAnsi="Arial"/>
                <w:sz w:val="17"/>
                <w:szCs w:val="17"/>
                <w:color w:val="auto"/>
              </w:rPr>
              <w:t>Balance at December 31, 2014</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26,968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170,537</w:t>
            </w:r>
          </w:p>
        </w:tc>
        <w:tc>
          <w:tcPr>
            <w:tcW w:w="3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286,188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92"/>
              </w:rPr>
              <w:t>$</w:t>
            </w:r>
            <w:r>
              <w:rPr>
                <w:rFonts w:ascii="Arial" w:cs="Arial" w:eastAsia="Arial" w:hAnsi="Arial"/>
                <w:sz w:val="17"/>
                <w:szCs w:val="17"/>
                <w:b w:val="1"/>
                <w:bCs w:val="1"/>
                <w:color w:val="auto"/>
                <w:w w:val="92"/>
              </w:rPr>
              <w:t>(28,374</w:t>
            </w:r>
          </w:p>
        </w:tc>
        <w:tc>
          <w:tcPr>
            <w:tcW w:w="300" w:type="dxa"/>
            <w:vAlign w:val="bottom"/>
          </w:tcPr>
          <w:p>
            <w:pPr>
              <w:jc w:val="right"/>
              <w:ind w:right="218"/>
              <w:spacing w:after="0"/>
              <w:rPr>
                <w:sz w:val="20"/>
                <w:szCs w:val="20"/>
                <w:color w:val="auto"/>
              </w:rPr>
            </w:pPr>
            <w:r>
              <w:rPr>
                <w:rFonts w:ascii="Arial" w:cs="Arial" w:eastAsia="Arial" w:hAnsi="Arial"/>
                <w:sz w:val="8"/>
                <w:szCs w:val="8"/>
                <w:b w:val="1"/>
                <w:bCs w:val="1"/>
                <w:color w:val="auto"/>
                <w:w w:val="7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434,048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1"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3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90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3"/>
                <w:szCs w:val="13"/>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center"/>
              <w:ind w:right="220"/>
              <w:spacing w:after="0" w:line="133" w:lineRule="exact"/>
              <w:rPr>
                <w:sz w:val="20"/>
                <w:szCs w:val="20"/>
                <w:color w:val="auto"/>
              </w:rPr>
            </w:pPr>
            <w:r>
              <w:rPr>
                <w:rFonts w:ascii="Arial" w:cs="Arial" w:eastAsia="Arial" w:hAnsi="Arial"/>
                <w:sz w:val="14"/>
                <w:szCs w:val="14"/>
                <w:color w:val="auto"/>
                <w:w w:val="87"/>
              </w:rPr>
              <w:t>(In Thousands)</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continuing operating activities</w:t>
            </w: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Net income</w:t>
            </w:r>
          </w:p>
        </w:tc>
        <w:tc>
          <w:tcPr>
            <w:tcW w:w="1560" w:type="dxa"/>
            <w:vAlign w:val="bottom"/>
            <w:gridSpan w:val="3"/>
          </w:tcPr>
          <w:p>
            <w:pPr>
              <w:jc w:val="right"/>
              <w:ind w:right="152"/>
              <w:spacing w:after="0"/>
              <w:rPr>
                <w:sz w:val="20"/>
                <w:szCs w:val="20"/>
                <w:color w:val="auto"/>
              </w:rPr>
            </w:pPr>
            <w:r>
              <w:rPr>
                <w:rFonts w:ascii="Arial" w:cs="Arial" w:eastAsia="Arial" w:hAnsi="Arial"/>
                <w:sz w:val="17"/>
                <w:szCs w:val="17"/>
                <w:b w:val="1"/>
                <w:bCs w:val="1"/>
                <w:color w:val="auto"/>
              </w:rPr>
              <w:t>$  19,634</w:t>
            </w:r>
          </w:p>
        </w:tc>
        <w:tc>
          <w:tcPr>
            <w:tcW w:w="1320" w:type="dxa"/>
            <w:vAlign w:val="bottom"/>
            <w:gridSpan w:val="3"/>
          </w:tcPr>
          <w:p>
            <w:pPr>
              <w:jc w:val="right"/>
              <w:ind w:right="420"/>
              <w:spacing w:after="0"/>
              <w:rPr>
                <w:sz w:val="20"/>
                <w:szCs w:val="20"/>
                <w:color w:val="auto"/>
              </w:rPr>
            </w:pPr>
            <w:r>
              <w:rPr>
                <w:rFonts w:ascii="Arial" w:cs="Arial" w:eastAsia="Arial" w:hAnsi="Arial"/>
                <w:sz w:val="17"/>
                <w:szCs w:val="17"/>
                <w:color w:val="auto"/>
              </w:rPr>
              <w:t>$  54,962</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  58,604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continuing operating activities:</w:t>
            </w: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Net loss from discontinued operations</w:t>
            </w: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auto"/>
              </w:rPr>
              <w:t>89</w:t>
            </w:r>
          </w:p>
        </w:tc>
        <w:tc>
          <w:tcPr>
            <w:tcW w:w="220" w:type="dxa"/>
            <w:vAlign w:val="bottom"/>
          </w:tcPr>
          <w:p>
            <w:pPr>
              <w:spacing w:after="0"/>
              <w:rPr>
                <w:sz w:val="17"/>
                <w:szCs w:val="17"/>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7"/>
                <w:szCs w:val="17"/>
                <w:color w:val="auto"/>
              </w:rPr>
              <w:t>179</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income taxes</w:t>
            </w:r>
          </w:p>
        </w:tc>
        <w:tc>
          <w:tcPr>
            <w:tcW w:w="1560" w:type="dxa"/>
            <w:vAlign w:val="bottom"/>
            <w:gridSpan w:val="3"/>
            <w:shd w:val="clear" w:color="auto" w:fill="CCEEFF"/>
          </w:tcPr>
          <w:p>
            <w:pPr>
              <w:jc w:val="right"/>
              <w:ind w:right="152"/>
              <w:spacing w:after="0"/>
              <w:rPr>
                <w:sz w:val="20"/>
                <w:szCs w:val="20"/>
                <w:color w:val="auto"/>
              </w:rPr>
            </w:pPr>
            <w:r>
              <w:rPr>
                <w:rFonts w:ascii="Arial" w:cs="Arial" w:eastAsia="Arial" w:hAnsi="Arial"/>
                <w:sz w:val="17"/>
                <w:szCs w:val="17"/>
                <w:b w:val="1"/>
                <w:bCs w:val="1"/>
                <w:color w:val="auto"/>
              </w:rPr>
              <w:t>12,839</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35,289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Gains on property insurance recoveries associated with property, plant and equipment</w:t>
            </w:r>
          </w:p>
        </w:tc>
        <w:tc>
          <w:tcPr>
            <w:tcW w:w="1560" w:type="dxa"/>
            <w:vAlign w:val="bottom"/>
            <w:gridSpan w:val="3"/>
          </w:tcPr>
          <w:p>
            <w:pPr>
              <w:jc w:val="right"/>
              <w:ind w:right="92"/>
              <w:spacing w:after="0"/>
              <w:rPr>
                <w:sz w:val="20"/>
                <w:szCs w:val="20"/>
                <w:color w:val="auto"/>
              </w:rPr>
            </w:pPr>
            <w:r>
              <w:rPr>
                <w:rFonts w:ascii="Arial" w:cs="Arial" w:eastAsia="Arial" w:hAnsi="Arial"/>
                <w:sz w:val="17"/>
                <w:szCs w:val="17"/>
                <w:b w:val="1"/>
                <w:bCs w:val="1"/>
                <w:color w:val="auto"/>
              </w:rPr>
              <w:t>(5,147)</w:t>
            </w: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auto"/>
              </w:rPr>
              <w:t>(66,255)</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depletion and amortization of property, plant and equipment</w:t>
            </w:r>
          </w:p>
        </w:tc>
        <w:tc>
          <w:tcPr>
            <w:tcW w:w="1560" w:type="dxa"/>
            <w:vAlign w:val="bottom"/>
            <w:gridSpan w:val="3"/>
            <w:shd w:val="clear" w:color="auto" w:fill="CCEEFF"/>
          </w:tcPr>
          <w:p>
            <w:pPr>
              <w:jc w:val="right"/>
              <w:ind w:right="152"/>
              <w:spacing w:after="0"/>
              <w:rPr>
                <w:sz w:val="20"/>
                <w:szCs w:val="20"/>
                <w:color w:val="auto"/>
              </w:rPr>
            </w:pPr>
            <w:r>
              <w:rPr>
                <w:rFonts w:ascii="Arial" w:cs="Arial" w:eastAsia="Arial" w:hAnsi="Arial"/>
                <w:sz w:val="17"/>
                <w:szCs w:val="17"/>
                <w:b w:val="1"/>
                <w:bCs w:val="1"/>
                <w:color w:val="auto"/>
              </w:rPr>
              <w:t>35,664</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28,310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Other</w:t>
            </w: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auto"/>
              </w:rPr>
              <w:t>5,479</w:t>
            </w:r>
          </w:p>
        </w:tc>
        <w:tc>
          <w:tcPr>
            <w:tcW w:w="220" w:type="dxa"/>
            <w:vAlign w:val="bottom"/>
          </w:tcPr>
          <w:p>
            <w:pPr>
              <w:spacing w:after="0"/>
              <w:rPr>
                <w:sz w:val="17"/>
                <w:szCs w:val="17"/>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7"/>
                <w:szCs w:val="17"/>
                <w:color w:val="auto"/>
              </w:rPr>
              <w:t>4,819</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8"/>
              </w:rPr>
              <w:t>Cash provided (used) by changes in assets and liabilities (net of effects of discontinued operations):</w:t>
            </w: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660"/>
              <w:spacing w:after="0"/>
              <w:rPr>
                <w:sz w:val="20"/>
                <w:szCs w:val="20"/>
                <w:color w:val="auto"/>
              </w:rPr>
            </w:pPr>
            <w:r>
              <w:rPr>
                <w:rFonts w:ascii="Arial" w:cs="Arial" w:eastAsia="Arial" w:hAnsi="Arial"/>
                <w:sz w:val="17"/>
                <w:szCs w:val="17"/>
                <w:color w:val="auto"/>
              </w:rPr>
              <w:t>Accounts receivable</w:t>
            </w:r>
          </w:p>
        </w:tc>
        <w:tc>
          <w:tcPr>
            <w:tcW w:w="1560" w:type="dxa"/>
            <w:vAlign w:val="bottom"/>
            <w:gridSpan w:val="3"/>
          </w:tcPr>
          <w:p>
            <w:pPr>
              <w:jc w:val="right"/>
              <w:ind w:right="92"/>
              <w:spacing w:after="0"/>
              <w:rPr>
                <w:sz w:val="20"/>
                <w:szCs w:val="20"/>
                <w:color w:val="auto"/>
              </w:rPr>
            </w:pPr>
            <w:r>
              <w:rPr>
                <w:rFonts w:ascii="Arial" w:cs="Arial" w:eastAsia="Arial" w:hAnsi="Arial"/>
                <w:sz w:val="17"/>
                <w:szCs w:val="17"/>
                <w:b w:val="1"/>
                <w:bCs w:val="1"/>
                <w:color w:val="auto"/>
              </w:rPr>
              <w:t>(7,637)</w:t>
            </w:r>
          </w:p>
        </w:tc>
        <w:tc>
          <w:tcPr>
            <w:tcW w:w="1320" w:type="dxa"/>
            <w:vAlign w:val="bottom"/>
            <w:gridSpan w:val="3"/>
          </w:tcPr>
          <w:p>
            <w:pPr>
              <w:jc w:val="right"/>
              <w:ind w:right="420"/>
              <w:spacing w:after="0"/>
              <w:rPr>
                <w:sz w:val="20"/>
                <w:szCs w:val="20"/>
                <w:color w:val="auto"/>
              </w:rPr>
            </w:pPr>
            <w:r>
              <w:rPr>
                <w:rFonts w:ascii="Arial" w:cs="Arial" w:eastAsia="Arial" w:hAnsi="Arial"/>
                <w:sz w:val="17"/>
                <w:szCs w:val="17"/>
                <w:color w:val="auto"/>
              </w:rPr>
              <w:t>2,268</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Inventories</w:t>
            </w:r>
          </w:p>
        </w:tc>
        <w:tc>
          <w:tcPr>
            <w:tcW w:w="1560" w:type="dxa"/>
            <w:vAlign w:val="bottom"/>
            <w:gridSpan w:val="3"/>
            <w:shd w:val="clear" w:color="auto" w:fill="CCEEFF"/>
          </w:tcPr>
          <w:p>
            <w:pPr>
              <w:jc w:val="right"/>
              <w:ind w:right="92"/>
              <w:spacing w:after="0"/>
              <w:rPr>
                <w:sz w:val="20"/>
                <w:szCs w:val="20"/>
                <w:color w:val="auto"/>
              </w:rPr>
            </w:pPr>
            <w:r>
              <w:rPr>
                <w:rFonts w:ascii="Arial" w:cs="Arial" w:eastAsia="Arial" w:hAnsi="Arial"/>
                <w:sz w:val="17"/>
                <w:szCs w:val="17"/>
                <w:b w:val="1"/>
                <w:bCs w:val="1"/>
                <w:color w:val="auto"/>
              </w:rPr>
              <w:t>(1,394)</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8,203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660"/>
              <w:spacing w:after="0"/>
              <w:rPr>
                <w:sz w:val="20"/>
                <w:szCs w:val="20"/>
                <w:color w:val="auto"/>
              </w:rPr>
            </w:pPr>
            <w:r>
              <w:rPr>
                <w:rFonts w:ascii="Arial" w:cs="Arial" w:eastAsia="Arial" w:hAnsi="Arial"/>
                <w:sz w:val="17"/>
                <w:szCs w:val="17"/>
                <w:color w:val="auto"/>
              </w:rPr>
              <w:t>Prepaid insurance</w:t>
            </w: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auto"/>
              </w:rPr>
              <w:t>1,321</w:t>
            </w:r>
          </w:p>
        </w:tc>
        <w:tc>
          <w:tcPr>
            <w:tcW w:w="220" w:type="dxa"/>
            <w:vAlign w:val="bottom"/>
          </w:tcPr>
          <w:p>
            <w:pPr>
              <w:spacing w:after="0"/>
              <w:rPr>
                <w:sz w:val="17"/>
                <w:szCs w:val="17"/>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auto"/>
              </w:rPr>
              <w:t>(5,073)</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Prepaid and accrued income taxes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3,505</w:t>
            </w:r>
          </w:p>
        </w:tc>
        <w:tc>
          <w:tcPr>
            <w:tcW w:w="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(13,278)</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660"/>
              <w:spacing w:after="0"/>
              <w:rPr>
                <w:sz w:val="20"/>
                <w:szCs w:val="20"/>
                <w:color w:val="auto"/>
              </w:rPr>
            </w:pPr>
            <w:r>
              <w:rPr>
                <w:rFonts w:ascii="Arial" w:cs="Arial" w:eastAsia="Arial" w:hAnsi="Arial"/>
                <w:sz w:val="17"/>
                <w:szCs w:val="17"/>
                <w:color w:val="auto"/>
              </w:rPr>
              <w:t>Other supplies, prepaid items and other</w:t>
            </w: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auto"/>
              </w:rPr>
              <w:t>61</w:t>
            </w:r>
          </w:p>
        </w:tc>
        <w:tc>
          <w:tcPr>
            <w:tcW w:w="220" w:type="dxa"/>
            <w:vAlign w:val="bottom"/>
          </w:tcPr>
          <w:p>
            <w:pPr>
              <w:spacing w:after="0"/>
              <w:rPr>
                <w:sz w:val="17"/>
                <w:szCs w:val="17"/>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auto"/>
              </w:rPr>
              <w:t>(4,975)</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payable</w:t>
            </w:r>
          </w:p>
        </w:tc>
        <w:tc>
          <w:tcPr>
            <w:tcW w:w="1560" w:type="dxa"/>
            <w:vAlign w:val="bottom"/>
            <w:gridSpan w:val="3"/>
            <w:shd w:val="clear" w:color="auto" w:fill="CCEEFF"/>
          </w:tcPr>
          <w:p>
            <w:pPr>
              <w:jc w:val="right"/>
              <w:ind w:right="92"/>
              <w:spacing w:after="0"/>
              <w:rPr>
                <w:sz w:val="20"/>
                <w:szCs w:val="20"/>
                <w:color w:val="auto"/>
              </w:rPr>
            </w:pPr>
            <w:r>
              <w:rPr>
                <w:rFonts w:ascii="Arial" w:cs="Arial" w:eastAsia="Arial" w:hAnsi="Arial"/>
                <w:sz w:val="17"/>
                <w:szCs w:val="17"/>
                <w:b w:val="1"/>
                <w:bCs w:val="1"/>
                <w:color w:val="auto"/>
              </w:rPr>
              <w:t>(1,044)</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(6,032)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660"/>
              <w:spacing w:after="0"/>
              <w:rPr>
                <w:sz w:val="20"/>
                <w:szCs w:val="20"/>
                <w:color w:val="auto"/>
              </w:rPr>
            </w:pPr>
            <w:r>
              <w:rPr>
                <w:rFonts w:ascii="Arial" w:cs="Arial" w:eastAsia="Arial" w:hAnsi="Arial"/>
                <w:sz w:val="17"/>
                <w:szCs w:val="17"/>
                <w:color w:val="auto"/>
              </w:rPr>
              <w:t>Accrued interest</w:t>
            </w:r>
          </w:p>
        </w:tc>
        <w:tc>
          <w:tcPr>
            <w:tcW w:w="1560" w:type="dxa"/>
            <w:vAlign w:val="bottom"/>
            <w:gridSpan w:val="3"/>
          </w:tcPr>
          <w:p>
            <w:pPr>
              <w:jc w:val="right"/>
              <w:ind w:right="92"/>
              <w:spacing w:after="0"/>
              <w:rPr>
                <w:sz w:val="20"/>
                <w:szCs w:val="20"/>
                <w:color w:val="auto"/>
              </w:rPr>
            </w:pPr>
            <w:r>
              <w:rPr>
                <w:rFonts w:ascii="Arial" w:cs="Arial" w:eastAsia="Arial" w:hAnsi="Arial"/>
                <w:sz w:val="17"/>
                <w:szCs w:val="17"/>
                <w:b w:val="1"/>
                <w:bCs w:val="1"/>
                <w:color w:val="auto"/>
              </w:rPr>
              <w:t>(37)</w:t>
            </w:r>
          </w:p>
        </w:tc>
        <w:tc>
          <w:tcPr>
            <w:tcW w:w="1320" w:type="dxa"/>
            <w:vAlign w:val="bottom"/>
            <w:gridSpan w:val="3"/>
          </w:tcPr>
          <w:p>
            <w:pPr>
              <w:jc w:val="right"/>
              <w:ind w:right="420"/>
              <w:spacing w:after="0"/>
              <w:rPr>
                <w:sz w:val="20"/>
                <w:szCs w:val="20"/>
                <w:color w:val="auto"/>
              </w:rPr>
            </w:pPr>
            <w:r>
              <w:rPr>
                <w:rFonts w:ascii="Arial" w:cs="Arial" w:eastAsia="Arial" w:hAnsi="Arial"/>
                <w:sz w:val="17"/>
                <w:szCs w:val="17"/>
                <w:color w:val="auto"/>
              </w:rPr>
              <w:t>13,356</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Customer deposits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1,333</w:t>
            </w:r>
          </w:p>
        </w:tc>
        <w:tc>
          <w:tcPr>
            <w:tcW w:w="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(2,689)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660"/>
              <w:spacing w:after="0"/>
              <w:rPr>
                <w:sz w:val="20"/>
                <w:szCs w:val="20"/>
                <w:color w:val="auto"/>
              </w:rPr>
            </w:pPr>
            <w:r>
              <w:rPr>
                <w:rFonts w:ascii="Arial" w:cs="Arial" w:eastAsia="Arial" w:hAnsi="Arial"/>
                <w:sz w:val="17"/>
                <w:szCs w:val="17"/>
                <w:color w:val="auto"/>
              </w:rPr>
              <w:t>Other current and noncurrent liabilities</w:t>
            </w:r>
          </w:p>
        </w:tc>
        <w:tc>
          <w:tcPr>
            <w:tcW w:w="6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2,078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4,971</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continuing operating activities</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7"/>
                <w:szCs w:val="17"/>
                <w:b w:val="1"/>
                <w:bCs w:val="1"/>
                <w:color w:val="auto"/>
              </w:rPr>
              <w:t>66,744</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54,055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99,471</w:t>
            </w:r>
          </w:p>
        </w:tc>
        <w:tc>
          <w:tcPr>
            <w:tcW w:w="0" w:type="dxa"/>
            <w:vAlign w:val="bottom"/>
          </w:tcPr>
          <w:p>
            <w:pPr>
              <w:spacing w:after="0"/>
              <w:rPr>
                <w:sz w:val="1"/>
                <w:szCs w:val="1"/>
                <w:color w:val="auto"/>
              </w:rPr>
            </w:pPr>
          </w:p>
        </w:tc>
      </w:tr>
      <w:tr>
        <w:trPr>
          <w:trHeight w:val="305"/>
        </w:trPr>
        <w:tc>
          <w:tcPr>
            <w:tcW w:w="77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continuing investing activities</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Expenditures for property, plant and equipment</w:t>
            </w:r>
          </w:p>
        </w:tc>
        <w:tc>
          <w:tcPr>
            <w:tcW w:w="1560" w:type="dxa"/>
            <w:vAlign w:val="bottom"/>
            <w:gridSpan w:val="3"/>
            <w:shd w:val="clear" w:color="auto" w:fill="CCEEFF"/>
          </w:tcPr>
          <w:p>
            <w:pPr>
              <w:jc w:val="right"/>
              <w:ind w:right="92"/>
              <w:spacing w:after="0"/>
              <w:rPr>
                <w:sz w:val="20"/>
                <w:szCs w:val="20"/>
                <w:color w:val="auto"/>
              </w:rPr>
            </w:pPr>
            <w:r>
              <w:rPr>
                <w:rFonts w:ascii="Arial" w:cs="Arial" w:eastAsia="Arial" w:hAnsi="Arial"/>
                <w:sz w:val="17"/>
                <w:szCs w:val="17"/>
                <w:b w:val="1"/>
                <w:bCs w:val="1"/>
                <w:color w:val="auto"/>
              </w:rPr>
              <w:t>(219,842)</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(157,377)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Acquisition of working interests in natural gas properties</w:t>
            </w:r>
          </w:p>
        </w:tc>
        <w:tc>
          <w:tcPr>
            <w:tcW w:w="640" w:type="dxa"/>
            <w:vAlign w:val="bottom"/>
          </w:tcPr>
          <w:p>
            <w:pPr>
              <w:spacing w:after="0"/>
              <w:rPr>
                <w:sz w:val="17"/>
                <w:szCs w:val="17"/>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auto"/>
              </w:rPr>
              <w:t>(9,205)</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(50,219)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property insurance recovery associated with property, plant and equipment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5,147</w:t>
            </w:r>
          </w:p>
        </w:tc>
        <w:tc>
          <w:tcPr>
            <w:tcW w:w="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66,437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Software and software development costs</w:t>
            </w:r>
          </w:p>
        </w:tc>
        <w:tc>
          <w:tcPr>
            <w:tcW w:w="1560" w:type="dxa"/>
            <w:vAlign w:val="bottom"/>
            <w:gridSpan w:val="3"/>
          </w:tcPr>
          <w:p>
            <w:pPr>
              <w:jc w:val="right"/>
              <w:ind w:right="92"/>
              <w:spacing w:after="0"/>
              <w:rPr>
                <w:sz w:val="20"/>
                <w:szCs w:val="20"/>
                <w:color w:val="auto"/>
              </w:rPr>
            </w:pPr>
            <w:r>
              <w:rPr>
                <w:rFonts w:ascii="Arial" w:cs="Arial" w:eastAsia="Arial" w:hAnsi="Arial"/>
                <w:sz w:val="17"/>
                <w:szCs w:val="17"/>
                <w:b w:val="1"/>
                <w:bCs w:val="1"/>
                <w:color w:val="auto"/>
              </w:rPr>
              <w:t>(3,161)</w:t>
            </w: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auto"/>
              </w:rPr>
              <w:t>(966)</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sales of property and equipment</w:t>
            </w:r>
          </w:p>
        </w:tc>
        <w:tc>
          <w:tcPr>
            <w:tcW w:w="1560" w:type="dxa"/>
            <w:vAlign w:val="bottom"/>
            <w:gridSpan w:val="3"/>
            <w:shd w:val="clear" w:color="auto" w:fill="CCEEFF"/>
          </w:tcPr>
          <w:p>
            <w:pPr>
              <w:jc w:val="right"/>
              <w:ind w:right="152"/>
              <w:spacing w:after="0"/>
              <w:rPr>
                <w:sz w:val="20"/>
                <w:szCs w:val="20"/>
                <w:color w:val="auto"/>
              </w:rPr>
            </w:pPr>
            <w:r>
              <w:rPr>
                <w:rFonts w:ascii="Arial" w:cs="Arial" w:eastAsia="Arial" w:hAnsi="Arial"/>
                <w:sz w:val="17"/>
                <w:szCs w:val="17"/>
                <w:b w:val="1"/>
                <w:bCs w:val="1"/>
                <w:color w:val="auto"/>
              </w:rPr>
              <w:t>662</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1,459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Proceeds from short-term investments</w:t>
            </w:r>
          </w:p>
        </w:tc>
        <w:tc>
          <w:tcPr>
            <w:tcW w:w="1560" w:type="dxa"/>
            <w:vAlign w:val="bottom"/>
            <w:gridSpan w:val="3"/>
          </w:tcPr>
          <w:p>
            <w:pPr>
              <w:jc w:val="right"/>
              <w:ind w:right="152"/>
              <w:spacing w:after="0"/>
              <w:rPr>
                <w:sz w:val="20"/>
                <w:szCs w:val="20"/>
                <w:color w:val="auto"/>
              </w:rPr>
            </w:pPr>
            <w:r>
              <w:rPr>
                <w:rFonts w:ascii="Arial" w:cs="Arial" w:eastAsia="Arial" w:hAnsi="Arial"/>
                <w:sz w:val="17"/>
                <w:szCs w:val="17"/>
                <w:b w:val="1"/>
                <w:bCs w:val="1"/>
                <w:color w:val="auto"/>
              </w:rPr>
              <w:t>14,500</w:t>
            </w:r>
          </w:p>
        </w:tc>
        <w:tc>
          <w:tcPr>
            <w:tcW w:w="20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20,037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Purchases of short-term investments</w:t>
            </w:r>
          </w:p>
        </w:tc>
        <w:tc>
          <w:tcPr>
            <w:tcW w:w="1560" w:type="dxa"/>
            <w:vAlign w:val="bottom"/>
            <w:gridSpan w:val="3"/>
            <w:shd w:val="clear" w:color="auto" w:fill="CCEEFF"/>
          </w:tcPr>
          <w:p>
            <w:pPr>
              <w:jc w:val="right"/>
              <w:ind w:right="92"/>
              <w:spacing w:after="0"/>
              <w:rPr>
                <w:sz w:val="20"/>
                <w:szCs w:val="20"/>
                <w:color w:val="auto"/>
              </w:rPr>
            </w:pPr>
            <w:r>
              <w:rPr>
                <w:rFonts w:ascii="Arial" w:cs="Arial" w:eastAsia="Arial" w:hAnsi="Arial"/>
                <w:sz w:val="17"/>
                <w:szCs w:val="17"/>
                <w:b w:val="1"/>
                <w:bCs w:val="1"/>
                <w:color w:val="auto"/>
              </w:rPr>
              <w:t>(29,000)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Proceeds from noncurrent restricted cash and cash equivalents</w:t>
            </w: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200,111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Deposits of current and noncurrent restricted cash and cash equivalents</w:t>
            </w:r>
          </w:p>
        </w:tc>
        <w:tc>
          <w:tcPr>
            <w:tcW w:w="1560" w:type="dxa"/>
            <w:vAlign w:val="bottom"/>
            <w:gridSpan w:val="3"/>
            <w:shd w:val="clear" w:color="auto" w:fill="CCEEFF"/>
          </w:tcPr>
          <w:p>
            <w:pPr>
              <w:jc w:val="right"/>
              <w:ind w:right="92"/>
              <w:spacing w:after="0"/>
              <w:rPr>
                <w:sz w:val="20"/>
                <w:szCs w:val="20"/>
                <w:color w:val="auto"/>
              </w:rPr>
            </w:pPr>
            <w:r>
              <w:rPr>
                <w:rFonts w:ascii="Arial" w:cs="Arial" w:eastAsia="Arial" w:hAnsi="Arial"/>
                <w:sz w:val="17"/>
                <w:szCs w:val="17"/>
                <w:b w:val="1"/>
                <w:bCs w:val="1"/>
                <w:color w:val="auto"/>
              </w:rPr>
              <w:t>(165,471)</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(80,943)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Proceeds from noncurrent restricted investments</w:t>
            </w: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auto"/>
              </w:rPr>
              <w:t>259,990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Purchases of noncurrent restricted investments</w:t>
            </w:r>
          </w:p>
        </w:tc>
        <w:tc>
          <w:tcPr>
            <w:tcW w:w="1560" w:type="dxa"/>
            <w:vAlign w:val="bottom"/>
            <w:gridSpan w:val="3"/>
            <w:shd w:val="clear" w:color="auto" w:fill="CCEEFF"/>
          </w:tcPr>
          <w:p>
            <w:pPr>
              <w:jc w:val="right"/>
              <w:ind w:right="92"/>
              <w:spacing w:after="0"/>
              <w:rPr>
                <w:sz w:val="20"/>
                <w:szCs w:val="20"/>
                <w:color w:val="auto"/>
              </w:rPr>
            </w:pPr>
            <w:r>
              <w:rPr>
                <w:rFonts w:ascii="Arial" w:cs="Arial" w:eastAsia="Arial" w:hAnsi="Arial"/>
                <w:sz w:val="17"/>
                <w:szCs w:val="17"/>
                <w:b w:val="1"/>
                <w:bCs w:val="1"/>
                <w:color w:val="auto"/>
              </w:rPr>
              <w:t>(75,000)</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(209,990)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7"/>
                <w:szCs w:val="17"/>
                <w:color w:val="auto"/>
              </w:rPr>
              <w:t>Other investing activities</w:t>
            </w:r>
          </w:p>
        </w:tc>
        <w:tc>
          <w:tcPr>
            <w:tcW w:w="6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962</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by continuing investing activities</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7"/>
                <w:szCs w:val="17"/>
                <w:b w:val="1"/>
                <w:bCs w:val="1"/>
                <w:color w:val="auto"/>
              </w:rPr>
              <w:t>(12,023)</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(389,623)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(121,669)</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 on following page)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1"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 (continued)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w w:val="95"/>
              </w:rPr>
              <w:t>(In Thousands)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8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continuing financing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Arial" w:cs="Arial" w:eastAsia="Arial" w:hAnsi="Arial"/>
                <w:sz w:val="17"/>
                <w:szCs w:val="17"/>
                <w:color w:val="auto"/>
              </w:rPr>
              <w:t>Proceeds from senior secured notes, net of pay off of secured term loan and fees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$350,957</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other long-term debt, net of fees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39,825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Arial" w:cs="Arial" w:eastAsia="Arial" w:hAnsi="Arial"/>
                <w:sz w:val="17"/>
                <w:szCs w:val="17"/>
                <w:color w:val="auto"/>
              </w:rPr>
              <w:t>Payments on other long-term debt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4"/>
              </w:rPr>
              <w:t>(10,473)</w:t>
            </w: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(12,647)</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(7,019)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Payments of debt issuance costs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(1,872)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Arial" w:cs="Arial" w:eastAsia="Arial" w:hAnsi="Arial"/>
                <w:sz w:val="17"/>
                <w:szCs w:val="17"/>
                <w:color w:val="auto"/>
              </w:rPr>
              <w:t>Proceeds from short-term financing</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14,346</w:t>
            </w:r>
          </w:p>
        </w:tc>
        <w:tc>
          <w:tcPr>
            <w:tcW w:w="1120" w:type="dxa"/>
            <w:vAlign w:val="bottom"/>
            <w:gridSpan w:val="3"/>
          </w:tcPr>
          <w:p>
            <w:pPr>
              <w:jc w:val="right"/>
              <w:ind w:right="320"/>
              <w:spacing w:after="0"/>
              <w:rPr>
                <w:sz w:val="20"/>
                <w:szCs w:val="20"/>
                <w:color w:val="auto"/>
              </w:rPr>
            </w:pPr>
            <w:r>
              <w:rPr>
                <w:rFonts w:ascii="Arial" w:cs="Arial" w:eastAsia="Arial" w:hAnsi="Arial"/>
                <w:sz w:val="17"/>
                <w:szCs w:val="17"/>
                <w:color w:val="auto"/>
              </w:rPr>
              <w:t>16,385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Payments on short-term financing</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4"/>
              </w:rPr>
              <w:t>(16,140)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(11,890)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Arial" w:cs="Arial" w:eastAsia="Arial" w:hAnsi="Arial"/>
                <w:sz w:val="17"/>
                <w:szCs w:val="17"/>
                <w:color w:val="auto"/>
              </w:rPr>
              <w:t>Proceeds from revolving debt facility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209,238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Payments on revolving debt facility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7"/>
              </w:rPr>
              <w:t>(209,238)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Arial" w:cs="Arial" w:eastAsia="Arial" w:hAnsi="Arial"/>
                <w:sz w:val="17"/>
                <w:szCs w:val="17"/>
                <w:color w:val="auto"/>
              </w:rPr>
              <w:t>Payments on loans secured by cash value of life insurance policies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exercises of stock options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1,074</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Arial" w:cs="Arial" w:eastAsia="Arial" w:hAnsi="Arial"/>
                <w:sz w:val="17"/>
                <w:szCs w:val="17"/>
                <w:color w:val="auto"/>
              </w:rPr>
              <w:t>Excess income tax benefit associated with stock-based compensation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 of redeemable preferred stock</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20"/>
              <w:spacing w:after="0"/>
              <w:rPr>
                <w:sz w:val="20"/>
                <w:szCs w:val="20"/>
                <w:color w:val="auto"/>
              </w:rPr>
            </w:pPr>
            <w:r>
              <w:rPr>
                <w:rFonts w:ascii="Arial" w:cs="Arial" w:eastAsia="Arial" w:hAnsi="Arial"/>
                <w:sz w:val="17"/>
                <w:szCs w:val="17"/>
                <w:color w:val="auto"/>
              </w:rPr>
              <w:t>Dividends paid on preferred stocks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(300)</w:t>
            </w: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(used) by continuing financing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4"/>
              </w:rPr>
              <w:t>(11,493)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381,472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7"/>
                <w:szCs w:val="17"/>
                <w:color w:val="auto"/>
              </w:rPr>
              <w:t>Cash flows of discontinued operations: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cash flows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(167)</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7"/>
                <w:szCs w:val="17"/>
                <w:color w:val="auto"/>
              </w:rPr>
              <w:t>Net increase (decrease) in cash and cash equivalents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43,061</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45,730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(26,909)</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year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143,750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98,020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124,929</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7"/>
                <w:szCs w:val="17"/>
                <w:color w:val="auto"/>
              </w:rPr>
              <w:t>Cash and cash equivalents at end of year</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w w:val="87"/>
              </w:rPr>
              <w:t>186,811</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143,750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98,020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1"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110"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b w:val="1"/>
          <w:bCs w:val="1"/>
          <w:color w:val="auto"/>
        </w:rPr>
        <w:t xml:space="preserve">Basis of Consolidation - </w:t>
      </w:r>
      <w:r>
        <w:rPr>
          <w:rFonts w:ascii="Arial" w:cs="Arial" w:eastAsia="Arial" w:hAnsi="Arial"/>
          <w:sz w:val="15"/>
          <w:szCs w:val="15"/>
          <w:color w:val="auto"/>
        </w:rPr>
        <w:t>LSB Industries, Inc. (“LSB”) and its subsidiaries (the “Company”, “We”, “Us”, or “Our”) are consolidated in the accompanying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statements. We are involved in manufacturing and marketing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are 20% to 50% owned and for which we have significant influence are accounted for on the equity method. All material intercompany accounts and transactions have been eliminated.</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b w:val="1"/>
          <w:bCs w:val="1"/>
          <w:color w:val="auto"/>
        </w:rPr>
        <w:t xml:space="preserve">Reclassifications - </w:t>
      </w:r>
      <w:r>
        <w:rPr>
          <w:rFonts w:ascii="Arial" w:cs="Arial" w:eastAsia="Arial" w:hAnsi="Arial"/>
          <w:sz w:val="17"/>
          <w:szCs w:val="17"/>
          <w:color w:val="auto"/>
        </w:rPr>
        <w:t>Reclassifications have been made in our consolidated balance sheet at December 31, 2013 to conform to our consolidated balance sheet at</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2014, which reclassifications expand and combine certain noncurrent other asset line items. These reclassifications did not impact the total amount of noncurrent other assets at December 31, 2013. In addition, reclassifications have been made in our consolidated statement of cash flows for 2012 and 2013 to conform to our consolidated statement of cash flows for 2014, which reclassifications expand an operating activity line item and combine various investing activities line items. These reclassifications did not impact the total amount of net cash provided by continuing operating activities or net cash used by continuing investing activities for 2012 and 2013.</w:t>
      </w:r>
    </w:p>
    <w:p>
      <w:pPr>
        <w:spacing w:after="0" w:line="177" w:lineRule="exact"/>
        <w:rPr>
          <w:sz w:val="20"/>
          <w:szCs w:val="20"/>
          <w:color w:val="auto"/>
        </w:rPr>
      </w:pPr>
    </w:p>
    <w:p>
      <w:pPr>
        <w:spacing w:after="0" w:line="315" w:lineRule="auto"/>
        <w:rPr>
          <w:sz w:val="20"/>
          <w:szCs w:val="20"/>
          <w:color w:val="auto"/>
        </w:rPr>
      </w:pPr>
      <w:r>
        <w:rPr>
          <w:rFonts w:ascii="Arial" w:cs="Arial" w:eastAsia="Arial" w:hAnsi="Arial"/>
          <w:sz w:val="15"/>
          <w:szCs w:val="15"/>
          <w:b w:val="1"/>
          <w:bCs w:val="1"/>
          <w:color w:val="auto"/>
        </w:rPr>
        <w:t xml:space="preserve">Use of Estimates - </w:t>
      </w:r>
      <w:r>
        <w:rPr>
          <w:rFonts w:ascii="Arial" w:cs="Arial" w:eastAsia="Arial" w:hAnsi="Arial"/>
          <w:sz w:val="15"/>
          <w:szCs w:val="15"/>
          <w:color w:val="auto"/>
        </w:rPr>
        <w:t>The preparation of consolidated financial statements in conformity with United States (“U.S.”) generally accepted accounting principles (“GAAP”)</w:t>
      </w:r>
      <w:r>
        <w:rPr>
          <w:rFonts w:ascii="Arial" w:cs="Arial" w:eastAsia="Arial" w:hAnsi="Arial"/>
          <w:sz w:val="15"/>
          <w:szCs w:val="15"/>
          <w:b w:val="1"/>
          <w:bCs w:val="1"/>
          <w:color w:val="auto"/>
        </w:rPr>
        <w:t xml:space="preserve"> </w:t>
      </w:r>
      <w:r>
        <w:rPr>
          <w:rFonts w:ascii="Arial" w:cs="Arial" w:eastAsia="Arial" w:hAnsi="Arial"/>
          <w:sz w:val="15"/>
          <w:szCs w:val="15"/>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4" w:lineRule="exact"/>
        <w:rPr>
          <w:sz w:val="20"/>
          <w:szCs w:val="20"/>
          <w:color w:val="auto"/>
        </w:rPr>
      </w:pPr>
    </w:p>
    <w:p>
      <w:pPr>
        <w:ind w:right="360"/>
        <w:spacing w:after="0" w:line="315" w:lineRule="auto"/>
        <w:rPr>
          <w:sz w:val="20"/>
          <w:szCs w:val="20"/>
          <w:color w:val="auto"/>
        </w:rPr>
      </w:pPr>
      <w:r>
        <w:rPr>
          <w:rFonts w:ascii="Arial" w:cs="Arial" w:eastAsia="Arial" w:hAnsi="Arial"/>
          <w:sz w:val="15"/>
          <w:szCs w:val="15"/>
          <w:b w:val="1"/>
          <w:bCs w:val="1"/>
          <w:color w:val="auto"/>
        </w:rPr>
        <w:t xml:space="preserve">Business Combinations - </w:t>
      </w:r>
      <w:r>
        <w:rPr>
          <w:rFonts w:ascii="Arial" w:cs="Arial" w:eastAsia="Arial" w:hAnsi="Arial"/>
          <w:sz w:val="15"/>
          <w:szCs w:val="15"/>
          <w:color w:val="auto"/>
        </w:rPr>
        <w:t>We account for an acquired business using the acquisition method of accounting, which requires that the assets acquired and liabilities</w:t>
      </w:r>
      <w:r>
        <w:rPr>
          <w:rFonts w:ascii="Arial" w:cs="Arial" w:eastAsia="Arial" w:hAnsi="Arial"/>
          <w:sz w:val="15"/>
          <w:szCs w:val="15"/>
          <w:b w:val="1"/>
          <w:bCs w:val="1"/>
          <w:color w:val="auto"/>
        </w:rPr>
        <w:t xml:space="preserve"> </w:t>
      </w:r>
      <w:r>
        <w:rPr>
          <w:rFonts w:ascii="Arial" w:cs="Arial" w:eastAsia="Arial" w:hAnsi="Arial"/>
          <w:sz w:val="15"/>
          <w:szCs w:val="15"/>
          <w:color w:val="auto"/>
        </w:rPr>
        <w:t>assumed be recorded at the date of acquisition at their respective fair values. If applicable, any excess of the purchase price over the estimated fair values of the net assets acquired is recorded as goodwill. Acquisition-related costs are recognized separately from the business combination and are expensed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Cash and Cash Equivalents - </w:t>
      </w:r>
      <w:r>
        <w:rPr>
          <w:rFonts w:ascii="Arial" w:cs="Arial" w:eastAsia="Arial" w:hAnsi="Arial"/>
          <w:sz w:val="15"/>
          <w:szCs w:val="15"/>
          <w:color w:val="auto"/>
        </w:rPr>
        <w:t>Investments, which consist of highly liquid investments with original maturities of three months or less, are considered cash equivalents</w:t>
      </w:r>
    </w:p>
    <w:p>
      <w:pPr>
        <w:spacing w:after="0" w:line="234"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b w:val="1"/>
          <w:bCs w:val="1"/>
          <w:color w:val="auto"/>
        </w:rPr>
        <w:t xml:space="preserve">Short-Term Investments - </w:t>
      </w:r>
      <w:r>
        <w:rPr>
          <w:rFonts w:ascii="Arial" w:cs="Arial" w:eastAsia="Arial" w:hAnsi="Arial"/>
          <w:sz w:val="17"/>
          <w:szCs w:val="17"/>
          <w:color w:val="auto"/>
        </w:rPr>
        <w:t>Investments, which consist of certificates of deposit with an original maturity of 26 weeks, are considered short-term investments. These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are carried at cost which approximates fair value.</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 Our accounts receivable are stated at net realizable value. This value includes an appropriate allowance for estimated uncollectible accounts to</w:t>
      </w:r>
      <w:r>
        <w:rPr>
          <w:rFonts w:ascii="Arial" w:cs="Arial" w:eastAsia="Arial" w:hAnsi="Arial"/>
          <w:sz w:val="17"/>
          <w:szCs w:val="17"/>
          <w:b w:val="1"/>
          <w:bCs w:val="1"/>
          <w:color w:val="auto"/>
        </w:rPr>
        <w:t xml:space="preserve"> </w:t>
      </w:r>
      <w:r>
        <w:rPr>
          <w:rFonts w:ascii="Arial" w:cs="Arial" w:eastAsia="Arial" w:hAnsi="Arial"/>
          <w:sz w:val="17"/>
          <w:szCs w:val="17"/>
          <w:color w:val="auto"/>
        </w:rPr>
        <w:t>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w:t>
      </w:r>
    </w:p>
    <w:p>
      <w:pPr>
        <w:spacing w:after="0" w:line="1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7"/>
          <w:szCs w:val="17"/>
          <w:b w:val="1"/>
          <w:bCs w:val="1"/>
          <w:color w:val="auto"/>
        </w:rPr>
        <w:t xml:space="preserve">Inventories - </w:t>
      </w:r>
      <w:r>
        <w:rPr>
          <w:rFonts w:ascii="Arial" w:cs="Arial" w:eastAsia="Arial" w:hAnsi="Arial"/>
          <w:sz w:val="17"/>
          <w:szCs w:val="17"/>
          <w:color w:val="auto"/>
        </w:rPr>
        <w:t>Inventories are stated at the lower of cost (determined using the first-in, first-out (“FIFO”) basis) or market (net realizable value). Finished goods and</w:t>
      </w:r>
      <w:r>
        <w:rPr>
          <w:rFonts w:ascii="Arial" w:cs="Arial" w:eastAsia="Arial" w:hAnsi="Arial"/>
          <w:sz w:val="17"/>
          <w:szCs w:val="17"/>
          <w:b w:val="1"/>
          <w:bCs w:val="1"/>
          <w:color w:val="auto"/>
        </w:rPr>
        <w:t xml:space="preserve"> </w:t>
      </w:r>
      <w:r>
        <w:rPr>
          <w:rFonts w:ascii="Arial" w:cs="Arial" w:eastAsia="Arial" w:hAnsi="Arial"/>
          <w:sz w:val="17"/>
          <w:szCs w:val="17"/>
          <w:color w:val="auto"/>
        </w:rPr>
        <w:t>work-in-process inventories include material, labor, and manufacturing overhead costs. Additionally, we review inventories and record inventory reserves for slow-moving inventory items to state them at net realizable value.</w:t>
      </w:r>
    </w:p>
    <w:p>
      <w:pPr>
        <w:spacing w:after="0" w:line="168"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b w:val="1"/>
          <w:bCs w:val="1"/>
          <w:color w:val="auto"/>
        </w:rPr>
        <w:t xml:space="preserve">Precious Metals - </w:t>
      </w:r>
      <w:r>
        <w:rPr>
          <w:rFonts w:ascii="Arial" w:cs="Arial" w:eastAsia="Arial" w:hAnsi="Arial"/>
          <w:sz w:val="17"/>
          <w:szCs w:val="17"/>
          <w:color w:val="auto"/>
        </w:rPr>
        <w:t>Precious metals are used as a catalyst in the Chemical Business manufacturing process. Precious metals are carried at cost, with cost being</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using 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1"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48"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auto"/>
        </w:rPr>
        <w:t xml:space="preserve">Property, Plant and Equipment - </w:t>
      </w:r>
      <w:r>
        <w:rPr>
          <w:rFonts w:ascii="Arial" w:cs="Arial" w:eastAsia="Arial" w:hAnsi="Arial"/>
          <w:sz w:val="16"/>
          <w:szCs w:val="16"/>
          <w:color w:val="auto"/>
        </w:rPr>
        <w:t>Property, plant and equipment (“PP&amp;E”) are stated at cost, net of accumulated depreciation, depletion and amortization (“DD&amp;A”).</w:t>
      </w:r>
      <w:r>
        <w:rPr>
          <w:rFonts w:ascii="Arial" w:cs="Arial" w:eastAsia="Arial" w:hAnsi="Arial"/>
          <w:sz w:val="16"/>
          <w:szCs w:val="16"/>
          <w:b w:val="1"/>
          <w:bCs w:val="1"/>
          <w:color w:val="auto"/>
        </w:rPr>
        <w:t xml:space="preserve"> </w:t>
      </w:r>
      <w:r>
        <w:rPr>
          <w:rFonts w:ascii="Arial" w:cs="Arial" w:eastAsia="Arial" w:hAnsi="Arial"/>
          <w:sz w:val="16"/>
          <w:szCs w:val="16"/>
          <w:color w:val="auto"/>
        </w:rPr>
        <w:t>Leases meeting capital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in our Chemical Business are expensed as they are incurred.</w:t>
      </w:r>
    </w:p>
    <w:p>
      <w:pPr>
        <w:spacing w:after="0" w:line="162" w:lineRule="exact"/>
        <w:rPr>
          <w:sz w:val="20"/>
          <w:szCs w:val="20"/>
          <w:color w:val="auto"/>
        </w:rPr>
      </w:pPr>
    </w:p>
    <w:p>
      <w:pPr>
        <w:ind w:right="60"/>
        <w:spacing w:after="0" w:line="341" w:lineRule="auto"/>
        <w:rPr>
          <w:sz w:val="20"/>
          <w:szCs w:val="20"/>
          <w:color w:val="auto"/>
        </w:rPr>
      </w:pPr>
      <w:r>
        <w:rPr>
          <w:rFonts w:ascii="Arial" w:cs="Arial" w:eastAsia="Arial" w:hAnsi="Arial"/>
          <w:sz w:val="15"/>
          <w:szCs w:val="15"/>
          <w:color w:val="auto"/>
        </w:rPr>
        <w:t>As it relates to natural gas properties, leasehold costs, intangible drilling and other costs of successful wells and development dry holes are capitalized in PP&amp;E based on successful efforts accounting. The costs of exploratory wells are initially capitalized in PP&amp;E, but expensed if and when the well is determined to be nonproductive.</w:t>
      </w:r>
    </w:p>
    <w:p>
      <w:pPr>
        <w:spacing w:after="0" w:line="120"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 DD&amp;A of the costs of producing natural gas properties are computed using the units of production method primarily on a field-by-field basis using proved or proved developed reserves, as applicable, as estimated by our independent consulting petroleum engineer. No provision for DD&amp;A is made on nonproducing leasehold costs and exploratory wells in progress until such time as the relevant assets relate to proven reserves.</w:t>
      </w:r>
    </w:p>
    <w:p>
      <w:pPr>
        <w:spacing w:after="0" w:line="18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Our natural gas reserves are based on estimates and assumptions, which affect our DD&amp;A calculations. Our independent consulting petroleum engineer, with our assistance, prepares estimates of natural gas reserves based on available relevant data and information. For DD&amp;A purposes, and as required by the guidelines and definitions established by the Securities and Exchange Commission (“SEC”), the reserve estimates are based on average natural gas prices during the 12-month period, determined as an unweighted arithmetic average of the first-day-of-the-month price for each month.</w:t>
      </w:r>
    </w:p>
    <w:p>
      <w:pPr>
        <w:spacing w:after="0" w:line="160"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b w:val="1"/>
          <w:bCs w:val="1"/>
          <w:color w:val="auto"/>
        </w:rPr>
        <w:t xml:space="preserve">Impairment of Long-Lived Assets - </w:t>
      </w:r>
      <w:r>
        <w:rPr>
          <w:rFonts w:ascii="Arial" w:cs="Arial" w:eastAsia="Arial" w:hAnsi="Arial"/>
          <w:sz w:val="15"/>
          <w:szCs w:val="15"/>
          <w:color w:val="auto"/>
        </w:rPr>
        <w:t>Long-lived assets are reviewed for impairment whenever events or changes in circumstances indicate that the carrying amount of</w:t>
      </w:r>
      <w:r>
        <w:rPr>
          <w:rFonts w:ascii="Arial" w:cs="Arial" w:eastAsia="Arial" w:hAnsi="Arial"/>
          <w:sz w:val="15"/>
          <w:szCs w:val="15"/>
          <w:b w:val="1"/>
          <w:bCs w:val="1"/>
          <w:color w:val="auto"/>
        </w:rPr>
        <w:t xml:space="preserve"> </w:t>
      </w:r>
      <w:r>
        <w:rPr>
          <w:rFonts w:ascii="Arial" w:cs="Arial" w:eastAsia="Arial" w:hAnsi="Arial"/>
          <w:sz w:val="15"/>
          <w:szCs w:val="15"/>
          <w:color w:val="auto"/>
        </w:rPr>
        <w:t>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As it relates to natural gas properties, proven natural gas properties are reviewed for impairment on a field-by-field basis and nonproducing leasehold costs are reviewed for impairment on a property-by-property basis.</w:t>
      </w:r>
    </w:p>
    <w:p>
      <w:pPr>
        <w:spacing w:after="0" w:line="1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general, assets held for sale are reported at the lower of the carrying amounts of the assets or fair values less costs to sell. At December 31, 2014 and 2013, we had no long-lived assets classified as assets held for sale.</w:t>
      </w:r>
    </w:p>
    <w:p>
      <w:pPr>
        <w:spacing w:after="0" w:line="161"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b w:val="1"/>
          <w:bCs w:val="1"/>
          <w:color w:val="auto"/>
        </w:rPr>
        <w:t xml:space="preserve">Noncurrent Restricted Cash and Cash Equivalents - </w:t>
      </w:r>
      <w:r>
        <w:rPr>
          <w:rFonts w:ascii="Arial" w:cs="Arial" w:eastAsia="Arial" w:hAnsi="Arial"/>
          <w:sz w:val="17"/>
          <w:szCs w:val="17"/>
          <w:color w:val="auto"/>
        </w:rPr>
        <w:t>Noncurrent restricted cash and cash equivalents consists of balances that are designated by us for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relating to capital projects.</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color w:val="auto"/>
        </w:rPr>
        <w:t xml:space="preserve">Noncurrent Restricted Investments - </w:t>
      </w:r>
      <w:r>
        <w:rPr>
          <w:rFonts w:ascii="Arial" w:cs="Arial" w:eastAsia="Arial" w:hAnsi="Arial"/>
          <w:sz w:val="17"/>
          <w:szCs w:val="17"/>
          <w:color w:val="auto"/>
        </w:rPr>
        <w:t>Noncurrent restricted investments consist of investment balances that are designated by us for specific purposes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projects. At December 31, 2014, the balance includes an investment in a certificate of deposit with an original maturity no longer than approximately 26 weeks. The investment is carried at cost, which approximates fair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00"/>
          </w:cols>
          <w:pgMar w:left="240" w:top="441" w:right="2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48" w:lineRule="exact"/>
        <w:rPr>
          <w:sz w:val="20"/>
          <w:szCs w:val="20"/>
          <w:color w:val="auto"/>
        </w:rPr>
      </w:pPr>
    </w:p>
    <w:p>
      <w:pPr>
        <w:jc w:val="both"/>
        <w:ind w:right="200"/>
        <w:spacing w:after="0" w:line="259" w:lineRule="auto"/>
        <w:rPr>
          <w:sz w:val="20"/>
          <w:szCs w:val="20"/>
          <w:color w:val="auto"/>
        </w:rPr>
      </w:pPr>
      <w:r>
        <w:rPr>
          <w:rFonts w:ascii="Arial" w:cs="Arial" w:eastAsia="Arial" w:hAnsi="Arial"/>
          <w:sz w:val="17"/>
          <w:szCs w:val="17"/>
          <w:b w:val="1"/>
          <w:bCs w:val="1"/>
          <w:color w:val="auto"/>
        </w:rPr>
        <w:t xml:space="preserve">Concentration of Credit Risks for Cash, Cash Equivalents, and Investments at Financial Institutions – </w:t>
      </w:r>
      <w:r>
        <w:rPr>
          <w:rFonts w:ascii="Arial" w:cs="Arial" w:eastAsia="Arial" w:hAnsi="Arial"/>
          <w:sz w:val="17"/>
          <w:szCs w:val="17"/>
          <w:color w:val="auto"/>
        </w:rPr>
        <w:t>Financial instruments relating to cash,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investments (certificates of deposits), classified as both current and noncurrent, potentially subject us to concentrations of credit risk. At December 31, 2014, the total balance of these financial instruments exceeded the FDIC-insured limits by approximately $39 million. All of these financial instruments were held by financial institutions within the U.S.</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color w:val="auto"/>
        </w:rPr>
        <w:t xml:space="preserve">Capitalized Software – </w:t>
      </w:r>
      <w:r>
        <w:rPr>
          <w:rFonts w:ascii="Arial" w:cs="Arial" w:eastAsia="Arial" w:hAnsi="Arial"/>
          <w:sz w:val="17"/>
          <w:szCs w:val="17"/>
          <w:color w:val="auto"/>
        </w:rPr>
        <w:t>Capitalized software primarily relates to implementing a new enterprise resource planning software (ERP) for internal use and is stated at cost,</w:t>
      </w:r>
      <w:r>
        <w:rPr>
          <w:rFonts w:ascii="Arial" w:cs="Arial" w:eastAsia="Arial" w:hAnsi="Arial"/>
          <w:sz w:val="17"/>
          <w:szCs w:val="17"/>
          <w:b w:val="1"/>
          <w:bCs w:val="1"/>
          <w:color w:val="auto"/>
        </w:rPr>
        <w:t xml:space="preserve"> </w:t>
      </w:r>
      <w:r>
        <w:rPr>
          <w:rFonts w:ascii="Arial" w:cs="Arial" w:eastAsia="Arial" w:hAnsi="Arial"/>
          <w:sz w:val="17"/>
          <w:szCs w:val="17"/>
          <w:color w:val="auto"/>
        </w:rPr>
        <w:t>net of accumulated amortization. Capitalized software costs include software purchase costs and internal and external costs for implementing software. For financial reporting purposes, amortization of capitalized software costs is computed using the straight-line method over the estimated useful lives of the software, which is primarily eight years. During 2014 and 2013, interest cost capitalized in capitalized software was $0.5 million and $0.1 million, respectively (none in 2012). No provision for amortization is made until such time as the relevant assets are placed into service. Amortization expense related to capitalized software was $0.4 million for 2014, minimal in 2013 (none in 2012). Estimated amortization related to capitalized software for each of the subsequent five years, 2015 through 2019, is $1.2 million, $2.2 million, $2.7 million, $2.7 million and $2.6 million, respectively. The estimated amortization is based on management’s expected ERP implementation completion during the fourth quarter of 2016.</w:t>
      </w:r>
    </w:p>
    <w:p>
      <w:pPr>
        <w:spacing w:after="0" w:line="181"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b w:val="1"/>
          <w:bCs w:val="1"/>
          <w:color w:val="auto"/>
        </w:rPr>
        <w:t xml:space="preserve">Capitalized Interest - </w:t>
      </w:r>
      <w:r>
        <w:rPr>
          <w:rFonts w:ascii="Arial" w:cs="Arial" w:eastAsia="Arial" w:hAnsi="Arial"/>
          <w:sz w:val="17"/>
          <w:szCs w:val="17"/>
          <w:color w:val="auto"/>
        </w:rPr>
        <w:t>Interest cost on borrowings incurred during a significant construction or development project is capitalized. Capitalized interest is added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asset and amortized over the estimated useful lives of the assets.</w:t>
      </w:r>
    </w:p>
    <w:p>
      <w:pPr>
        <w:spacing w:after="0" w:line="15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 Goodwill is reviewed for impairment at least annually. An impairment loss generally would be recognized when the carrying amount of the reporting unit’s</w:t>
      </w:r>
      <w:r>
        <w:rPr>
          <w:rFonts w:ascii="Arial" w:cs="Arial" w:eastAsia="Arial" w:hAnsi="Arial"/>
          <w:sz w:val="16"/>
          <w:szCs w:val="16"/>
          <w:b w:val="1"/>
          <w:bCs w:val="1"/>
          <w:color w:val="auto"/>
        </w:rPr>
        <w:t xml:space="preserve"> </w:t>
      </w:r>
      <w:r>
        <w:rPr>
          <w:rFonts w:ascii="Arial" w:cs="Arial" w:eastAsia="Arial" w:hAnsi="Arial"/>
          <w:sz w:val="16"/>
          <w:szCs w:val="16"/>
          <w:color w:val="auto"/>
        </w:rPr>
        <w:t>net assets exceeds the estimated fair value of the reporting unit. Reporting units are one level below the business segment level. No impairments of goodwill were incurred in 2014, 2013, or 2012. Goodwill relates to business acquisitions in prior periods in the following business segments:</w:t>
      </w:r>
    </w:p>
    <w:p>
      <w:pPr>
        <w:spacing w:after="0" w:line="165"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December 31,</w:t>
      </w:r>
    </w:p>
    <w:p>
      <w:pPr>
        <w:ind w:left="8700"/>
        <w:spacing w:after="0" w:line="227" w:lineRule="auto"/>
        <w:tabs>
          <w:tab w:leader="none" w:pos="95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-3175</wp:posOffset>
            </wp:positionV>
            <wp:extent cx="8712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ind w:left="8860"/>
        <w:spacing w:after="0" w:line="218" w:lineRule="auto"/>
        <w:rPr>
          <w:sz w:val="20"/>
          <w:szCs w:val="20"/>
          <w:color w:val="auto"/>
        </w:rPr>
      </w:pPr>
      <w:r>
        <w:rPr>
          <w:rFonts w:ascii="Arial" w:cs="Arial" w:eastAsia="Arial" w:hAnsi="Arial"/>
          <w:sz w:val="14"/>
          <w:szCs w:val="14"/>
          <w:color w:val="auto"/>
        </w:rPr>
        <w:t>(In Thousands)</w:t>
      </w:r>
    </w:p>
    <w:p>
      <w:pPr>
        <w:spacing w:after="0" w:line="8"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Chemical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$1,621</w:t>
            </w:r>
          </w:p>
        </w:tc>
        <w:tc>
          <w:tcPr>
            <w:tcW w:w="2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$1,621</w:t>
            </w: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Climate Control</w:t>
            </w:r>
          </w:p>
        </w:tc>
        <w:tc>
          <w:tcPr>
            <w:tcW w:w="29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103</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103</w:t>
            </w:r>
          </w:p>
        </w:tc>
      </w:tr>
      <w:tr>
        <w:trPr>
          <w:trHeight w:val="25"/>
        </w:trPr>
        <w:tc>
          <w:tcPr>
            <w:tcW w:w="4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goodwill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1,724</w:t>
            </w:r>
          </w:p>
        </w:tc>
        <w:tc>
          <w:tcPr>
            <w:tcW w:w="2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1,724</w:t>
            </w:r>
          </w:p>
        </w:tc>
      </w:tr>
      <w:tr>
        <w:trPr>
          <w:trHeight w:val="20"/>
        </w:trPr>
        <w:tc>
          <w:tcPr>
            <w:tcW w:w="4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color w:val="auto"/>
        </w:rPr>
        <w:t xml:space="preserve">Short-Term Financing - </w:t>
      </w:r>
      <w:r>
        <w:rPr>
          <w:rFonts w:ascii="Arial" w:cs="Arial" w:eastAsia="Arial" w:hAnsi="Arial"/>
          <w:sz w:val="17"/>
          <w:szCs w:val="17"/>
          <w:color w:val="auto"/>
        </w:rPr>
        <w:t>Our short-term financing relates primarily to agreements entered into to finance a portion of our annual premiums for certain of our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color w:val="auto"/>
        </w:rPr>
        <w:t xml:space="preserve">Accrued Insurance Liabilities - </w:t>
      </w:r>
      <w:r>
        <w:rPr>
          <w:rFonts w:ascii="Arial" w:cs="Arial" w:eastAsia="Arial" w:hAnsi="Arial"/>
          <w:sz w:val="16"/>
          <w:szCs w:val="16"/>
          <w:color w:val="auto"/>
        </w:rPr>
        <w:t>We are self-insured up to certain limits for group health, workers’ compensation and general liability claims. Above these limits,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Business facilities. Additional pollution liability coverage for our other facilities is provided in our general liability and umbrella policies. As it relates to our natural gas properties within our Chemical Business that we do not operate but only own a working interest, insurance policies are maintained by the operator, which we are responsible for our proportionate share of the costs involved.</w:t>
      </w:r>
    </w:p>
    <w:p>
      <w:pPr>
        <w:spacing w:after="0" w:line="16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441" w:right="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4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color w:val="auto"/>
        </w:rPr>
        <w:t xml:space="preserve">Accrued Warranty Costs - </w:t>
      </w:r>
      <w:r>
        <w:rPr>
          <w:rFonts w:ascii="Arial" w:cs="Arial" w:eastAsia="Arial" w:hAnsi="Arial"/>
          <w:sz w:val="16"/>
          <w:szCs w:val="16"/>
          <w:color w:val="auto"/>
        </w:rPr>
        <w:t>Our Climate Control Business sells equipment that has an expected life, under normal circumstances and use, which extends over several</w:t>
      </w:r>
      <w:r>
        <w:rPr>
          <w:rFonts w:ascii="Arial" w:cs="Arial" w:eastAsia="Arial" w:hAnsi="Arial"/>
          <w:sz w:val="16"/>
          <w:szCs w:val="16"/>
          <w:b w:val="1"/>
          <w:bCs w:val="1"/>
          <w:color w:val="auto"/>
        </w:rPr>
        <w:t xml:space="preserve"> </w:t>
      </w:r>
      <w:r>
        <w:rPr>
          <w:rFonts w:ascii="Arial" w:cs="Arial" w:eastAsia="Arial" w:hAnsi="Arial"/>
          <w:sz w:val="16"/>
          <w:szCs w:val="16"/>
          <w:color w:val="auto"/>
        </w:rPr>
        <w:t>years. As such, we provide warranties after equipment shipment/start up covering defects in materials and workmanship. 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16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color w:val="auto"/>
        </w:rPr>
        <w:t xml:space="preserve">Executive Benefit Agreements - </w:t>
      </w:r>
      <w:r>
        <w:rPr>
          <w:rFonts w:ascii="Arial" w:cs="Arial" w:eastAsia="Arial" w:hAnsi="Arial"/>
          <w:sz w:val="17"/>
          <w:szCs w:val="17"/>
          <w:color w:val="auto"/>
        </w:rPr>
        <w:t>We have entered into benefit agreements with certain key executives. Costs associated with these individual benefit agreements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accrued based on the estimated remaining service period when such benefits become probable they will be paid. Total costs accrued equal the present value of specified payments to be made after benefits become payable.</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color w:val="auto"/>
        </w:rPr>
        <w:t xml:space="preserve">Income Taxes - </w:t>
      </w:r>
      <w:r>
        <w:rPr>
          <w:rFonts w:ascii="Arial" w:cs="Arial" w:eastAsia="Arial" w:hAnsi="Arial"/>
          <w:sz w:val="16"/>
          <w:szCs w:val="16"/>
          <w:color w:val="auto"/>
        </w:rPr>
        <w:t>We recognize deferred tax assets and liabilities for the expected future tax consequences attributable to net operating loss (“NOL”) carryforwards, tax</w:t>
      </w:r>
      <w:r>
        <w:rPr>
          <w:rFonts w:ascii="Arial" w:cs="Arial" w:eastAsia="Arial" w:hAnsi="Arial"/>
          <w:sz w:val="16"/>
          <w:szCs w:val="16"/>
          <w:b w:val="1"/>
          <w:bCs w:val="1"/>
          <w:color w:val="auto"/>
        </w:rPr>
        <w:t xml:space="preserve"> </w:t>
      </w:r>
      <w:r>
        <w:rPr>
          <w:rFonts w:ascii="Arial" w:cs="Arial" w:eastAsia="Arial" w:hAnsi="Arial"/>
          <w:sz w:val="16"/>
          <w:szCs w:val="16"/>
          <w:color w:val="auto"/>
        </w:rPr>
        <w:t>credit carryforwards, and differences between the financial statement carrying amounts and the tax basis of our assets and liabilities. We establish valuation allowances if we believe it is more-likely-than-not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addition, we do not recognize a tax benefit unless we conclude that it is more-likely-than-not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We reduce income tax expense for investment tax credits in the year the credit arises and is earned.</w:t>
      </w:r>
    </w:p>
    <w:p>
      <w:pPr>
        <w:spacing w:after="0" w:line="211" w:lineRule="exact"/>
        <w:rPr>
          <w:sz w:val="20"/>
          <w:szCs w:val="20"/>
          <w:color w:val="auto"/>
        </w:rPr>
      </w:pPr>
    </w:p>
    <w:p>
      <w:pPr>
        <w:ind w:right="540"/>
        <w:spacing w:after="0" w:line="273" w:lineRule="auto"/>
        <w:rPr>
          <w:sz w:val="20"/>
          <w:szCs w:val="20"/>
          <w:color w:val="auto"/>
        </w:rPr>
      </w:pPr>
      <w:r>
        <w:rPr>
          <w:rFonts w:ascii="Arial" w:cs="Arial" w:eastAsia="Arial" w:hAnsi="Arial"/>
          <w:sz w:val="17"/>
          <w:szCs w:val="17"/>
          <w:color w:val="auto"/>
        </w:rPr>
        <w:t>Income tax benefits associated with amounts that are deductible for income tax purposes but that do not affect earnings are credited to equity. These benefits are principally generated from exercises of non-qualified stock options.</w:t>
      </w:r>
    </w:p>
    <w:p>
      <w:pPr>
        <w:spacing w:after="0" w:line="161"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color w:val="auto"/>
        </w:rPr>
        <w:t>– Certain conditions may exist which may result in a loss, but which will only be resolved when future events occur. We and our legal counsel assess</w:t>
      </w:r>
      <w:r>
        <w:rPr>
          <w:rFonts w:ascii="Arial" w:cs="Arial" w:eastAsia="Arial" w:hAnsi="Arial"/>
          <w:sz w:val="15"/>
          <w:szCs w:val="15"/>
          <w:b w:val="1"/>
          <w:bCs w:val="1"/>
          <w:color w:val="auto"/>
        </w:rPr>
        <w:t xml:space="preserve"> </w:t>
      </w:r>
      <w:r>
        <w:rPr>
          <w:rFonts w:ascii="Arial" w:cs="Arial" w:eastAsia="Arial" w:hAnsi="Arial"/>
          <w:sz w:val="15"/>
          <w:szCs w:val="15"/>
          <w:color w:val="auto"/>
        </w:rPr>
        <w:t>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53"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color w:val="auto"/>
        </w:rPr>
        <w:t xml:space="preserve">Asset Retirement Obligations - </w:t>
      </w:r>
      <w:r>
        <w:rPr>
          <w:rFonts w:ascii="Arial" w:cs="Arial" w:eastAsia="Arial" w:hAnsi="Arial"/>
          <w:sz w:val="16"/>
          <w:szCs w:val="16"/>
          <w:color w:val="auto"/>
        </w:rPr>
        <w:t>In general, we record the estimated fair value of an asset retirement obligation (“ARO”) associated with tangible long-lived assets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62"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b w:val="1"/>
          <w:bCs w:val="1"/>
          <w:color w:val="auto"/>
        </w:rPr>
        <w:t xml:space="preserve">Stock Options - </w:t>
      </w:r>
      <w:r>
        <w:rPr>
          <w:rFonts w:ascii="Arial" w:cs="Arial" w:eastAsia="Arial" w:hAnsi="Arial"/>
          <w:sz w:val="17"/>
          <w:szCs w:val="17"/>
          <w:color w:val="auto"/>
        </w:rPr>
        <w:t>Equity award transactions with employees are measured based on the estimated fair value of the equity awards issued. For equity awards with only</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conditions that have a graded vesting period, we recognize compensation cost on a straight-line basis over the requisite service period for the entire award. In addition, we issue new shares of common stock upon the exercise of stock options.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00"/>
          </w:cols>
          <w:pgMar w:left="240" w:top="441" w:right="2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 xml:space="preserve">Revenue Recognition - </w:t>
      </w:r>
      <w:r>
        <w:rPr>
          <w:rFonts w:ascii="Arial" w:cs="Arial" w:eastAsia="Arial" w:hAnsi="Arial"/>
          <w:sz w:val="17"/>
          <w:szCs w:val="17"/>
          <w:color w:val="auto"/>
        </w:rPr>
        <w:t>We recognize revenue for substantially all of our operations at the time title to the goods transfers to the buyer and there remain no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future performance obligations by us. Revenue relating to construction contracts is recognized using the percentage-of-completion method based primarily on contract costs incurred to date compared with total estimated contract costs. Changes to total estimated contract costs or losses, if any, are recognized in the period in which they are determined. Sales of extended warranty contracts are recognized as revenue ratably over the life of the contract. See discussion above under “Accrued Warranty Costs” for our accounting policy for recognizing warranty expense.</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color w:val="auto"/>
        </w:rPr>
        <w:t xml:space="preserve">Recognition of Insurance Recoveries - </w:t>
      </w:r>
      <w:r>
        <w:rPr>
          <w:rFonts w:ascii="Arial" w:cs="Arial" w:eastAsia="Arial" w:hAnsi="Arial"/>
          <w:sz w:val="17"/>
          <w:szCs w:val="17"/>
          <w:color w:val="auto"/>
        </w:rPr>
        <w:t>If an insurance claim relates to a recovery of our losses, we recognize the recovery when it is probable and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17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color w:val="auto"/>
        </w:rPr>
        <w:t xml:space="preserve">Cost of Sales - </w:t>
      </w:r>
      <w:r>
        <w:rPr>
          <w:rFonts w:ascii="Arial" w:cs="Arial" w:eastAsia="Arial" w:hAnsi="Arial"/>
          <w:sz w:val="17"/>
          <w:szCs w:val="17"/>
          <w:color w:val="auto"/>
        </w:rPr>
        <w:t>Cost of sales includes materials, labor and overhead costs to manufacture the products sold plus inbound freight, purchasing and receiving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inspection costs, internal transfer costs and warehousing costs (excluding certain handling costs directly related to loading product being shipped to customers in our Chemical Business which are included in selling, general and administrative expense). Maintenance, repairs and minor renewal costs relating to Turnarounds in our Chemical Business are included in cost of sales as they are incurred. Precious metals used as a catalyst (Chemical Business) and consumed during the manufacturing process are included in cost of sales. Recoveries and gains from precious metals (Chemical Business), sales of scrap material (Climate Control Business), and business interruption insurance claims are reductions to cost of sales. Provisions for (realization of) losses associated with inventory reserves, gains and losses (realized and unrealized) from our commodities and foreign currency futures/forward contracts, and provision for losses, if any, on firm sales commitments are included in cost of sales.</w:t>
      </w:r>
    </w:p>
    <w:p>
      <w:pPr>
        <w:spacing w:after="0" w:line="181"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b w:val="1"/>
          <w:bCs w:val="1"/>
          <w:color w:val="auto"/>
        </w:rPr>
        <w:t xml:space="preserve">Selling, General and Administrative Expense - </w:t>
      </w:r>
      <w:r>
        <w:rPr>
          <w:rFonts w:ascii="Arial" w:cs="Arial" w:eastAsia="Arial" w:hAnsi="Arial"/>
          <w:sz w:val="15"/>
          <w:szCs w:val="15"/>
          <w:color w:val="auto"/>
        </w:rPr>
        <w:t>Selling, general and administrative expense (“SG&amp;A”) includes costs associated with the sales, marketing and</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administrative functions. Such costs include personnel costs, including benefits, advertising costs, commission expenses, warranty costs, professional fees, office and occupancy costs associated with the sales, marketing and administrative functions. SG&amp;A also includes certain handling costs directly related to product being shipped to customers in our Chemical Business and outbound freight in our Climate Control Business. The Chemical Business’ handling costs primarily consist of personnel costs for loading product into transportation equipment, rent and maintenance costs related to the transportation equipment, and certain indirect costs.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Shipping and Handling Costs – </w:t>
      </w:r>
      <w:r>
        <w:rPr>
          <w:rFonts w:ascii="Arial" w:cs="Arial" w:eastAsia="Arial" w:hAnsi="Arial"/>
          <w:sz w:val="17"/>
          <w:szCs w:val="17"/>
          <w:color w:val="auto"/>
        </w:rPr>
        <w:t>Shipping and handling costs included in net sales and SG&amp;A for each business segment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jc w:val="center"/>
              <w:spacing w:after="0" w:line="133" w:lineRule="exact"/>
              <w:rPr>
                <w:sz w:val="20"/>
                <w:szCs w:val="20"/>
                <w:color w:val="auto"/>
              </w:rPr>
            </w:pPr>
            <w:r>
              <w:rPr>
                <w:rFonts w:ascii="Arial" w:cs="Arial" w:eastAsia="Arial" w:hAnsi="Arial"/>
                <w:sz w:val="14"/>
                <w:szCs w:val="14"/>
                <w:color w:val="auto"/>
                <w:w w:val="87"/>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Chemical:</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tcPr>
          <w:p>
            <w:pPr>
              <w:ind w:left="340"/>
              <w:spacing w:after="0"/>
              <w:rPr>
                <w:sz w:val="20"/>
                <w:szCs w:val="20"/>
                <w:color w:val="auto"/>
              </w:rPr>
            </w:pPr>
            <w:r>
              <w:rPr>
                <w:rFonts w:ascii="Arial" w:cs="Arial" w:eastAsia="Arial" w:hAnsi="Arial"/>
                <w:sz w:val="17"/>
                <w:szCs w:val="17"/>
                <w:color w:val="auto"/>
              </w:rPr>
              <w:t>Shipping costs - Net sales (1)</w:t>
            </w:r>
          </w:p>
        </w:tc>
        <w:tc>
          <w:tcPr>
            <w:tcW w:w="100" w:type="dxa"/>
            <w:vAlign w:val="bottom"/>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4"/>
              </w:rPr>
              <w:t>28,736</w:t>
            </w:r>
          </w:p>
        </w:tc>
        <w:tc>
          <w:tcPr>
            <w:tcW w:w="3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21,954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23,395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9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Handling costs - SG&amp;A (2)</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6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b w:val="1"/>
                <w:bCs w:val="1"/>
                <w:color w:val="auto"/>
              </w:rPr>
              <w:t>5,481</w:t>
            </w: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rPr>
              <w:t>5,437</w:t>
            </w:r>
          </w:p>
        </w:tc>
        <w:tc>
          <w:tcPr>
            <w:tcW w:w="2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00" w:type="dxa"/>
            <w:vAlign w:val="bottom"/>
            <w:gridSpan w:val="2"/>
            <w:vMerge w:val="restart"/>
          </w:tcPr>
          <w:p>
            <w:pPr>
              <w:ind w:left="600"/>
              <w:spacing w:after="0"/>
              <w:rPr>
                <w:sz w:val="20"/>
                <w:szCs w:val="20"/>
                <w:color w:val="auto"/>
              </w:rPr>
            </w:pPr>
            <w:r>
              <w:rPr>
                <w:rFonts w:ascii="Arial" w:cs="Arial" w:eastAsia="Arial" w:hAnsi="Arial"/>
                <w:sz w:val="17"/>
                <w:szCs w:val="17"/>
                <w:color w:val="auto"/>
              </w:rPr>
              <w:t>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7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Shipping and handling costs - SG&amp;A (2)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84"/>
              </w:rPr>
              <w:t>10,146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9,520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8,897</w:t>
            </w: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35"/>
              <w:spacing w:after="0"/>
              <w:rPr>
                <w:sz w:val="20"/>
                <w:szCs w:val="20"/>
                <w:color w:val="auto"/>
              </w:rPr>
            </w:pPr>
            <w:r>
              <w:rPr>
                <w:rFonts w:ascii="Arial" w:cs="Arial" w:eastAsia="Arial" w:hAnsi="Arial"/>
                <w:sz w:val="17"/>
                <w:szCs w:val="17"/>
                <w:color w:val="auto"/>
                <w:w w:val="86"/>
              </w:rPr>
              <w:t>(1)</w:t>
            </w:r>
          </w:p>
        </w:tc>
        <w:tc>
          <w:tcPr>
            <w:tcW w:w="7500" w:type="dxa"/>
            <w:vAlign w:val="bottom"/>
            <w:gridSpan w:val="2"/>
            <w:vMerge w:val="restart"/>
          </w:tcPr>
          <w:p>
            <w:pPr>
              <w:ind w:left="120"/>
              <w:spacing w:after="0"/>
              <w:rPr>
                <w:sz w:val="20"/>
                <w:szCs w:val="20"/>
                <w:color w:val="auto"/>
              </w:rPr>
            </w:pPr>
            <w:r>
              <w:rPr>
                <w:rFonts w:ascii="Arial" w:cs="Arial" w:eastAsia="Arial" w:hAnsi="Arial"/>
                <w:sz w:val="17"/>
                <w:szCs w:val="17"/>
                <w:color w:val="auto"/>
              </w:rPr>
              <w:t>These costs relate to amounts billed to our customers.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20" w:type="dxa"/>
            <w:vAlign w:val="bottom"/>
            <w:vMerge w:val="continue"/>
          </w:tcPr>
          <w:p>
            <w:pPr>
              <w:spacing w:after="0"/>
              <w:rPr>
                <w:sz w:val="24"/>
                <w:szCs w:val="24"/>
                <w:color w:val="auto"/>
              </w:rPr>
            </w:pPr>
          </w:p>
        </w:tc>
        <w:tc>
          <w:tcPr>
            <w:tcW w:w="7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20" w:type="dxa"/>
            <w:vAlign w:val="bottom"/>
          </w:tcPr>
          <w:p>
            <w:pPr>
              <w:jc w:val="right"/>
              <w:ind w:right="35"/>
              <w:spacing w:after="0"/>
              <w:rPr>
                <w:sz w:val="20"/>
                <w:szCs w:val="20"/>
                <w:color w:val="auto"/>
              </w:rPr>
            </w:pPr>
            <w:r>
              <w:rPr>
                <w:rFonts w:ascii="Arial" w:cs="Arial" w:eastAsia="Arial" w:hAnsi="Arial"/>
                <w:sz w:val="17"/>
                <w:szCs w:val="17"/>
                <w:color w:val="auto"/>
                <w:w w:val="86"/>
              </w:rPr>
              <w:t>(2)</w:t>
            </w:r>
          </w:p>
        </w:tc>
        <w:tc>
          <w:tcPr>
            <w:tcW w:w="7500" w:type="dxa"/>
            <w:vAlign w:val="bottom"/>
            <w:gridSpan w:val="2"/>
          </w:tcPr>
          <w:p>
            <w:pPr>
              <w:ind w:left="120"/>
              <w:spacing w:after="0"/>
              <w:rPr>
                <w:sz w:val="20"/>
                <w:szCs w:val="20"/>
                <w:color w:val="auto"/>
              </w:rPr>
            </w:pPr>
            <w:r>
              <w:rPr>
                <w:rFonts w:ascii="Arial" w:cs="Arial" w:eastAsia="Arial" w:hAnsi="Arial"/>
                <w:sz w:val="17"/>
                <w:szCs w:val="17"/>
                <w:color w:val="auto"/>
              </w:rPr>
              <w:t>See discussions above under “Selling, General and Administrative Expense.”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Pr>
          <w:p>
            <w:pPr>
              <w:ind w:left="4640"/>
              <w:spacing w:after="0"/>
              <w:rPr>
                <w:sz w:val="20"/>
                <w:szCs w:val="20"/>
                <w:color w:val="auto"/>
              </w:rPr>
            </w:pPr>
            <w:r>
              <w:rPr>
                <w:rFonts w:ascii="Arial" w:cs="Arial" w:eastAsia="Arial" w:hAnsi="Arial"/>
                <w:sz w:val="17"/>
                <w:szCs w:val="17"/>
                <w:color w:val="auto"/>
              </w:rPr>
              <w:t>F-13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1" w:right="2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48"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b w:val="1"/>
          <w:bCs w:val="1"/>
          <w:color w:val="auto"/>
        </w:rPr>
        <w:t xml:space="preserve">Advertising Costs - </w:t>
      </w:r>
      <w:r>
        <w:rPr>
          <w:rFonts w:ascii="Arial" w:cs="Arial" w:eastAsia="Arial" w:hAnsi="Arial"/>
          <w:sz w:val="17"/>
          <w:szCs w:val="17"/>
          <w:color w:val="auto"/>
        </w:rPr>
        <w:t>Costs in connection with advertising and promotion of our products are expensed as incurred. These costs, primarily relating to our Climate</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Business, are as follows.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32"/>
        </w:trPr>
        <w:tc>
          <w:tcPr>
            <w:tcW w:w="7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40"/>
              <w:spacing w:after="0" w:line="133"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Advertising costs</w:t>
            </w:r>
          </w:p>
        </w:tc>
        <w:tc>
          <w:tcPr>
            <w:tcW w:w="6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3,095</w:t>
            </w:r>
          </w:p>
        </w:tc>
        <w:tc>
          <w:tcPr>
            <w:tcW w:w="1260" w:type="dxa"/>
            <w:vAlign w:val="bottom"/>
            <w:gridSpan w:val="3"/>
            <w:shd w:val="clear" w:color="auto" w:fill="CCEEFF"/>
          </w:tcPr>
          <w:p>
            <w:pPr>
              <w:jc w:val="center"/>
              <w:ind w:right="4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3,157</w:t>
            </w: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3,365</w:t>
            </w:r>
          </w:p>
        </w:tc>
      </w:tr>
      <w:tr>
        <w:trPr>
          <w:trHeight w:val="20"/>
        </w:trPr>
        <w:tc>
          <w:tcPr>
            <w:tcW w:w="7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Derivatives, Hedges, Financial Instruments and Carbon Credits - </w:t>
      </w:r>
      <w:r>
        <w:rPr>
          <w:rFonts w:ascii="Arial" w:cs="Arial" w:eastAsia="Arial" w:hAnsi="Arial"/>
          <w:sz w:val="16"/>
          <w:szCs w:val="16"/>
          <w:color w:val="auto"/>
        </w:rPr>
        <w:t>Derivatives are recognized in the balance sheet and are measured at fair value. Changes in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derivatives are recorded in results of operations unless the normal purchase or sale exceptions apply or hedge accounting is elected.</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We have chosen to present the fair values of our derivative contracts under master netting agreements using a gross fair value presentation as there were no derivatives with fair values that were eligible to be offset as of December 31, 2014 and 2013.</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assets for climate reserve tonnes (“carbon credits”) are recognized in the balance sheet and are measured at fair value. Changes in fair value of carbon credits are recorded in results of operations. The liabilities for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liability for the contractual obligation. Changes in fair value of contractual obligations associated with carbon credits are recorded in results of operations.</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b w:val="1"/>
          <w:bCs w:val="1"/>
          <w:color w:val="auto"/>
        </w:rPr>
        <w:t xml:space="preserve">Income per Common Share - </w:t>
      </w:r>
      <w:r>
        <w:rPr>
          <w:rFonts w:ascii="Arial" w:cs="Arial" w:eastAsia="Arial" w:hAnsi="Arial"/>
          <w:sz w:val="16"/>
          <w:szCs w:val="16"/>
          <w:color w:val="auto"/>
        </w:rPr>
        <w:t>Net income applicable to common stock is computed by adjusting net income by the amount of preferred stock dividends and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if applicable. Basic income per common share is based upon net income applicable to common stock and the weighted-average number of common shares outstanding during each year. Diluted income per share is based on net income applicable to common stock plus preferred stock dividends and dividend requirements on preferred stock assumed to be converted, if dilutive, and the weighted-average number of common shares and dilutive common equivalent shares outstanding, and the assumed conversion of dilutive convertible securities outstanding.</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color w:val="auto"/>
        </w:rPr>
        <w:t xml:space="preserve">Recently Issued Accounting Pronouncements - </w:t>
      </w:r>
      <w:r>
        <w:rPr>
          <w:rFonts w:ascii="Arial" w:cs="Arial" w:eastAsia="Arial" w:hAnsi="Arial"/>
          <w:sz w:val="16"/>
          <w:szCs w:val="16"/>
          <w:color w:val="auto"/>
        </w:rPr>
        <w:t>In May 2014, the Financial Accounting Standards Board issued Accounting Standard Update 2014-09-Revenue from</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with Customers, which will supersede nearly all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The standard is effective for us on January 1, 2017. Early adoption is not permitted. The standard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360"/>
          </w:cols>
          <w:pgMar w:left="240" w:top="441" w:right="29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Income per Common Share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common share: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8"/>
          </w:tcPr>
          <w:p>
            <w:pPr>
              <w:jc w:val="center"/>
              <w:spacing w:after="0" w:line="133" w:lineRule="exact"/>
              <w:rPr>
                <w:sz w:val="20"/>
                <w:szCs w:val="20"/>
                <w:color w:val="auto"/>
              </w:rPr>
            </w:pPr>
            <w:r>
              <w:rPr>
                <w:rFonts w:ascii="Arial" w:cs="Arial" w:eastAsia="Arial" w:hAnsi="Arial"/>
                <w:sz w:val="14"/>
                <w:szCs w:val="14"/>
                <w:color w:val="auto"/>
                <w:w w:val="87"/>
              </w:rPr>
              <w:t>(Dollars In Thousands, Except Per 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7"/>
                <w:szCs w:val="17"/>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19,634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54,962</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58,604</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Dividends on Series B Preferred</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b w:val="1"/>
                <w:bCs w:val="1"/>
                <w:color w:val="auto"/>
              </w:rPr>
              <w:t>(240)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3"/>
        </w:trPr>
        <w:tc>
          <w:tcPr>
            <w:tcW w:w="7600" w:type="dxa"/>
            <w:vAlign w:val="bottom"/>
          </w:tcPr>
          <w:p>
            <w:pPr>
              <w:ind w:left="680"/>
              <w:spacing w:after="0"/>
              <w:rPr>
                <w:sz w:val="20"/>
                <w:szCs w:val="20"/>
                <w:color w:val="auto"/>
              </w:rPr>
            </w:pPr>
            <w:r>
              <w:rPr>
                <w:rFonts w:ascii="Arial" w:cs="Arial" w:eastAsia="Arial" w:hAnsi="Arial"/>
                <w:sz w:val="17"/>
                <w:szCs w:val="17"/>
                <w:color w:val="auto"/>
              </w:rPr>
              <w:t>Dividends on Series D Preferred</w:t>
            </w:r>
          </w:p>
        </w:tc>
        <w:tc>
          <w:tcPr>
            <w:tcW w:w="80" w:type="dxa"/>
            <w:vAlign w:val="bottom"/>
          </w:tcPr>
          <w:p>
            <w:pPr>
              <w:spacing w:after="0"/>
              <w:rPr>
                <w:sz w:val="17"/>
                <w:szCs w:val="17"/>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(60)</w:t>
            </w:r>
          </w:p>
        </w:tc>
        <w:tc>
          <w:tcPr>
            <w:tcW w:w="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(60)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Total dividends on preferred stocks</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b w:val="1"/>
                <w:bCs w:val="1"/>
                <w:color w:val="auto"/>
              </w:rPr>
              <w:t>(300)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340"/>
              <w:spacing w:after="0"/>
              <w:rPr>
                <w:sz w:val="20"/>
                <w:szCs w:val="20"/>
                <w:color w:val="auto"/>
              </w:rPr>
            </w:pPr>
            <w:r>
              <w:rPr>
                <w:rFonts w:ascii="Arial" w:cs="Arial" w:eastAsia="Arial" w:hAnsi="Arial"/>
                <w:sz w:val="17"/>
                <w:szCs w:val="17"/>
                <w:color w:val="auto"/>
              </w:rPr>
              <w:t>Numerator for basic net income per common share - net income applicable to common stock</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19,334</w:t>
            </w: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54,662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58,304</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Dividends on preferred stocks assumed to be converted, if dilutive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340"/>
              <w:spacing w:after="0"/>
              <w:rPr>
                <w:sz w:val="20"/>
                <w:szCs w:val="20"/>
                <w:color w:val="auto"/>
              </w:rPr>
            </w:pPr>
            <w:r>
              <w:rPr>
                <w:rFonts w:ascii="Arial" w:cs="Arial" w:eastAsia="Arial" w:hAnsi="Arial"/>
                <w:sz w:val="17"/>
                <w:szCs w:val="17"/>
                <w:color w:val="auto"/>
              </w:rPr>
              <w:t>Numerator for diluted net income per common share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19,634</w:t>
            </w:r>
          </w:p>
        </w:tc>
        <w:tc>
          <w:tcPr>
            <w:tcW w:w="5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54,962</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58,604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Denominator:</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7"/>
                <w:szCs w:val="17"/>
                <w:color w:val="auto"/>
              </w:rPr>
              <w:t>Denominator for basic net income per common share - weighted-average shares</w:t>
            </w:r>
          </w:p>
        </w:tc>
        <w:tc>
          <w:tcPr>
            <w:tcW w:w="8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w w:val="89"/>
              </w:rPr>
              <w:t>22,575,053</w:t>
            </w:r>
          </w:p>
        </w:tc>
        <w:tc>
          <w:tcPr>
            <w:tcW w:w="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w w:val="86"/>
              </w:rPr>
              <w:t>22,465,176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86"/>
              </w:rPr>
              <w:t>22,359,967</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Effect of dilutive securities: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020"/>
              <w:spacing w:after="0"/>
              <w:rPr>
                <w:sz w:val="20"/>
                <w:szCs w:val="20"/>
                <w:color w:val="auto"/>
              </w:rPr>
            </w:pPr>
            <w:r>
              <w:rPr>
                <w:rFonts w:ascii="Arial" w:cs="Arial" w:eastAsia="Arial" w:hAnsi="Arial"/>
                <w:sz w:val="17"/>
                <w:szCs w:val="17"/>
                <w:color w:val="auto"/>
              </w:rPr>
              <w:t>Convertible preferred stocks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916,666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916,666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917,006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Stock options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175,751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215,124</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261,596</w:t>
            </w:r>
          </w:p>
        </w:tc>
        <w:tc>
          <w:tcPr>
            <w:tcW w:w="0" w:type="dxa"/>
            <w:vAlign w:val="bottom"/>
          </w:tcPr>
          <w:p>
            <w:pPr>
              <w:spacing w:after="0"/>
              <w:rPr>
                <w:sz w:val="1"/>
                <w:szCs w:val="1"/>
                <w:color w:val="auto"/>
              </w:rPr>
            </w:pPr>
          </w:p>
        </w:tc>
      </w:tr>
      <w:tr>
        <w:trPr>
          <w:trHeight w:val="214"/>
        </w:trPr>
        <w:tc>
          <w:tcPr>
            <w:tcW w:w="7600" w:type="dxa"/>
            <w:vAlign w:val="bottom"/>
          </w:tcPr>
          <w:p>
            <w:pPr>
              <w:ind w:left="1360"/>
              <w:spacing w:after="0"/>
              <w:rPr>
                <w:sz w:val="20"/>
                <w:szCs w:val="20"/>
                <w:color w:val="auto"/>
              </w:rPr>
            </w:pPr>
            <w:r>
              <w:rPr>
                <w:rFonts w:ascii="Arial" w:cs="Arial" w:eastAsia="Arial" w:hAnsi="Arial"/>
                <w:sz w:val="17"/>
                <w:szCs w:val="17"/>
                <w:color w:val="auto"/>
              </w:rPr>
              <w:t>Dilutive potential common shares</w:t>
            </w: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1,092,417</w:t>
            </w:r>
          </w:p>
        </w:tc>
        <w:tc>
          <w:tcPr>
            <w:tcW w:w="5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1,131,790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1,178,602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0" w:type="dxa"/>
            <w:vAlign w:val="bottom"/>
            <w:shd w:val="clear" w:color="auto" w:fill="CCEEFF"/>
          </w:tcPr>
          <w:p>
            <w:pPr>
              <w:ind w:left="340"/>
              <w:spacing w:after="0" w:line="191" w:lineRule="exact"/>
              <w:rPr>
                <w:sz w:val="20"/>
                <w:szCs w:val="20"/>
                <w:color w:val="auto"/>
              </w:rPr>
            </w:pPr>
            <w:r>
              <w:rPr>
                <w:rFonts w:ascii="Arial" w:cs="Arial" w:eastAsia="Arial" w:hAnsi="Arial"/>
                <w:sz w:val="17"/>
                <w:szCs w:val="17"/>
                <w:color w:val="auto"/>
              </w:rPr>
              <w:t>Denominator for dilutive net income per common share - adjusted weighted-average shares and</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23,667,470</w:t>
            </w:r>
          </w:p>
        </w:tc>
        <w:tc>
          <w:tcPr>
            <w:tcW w:w="58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assumed conversions</w:t>
            </w: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6"/>
              </w:rPr>
              <w:t>23,596,966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23,538,569</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7"/>
                <w:szCs w:val="17"/>
                <w:color w:val="auto"/>
              </w:rPr>
              <w:t>Basic net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0.86</w:t>
            </w:r>
          </w:p>
        </w:tc>
        <w:tc>
          <w:tcPr>
            <w:tcW w:w="5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2.43</w:t>
            </w:r>
          </w:p>
        </w:tc>
        <w:tc>
          <w:tcPr>
            <w:tcW w:w="3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Diluted net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580"/>
              <w:spacing w:after="0" w:line="194" w:lineRule="exact"/>
              <w:rPr>
                <w:sz w:val="20"/>
                <w:szCs w:val="20"/>
                <w:color w:val="auto"/>
              </w:rPr>
            </w:pPr>
            <w:r>
              <w:rPr>
                <w:rFonts w:ascii="Arial" w:cs="Arial" w:eastAsia="Arial" w:hAnsi="Arial"/>
                <w:sz w:val="17"/>
                <w:szCs w:val="17"/>
                <w:b w:val="1"/>
                <w:bCs w:val="1"/>
                <w:color w:val="auto"/>
              </w:rPr>
              <w:t>0.83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2.33</w:t>
            </w:r>
          </w:p>
        </w:tc>
        <w:tc>
          <w:tcPr>
            <w:tcW w:w="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The following weighted-average shares of securities were not included in the computation of diluted net income per common share as their effect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7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Stock options</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392,314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7"/>
              </w:rPr>
              <w:t>246,391</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4"/>
              </w:rPr>
              <w:t>254,000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3. Accounts Receivable</w:t>
            </w: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82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6"/>
          </w:tcPr>
          <w:p>
            <w:pPr>
              <w:ind w:left="3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top w:val="single" w:sz="8" w:color="auto"/>
            </w:tcBorders>
            <w:gridSpan w:val="6"/>
          </w:tcPr>
          <w:p>
            <w:pPr>
              <w:ind w:left="360"/>
              <w:spacing w:after="0" w:line="133" w:lineRule="exact"/>
              <w:rPr>
                <w:sz w:val="20"/>
                <w:szCs w:val="20"/>
                <w:color w:val="auto"/>
              </w:rPr>
            </w:pPr>
            <w:r>
              <w:rPr>
                <w:rFonts w:ascii="Arial" w:cs="Arial" w:eastAsia="Arial" w:hAnsi="Arial"/>
                <w:sz w:val="14"/>
                <w:szCs w:val="14"/>
                <w:color w:val="auto"/>
                <w:w w:val="91"/>
              </w:rPr>
              <w:t>(In Thousands)</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$86,402</w:t>
            </w:r>
          </w:p>
        </w:tc>
        <w:tc>
          <w:tcPr>
            <w:tcW w:w="6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$77,899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Insurance claims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ind w:left="300"/>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5"/>
          </w:tcPr>
          <w:p>
            <w:pPr>
              <w:jc w:val="right"/>
              <w:ind w:right="100"/>
              <w:spacing w:after="0"/>
              <w:rPr>
                <w:sz w:val="20"/>
                <w:szCs w:val="20"/>
                <w:color w:val="auto"/>
              </w:rPr>
            </w:pPr>
            <w:r>
              <w:rPr>
                <w:rFonts w:ascii="Arial" w:cs="Arial" w:eastAsia="Arial" w:hAnsi="Arial"/>
                <w:sz w:val="17"/>
                <w:szCs w:val="17"/>
                <w:color w:val="auto"/>
              </w:rPr>
              <w:t>1,865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gridSpan w:val="2"/>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2,498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1,633</w:t>
            </w: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88,900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7"/>
                <w:szCs w:val="17"/>
                <w:color w:val="auto"/>
              </w:rPr>
              <w:t>81,397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160" w:type="dxa"/>
            <w:vAlign w:val="bottom"/>
            <w:gridSpan w:val="2"/>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(826)</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5"/>
              </w:rPr>
              <w:t>(827)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88,074</w:t>
            </w:r>
          </w:p>
        </w:tc>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80,570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Our sales to contractors and independent sales representatives are generally subject to a mechanic’s lien or band protection in the Climate Control Business. Sales to other customers are generally unsecured. Credit is extended to customers based on an evaluation of the customer’s financial condition and other factors. Concentrations of credit risk with respect to trade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41"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Accounts Receivable (continued)</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receivables are monitored and this risk is reduced due to the large number of customers comprising our customer bases and their dispersion across many different industries and geographic areas (primarily as it relates to the Climate Control Business) and payment terms of 15 days or less relating to most of our significant customers in the Chemical Business. Ten customers (including their affiliates), primarily relating to the Chemical Business, account for approximately 32% of our total net receivables at December 31, 2014.</w:t>
      </w:r>
    </w:p>
    <w:p>
      <w:pPr>
        <w:spacing w:after="0" w:line="17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One of our subsidiaries, El Dorado Chemical Company (“EDC”), is party to an agreement with Bank of America, N.A. (the “Bank”) to sell our accounts receivables generated from product sales to a certain customer. We agreed to enter into this agreement as a courtesy to this customer. The term of this agreement matures in August 2015,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December 31, 2014, EDC has been paid by the Bank for the accounts receivables sold to the Bank. We account for these transfers as sales under ASC 860 – Transfers and Servicing.</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Inventories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6"/>
              </w:rPr>
              <w:t>Finished</w:t>
            </w: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Work-in-</w:t>
            </w:r>
          </w:p>
        </w:tc>
        <w:tc>
          <w:tcPr>
            <w:tcW w:w="8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Raw</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6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Goods</w:t>
            </w:r>
          </w:p>
        </w:tc>
        <w:tc>
          <w:tcPr>
            <w:tcW w:w="38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Process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Materials</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70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ind w:left="200"/>
              <w:spacing w:after="0" w:line="133" w:lineRule="exact"/>
              <w:rPr>
                <w:sz w:val="20"/>
                <w:szCs w:val="20"/>
                <w:color w:val="auto"/>
              </w:rPr>
            </w:pPr>
            <w:r>
              <w:rPr>
                <w:rFonts w:ascii="Arial" w:cs="Arial" w:eastAsia="Arial" w:hAnsi="Arial"/>
                <w:sz w:val="14"/>
                <w:szCs w:val="14"/>
                <w:color w:val="auto"/>
              </w:rPr>
              <w:t>(In Thousands)</w:t>
            </w: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2014:</w:t>
            </w: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340"/>
              <w:spacing w:after="0"/>
              <w:rPr>
                <w:sz w:val="20"/>
                <w:szCs w:val="20"/>
                <w:color w:val="auto"/>
              </w:rPr>
            </w:pPr>
            <w:r>
              <w:rPr>
                <w:rFonts w:ascii="Arial" w:cs="Arial" w:eastAsia="Arial" w:hAnsi="Arial"/>
                <w:sz w:val="17"/>
                <w:szCs w:val="17"/>
                <w:color w:val="auto"/>
              </w:rPr>
              <w:t>Chemical products</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w w:val="87"/>
              </w:rPr>
              <w:t>$19,354</w:t>
            </w:r>
          </w:p>
        </w:tc>
        <w:tc>
          <w:tcPr>
            <w:tcW w:w="500" w:type="dxa"/>
            <w:vAlign w:val="bottom"/>
            <w:gridSpan w:val="2"/>
          </w:tcPr>
          <w:p>
            <w:pPr>
              <w:ind w:left="380"/>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tcPr>
          <w:p>
            <w:pPr>
              <w:ind w:left="16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2,147</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87"/>
              </w:rPr>
              <w:t>$21,501</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Climate Control products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5,521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w w:val="93"/>
              </w:rPr>
              <w:t>2,763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w w:val="88"/>
              </w:rPr>
              <w:t>23,458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31,742</w:t>
            </w:r>
          </w:p>
        </w:tc>
        <w:tc>
          <w:tcPr>
            <w:tcW w:w="0" w:type="dxa"/>
            <w:vAlign w:val="bottom"/>
          </w:tcPr>
          <w:p>
            <w:pPr>
              <w:spacing w:after="0"/>
              <w:rPr>
                <w:sz w:val="1"/>
                <w:szCs w:val="1"/>
                <w:color w:val="auto"/>
              </w:rPr>
            </w:pPr>
          </w:p>
        </w:tc>
      </w:tr>
      <w:tr>
        <w:trPr>
          <w:trHeight w:val="209"/>
        </w:trPr>
        <w:tc>
          <w:tcPr>
            <w:tcW w:w="7060" w:type="dxa"/>
            <w:vAlign w:val="bottom"/>
          </w:tcPr>
          <w:p>
            <w:pPr>
              <w:ind w:left="340"/>
              <w:spacing w:after="0"/>
              <w:rPr>
                <w:sz w:val="20"/>
                <w:szCs w:val="20"/>
                <w:color w:val="auto"/>
              </w:rPr>
            </w:pPr>
            <w:r>
              <w:rPr>
                <w:rFonts w:ascii="Arial" w:cs="Arial" w:eastAsia="Arial" w:hAnsi="Arial"/>
                <w:sz w:val="17"/>
                <w:szCs w:val="17"/>
                <w:color w:val="auto"/>
              </w:rPr>
              <w:t>Industrial machinery and components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3,343</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28,218</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w w:val="93"/>
              </w:rPr>
              <w:t>2,763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w w:val="88"/>
              </w:rPr>
              <w:t>25,605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56,586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7"/>
                <w:szCs w:val="17"/>
                <w:color w:val="auto"/>
              </w:rPr>
              <w:t>December 31, 2013: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Chemical products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$18,744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2,593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$21,337</w:t>
            </w:r>
          </w:p>
        </w:tc>
        <w:tc>
          <w:tcPr>
            <w:tcW w:w="0" w:type="dxa"/>
            <w:vAlign w:val="bottom"/>
          </w:tcPr>
          <w:p>
            <w:pPr>
              <w:spacing w:after="0"/>
              <w:rPr>
                <w:sz w:val="1"/>
                <w:szCs w:val="1"/>
                <w:color w:val="auto"/>
              </w:rPr>
            </w:pPr>
          </w:p>
        </w:tc>
      </w:tr>
      <w:tr>
        <w:trPr>
          <w:trHeight w:val="203"/>
        </w:trPr>
        <w:tc>
          <w:tcPr>
            <w:tcW w:w="7060" w:type="dxa"/>
            <w:vAlign w:val="bottom"/>
          </w:tcPr>
          <w:p>
            <w:pPr>
              <w:ind w:left="340"/>
              <w:spacing w:after="0"/>
              <w:rPr>
                <w:sz w:val="20"/>
                <w:szCs w:val="20"/>
                <w:color w:val="auto"/>
              </w:rPr>
            </w:pPr>
            <w:r>
              <w:rPr>
                <w:rFonts w:ascii="Arial" w:cs="Arial" w:eastAsia="Arial" w:hAnsi="Arial"/>
                <w:sz w:val="17"/>
                <w:szCs w:val="17"/>
                <w:color w:val="auto"/>
              </w:rPr>
              <w:t>Climate Control products</w:t>
            </w:r>
          </w:p>
        </w:tc>
        <w:tc>
          <w:tcPr>
            <w:tcW w:w="560" w:type="dxa"/>
            <w:vAlign w:val="bottom"/>
          </w:tcPr>
          <w:p>
            <w:pPr>
              <w:jc w:val="right"/>
              <w:spacing w:after="0"/>
              <w:rPr>
                <w:sz w:val="20"/>
                <w:szCs w:val="20"/>
                <w:color w:val="auto"/>
              </w:rPr>
            </w:pPr>
            <w:r>
              <w:rPr>
                <w:rFonts w:ascii="Arial" w:cs="Arial" w:eastAsia="Arial" w:hAnsi="Arial"/>
                <w:sz w:val="17"/>
                <w:szCs w:val="17"/>
                <w:color w:val="auto"/>
              </w:rPr>
              <w:t>7,552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2,838</w:t>
            </w:r>
          </w:p>
        </w:tc>
        <w:tc>
          <w:tcPr>
            <w:tcW w:w="8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21,278</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31,668</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Industrial machinery and components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2,867</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29,163</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2,838</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23,871</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55,872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At December 31, 2014 and 2013, inventory reserves for certain slow-moving inventory items (Climate Control products) were $1,653,000 and $1,389,000, respectively. In addition, because cost exceeded the net realizable value, inventory adjustments for certain nitrogen-based inventories provided by our Chemical Business were $1,976,000 and $1,623,000 at December 31, 2014 and 2013, respectively.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00"/>
          </w:cols>
          <w:pgMar w:left="240" w:top="441" w:right="2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Plant and Equipment</w:t>
      </w:r>
    </w:p>
    <w:p>
      <w:pPr>
        <w:spacing w:after="0" w:line="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Useful lives</w:t>
            </w:r>
          </w:p>
        </w:tc>
        <w:tc>
          <w:tcPr>
            <w:tcW w:w="20" w:type="dxa"/>
            <w:vAlign w:val="bottom"/>
          </w:tcPr>
          <w:p>
            <w:pPr>
              <w:spacing w:after="0"/>
              <w:rPr>
                <w:sz w:val="14"/>
                <w:szCs w:val="14"/>
                <w:color w:val="auto"/>
              </w:rPr>
            </w:pPr>
          </w:p>
        </w:tc>
        <w:tc>
          <w:tcPr>
            <w:tcW w:w="1840" w:type="dxa"/>
            <w:vAlign w:val="bottom"/>
            <w:gridSpan w:val="6"/>
          </w:tcPr>
          <w:p>
            <w:pPr>
              <w:ind w:lef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672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in years</w:t>
            </w:r>
          </w:p>
        </w:tc>
        <w:tc>
          <w:tcPr>
            <w:tcW w:w="66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7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Borders>
              <w:top w:val="single" w:sz="8" w:color="auto"/>
            </w:tcBorders>
            <w:gridSpan w:val="5"/>
          </w:tcPr>
          <w:p>
            <w:pPr>
              <w:ind w:left="460"/>
              <w:spacing w:after="0" w:line="133"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Machinery, equipment and automotive</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3 - 30</w:t>
            </w:r>
          </w:p>
        </w:tc>
        <w:tc>
          <w:tcPr>
            <w:tcW w:w="3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0"/>
              </w:rPr>
              <w:t>$360,222</w:t>
            </w: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$319,088</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Proved natural gas properties</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rPr>
              <w:t>72,529</w:t>
            </w: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66,764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Buildings and improvements</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8 - 30</w:t>
            </w:r>
          </w:p>
        </w:tc>
        <w:tc>
          <w:tcPr>
            <w:tcW w:w="3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55,975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48,379</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Furniture, fixtures and store equipment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87"/>
              </w:rPr>
              <w:t>5 - 10</w:t>
            </w:r>
          </w:p>
        </w:tc>
        <w:tc>
          <w:tcPr>
            <w:tcW w:w="36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6,492</w:t>
            </w:r>
          </w:p>
        </w:tc>
        <w:tc>
          <w:tcPr>
            <w:tcW w:w="2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6,933</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Assets under capital leases</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5</w:t>
            </w:r>
          </w:p>
        </w:tc>
        <w:tc>
          <w:tcPr>
            <w:tcW w:w="3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240</w:t>
            </w: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1,672</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Land improvements</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90"/>
              </w:rPr>
              <w:t>10 - 40</w:t>
            </w:r>
          </w:p>
        </w:tc>
        <w:tc>
          <w:tcPr>
            <w:tcW w:w="36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7,125</w:t>
            </w:r>
          </w:p>
        </w:tc>
        <w:tc>
          <w:tcPr>
            <w:tcW w:w="2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6,214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02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b w:val="1"/>
                <w:bCs w:val="1"/>
                <w:color w:val="auto"/>
              </w:rPr>
              <w:t>N/A</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292,324</w:t>
            </w: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110,376</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Capital spare parts</w:t>
            </w: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N/A</w:t>
            </w:r>
          </w:p>
        </w:tc>
        <w:tc>
          <w:tcPr>
            <w:tcW w:w="68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8,722</w:t>
            </w:r>
          </w:p>
        </w:tc>
        <w:tc>
          <w:tcPr>
            <w:tcW w:w="2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9,718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02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b w:val="1"/>
                <w:bCs w:val="1"/>
                <w:color w:val="auto"/>
              </w:rPr>
              <w:t>N/A</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9,780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9,780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813,409</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578,924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depletion and amortization</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194,204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162,123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619,205</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416,801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Machinery, equipment and automotive primarily includes the categories of property and equipment and estimated useful lives as follows: chemical processing plants and plant infrastructure (15-30 years); production, fabrication, and assembly equipment (7-15 years); certain processing plant components (3-10 years); and trucks, automobiles, trailers, and other rolling stock (3-7 years). At December 31, 2014 and 2013, assets capitalized under capital leases consist of machinery and equipment. Accumulated amortization for assets capitalized under capital leases were $28,000 and $714,000 at December 31, 2014 and 2013, respectively. During 2014 and 2013, interest cost capitalized in PP&amp;E was $13,586,000 and $3,861,000,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  See information concerning natural gas properties included in PP&amp;E in Note 1- Summary of Significant Accounting Policies.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Current and Noncurrent Accrued and Other Liabilities</w:t>
      </w:r>
    </w:p>
    <w:p>
      <w:pPr>
        <w:spacing w:after="0" w:line="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60"/>
        </w:trPr>
        <w:tc>
          <w:tcPr>
            <w:tcW w:w="5180" w:type="dxa"/>
            <w:vAlign w:val="bottom"/>
          </w:tcPr>
          <w:p>
            <w:pPr>
              <w:spacing w:after="0"/>
              <w:rPr>
                <w:sz w:val="13"/>
                <w:szCs w:val="13"/>
                <w:color w:val="auto"/>
              </w:rPr>
            </w:pPr>
          </w:p>
        </w:tc>
        <w:tc>
          <w:tcPr>
            <w:tcW w:w="24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r>
      <w:tr>
        <w:trPr>
          <w:trHeight w:val="132"/>
        </w:trPr>
        <w:tc>
          <w:tcPr>
            <w:tcW w:w="5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40" w:type="dxa"/>
            <w:vAlign w:val="bottom"/>
            <w:tcBorders>
              <w:top w:val="single" w:sz="8" w:color="auto"/>
            </w:tcBorders>
            <w:gridSpan w:val="3"/>
          </w:tcPr>
          <w:p>
            <w:pPr>
              <w:ind w:left="360"/>
              <w:spacing w:after="0" w:line="133"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b w:val="1"/>
                <w:bCs w:val="1"/>
                <w:color w:val="auto"/>
              </w:rPr>
              <w:t>$13,888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$13,925</w:t>
            </w: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rPr>
              <w:t>Accrued warranty costs</w:t>
            </w:r>
          </w:p>
        </w:tc>
        <w:tc>
          <w:tcPr>
            <w:tcW w:w="284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8,817</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7,297</w:t>
            </w: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 and benefits</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b w:val="1"/>
                <w:bCs w:val="1"/>
                <w:color w:val="auto"/>
              </w:rPr>
              <w:t>8,743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8,981</w:t>
            </w: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rPr>
              <w:t>Deferred revenue on extended warranty contracts</w:t>
            </w:r>
          </w:p>
        </w:tc>
        <w:tc>
          <w:tcPr>
            <w:tcW w:w="284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7,806</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7,407</w:t>
            </w: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Customer deposits</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b w:val="1"/>
                <w:bCs w:val="1"/>
                <w:color w:val="auto"/>
              </w:rPr>
              <w:t>6,833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5,500</w:t>
            </w: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23,013</w:t>
            </w:r>
          </w:p>
        </w:tc>
        <w:tc>
          <w:tcPr>
            <w:tcW w:w="4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23,083</w:t>
            </w:r>
          </w:p>
        </w:tc>
      </w:tr>
      <w:tr>
        <w:trPr>
          <w:trHeight w:val="25"/>
        </w:trPr>
        <w:tc>
          <w:tcPr>
            <w:tcW w:w="5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69,100</w:t>
            </w:r>
          </w:p>
        </w:tc>
        <w:tc>
          <w:tcPr>
            <w:tcW w:w="4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66,193</w:t>
            </w: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rPr>
              <w:t>Less noncurrent portion</w:t>
            </w:r>
          </w:p>
        </w:tc>
        <w:tc>
          <w:tcPr>
            <w:tcW w:w="1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17,934</w:t>
            </w:r>
          </w:p>
        </w:tc>
        <w:tc>
          <w:tcPr>
            <w:tcW w:w="4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17,086</w:t>
            </w:r>
          </w:p>
        </w:tc>
      </w:tr>
      <w:tr>
        <w:trPr>
          <w:trHeight w:val="25"/>
        </w:trPr>
        <w:tc>
          <w:tcPr>
            <w:tcW w:w="5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accrued and other liabilities</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51,166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49,107</w:t>
            </w:r>
          </w:p>
        </w:tc>
      </w:tr>
      <w:tr>
        <w:trPr>
          <w:trHeight w:val="20"/>
        </w:trPr>
        <w:tc>
          <w:tcPr>
            <w:tcW w:w="5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Warranty Costs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00"/>
          </w:cols>
          <w:pgMar w:left="240" w:top="441"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Warranty Costs (continued)</w:t>
      </w:r>
    </w:p>
    <w:p>
      <w:pPr>
        <w:spacing w:after="0" w:line="152"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product warranty obligation (accrued warranty costs) are as follows:</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center"/>
              <w:ind w:right="200"/>
              <w:spacing w:after="0" w:line="145" w:lineRule="exact"/>
              <w:rPr>
                <w:sz w:val="20"/>
                <w:szCs w:val="20"/>
                <w:color w:val="auto"/>
              </w:rPr>
            </w:pPr>
            <w:r>
              <w:rPr>
                <w:rFonts w:ascii="Arial" w:cs="Arial" w:eastAsia="Arial" w:hAnsi="Arial"/>
                <w:sz w:val="14"/>
                <w:szCs w:val="14"/>
                <w:color w:val="auto"/>
                <w:w w:val="89"/>
              </w:rPr>
              <w:t>(In Thousands)</w:t>
            </w: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1"/>
              </w:rPr>
              <w:t>$ 7,297</w:t>
            </w:r>
          </w:p>
        </w:tc>
        <w:tc>
          <w:tcPr>
            <w:tcW w:w="1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$ 6,172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$ 5,370</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7"/>
                <w:szCs w:val="17"/>
                <w:color w:val="auto"/>
              </w:rPr>
              <w:t>Amounts charged to SG&amp;A</w:t>
            </w:r>
          </w:p>
        </w:tc>
        <w:tc>
          <w:tcPr>
            <w:tcW w:w="5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7,923</w:t>
            </w:r>
          </w:p>
        </w:tc>
        <w:tc>
          <w:tcPr>
            <w:tcW w:w="180" w:type="dxa"/>
            <w:vAlign w:val="bottom"/>
          </w:tcPr>
          <w:p>
            <w:pPr>
              <w:spacing w:after="0"/>
              <w:rPr>
                <w:sz w:val="17"/>
                <w:szCs w:val="17"/>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7"/>
                <w:szCs w:val="17"/>
                <w:color w:val="auto"/>
              </w:rPr>
              <w:t>7,388</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6,710</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Costs incurred</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(6,403)</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(6,263)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(5,908)</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7"/>
                <w:szCs w:val="17"/>
                <w:color w:val="auto"/>
              </w:rPr>
              <w:t>Balance at end of year</w:t>
            </w:r>
          </w:p>
        </w:tc>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w w:val="88"/>
              </w:rPr>
              <w:t>$ 8,817</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7"/>
                <w:szCs w:val="17"/>
                <w:color w:val="auto"/>
              </w:rPr>
              <w:t>$ 7,297</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$ 6,172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Asset Retirement Obligations</w:t>
      </w:r>
    </w:p>
    <w:p>
      <w:pPr>
        <w:spacing w:after="0" w:line="114"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Currently, we have various legal requirements related to operations at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AROs. In addition, we currently have no plans to discontinue the use of these facilities, and the remaining life of the facilities is indeterminable. As a result, a liability for only a minimal amount relating to AROs associated with certain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December 31, 2014 and 2013, our accrued liability for AROs was $340,000 and $304,000,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Long-Term Debt</w:t>
      </w:r>
    </w:p>
    <w:p>
      <w:pPr>
        <w:spacing w:after="0" w:line="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6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jc w:val="right"/>
              <w:ind w:right="357"/>
              <w:spacing w:after="0" w:line="133"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Revolver Loan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7"/>
                <w:szCs w:val="17"/>
                <w:color w:val="auto"/>
              </w:rPr>
              <w:t>7.75% Senior Secured Notes due 2019 (B)</w:t>
            </w:r>
          </w:p>
        </w:tc>
        <w:tc>
          <w:tcPr>
            <w:tcW w:w="8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87"/>
              </w:rPr>
              <w:t>425,000</w:t>
            </w: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425,000</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Secured Promissory Note, with a current interest rate of 3.23% (C)</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22,814</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29,555</w:t>
            </w:r>
          </w:p>
        </w:tc>
        <w:tc>
          <w:tcPr>
            <w:tcW w:w="0" w:type="dxa"/>
            <w:vAlign w:val="bottom"/>
          </w:tcPr>
          <w:p>
            <w:pPr>
              <w:spacing w:after="0"/>
              <w:rPr>
                <w:sz w:val="1"/>
                <w:szCs w:val="1"/>
                <w:color w:val="auto"/>
              </w:rPr>
            </w:pPr>
          </w:p>
        </w:tc>
      </w:tr>
      <w:tr>
        <w:trPr>
          <w:trHeight w:val="191"/>
        </w:trPr>
        <w:tc>
          <w:tcPr>
            <w:tcW w:w="6860" w:type="dxa"/>
            <w:vAlign w:val="bottom"/>
          </w:tcPr>
          <w:p>
            <w:pPr>
              <w:spacing w:after="0" w:line="191" w:lineRule="exact"/>
              <w:rPr>
                <w:sz w:val="20"/>
                <w:szCs w:val="20"/>
                <w:color w:val="auto"/>
              </w:rPr>
            </w:pPr>
            <w:r>
              <w:rPr>
                <w:rFonts w:ascii="Arial" w:cs="Arial" w:eastAsia="Arial" w:hAnsi="Arial"/>
                <w:sz w:val="17"/>
                <w:szCs w:val="17"/>
                <w:color w:val="auto"/>
              </w:rPr>
              <w:t>Other, with a current weighted-average interest rate of 4.22%, most of which is secured</w:t>
            </w:r>
          </w:p>
        </w:tc>
        <w:tc>
          <w:tcPr>
            <w:tcW w:w="80" w:type="dxa"/>
            <w:vAlign w:val="bottom"/>
          </w:tcPr>
          <w:p>
            <w:pPr>
              <w:spacing w:after="0"/>
              <w:rPr>
                <w:sz w:val="16"/>
                <w:szCs w:val="16"/>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7"/>
                <w:szCs w:val="17"/>
                <w:b w:val="1"/>
                <w:bCs w:val="1"/>
                <w:color w:val="auto"/>
              </w:rPr>
              <w:t>9,504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160"/>
              <w:spacing w:after="0"/>
              <w:rPr>
                <w:sz w:val="20"/>
                <w:szCs w:val="20"/>
                <w:color w:val="auto"/>
              </w:rPr>
            </w:pPr>
            <w:r>
              <w:rPr>
                <w:rFonts w:ascii="Arial" w:cs="Arial" w:eastAsia="Arial" w:hAnsi="Arial"/>
                <w:sz w:val="17"/>
                <w:szCs w:val="17"/>
                <w:color w:val="auto"/>
              </w:rPr>
              <w:t>primarily by machinery and equipment</w:t>
            </w: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8,412</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w w:val="87"/>
              </w:rPr>
              <w:t>457,318</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462,967</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7"/>
                <w:szCs w:val="17"/>
                <w:color w:val="auto"/>
              </w:rPr>
              <w:t>Less current portion of long-term debt (D)</w:t>
            </w:r>
          </w:p>
        </w:tc>
        <w:tc>
          <w:tcPr>
            <w:tcW w:w="8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10,680</w:t>
            </w: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9,262</w:t>
            </w:r>
          </w:p>
        </w:tc>
        <w:tc>
          <w:tcPr>
            <w:tcW w:w="0" w:type="dxa"/>
            <w:vAlign w:val="bottom"/>
          </w:tcPr>
          <w:p>
            <w:pPr>
              <w:spacing w:after="0"/>
              <w:rPr>
                <w:sz w:val="1"/>
                <w:szCs w:val="1"/>
                <w:color w:val="auto"/>
              </w:rPr>
            </w:pPr>
          </w:p>
        </w:tc>
      </w:tr>
      <w:tr>
        <w:trPr>
          <w:trHeight w:val="25"/>
        </w:trPr>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Long-term debt due after one year (D)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w w:val="87"/>
              </w:rPr>
              <w:t>446,638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453,705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2"/>
        <w:spacing w:after="0" w:line="255" w:lineRule="auto"/>
        <w:tabs>
          <w:tab w:leader="none" w:pos="277"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Effective December 31, 2013, LSB and certain of its wholly-owned subsidiaries (the “Borrowers”) entered into an amendment to the existing senior secured revolving credit facility (the “Amended Working Capital Revolver Loan”). Pursuant to the terms of the Amended Working Capital Revolver Loan, the Borrowers may borrow on a revolving basis up to $100.0 million, based on specific percentages of eligible accounts receivable and inventories. In addition, the Amended Working Capital Revolver Loan and the Senior Secured Notes are cross collateralized as discussed in (B) below. The Amended Working Capital Revolver Loan will mature on April 13, 2018.</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80"/>
          </w:cols>
          <w:pgMar w:left="240" w:top="441" w:right="3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Long-Term Debt (continued)</w:t>
      </w:r>
    </w:p>
    <w:p>
      <w:pPr>
        <w:spacing w:after="0" w:line="15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December 31, 2014, the interest rate was 3.75% based on LIBOR. Interest is paid monthly, if applicable.</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Amended Working Capital Revolver Loan provides for up to $15.0 million of letters of credit. All letters of credit outstanding reduce availability under the Amended Working Capital Revolver Loan. As of December 31, 2014, the amount available for borrowing under the Amended Working Capital Revolver Loan was approximately $71.1 million.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lender has the ability to, upon an event of default, as defined, terminate the Amended Working Capital Revolver Loan and make the balance outstanding, if any, due and payable in full.</w:t>
      </w:r>
    </w:p>
    <w:p>
      <w:pPr>
        <w:spacing w:after="0" w:line="16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The Amended Working Capital Revolver Loan contains covenants that, among other things, limit the Borrowers’ ability, without consent of the lender and with certain exceptions, to:</w:t>
      </w:r>
    </w:p>
    <w:p>
      <w:pPr>
        <w:spacing w:after="0" w:line="75" w:lineRule="exact"/>
        <w:rPr>
          <w:sz w:val="20"/>
          <w:szCs w:val="20"/>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create liens on, sell or otherwise dispose of our assets;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engage in certain fundamental corporate changes or changes to our business activities;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make certain material acquisitions;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make other restricted payments, including investments;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repay certain indebtedness;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engage in certain affiliate transactions;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declare dividends and distributions;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engage in mergers, consolidations or other forms of recapitalization; or</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dispose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Amended Working Capital Revolver Loan allows the Borrowers and subsidiaries under the Senior Secured Notes to guarantee those notes.</w:t>
      </w:r>
    </w:p>
    <w:p>
      <w:pPr>
        <w:spacing w:after="0" w:line="21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87" w:lineRule="exact"/>
        <w:rPr>
          <w:sz w:val="20"/>
          <w:szCs w:val="20"/>
          <w:color w:val="auto"/>
        </w:rPr>
      </w:pPr>
    </w:p>
    <w:p>
      <w:pPr>
        <w:ind w:left="880" w:hanging="31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distributions and pay dividends by LSB with respect to amounts in excess of $0.5 million during each fiscal year;</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acquisitions of treasury stock by LSB with respect to amounts in excess of $0.5 million during each fiscal year;</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hedging agreements;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investments in joint ventures and certain subsidiaries of LSB in an aggregate amount not exceeding $35.0 million; and</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other investments in an aggregate amount not exceeding $50.0 million at any one time outstanding.</w:t>
      </w:r>
    </w:p>
    <w:p>
      <w:pPr>
        <w:spacing w:after="0" w:line="21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1"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Long-Term Debt (continued)</w:t>
      </w:r>
    </w:p>
    <w:p>
      <w:pPr>
        <w:spacing w:after="0" w:line="1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cross-payment default to indebtedness in excess of $2.5 million, cross-acceleration to indebtedness in excess of $2.5 million, bankruptcy and insolvency events, certain unsatisfied judgments, certain liens, and certain assertions of, or actual invalidity of, certain loan documents.</w:t>
      </w:r>
    </w:p>
    <w:p>
      <w:pPr>
        <w:spacing w:after="0" w:line="165" w:lineRule="exact"/>
        <w:rPr>
          <w:sz w:val="20"/>
          <w:szCs w:val="20"/>
          <w:color w:val="auto"/>
        </w:rPr>
      </w:pPr>
    </w:p>
    <w:p>
      <w:pPr>
        <w:ind w:right="40" w:firstLine="2"/>
        <w:spacing w:after="0" w:line="273" w:lineRule="auto"/>
        <w:tabs>
          <w:tab w:leader="none" w:pos="268"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On August 7, 2013, LSB sold $425 million aggregate principal amount of the 7.75% Senior Secured Notes due 2019 (the “Senior Secured Notes”) in a private transaction to qualified institutional buyers under Rule 144A and, outside of the United States, pursuant to Regulation S of the Securities Act of 1933, as amended. In accordance with the registration rights agreement entered into at the time of the issuance of the Senior Secured Notes, LSB and the guarantor subsidiaries completed an exchange offer to exchange the Senior Secured Notes for substantially identical notes registered under the Securities Act. The registration statement for the exchange offer was declared effective by the SEC in May 2014, and the exchange offer was completed in June 2014. The Senior Secured Notes bear interest at the rate of 7.75% per year and mature on August 1, 2019. Interest is to be paid semiannually on February 1st and August 1st.</w:t>
      </w:r>
    </w:p>
    <w:p>
      <w:pPr>
        <w:spacing w:after="0" w:line="168"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Senior Secured Notes are general senior secured obligations of LSB. The Senior Secured Notes are jointly and severally and fully and unconditionally guaranteed by all of LSB’s current wholly-owned subsidiaries, with all of the guarantees, except two, being senior secured guarantees and two being senior unsecured guarantees. The Senior Secured Notes rank equally in right of payment to all of LSB and the guarantors’ existing and future senior secured debt, including the Amended Working Capital Revolver Loan discussed above, and are senior in right of payment to all of LSB and the guarantors’ future subordinated indebtedness. LSB does not have independent assets or operations.</w:t>
      </w:r>
    </w:p>
    <w:p>
      <w:pPr>
        <w:spacing w:after="0" w:line="182"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Those subsidiaries that provided guarantees of the Senior Secured Notes will be released from such guarantees upon the occurrence of certain events, including the following:</w:t>
      </w:r>
    </w:p>
    <w:p>
      <w:pPr>
        <w:spacing w:after="0" w:line="76" w:lineRule="exact"/>
        <w:rPr>
          <w:sz w:val="20"/>
          <w:szCs w:val="20"/>
          <w:color w:val="auto"/>
        </w:rPr>
      </w:pPr>
    </w:p>
    <w:p>
      <w:pPr>
        <w:ind w:left="880" w:hanging="319"/>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designation of such guarantor as an unrestricted subsidiary;</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release or discharge of any guarantee or indebtedness that resulted in the creation of the guarantee of the Senior Secured Notes by such guarantor;</w:t>
      </w:r>
    </w:p>
    <w:p>
      <w:pPr>
        <w:spacing w:after="0" w:line="145" w:lineRule="exact"/>
        <w:rPr>
          <w:rFonts w:ascii="Arial" w:cs="Arial" w:eastAsia="Arial" w:hAnsi="Arial"/>
          <w:sz w:val="15"/>
          <w:szCs w:val="15"/>
          <w:color w:val="auto"/>
        </w:rPr>
      </w:pPr>
    </w:p>
    <w:p>
      <w:pPr>
        <w:ind w:left="880" w:hanging="319"/>
        <w:spacing w:after="0"/>
        <w:tabs>
          <w:tab w:leader="none" w:pos="8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sale or other disposition, including by way of merger or otherwise, of its capital stock or of all or substantially all of the assets, of such guarantor; or</w:t>
      </w:r>
    </w:p>
    <w:p>
      <w:pPr>
        <w:spacing w:after="0" w:line="145" w:lineRule="exact"/>
        <w:rPr>
          <w:rFonts w:ascii="Arial" w:cs="Arial" w:eastAsia="Arial" w:hAnsi="Arial"/>
          <w:sz w:val="15"/>
          <w:szCs w:val="15"/>
          <w:color w:val="auto"/>
        </w:rPr>
      </w:pPr>
    </w:p>
    <w:p>
      <w:pPr>
        <w:ind w:left="880" w:right="220" w:hanging="319"/>
        <w:spacing w:after="0" w:line="273"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LSB’s exercise of its legal defeasance option or its covenant defeasance option as described in the Indenture with LSB’s obligations under the Indenture discharged in accordance with the Indenture.</w:t>
      </w:r>
    </w:p>
    <w:p>
      <w:pPr>
        <w:spacing w:after="0" w:line="165"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The Senior Secured Notes will be effectively senior to all existing and future unsecured debt of LSB and the guarantors to the extent of the value of the property and assets subject to liens (“Collateral”) and will effectively be senior to all existing and future obligations under the Amended Working Capital Revolver Loan and other debt to the extent of the value of the certain collateral (“Priority Collateral”).</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Senior Secured Notes will secured be on a first-priority basis by the Priority Collateral owned by LSB and the guarantors (other than the two unsecured guarantors)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 At December 31, 2014, the carrying value of the assets secured on a first-priority basis was approximately $607 million and the carrying value of the assets secured on a second-priority basis was approximately $136 million.</w:t>
      </w:r>
    </w:p>
    <w:p>
      <w:pPr>
        <w:spacing w:after="0" w:line="182"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The Senior Secured Notes will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00"/>
          </w:cols>
          <w:pgMar w:left="240" w:top="441" w:right="2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Long-Term Debt (continued)</w:t>
      </w:r>
    </w:p>
    <w:p>
      <w:pPr>
        <w:spacing w:after="0" w:line="152"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Year</w:t>
            </w:r>
          </w:p>
        </w:tc>
        <w:tc>
          <w:tcPr>
            <w:tcW w:w="67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0"/>
              </w:rPr>
              <w:t>Percentage</w:t>
            </w:r>
          </w:p>
        </w:tc>
        <w:tc>
          <w:tcPr>
            <w:tcW w:w="200" w:type="dxa"/>
            <w:vAlign w:val="bottom"/>
            <w:tcBorders>
              <w:bottom w:val="single" w:sz="8" w:color="CCEEFF"/>
            </w:tcBorders>
          </w:tcPr>
          <w:p>
            <w:pPr>
              <w:spacing w:after="0"/>
              <w:rPr>
                <w:sz w:val="14"/>
                <w:szCs w:val="14"/>
                <w:color w:val="auto"/>
              </w:rPr>
            </w:pPr>
          </w:p>
        </w:tc>
      </w:tr>
      <w:tr>
        <w:trPr>
          <w:trHeight w:val="196"/>
        </w:trPr>
        <w:tc>
          <w:tcPr>
            <w:tcW w:w="260" w:type="dxa"/>
            <w:vAlign w:val="bottom"/>
            <w:shd w:val="clear" w:color="auto" w:fill="CCEEFF"/>
          </w:tcPr>
          <w:p>
            <w:pPr>
              <w:spacing w:after="0"/>
              <w:rPr>
                <w:sz w:val="20"/>
                <w:szCs w:val="20"/>
                <w:color w:val="auto"/>
              </w:rPr>
            </w:pPr>
            <w:r>
              <w:rPr>
                <w:rFonts w:ascii="Arial" w:cs="Arial" w:eastAsia="Arial" w:hAnsi="Arial"/>
                <w:sz w:val="15"/>
                <w:szCs w:val="15"/>
                <w:color w:val="auto"/>
                <w:w w:val="71"/>
              </w:rPr>
              <w:t>2016</w:t>
            </w:r>
          </w:p>
        </w:tc>
        <w:tc>
          <w:tcPr>
            <w:tcW w:w="67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103.875%</w:t>
            </w:r>
          </w:p>
        </w:tc>
      </w:tr>
      <w:tr>
        <w:trPr>
          <w:trHeight w:val="203"/>
        </w:trPr>
        <w:tc>
          <w:tcPr>
            <w:tcW w:w="6960" w:type="dxa"/>
            <w:vAlign w:val="bottom"/>
            <w:gridSpan w:val="2"/>
          </w:tcPr>
          <w:p>
            <w:pPr>
              <w:spacing w:after="0"/>
              <w:rPr>
                <w:sz w:val="20"/>
                <w:szCs w:val="20"/>
                <w:color w:val="auto"/>
              </w:rPr>
            </w:pPr>
            <w:r>
              <w:rPr>
                <w:rFonts w:ascii="Arial" w:cs="Arial" w:eastAsia="Arial" w:hAnsi="Arial"/>
                <w:sz w:val="17"/>
                <w:szCs w:val="17"/>
                <w:color w:val="auto"/>
              </w:rPr>
              <w:t>2017</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101.938%</w:t>
            </w:r>
          </w:p>
        </w:tc>
      </w:tr>
      <w:tr>
        <w:trPr>
          <w:trHeight w:val="203"/>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 and thereafter</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100.000%</w:t>
            </w:r>
          </w:p>
        </w:tc>
      </w:tr>
    </w:tbl>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Indenture contains covenants that, among other things, limit LSB’s ability, with certain exceptions and as defined in the Indenture, to:</w:t>
      </w:r>
    </w:p>
    <w:p>
      <w:pPr>
        <w:spacing w:after="0" w:line="122" w:lineRule="exact"/>
        <w:rPr>
          <w:sz w:val="20"/>
          <w:szCs w:val="20"/>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pay dividends;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repurchase LSB common and preferred stocks;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make investments;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repay certain indebtedness;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create liens on, sell or otherwise dispose of our assets;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engage in mergers, consolidations or other forms of recapitalization;</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engage in sale-leaseback transactions; or</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engage in certain affiliate transactions.</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In 2013, approximately $67.2 million of the proceeds from Senior Secured Notes was used to pay all outstanding borrowings, including a prepayment premium, under a secured term loan facility. As a result of the payoff of the secured term loan facility, we incurred a loss on extinguishment of debt of $1.3 million in 2013, consisting of the prepayment premium and writing off unamortized debt issuance costs.</w:t>
      </w:r>
    </w:p>
    <w:p>
      <w:pPr>
        <w:spacing w:after="0" w:line="176" w:lineRule="exact"/>
        <w:rPr>
          <w:sz w:val="20"/>
          <w:szCs w:val="20"/>
          <w:color w:val="auto"/>
        </w:rPr>
      </w:pPr>
    </w:p>
    <w:p>
      <w:pPr>
        <w:ind w:right="120" w:firstLine="2"/>
        <w:spacing w:after="0" w:line="302" w:lineRule="auto"/>
        <w:tabs>
          <w:tab w:leader="none" w:pos="277" w:val="left"/>
        </w:tabs>
        <w:numPr>
          <w:ilvl w:val="0"/>
          <w:numId w:val="45"/>
        </w:numPr>
        <w:rPr>
          <w:rFonts w:ascii="Arial" w:cs="Arial" w:eastAsia="Arial" w:hAnsi="Arial"/>
          <w:sz w:val="15"/>
          <w:szCs w:val="15"/>
          <w:b w:val="1"/>
          <w:bCs w:val="1"/>
          <w:color w:val="auto"/>
        </w:rPr>
      </w:pPr>
      <w:r>
        <w:rPr>
          <w:rFonts w:ascii="Arial" w:cs="Arial" w:eastAsia="Arial" w:hAnsi="Arial"/>
          <w:sz w:val="15"/>
          <w:szCs w:val="15"/>
          <w:color w:val="auto"/>
        </w:rPr>
        <w:t>On February 1, 2013, Zena Energy L.L.C. (“Zena”), a subsidiary within our Chemical Business, entered into a loan (the “Secured Promissory Note”) with a lender in the original principal amount of $35 million. The Secured Promissory Note followed the original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Secured Promissory Note matures on February 1, 2016.</w:t>
      </w:r>
    </w:p>
    <w:p>
      <w:pPr>
        <w:spacing w:after="0" w:line="148" w:lineRule="exact"/>
        <w:rPr>
          <w:sz w:val="20"/>
          <w:szCs w:val="20"/>
          <w:color w:val="auto"/>
        </w:rPr>
      </w:pPr>
    </w:p>
    <w:p>
      <w:pPr>
        <w:ind w:right="520"/>
        <w:spacing w:after="0" w:line="341" w:lineRule="auto"/>
        <w:rPr>
          <w:sz w:val="20"/>
          <w:szCs w:val="20"/>
          <w:color w:val="auto"/>
        </w:rPr>
      </w:pPr>
      <w:r>
        <w:rPr>
          <w:rFonts w:ascii="Arial" w:cs="Arial" w:eastAsia="Arial" w:hAnsi="Arial"/>
          <w:sz w:val="15"/>
          <w:szCs w:val="15"/>
          <w:color w:val="auto"/>
        </w:rPr>
        <w:t>Principal and interest are payable monthly based on a five-year amortization at a defined LIBOR rate plus 300 basis points with a final balloon payment of $15.3 million due at maturity. The interest rate at December 31, 2014 was 3.23%. The loan is secured by the Working Interests and related properties and proceeds.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441"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Long-Term Debt (continued)</w:t>
      </w:r>
    </w:p>
    <w:p>
      <w:pPr>
        <w:spacing w:after="0" w:line="253" w:lineRule="exact"/>
        <w:rPr>
          <w:sz w:val="20"/>
          <w:szCs w:val="20"/>
          <w:color w:val="auto"/>
        </w:rPr>
      </w:pPr>
    </w:p>
    <w:p>
      <w:pPr>
        <w:ind w:left="280" w:hanging="278"/>
        <w:spacing w:after="0"/>
        <w:tabs>
          <w:tab w:leader="none" w:pos="28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Maturities of long-term debt for each of the five years after December 31, 2014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88"/>
              </w:rPr>
              <w:t>10,680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w w:val="88"/>
              </w:rPr>
              <w:t>18,167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477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2,994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425,000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457,318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10. Income Taxes</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79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960" w:type="dxa"/>
            <w:vAlign w:val="bottom"/>
            <w:gridSpan w:val="3"/>
          </w:tcPr>
          <w:p>
            <w:pPr>
              <w:spacing w:after="0"/>
              <w:rPr>
                <w:sz w:val="20"/>
                <w:szCs w:val="20"/>
                <w:color w:val="auto"/>
              </w:rPr>
            </w:pPr>
            <w:r>
              <w:rPr>
                <w:rFonts w:ascii="Arial" w:cs="Arial" w:eastAsia="Arial" w:hAnsi="Arial"/>
                <w:sz w:val="17"/>
                <w:szCs w:val="17"/>
                <w:color w:val="auto"/>
              </w:rPr>
              <w:t>Provisions for income taxes are as follows: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7"/>
          </w:tcPr>
          <w:p>
            <w:pPr>
              <w:ind w:left="100"/>
              <w:spacing w:after="0" w:line="133"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Current: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gridSpan w:val="2"/>
          </w:tcPr>
          <w:p>
            <w:pPr>
              <w:ind w:left="340"/>
              <w:spacing w:after="0"/>
              <w:rPr>
                <w:sz w:val="20"/>
                <w:szCs w:val="20"/>
                <w:color w:val="auto"/>
              </w:rPr>
            </w:pPr>
            <w:r>
              <w:rPr>
                <w:rFonts w:ascii="Arial" w:cs="Arial" w:eastAsia="Arial" w:hAnsi="Arial"/>
                <w:sz w:val="17"/>
                <w:szCs w:val="17"/>
                <w:color w:val="auto"/>
              </w:rPr>
              <w:t>Federal</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gridSpan w:val="2"/>
          </w:tcPr>
          <w:p>
            <w:pPr>
              <w:jc w:val="right"/>
              <w:ind w:right="21"/>
              <w:spacing w:after="0"/>
              <w:rPr>
                <w:sz w:val="20"/>
                <w:szCs w:val="20"/>
                <w:color w:val="auto"/>
              </w:rPr>
            </w:pPr>
            <w:r>
              <w:rPr>
                <w:rFonts w:ascii="Arial" w:cs="Arial" w:eastAsia="Arial" w:hAnsi="Arial"/>
                <w:sz w:val="17"/>
                <w:szCs w:val="17"/>
                <w:b w:val="1"/>
                <w:bCs w:val="1"/>
                <w:color w:val="auto"/>
                <w:w w:val="92"/>
              </w:rPr>
              <w:t>(1,452)</w:t>
            </w:r>
          </w:p>
        </w:tc>
        <w:tc>
          <w:tcPr>
            <w:tcW w:w="920" w:type="dxa"/>
            <w:vAlign w:val="bottom"/>
            <w:gridSpan w:val="6"/>
          </w:tcPr>
          <w:p>
            <w:pPr>
              <w:jc w:val="right"/>
              <w:ind w:right="80"/>
              <w:spacing w:after="0"/>
              <w:rPr>
                <w:sz w:val="20"/>
                <w:szCs w:val="20"/>
                <w:color w:val="auto"/>
              </w:rPr>
            </w:pPr>
            <w:r>
              <w:rPr>
                <w:rFonts w:ascii="Arial" w:cs="Arial" w:eastAsia="Arial" w:hAnsi="Arial"/>
                <w:sz w:val="17"/>
                <w:szCs w:val="17"/>
                <w:color w:val="auto"/>
              </w:rPr>
              <w:t>$ (1,225)</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28,654</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b w:val="1"/>
                <w:bCs w:val="1"/>
                <w:color w:val="auto"/>
              </w:rPr>
              <w:t>1,013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1,357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4,695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40" w:type="dxa"/>
            <w:vAlign w:val="bottom"/>
            <w:gridSpan w:val="2"/>
            <w:vMerge w:val="restart"/>
          </w:tcPr>
          <w:p>
            <w:pPr>
              <w:ind w:left="680"/>
              <w:spacing w:after="0"/>
              <w:rPr>
                <w:sz w:val="20"/>
                <w:szCs w:val="20"/>
                <w:color w:val="auto"/>
              </w:rPr>
            </w:pPr>
            <w:r>
              <w:rPr>
                <w:rFonts w:ascii="Arial" w:cs="Arial" w:eastAsia="Arial" w:hAnsi="Arial"/>
                <w:sz w:val="17"/>
                <w:szCs w:val="17"/>
                <w:color w:val="auto"/>
              </w:rPr>
              <w:t>Total Current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20" w:type="dxa"/>
            <w:vAlign w:val="bottom"/>
          </w:tcPr>
          <w:p>
            <w:pPr>
              <w:spacing w:after="0"/>
              <w:rPr>
                <w:sz w:val="18"/>
                <w:szCs w:val="18"/>
                <w:color w:val="auto"/>
              </w:rPr>
            </w:pPr>
          </w:p>
        </w:tc>
        <w:tc>
          <w:tcPr>
            <w:tcW w:w="70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(439</w:t>
            </w:r>
          </w:p>
        </w:tc>
        <w:tc>
          <w:tcPr>
            <w:tcW w:w="160" w:type="dxa"/>
            <w:vAlign w:val="bottom"/>
            <w:vMerge w:val="continue"/>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33,349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Deferred:</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gridSpan w:val="2"/>
          </w:tcPr>
          <w:p>
            <w:pPr>
              <w:ind w:left="340"/>
              <w:spacing w:after="0"/>
              <w:rPr>
                <w:sz w:val="20"/>
                <w:szCs w:val="20"/>
                <w:color w:val="auto"/>
              </w:rPr>
            </w:pPr>
            <w:r>
              <w:rPr>
                <w:rFonts w:ascii="Arial" w:cs="Arial" w:eastAsia="Arial" w:hAnsi="Arial"/>
                <w:sz w:val="17"/>
                <w:szCs w:val="17"/>
                <w:color w:val="auto"/>
              </w:rPr>
              <w:t>Federal</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gridSpan w:val="2"/>
          </w:tcPr>
          <w:p>
            <w:pPr>
              <w:jc w:val="right"/>
              <w:ind w:right="81"/>
              <w:spacing w:after="0"/>
              <w:rPr>
                <w:sz w:val="20"/>
                <w:szCs w:val="20"/>
                <w:color w:val="auto"/>
              </w:rPr>
            </w:pPr>
            <w:r>
              <w:rPr>
                <w:rFonts w:ascii="Arial" w:cs="Arial" w:eastAsia="Arial" w:hAnsi="Arial"/>
                <w:sz w:val="17"/>
                <w:szCs w:val="17"/>
                <w:b w:val="1"/>
                <w:bCs w:val="1"/>
                <w:color w:val="auto"/>
                <w:w w:val="84"/>
              </w:rPr>
              <w:t>12,278</w:t>
            </w:r>
          </w:p>
        </w:tc>
        <w:tc>
          <w:tcPr>
            <w:tcW w:w="820" w:type="dxa"/>
            <w:vAlign w:val="bottom"/>
            <w:gridSpan w:val="5"/>
          </w:tcPr>
          <w:p>
            <w:pPr>
              <w:jc w:val="right"/>
              <w:ind w:right="40"/>
              <w:spacing w:after="0"/>
              <w:rPr>
                <w:sz w:val="20"/>
                <w:szCs w:val="20"/>
                <w:color w:val="auto"/>
              </w:rPr>
            </w:pPr>
            <w:r>
              <w:rPr>
                <w:rFonts w:ascii="Arial" w:cs="Arial" w:eastAsia="Arial" w:hAnsi="Arial"/>
                <w:sz w:val="17"/>
                <w:szCs w:val="17"/>
                <w:color w:val="auto"/>
              </w:rPr>
              <w:t>$32,197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559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b w:val="1"/>
                <w:bCs w:val="1"/>
                <w:color w:val="auto"/>
              </w:rPr>
              <w:t>561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3,092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40" w:type="dxa"/>
            <w:vAlign w:val="bottom"/>
            <w:gridSpan w:val="2"/>
            <w:vMerge w:val="restart"/>
          </w:tcPr>
          <w:p>
            <w:pPr>
              <w:ind w:left="680"/>
              <w:spacing w:after="0"/>
              <w:rPr>
                <w:sz w:val="20"/>
                <w:szCs w:val="20"/>
                <w:color w:val="auto"/>
              </w:rPr>
            </w:pPr>
            <w:r>
              <w:rPr>
                <w:rFonts w:ascii="Arial" w:cs="Arial" w:eastAsia="Arial" w:hAnsi="Arial"/>
                <w:sz w:val="17"/>
                <w:szCs w:val="17"/>
                <w:color w:val="auto"/>
              </w:rPr>
              <w:t>Total Deferred</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70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84"/>
              </w:rPr>
              <w:t>12,839</w:t>
            </w:r>
          </w:p>
        </w:tc>
        <w:tc>
          <w:tcPr>
            <w:tcW w:w="160" w:type="dxa"/>
            <w:vAlign w:val="bottom"/>
            <w:vMerge w:val="continue"/>
          </w:tcPr>
          <w:p>
            <w:pPr>
              <w:spacing w:after="0"/>
              <w:rPr>
                <w:sz w:val="18"/>
                <w:szCs w:val="18"/>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35,289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Provisions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b w:val="1"/>
                <w:bCs w:val="1"/>
                <w:color w:val="auto"/>
                <w:w w:val="84"/>
              </w:rPr>
              <w:t>12,400</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35,421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33,594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current provision for federal income taxes shown above includes regular federal income tax after the consideration of permanent and temporary differences between income for GAAP and tax purposes. For 2013 and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reduced the current provision for 2013 and impacted the effective tax rate for 2013. The current provision for state income taxes includes regular state income tax and provisions for uncertain income tax positions.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deferred tax provision results from the recognition of changes in our prior year deferred tax assets and liabilities, and the utilization of state NOL carryforwards and other temporary differences. We reduce income tax expense for tax credits in the year they arise and are earned. At December 31, 2014, our gross amount of the investment tax credits available to offset state income taxes was minimal. These investment tax credits do not expire and carryforward indefinitely. The gross amount of federal tax credits was $2.1 million. These credits carryforward for 20 years and begin expiring in 2034.</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utilized approximately $5.9 million, $0.1 million and $0.1 million of state NOL carryforwards to reduce tax liabilities in 2014, 2013 and 2012, respectively. At December 31, 2014, we have remaining federal and state tax NOL carryforwards of $33.6 million and $58.5 million, respectively, which amounts exclude the NOL carryforwards that are related to unrecognized tax benefits and stock compensation that have not been recognized in accordance with GAAP. Additionally, we had approximately $2.8 million of alternative minimum tax (“AMT”) NOL carryforwards available as a deduction against future AMT income. The federal and state NOL carryforwards begin expiring in 2033 and 2014,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00"/>
          </w:cols>
          <w:pgMar w:left="240" w:top="441"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 (continued)</w:t>
      </w:r>
    </w:p>
    <w:p>
      <w:pPr>
        <w:spacing w:after="0" w:line="15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the deferred tax assets associated with federal and state NOLs and federal credits. For 2014, 2013 and 2012, we determined it was more-likely-than-not that approximately $8.1 million, $8.3 million and $6.8 million, respectively, of the state NOL carryforwards would not be able to be utilized before expiration and a valuation allowance was maintained for the deferred tax assets associated with these state NOL carryforwards, net of federal benefit of approximately $0.3 million for each of the respective years.</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When non-qualified stock options (“NSOs”) are exercised, the grantor of the options is permitted to deduct the spread between the fair market value of the stock issued and the exercise price of the NSOs as compensation expense in determining taxable income. Income tax benefits related to stock-based compensation deductions in excess of the compensation expense recorded for financial reporting purposes are not recognized in earnings as a reduction of income tax expense for financial reporting purposes. As a result, the stock-based compensation deduction recognized in our income tax return will exceed the stock-based compensation expense recognized in earnings. The excess tax benefit realized (i.e., the resulting reduction in the current tax liability) related to the excess stock-based compensation tax deduction of $0.5 million in 2012 (none in 2014 and 2013), which is included in the net change in capital in excess of par value rather than a decrease in the provision for income taxes.</w:t>
      </w:r>
    </w:p>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In addition, if the grantor of NSOs will not currently reduce its tax liability from the excess tax benefit deduction taken at the time of the taxable event (option exercised) because it has a NOL carryforward that is increased by the excess tax benefit, then the tax benefit should not be recognized until the deduction actually reduces current taxes payable. The amounts included in the federal and state NOL carryforwards but not reflected in deferred tax assets at December 31, 2014 totaled $3.1 million and $1.7 million, respectively. At December 31, 2014 and 2013, we had $1.1 million and $0.5 million, respectively of unrecognized federal and state tax benefits resulting from the exercise of NSOs.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1"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liabilities include temporary differences and carryforwards as follows: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right"/>
              <w:ind w:right="356"/>
              <w:spacing w:after="0" w:line="133"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Allowance for doubtful accounts</w:t>
            </w:r>
          </w:p>
        </w:tc>
        <w:tc>
          <w:tcPr>
            <w:tcW w:w="31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823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Inventory</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2,447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2,168</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3,914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3,977</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Other accrued liabilities</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7,195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6,429</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Hedging</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1,218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Net operating loss carryforwards</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6"/>
              </w:rPr>
              <w:t>13,874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12,046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3,700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3,823</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33,397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30,447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Less valuation allowance on deferred tax assets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3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33,105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30,149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Deferred tax liabilities</w:t>
            </w:r>
          </w:p>
        </w:tc>
        <w:tc>
          <w:tcPr>
            <w:tcW w:w="3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31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6"/>
              </w:rPr>
              <w:t>92,962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77,126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Prepaid and other insurance reserves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5,452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5,182</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Investment in unconsolidated affiliate</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551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3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99,029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83,234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Net deferred tax liabilities</w:t>
            </w:r>
          </w:p>
        </w:tc>
        <w:tc>
          <w:tcPr>
            <w:tcW w:w="3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u w:val="single" w:color="auto"/>
                <w:color w:val="auto"/>
              </w:rPr>
              <w:t>$</w:t>
            </w:r>
          </w:p>
        </w:tc>
        <w:tc>
          <w:tcPr>
            <w:tcW w:w="7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b w:val="1"/>
                <w:bCs w:val="1"/>
                <w:color w:val="auto"/>
                <w:w w:val="88"/>
              </w:rPr>
              <w:t>(65,924)</w:t>
            </w: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w w:val="88"/>
              </w:rPr>
              <w:t>(53,085)</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7"/>
                <w:szCs w:val="17"/>
                <w:b w:val="1"/>
                <w:bCs w:val="1"/>
                <w:color w:val="auto"/>
              </w:rPr>
              <w:t>Consolidated balance sheet classification:</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vMerge w:val="continue"/>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Net current deferred tax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w w:val="96"/>
              </w:rPr>
              <w:t>17,204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13,613</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Net noncurrent deferred tax liabilities</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8"/>
              </w:rPr>
              <w:t>(83,128)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(66,698)</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deferred tax liabilities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88"/>
              </w:rPr>
              <w:t>(65,924)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(53,085)</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7"/>
                <w:szCs w:val="17"/>
                <w:b w:val="1"/>
                <w:bCs w:val="1"/>
                <w:color w:val="auto"/>
              </w:rPr>
              <w:t>Net deferred tax liabilities by tax jurisdiction:</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vMerge w:val="continue"/>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Federal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88"/>
              </w:rPr>
              <w:t>(60,696)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(48,503)</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State</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(5,228)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(4,582)</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deferred tax liabilities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88"/>
              </w:rPr>
              <w:t>(65,924)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(53,085)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60" w:type="dxa"/>
            <w:vAlign w:val="bottom"/>
          </w:tcPr>
          <w:p>
            <w:pPr>
              <w:spacing w:after="0"/>
              <w:rPr>
                <w:sz w:val="24"/>
                <w:szCs w:val="24"/>
                <w:color w:val="auto"/>
              </w:rPr>
            </w:pPr>
          </w:p>
        </w:tc>
        <w:tc>
          <w:tcPr>
            <w:tcW w:w="3120" w:type="dxa"/>
            <w:vAlign w:val="bottom"/>
            <w:gridSpan w:val="2"/>
          </w:tcPr>
          <w:p>
            <w:pPr>
              <w:jc w:val="right"/>
              <w:ind w:right="2406"/>
              <w:spacing w:after="0"/>
              <w:rPr>
                <w:sz w:val="20"/>
                <w:szCs w:val="20"/>
                <w:color w:val="auto"/>
              </w:rPr>
            </w:pPr>
            <w:r>
              <w:rPr>
                <w:rFonts w:ascii="Arial" w:cs="Arial" w:eastAsia="Arial" w:hAnsi="Arial"/>
                <w:sz w:val="17"/>
                <w:szCs w:val="17"/>
                <w:color w:val="auto"/>
              </w:rPr>
              <w:t>F-24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41" w:right="1440"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 (continued)</w:t>
      </w:r>
    </w:p>
    <w:p>
      <w:pPr>
        <w:spacing w:after="0" w:line="152"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All of our income before taxes relates to domestic operations. Detailed below are the differences between the amount of the provision for income taxes and the amount which would result from the application of the federal statutory rate to “Income from continuing operations before provision for income taxes”.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jc w:val="right"/>
              <w:ind w:right="260"/>
              <w:spacing w:after="0" w:line="133" w:lineRule="exact"/>
              <w:rPr>
                <w:sz w:val="20"/>
                <w:szCs w:val="20"/>
                <w:color w:val="auto"/>
              </w:rPr>
            </w:pPr>
            <w:r>
              <w:rPr>
                <w:rFonts w:ascii="Arial" w:cs="Arial" w:eastAsia="Arial" w:hAnsi="Arial"/>
                <w:sz w:val="14"/>
                <w:szCs w:val="14"/>
                <w:color w:val="auto"/>
                <w:w w:val="84"/>
              </w:rPr>
              <w:t>(In Thousands)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Provisions for income taxes at federal statutory rate</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87"/>
              </w:rPr>
              <w:t>$11,263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$31,697</w:t>
            </w:r>
          </w:p>
        </w:tc>
        <w:tc>
          <w:tcPr>
            <w:tcW w:w="3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4"/>
              </w:rPr>
              <w:t>$32,391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State current and deferred income taxes</w:t>
            </w:r>
          </w:p>
        </w:tc>
        <w:tc>
          <w:tcPr>
            <w:tcW w:w="74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1,497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7"/>
                <w:szCs w:val="17"/>
                <w:color w:val="auto"/>
              </w:rPr>
              <w:t>3,916</w:t>
            </w:r>
          </w:p>
        </w:tc>
        <w:tc>
          <w:tcPr>
            <w:tcW w:w="300" w:type="dxa"/>
            <w:vAlign w:val="bottom"/>
          </w:tcPr>
          <w:p>
            <w:pPr>
              <w:spacing w:after="0"/>
              <w:rPr>
                <w:sz w:val="17"/>
                <w:szCs w:val="17"/>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7"/>
                <w:szCs w:val="17"/>
                <w:color w:val="auto"/>
              </w:rPr>
              <w:t>3,533</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Domestic production activities deduction</w:t>
            </w:r>
          </w:p>
        </w:tc>
        <w:tc>
          <w:tcPr>
            <w:tcW w:w="2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(1,933)</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Effect of tax return to tax provision reconciliation</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(110)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7"/>
                <w:szCs w:val="17"/>
                <w:color w:val="auto"/>
              </w:rPr>
              <w:t>(318)</w:t>
            </w:r>
          </w:p>
        </w:tc>
        <w:tc>
          <w:tcPr>
            <w:tcW w:w="300" w:type="dxa"/>
            <w:vAlign w:val="bottom"/>
          </w:tcPr>
          <w:p>
            <w:pPr>
              <w:spacing w:after="0"/>
              <w:rPr>
                <w:sz w:val="17"/>
                <w:szCs w:val="17"/>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126</w:t>
            </w:r>
          </w:p>
        </w:tc>
        <w:tc>
          <w:tcPr>
            <w:tcW w:w="3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920"/>
              <w:spacing w:after="0"/>
              <w:rPr>
                <w:sz w:val="20"/>
                <w:szCs w:val="20"/>
                <w:color w:val="auto"/>
              </w:rPr>
            </w:pPr>
            <w:r>
              <w:rPr>
                <w:rFonts w:ascii="Arial" w:cs="Arial" w:eastAsia="Arial" w:hAnsi="Arial"/>
                <w:sz w:val="17"/>
                <w:szCs w:val="17"/>
                <w:color w:val="auto"/>
              </w:rPr>
              <w:t>Provisions for income taxes</w:t>
            </w: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gridSpan w:val="2"/>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12,400</w:t>
            </w:r>
          </w:p>
        </w:tc>
        <w:tc>
          <w:tcPr>
            <w:tcW w:w="1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35,421</w:t>
            </w:r>
          </w:p>
        </w:tc>
        <w:tc>
          <w:tcPr>
            <w:tcW w:w="3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33,594</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7"/>
                <w:szCs w:val="17"/>
                <w:color w:val="auto"/>
              </w:rPr>
              <w:t>A reconciliation of the beginning and ending amount of uncertain tax positions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5"/>
          </w:tcPr>
          <w:p>
            <w:pPr>
              <w:jc w:val="right"/>
              <w:ind w:right="160"/>
              <w:spacing w:after="0" w:line="133" w:lineRule="exact"/>
              <w:rPr>
                <w:sz w:val="20"/>
                <w:szCs w:val="20"/>
                <w:color w:val="auto"/>
              </w:rPr>
            </w:pPr>
            <w:r>
              <w:rPr>
                <w:rFonts w:ascii="Arial" w:cs="Arial" w:eastAsia="Arial" w:hAnsi="Arial"/>
                <w:sz w:val="14"/>
                <w:szCs w:val="14"/>
                <w:color w:val="auto"/>
                <w:w w:val="95"/>
              </w:rPr>
              <w:t>(In Thousands)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$ 2,409</w:t>
            </w:r>
          </w:p>
        </w:tc>
        <w:tc>
          <w:tcPr>
            <w:tcW w:w="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3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709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Additions based on tax positions related to the current year</w:t>
            </w:r>
          </w:p>
        </w:tc>
        <w:tc>
          <w:tcPr>
            <w:tcW w:w="76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45</w:t>
            </w:r>
          </w:p>
        </w:tc>
        <w:tc>
          <w:tcPr>
            <w:tcW w:w="6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7"/>
                <w:szCs w:val="17"/>
                <w:color w:val="auto"/>
              </w:rPr>
              <w:t>97</w:t>
            </w:r>
          </w:p>
        </w:tc>
        <w:tc>
          <w:tcPr>
            <w:tcW w:w="300" w:type="dxa"/>
            <w:vAlign w:val="bottom"/>
          </w:tcPr>
          <w:p>
            <w:pPr>
              <w:spacing w:after="0"/>
              <w:rPr>
                <w:sz w:val="17"/>
                <w:szCs w:val="17"/>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Additions based on tax positions of prior years</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367</w:t>
            </w:r>
          </w:p>
        </w:tc>
        <w:tc>
          <w:tcPr>
            <w:tcW w:w="6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jc w:val="right"/>
              <w:ind w:right="300"/>
              <w:spacing w:after="0"/>
              <w:rPr>
                <w:sz w:val="20"/>
                <w:szCs w:val="20"/>
                <w:color w:val="auto"/>
              </w:rPr>
            </w:pPr>
            <w:r>
              <w:rPr>
                <w:rFonts w:ascii="Arial" w:cs="Arial" w:eastAsia="Arial" w:hAnsi="Arial"/>
                <w:sz w:val="17"/>
                <w:szCs w:val="17"/>
                <w:color w:val="auto"/>
              </w:rPr>
              <w:t>255</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1,937</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Reductions for tax positions of prior years</w:t>
            </w:r>
          </w:p>
        </w:tc>
        <w:tc>
          <w:tcPr>
            <w:tcW w:w="820" w:type="dxa"/>
            <w:vAlign w:val="bottom"/>
            <w:gridSpan w:val="5"/>
          </w:tcPr>
          <w:p>
            <w:pPr>
              <w:jc w:val="right"/>
              <w:ind w:right="20"/>
              <w:spacing w:after="0"/>
              <w:rPr>
                <w:sz w:val="20"/>
                <w:szCs w:val="20"/>
                <w:color w:val="auto"/>
              </w:rPr>
            </w:pPr>
            <w:r>
              <w:rPr>
                <w:rFonts w:ascii="Arial" w:cs="Arial" w:eastAsia="Arial" w:hAnsi="Arial"/>
                <w:sz w:val="17"/>
                <w:szCs w:val="17"/>
                <w:b w:val="1"/>
                <w:bCs w:val="1"/>
                <w:color w:val="auto"/>
              </w:rPr>
              <w:t>(1,411)</w:t>
            </w:r>
          </w:p>
        </w:tc>
        <w:tc>
          <w:tcPr>
            <w:tcW w:w="1080" w:type="dxa"/>
            <w:vAlign w:val="bottom"/>
            <w:gridSpan w:val="5"/>
          </w:tcPr>
          <w:p>
            <w:pPr>
              <w:jc w:val="right"/>
              <w:ind w:right="240"/>
              <w:spacing w:after="0"/>
              <w:rPr>
                <w:sz w:val="20"/>
                <w:szCs w:val="20"/>
                <w:color w:val="auto"/>
              </w:rPr>
            </w:pPr>
            <w:r>
              <w:rPr>
                <w:rFonts w:ascii="Arial" w:cs="Arial" w:eastAsia="Arial" w:hAnsi="Arial"/>
                <w:sz w:val="17"/>
                <w:szCs w:val="17"/>
                <w:color w:val="auto"/>
              </w:rPr>
              <w:t>(123)</w:t>
            </w: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Settlements</w:t>
            </w:r>
          </w:p>
        </w:tc>
        <w:tc>
          <w:tcPr>
            <w:tcW w:w="2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(753)</w:t>
            </w:r>
          </w:p>
        </w:tc>
        <w:tc>
          <w:tcPr>
            <w:tcW w:w="1080" w:type="dxa"/>
            <w:vAlign w:val="bottom"/>
            <w:gridSpan w:val="5"/>
            <w:shd w:val="clear" w:color="auto" w:fill="CCEEFF"/>
          </w:tcPr>
          <w:p>
            <w:pPr>
              <w:jc w:val="right"/>
              <w:ind w:right="240"/>
              <w:spacing w:after="0"/>
              <w:rPr>
                <w:sz w:val="20"/>
                <w:szCs w:val="20"/>
                <w:color w:val="auto"/>
              </w:rPr>
            </w:pPr>
            <w:r>
              <w:rPr>
                <w:rFonts w:ascii="Arial" w:cs="Arial" w:eastAsia="Arial" w:hAnsi="Arial"/>
                <w:sz w:val="17"/>
                <w:szCs w:val="17"/>
                <w:color w:val="auto"/>
              </w:rPr>
              <w:t>(112)</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920"/>
              <w:spacing w:after="0"/>
              <w:rPr>
                <w:sz w:val="20"/>
                <w:szCs w:val="20"/>
                <w:color w:val="auto"/>
              </w:rPr>
            </w:pPr>
            <w:r>
              <w:rPr>
                <w:rFonts w:ascii="Arial" w:cs="Arial" w:eastAsia="Arial" w:hAnsi="Arial"/>
                <w:sz w:val="17"/>
                <w:szCs w:val="17"/>
                <w:color w:val="auto"/>
              </w:rPr>
              <w:t>Balance at end of year</w:t>
            </w:r>
          </w:p>
        </w:tc>
        <w:tc>
          <w:tcPr>
            <w:tcW w:w="220" w:type="dxa"/>
            <w:vAlign w:val="bottom"/>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auto"/>
              </w:rPr>
              <w:t>$  657</w:t>
            </w:r>
          </w:p>
        </w:tc>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300" w:type="dxa"/>
            <w:vAlign w:val="bottom"/>
            <w:gridSpan w:val="2"/>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2,409</w:t>
            </w:r>
          </w:p>
        </w:tc>
        <w:tc>
          <w:tcPr>
            <w:tcW w:w="3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2,292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expect that the amount of unrecognized tax benefits may change as the result of ongoing operations, the outcomes of audits, and the expiration of statute of limitations. This change is not expected to have a significant impact on our results of operations or the financial condition. The total amount of unrecognized tax benefits that would impact the effective tax rate, if recognized, was $160,000, $204,000, and $236,000, net of federal expense, in 2014, 2013, and 2012,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We record interest related to unrecognized tax positions in interest expense and penalties in operating other expense. During 2014, we recognized a recovery of</w:t>
      </w:r>
    </w:p>
    <w:p>
      <w:pPr>
        <w:spacing w:after="0" w:line="4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$518,000 in interest expense and penalties associated with the reduction of unrecognized tax positions. During 2013 and 2012, we recognized $121,000 and $430,000, respectively, in interest and penalties associated with unrecognized tax benefits. We had approximately $67,000 and $585,000 accrued for interest and penalties at December 31, 2014 and 2013, respectively.</w:t>
      </w:r>
    </w:p>
    <w:p>
      <w:pPr>
        <w:spacing w:after="0" w:line="18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LSB and certain of its subsidiaries file income tax returns in the U.S. federal jurisdiction and various state jurisdictions. With few exceptions, the 2011-2013 years remain open for all purposes of examination by the U.S. Internal Revenue Service (“IRS”) and other major tax jurisdictions. During 2014, we settled the examination with the IRS for the tax years 2008-2010 with no material changes to our financial position, results of operations and cash flow.</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320"/>
          </w:cols>
          <w:pgMar w:left="240" w:top="441" w:right="3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11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b w:val="1"/>
          <w:bCs w:val="1"/>
          <w:color w:val="auto"/>
        </w:rPr>
        <w:t xml:space="preserve">Operating Leases - </w:t>
      </w:r>
      <w:r>
        <w:rPr>
          <w:rFonts w:ascii="Arial" w:cs="Arial" w:eastAsia="Arial" w:hAnsi="Arial"/>
          <w:sz w:val="17"/>
          <w:szCs w:val="17"/>
          <w:color w:val="auto"/>
        </w:rPr>
        <w:t>We lease certain PP&amp;E under non-cancelable operating leases. Future minimum payments on operating leases with initial or remaining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one year or more at December 31, 2014, are as follows:</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2015</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Thereafter</w:t>
            </w: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25,129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Expenses associated with our operating lease agreements, including month-to-month leases, were $7,425,000 in 2014, $6,401,000 in 2013, and $6,830,000 in 2012.</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Renewal options are available under certain of the lease agreements for various periods at approximately the existing annual rental amounts.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 and Sales Commitments - </w:t>
      </w:r>
      <w:r>
        <w:rPr>
          <w:rFonts w:ascii="Arial" w:cs="Arial" w:eastAsia="Arial" w:hAnsi="Arial"/>
          <w:sz w:val="17"/>
          <w:szCs w:val="17"/>
          <w:color w:val="auto"/>
        </w:rPr>
        <w:t>We have the following significant purchase and sales commitments.</w:t>
      </w:r>
    </w:p>
    <w:p>
      <w:pPr>
        <w:spacing w:after="0" w:line="215"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Bayer Agreement - Subsidiaries within our Chemical Business, El Dorado Nitric Company and its subsidiaries (“EDN”) and EDC, are party to an agreement (the “Bayer Agreement”) with Bayer MaterialScience LLC (“Bayer”). EDN operates Bayer’s nitric acid plant (the “Baytown Facility”) located within Bayer’s chemical manufacturing complex. Under the terms of the Bayer Agreement, Bayer purchases from EDN all of Bayer’s requirements for nitric acid for use in Bayer’s chemical manufacturing complex located in Baytown, Texas that provides a pass-through of certain costs plus a profit. In addition, EDN is responsible for the maintenance and operation of the Baytown Facility. If there is a change in control of EDN, Bayer has the right to terminate the Bayer Agreement upon payment of certain fees to EDN. The Bayer Agreement expires in June 2021, with options for renewal.</w:t>
      </w:r>
    </w:p>
    <w:p>
      <w:pPr>
        <w:spacing w:after="0" w:line="182"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Anhydrous ammonia purchase agreement - EDC is party to an anhydrous ammonia purchase agreement with Koch Nitrogen International Sarl (“Koch”). Under the agreement, Koch agrees to supply certain of EDC’s requirements of anhydrous ammonia through December 31, 2015. The terms of this agreement do not include minimum volumes or take-or-pay provisions.</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UAN supply agreement – A subsidiary within our Chemical Business, Pryor Chemical Company (“PCC”), is party to a contract with Koch Nitrogen Company, LLC (“Koch Nitrogen”) under which Koch Nitrogen agrees to purchase and distribute at market prices substantially all of the urea ammonium nitrate (“UAN”) produced at the Pryor Facility through June 30, 2016, but either party has an option to terminate the agreement pursuant to the terms of the contract (PCC’s required notice of termination is three months and Koch Nitrogen’s required notice of termination is six months).</w:t>
      </w:r>
    </w:p>
    <w:p>
      <w:pPr>
        <w:spacing w:after="0" w:line="179"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Natural gas gathering agreements – Zena owns approximately 12% working interest in certain natural gas properties but is not the operator of these properties. The operator of the natural gas wells developed on these properties has contractually agreed to deliver a minimum daily quantity of natural gas to a certain gathering and pipeline system through December 2026 to ensure capacity availability on that system. This gathering agreement effectively requires a daily minimum demand charge. As a result, Zena’s proportionate share of the annual minimum demand charges is approximately $8.9 million for the next five years and approximately $5.7 million thereafter for a total of approximately $14.6 million.</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Other purchase and sales commitments - See Note 12 - Derivatives, Hedges, Financial Instruments and Carbon Credits for our commitments relating to derivative contracts and carbon credits at December 31, 2014. During 2014, certain subsidiaries within the Chemical Business entered into contracts to purchase natural gas for anticipated production needs at certain of our chemical facilities. Since these contracts are considered normal purchases because they provide for the purchase of natural gas that will be delivered in quantities expected to be used over a reasonable period of time in the normal course of business and are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41"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 (continued)</w:t>
      </w:r>
    </w:p>
    <w:p>
      <w:pPr>
        <w:spacing w:after="0" w:line="152"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documented as such, these contracts are exempt from the accounting and reporting requirements relating to derivatives. At December 31, 2014, our purchase commitments under these contracts included approximately 2.9 million MMBtu of natural gas. These contracts extend through December 2015 at a weighted-average cost of $3.25 per MMBtu ($9.5 million) and a weighted-average market value of $3.01 per MMBtu ($8.8 million). In addition, we had standby letters of credit outstanding of approximately $2.6 million at December 31, 2014. We also had deposits from customers of $6.8 million for forward sales commitments, most of which relate to our Chemical Business at December 31, 2014.</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 xml:space="preserve">Notification of Termination of Sales Commitment - </w:t>
      </w:r>
      <w:r>
        <w:rPr>
          <w:rFonts w:ascii="Arial" w:cs="Arial" w:eastAsia="Arial" w:hAnsi="Arial"/>
          <w:sz w:val="17"/>
          <w:szCs w:val="17"/>
          <w:color w:val="auto"/>
        </w:rPr>
        <w:t>Ammonium nitrate supply agreement—Pursuant to a long-term cost-plus supply agreement, EDC has agreed to</w:t>
      </w:r>
      <w:r>
        <w:rPr>
          <w:rFonts w:ascii="Arial" w:cs="Arial" w:eastAsia="Arial" w:hAnsi="Arial"/>
          <w:sz w:val="17"/>
          <w:szCs w:val="17"/>
          <w:b w:val="1"/>
          <w:bCs w:val="1"/>
          <w:color w:val="auto"/>
        </w:rPr>
        <w:t xml:space="preserve"> </w:t>
      </w:r>
      <w:r>
        <w:rPr>
          <w:rFonts w:ascii="Arial" w:cs="Arial" w:eastAsia="Arial" w:hAnsi="Arial"/>
          <w:sz w:val="17"/>
          <w:szCs w:val="17"/>
          <w:color w:val="auto"/>
        </w:rPr>
        <w:t>supply Orica International Pte Ltd (“Orica”) with an annual minimum of 240,000 tons of industrial grade ammonium nitrate (“AN”) produced at our El Dorado Facility. The agreement includes a provision for Orica to pay for product not taken. The agreement also includes a required notice of termination of one year, with the termination date to be no sooner than April 9, 2015. On March 31, 2014, EDC sent to Orica the required one-year notice that EDC will not renew the agreement on or after April 9, 2015.</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color w:val="auto"/>
        </w:rPr>
        <w:t xml:space="preserve">Planned Capital Additions – </w:t>
      </w:r>
      <w:r>
        <w:rPr>
          <w:rFonts w:ascii="Arial" w:cs="Arial" w:eastAsia="Arial" w:hAnsi="Arial"/>
          <w:sz w:val="17"/>
          <w:szCs w:val="17"/>
          <w:color w:val="auto"/>
        </w:rPr>
        <w:t>A subsidiary of EDC is party to various agreements with Leidos Constructors, LLC and others to engineer, procure and construct an</w:t>
      </w:r>
      <w:r>
        <w:rPr>
          <w:rFonts w:ascii="Arial" w:cs="Arial" w:eastAsia="Arial" w:hAnsi="Arial"/>
          <w:sz w:val="17"/>
          <w:szCs w:val="17"/>
          <w:b w:val="1"/>
          <w:bCs w:val="1"/>
          <w:color w:val="auto"/>
        </w:rPr>
        <w:t xml:space="preserve"> </w:t>
      </w:r>
      <w:r>
        <w:rPr>
          <w:rFonts w:ascii="Arial" w:cs="Arial" w:eastAsia="Arial" w:hAnsi="Arial"/>
          <w:sz w:val="17"/>
          <w:szCs w:val="17"/>
          <w:color w:val="auto"/>
        </w:rPr>
        <w:t>ammonia plant and certain support facilities. The estimated cost for this project ranges from $275 million to $300 million, of which $128 million has been incurred and capitalized at December 31, 2014.</w:t>
      </w:r>
    </w:p>
    <w:p>
      <w:pPr>
        <w:spacing w:after="0" w:line="17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EDC is party to an agreement with Weatherly Inc. for the licensing, engineering, and procurement of major manufacturing equipment for a new 65% strength nitric acid plant (“Nitric Acid Plant”) to be constructed at our El Dorado Facility. EDC is also party to various agreements with Leidos Constructors, LLC and others to engineer, procure and construct the Nitric Acid Plant, a nitric acid concentrator and certain support facilities at the El Dorado Facility. The estimated cost for this project ranges from $125 million to $130 million, of which $96 million has been incurred and capitalized at December 31, 2014.</w:t>
      </w:r>
    </w:p>
    <w:p>
      <w:pPr>
        <w:spacing w:after="0" w:line="160"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color w:val="auto"/>
        </w:rPr>
        <w:t xml:space="preserve">Wastewater Pipeline Operating Agreement </w:t>
      </w:r>
      <w:r>
        <w:rPr>
          <w:rFonts w:ascii="Arial" w:cs="Arial" w:eastAsia="Arial" w:hAnsi="Arial"/>
          <w:sz w:val="17"/>
          <w:szCs w:val="17"/>
          <w:color w:val="auto"/>
        </w:rPr>
        <w:t>– EDC is party to an operating agreement for the right to use a pipeline to dispose its wastewater. EDC is contractually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to pay a portion of the operating costs of the pipeline, which portion is estimated to be $100,000 to $150,000 annually. The initial term of the operating agreement is through December 2053.</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contracts entered into by certain subsidiaries in the normal course of business. These insurance bonds primarily represent guarantees of future performance of our subsidiaries. As of December 31, 2014, we have agreed to indemnify the sureties for payments, up to $10.6 million, made by them in respect of such bonds. All of these insurance bonds are expected to expire or be renewed in 2015.</w:t>
      </w:r>
    </w:p>
    <w:p>
      <w:pPr>
        <w:spacing w:after="0" w:line="173" w:lineRule="exact"/>
        <w:rPr>
          <w:sz w:val="20"/>
          <w:szCs w:val="20"/>
          <w:color w:val="auto"/>
        </w:rPr>
      </w:pPr>
    </w:p>
    <w:p>
      <w:pPr>
        <w:jc w:val="both"/>
        <w:ind w:right="440"/>
        <w:spacing w:after="0" w:line="315" w:lineRule="auto"/>
        <w:rPr>
          <w:sz w:val="20"/>
          <w:szCs w:val="20"/>
          <w:color w:val="auto"/>
        </w:rPr>
      </w:pPr>
      <w:r>
        <w:rPr>
          <w:rFonts w:ascii="Arial" w:cs="Arial" w:eastAsia="Arial" w:hAnsi="Arial"/>
          <w:sz w:val="15"/>
          <w:szCs w:val="15"/>
          <w:b w:val="1"/>
          <w:bCs w:val="1"/>
          <w:color w:val="auto"/>
        </w:rPr>
        <w:t xml:space="preserve">Universal Shelf Registration Statement - </w:t>
      </w:r>
      <w:r>
        <w:rPr>
          <w:rFonts w:ascii="Arial" w:cs="Arial" w:eastAsia="Arial" w:hAnsi="Arial"/>
          <w:sz w:val="15"/>
          <w:szCs w:val="15"/>
          <w:color w:val="auto"/>
        </w:rPr>
        <w:t>In November 2012, we filed a universal shelf registration statement on Form S-3, with the SEC. The shelf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 effective amendment.</w:t>
      </w:r>
    </w:p>
    <w:p>
      <w:pPr>
        <w:spacing w:after="0" w:line="134"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b w:val="1"/>
          <w:bCs w:val="1"/>
          <w:color w:val="auto"/>
        </w:rPr>
        <w:t xml:space="preserve">Employment and Severance Agreements - </w:t>
      </w:r>
      <w:r>
        <w:rPr>
          <w:rFonts w:ascii="Arial" w:cs="Arial" w:eastAsia="Arial" w:hAnsi="Arial"/>
          <w:sz w:val="16"/>
          <w:szCs w:val="16"/>
          <w:color w:val="auto"/>
        </w:rPr>
        <w:t>We have an employment agreement and severance agreements with several of our officers. The agreements,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annual base salaries, bonuses and other benefits commonly found in such agreements. In the event of termination of employment due to a change in control (as defined in the agreements), the agreements provide for payments aggregating $15.8 million at December 31, 2014.</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00"/>
          </w:cols>
          <w:pgMar w:left="240" w:top="441" w:right="2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Legal Matters - </w:t>
      </w:r>
      <w:r>
        <w:rPr>
          <w:rFonts w:ascii="Arial" w:cs="Arial" w:eastAsia="Arial" w:hAnsi="Arial"/>
          <w:sz w:val="17"/>
          <w:szCs w:val="17"/>
          <w:color w:val="auto"/>
        </w:rPr>
        <w:t>Following is a summary of certain legal matters involving the Company:</w:t>
      </w:r>
    </w:p>
    <w:p>
      <w:pPr>
        <w:spacing w:after="0" w:line="351" w:lineRule="exact"/>
        <w:rPr>
          <w:sz w:val="20"/>
          <w:szCs w:val="20"/>
          <w:color w:val="auto"/>
        </w:rPr>
      </w:pPr>
    </w:p>
    <w:p>
      <w:pPr>
        <w:ind w:left="440" w:hanging="438"/>
        <w:spacing w:after="0"/>
        <w:tabs>
          <w:tab w:leader="none" w:pos="4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Environmental Matters</w:t>
      </w:r>
    </w:p>
    <w:p>
      <w:pPr>
        <w:spacing w:after="0" w:line="114"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Our facilities and operations are subject to numerous federal, state and local environmental laws (“Environmental Laws”) and to other laws regarding health and safety matters (“Health Laws”).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 working interest and compliance with Environmental Laws and Health Laws is controlled by others, with our Chemical Business being responsible for its proportionate share of the costs involved. As of December 31, 2014, our accrued liabilities for environmental matters totaled $408,000 relating primarily to matters discussed below. It is reasonably possible that a change in the estimate of our liability could occur in the near term. Also see discussion in Note 8 - Asset Retirement Obligations.</w:t>
      </w:r>
    </w:p>
    <w:p>
      <w:pPr>
        <w:spacing w:after="0" w:line="301" w:lineRule="exact"/>
        <w:rPr>
          <w:sz w:val="20"/>
          <w:szCs w:val="20"/>
          <w:color w:val="auto"/>
        </w:rPr>
      </w:pPr>
    </w:p>
    <w:p>
      <w:pPr>
        <w:ind w:left="440" w:hanging="438"/>
        <w:spacing w:after="0"/>
        <w:tabs>
          <w:tab w:leader="none" w:pos="4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Discharge Water Matters</w:t>
      </w:r>
    </w:p>
    <w:p>
      <w:pPr>
        <w:spacing w:after="0" w:line="114"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2010, a preliminary draft of a discharge water permit renewal for the El Dorado Facility, which contains more restrictive limits, was issued by the ADEQ.</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We do not believe this matter regarding meeting the permit requirements as to the dissolved minerals will continue to be an issue as the result of the El Dorado Facility disposing its wastewater (beginning in September 2013), via a pipeline constructed by the City of El Dorado, Arkansas.</w:t>
      </w:r>
    </w:p>
    <w:p>
      <w:pPr>
        <w:spacing w:after="0" w:line="17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During 2012, EDC paid a penalty of $100,000 to settle an Administrative Complaint issued by the EPA, and thereafter handled by the United States Department of Justice (“DOJ”), relating to certain alleged violations of EDC’s 2004 NPDES permit for alleged violations through 2010. The DOJ advised that some action would be taken for alleged violations occurring after 2010. As of the date of this report, no action has been filed by the DOJ against EDC. The cost (or range of costs) cannot currently be reasonably estimated regarding this matter. Therefore, no liability has been established at December 31, 2014.</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441" w:right="2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 (continued)</w:t>
      </w:r>
    </w:p>
    <w:p>
      <w:pPr>
        <w:spacing w:after="0" w:line="152"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December 31, 2014, in connection with this matter.</w:t>
      </w:r>
    </w:p>
    <w:p>
      <w:pPr>
        <w:spacing w:after="0" w:line="291" w:lineRule="exact"/>
        <w:rPr>
          <w:sz w:val="20"/>
          <w:szCs w:val="20"/>
          <w:color w:val="auto"/>
        </w:rPr>
      </w:pPr>
    </w:p>
    <w:p>
      <w:pPr>
        <w:ind w:left="440" w:hanging="438"/>
        <w:spacing w:after="0"/>
        <w:tabs>
          <w:tab w:leader="none" w:pos="4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Air Matters</w:t>
      </w:r>
    </w:p>
    <w:p>
      <w:pPr>
        <w:spacing w:after="0" w:line="114"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One of our subsidiaries, PCC, within our Chemical Business, has been advised that the Oklahoma Department of Environmental Quality, (“ODEQ”) is conducting an investigation into whether the chemical production facility located in Pryor, Oklahoma (the “Pryor Facility”) was in compliance with certain rules and regulations of the ODEQ and whether PCC’s reports of certain air emissions relating primarily to 2011 were intentionally reported incorrectly to the ODEQ. Pursuant to the request of the ODEQ, PCC submitted information and a report to the ODEQ as to the reports filed by the Pryor Facility relating to the air emissions in question. In 2013, investigators with the ODEQ obtained documents from the Pryor Facility in connection with this investigation pursuant to a search warrant and interviewed several employees at the facility. PCC has cooperated with the ODEQ in connection with this investigation. As of December 31, 2014, we are not aware of any recommendations made or to be made by the ODEQ with respect to legal action to be taken or recommended as a result of this ongoing investigation.</w:t>
      </w:r>
    </w:p>
    <w:p>
      <w:pPr>
        <w:spacing w:after="0" w:line="293" w:lineRule="exact"/>
        <w:rPr>
          <w:sz w:val="20"/>
          <w:szCs w:val="20"/>
          <w:color w:val="auto"/>
        </w:rPr>
      </w:pPr>
    </w:p>
    <w:p>
      <w:pPr>
        <w:ind w:left="440" w:hanging="438"/>
        <w:spacing w:after="0"/>
        <w:tabs>
          <w:tab w:leader="none" w:pos="44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Other Environmental Matters</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64"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The successor (“Chevron”) of a prior owner of the Hallowell Facility has agreed in writing</w:t>
      </w:r>
      <w:r>
        <w:rPr>
          <w:rFonts w:ascii="Arial" w:cs="Arial" w:eastAsia="Arial" w:hAnsi="Arial"/>
          <w:sz w:val="16"/>
          <w:szCs w:val="16"/>
          <w:b w:val="1"/>
          <w:bCs w:val="1"/>
          <w:color w:val="auto"/>
        </w:rPr>
        <w:t>,</w:t>
      </w:r>
      <w:r>
        <w:rPr>
          <w:rFonts w:ascii="Arial" w:cs="Arial" w:eastAsia="Arial" w:hAnsi="Arial"/>
          <w:sz w:val="16"/>
          <w:szCs w:val="16"/>
          <w:color w:val="auto"/>
        </w:rPr>
        <w:t xml:space="preserve"> within certain limitations, to pay and has been paying one-half of the costs of the investigation and interim measures relating to this matter as approved by the Kansas Department of Environmental Quality, subject to reallocation.</w:t>
      </w:r>
    </w:p>
    <w:p>
      <w:pPr>
        <w:spacing w:after="0" w:line="139"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 which is included in our accrued liabilities for environmental matters discussed above. The estimated amount is not discounted to its present value.</w:t>
      </w:r>
    </w:p>
    <w:p>
      <w:pPr>
        <w:spacing w:after="0" w:line="179"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In addition during 2010, the Kansas Department of Health and Environment (“KDHE”) notified our subsidiary and Chevron that the Hallowell Facility has been referred to the KDHE’s Natural Resources Trustee, which is to consider and recommend restoration, replacement and/or whether to seek compensation. KDHE will consider the recommendations in its evaluation. Currently, it is unknown what remediation and damages the KDHE would require, if any, but we believe that certain remediation activities will be required to begin during 2015. The ultimate required remediation, if any, is unknown. The nature and extent of a portion of the requirements are also not currently defined, and the associated costs (or range of costs) are not currently reasonably estimable. Therefore, no liability has been established at December 31, 2014, in connection with the KDHE’s Natural Resources Trustee matter.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1"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 (continued)</w:t>
      </w:r>
    </w:p>
    <w:p>
      <w:pPr>
        <w:spacing w:after="0" w:line="148" w:lineRule="exact"/>
        <w:rPr>
          <w:sz w:val="20"/>
          <w:szCs w:val="20"/>
          <w:color w:val="auto"/>
        </w:rPr>
      </w:pPr>
    </w:p>
    <w:p>
      <w:pPr>
        <w:ind w:left="440" w:hanging="438"/>
        <w:spacing w:after="0"/>
        <w:tabs>
          <w:tab w:leader="none" w:pos="44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Other Pending, Threatened or Settled Litigation</w:t>
      </w:r>
    </w:p>
    <w:p>
      <w:pPr>
        <w:spacing w:after="0" w:line="11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In 2013, an explosion and fire occurred at the West Fertilizer Co. (“West Fertilizer”), located in West, Texas, causing death, bodily injury and substantial property damage. West Fertilizer is not owned or controlled by us, but West Fertilizer had been a customer of EDC, purchasing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There have been certain responses to discovery in connection with the pending lawsuits that possibly some of the AN products at West Fertilizer at the time of the explosion may have been produced by EDC. In 2014, EDC and LSB were named as defendants, together with other AN manufactures and brokers that arranged the transport and delivery of AN to West Fertilizer, in the case styled </w:t>
      </w:r>
      <w:r>
        <w:rPr>
          <w:rFonts w:ascii="Arial" w:cs="Arial" w:eastAsia="Arial" w:hAnsi="Arial"/>
          <w:sz w:val="16"/>
          <w:szCs w:val="16"/>
          <w:u w:val="single" w:color="auto"/>
          <w:color w:val="auto"/>
        </w:rPr>
        <w:t>City of West, Texas v CF Industries, Inc., et al,</w:t>
      </w:r>
      <w:r>
        <w:rPr>
          <w:rFonts w:ascii="Arial" w:cs="Arial" w:eastAsia="Arial" w:hAnsi="Arial"/>
          <w:sz w:val="16"/>
          <w:szCs w:val="16"/>
          <w:color w:val="auto"/>
        </w:rPr>
        <w:t xml:space="preserve"> in the District Court of McLennan County, Texas. Plaintiffs are alleging, among other things, that LSB and EDC were negligent in the production and marketing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which carrier is handling the defense for LSB and EDC concerning this matter. Our product liability insurance policies have aggregate limits of general liability totaling $100 million, with a self-insured retention of $250,000. Our legal counsel in this matter has represented to us that while it is extremely early in this litigation, they believe our chances of ultimately confirming the merits of EDC’s legal position are probable. However, if there is an adverse outcome in this matter as to EDC, we are unable to estimate a possible range of loss at this time. As of December 31, 2014, no liability has been established in connection with this matter, but we have incurred professional fees up to our self-insured retention amount.</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December 31, 2014, our accrued general liability insurance claims were $541,000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Derivatives, Hedges, Financial Instruments and Carbon Credits</w:t>
      </w:r>
    </w:p>
    <w:p>
      <w:pPr>
        <w:spacing w:after="0" w:line="114"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The assets for carbon credits are accounted for on a fair value basis as discussed below. Also, the contractual obligations to give the related proceeds to Bayer are accounted for on a fair value basis (as discussed below) unless we enter into a firm sales commitment to sell the carbon credits as discussed in Note 1 - Summary of Significant Accounting Policies. The valuations of these assets and liabilities were determined based on quoted market prices or, in instances where market quotes are not available, other valuation techniques or models used to estimate fair values.</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December 31, 2014, the valuations of contracts classified as Level 2 related to certain futures/forward natural gas contracts, a foreign exchange contract and an interest rate swap contract. At December 31, 2013, the valuations of contracts classified as Level 2 related to an interest rate swap contract.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1"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Derivatives, Hedges, Financial Instruments and Carbon Credits (continued)</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the natural gas contracts, these contracts are valued using the prices pursuant to the terms of the contracts and using market information for futures/forward natural gas prices. At December 31, 2014, the valuation inputs included the contractual weighted-average cost of $3.24 per MMBtu and the estimated weighted-average market value of $2.99 per MMBtu.</w:t>
      </w:r>
    </w:p>
    <w:p>
      <w:pPr>
        <w:spacing w:after="0" w:line="176"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For foreign exchange contracts, these contracts are valued using the foreign currency exchange rates pursuant to the terms of the contract and using market information for foreign currency exchange rates. The valuation inputs included the total contractual exchange rate of 1.27 and the total estimated market exchange rate of 1.22 (U.S. Dollar/Euro).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December 31, 2014, the valuation inputs included the contractual weighted-average pay rate of 3.23% and the estimated market weighted-average receive rate of 0.53%. No valuation input adjustments were considered necessary relating to nonperformance risk for the contracts as discussed above.</w:t>
      </w:r>
    </w:p>
    <w:p>
      <w:pPr>
        <w:spacing w:after="0" w:line="15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valuations of assets and liabilities classified as Level 3 are based on prices or valuation techniques that require inputs that are both unobservable and significant to the overall fair value measurement. At December 31, 2014 and 2013, the valuations ($2.50 and $1.00 per carbon credit, respectively) of the carbon credits and the contractual obligations associated with these carbon credits are classified as Level 3 and are based on the most recent sales transaction and reevaluated for market changes, if any, and on the range of ask/bid prices obtained from a broker adjusted for minimal market volume activity, respectively.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Commodities Contracts</w:t>
      </w:r>
    </w:p>
    <w:p>
      <w:pPr>
        <w:spacing w:after="0" w:line="11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Raw materials for use in our manufacturing processes include copper used by our Climate Control Business and natural gas and platinum used by our Chemical Business. As part of our raw material price risk management, we periodically enter into futures/forward contracts for these materials, which contracts may be required to be accounted for on a mark-to-market basis. At December 31, 2014, our futures/forward copper contracts include 1,750,000 pounds of copper, extend through May 2015 at a weighted-average cost of $2.98 per pound. At December 31, 2013, we did not have any futures/forward copper contracts. At December 31, 2014, our futures/forward natural gas contracts (accounted for on a mark-to-market basis) include approximately 8,279,000 MMBtu of natural gas, extend through June 2016 at a weighted-average cost of $3.24 per MMBtu. At December 31, 2013, our futures/forward natural gas contracts include 1,530,000 MMBtu of natural gas, extend through October 2014 at a weighted-average cost of $3.98 per MMBtu. At December 31, 2014, our futures/forward platinum contracts include 3,000 ounces of platinum, extend through April 2015 at a weighted-average cost of $1,224.26 per ounce. At December 31, 2013, we did not have any futures/forward platinum contracts. The cash flows relating to these contracts are included in cash flows from continuing operating activities.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Foreign Exchange Contracts</w:t>
      </w:r>
    </w:p>
    <w:p>
      <w:pPr>
        <w:spacing w:after="0" w:line="11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At December 31, 2014, our foreign exchange contract was for the receipt of approximately 819,000 Euros through May 2015 at the contractual exchange rate of 1.27 (U.S. Dollar/Euro). At December 31, 2013, we did not have any foreign exchange contracts. These contracts are free-standing derivatives and are accounted for on a mark-to-market basis. The cash flows relating to these contracts are included in cash flows from continuing operating activities.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Rate Contracts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As part of our interest rate risk management, we periodically purchase and/or enter into various interest rate contracts. In February 2011, we entered into an interest rate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swap at no cost, which sets a fixed three-month LIBOR rate of 3.23% on a declining balance (from $23.8 million to $18.8 million) for the period beginning in April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2012 through March 2016. This contract is a free-standing derivative and is accounted for on a mark-to-market basis. During each of the three years ended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2014, no cash flows occurred relating to the purchase or sale of interest rate contracts. The cash flows associated with the interest rate swap payments are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included in cash flows from continuing operating activities.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00"/>
          </w:cols>
          <w:pgMar w:left="240" w:top="441" w:right="25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Derivatives, Hedges, Financial Instruments and Carbon Credits (continued)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Carbon Credits and Associated Contractual Obligation</w:t>
      </w:r>
    </w:p>
    <w:p>
      <w:pPr>
        <w:spacing w:after="0" w:line="110"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December 31, 2014 and 2013, we had approximately 1,112,000 and 1,284,000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December 31, 2014 and 2013: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color w:val="auto"/>
                <w:w w:val="86"/>
              </w:rPr>
              <w:t>Fair Value Measurements at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center"/>
              <w:ind w:right="20"/>
              <w:spacing w:after="0" w:line="158" w:lineRule="exact"/>
              <w:rPr>
                <w:sz w:val="20"/>
                <w:szCs w:val="20"/>
                <w:color w:val="auto"/>
              </w:rPr>
            </w:pPr>
            <w:r>
              <w:rPr>
                <w:rFonts w:ascii="Arial" w:cs="Arial" w:eastAsia="Arial" w:hAnsi="Arial"/>
                <w:sz w:val="14"/>
                <w:szCs w:val="14"/>
                <w:color w:val="auto"/>
                <w:w w:val="87"/>
              </w:rPr>
              <w:t>December 31, 2014 Using</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tcPr>
          <w:p>
            <w:pPr>
              <w:ind w:left="20"/>
              <w:spacing w:after="0" w:line="114" w:lineRule="exact"/>
              <w:rPr>
                <w:sz w:val="20"/>
                <w:szCs w:val="20"/>
                <w:color w:val="auto"/>
              </w:rPr>
            </w:pPr>
            <w:r>
              <w:rPr>
                <w:rFonts w:ascii="Arial" w:cs="Arial" w:eastAsia="Arial" w:hAnsi="Arial"/>
                <w:sz w:val="12"/>
                <w:szCs w:val="12"/>
                <w:color w:val="auto"/>
              </w:rPr>
              <w:t>Quoted Prices</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94"/>
              </w:rPr>
              <w:t>in Active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0" w:lineRule="exact"/>
              <w:rPr>
                <w:sz w:val="20"/>
                <w:szCs w:val="20"/>
                <w:color w:val="auto"/>
              </w:rPr>
            </w:pPr>
            <w:r>
              <w:rPr>
                <w:rFonts w:ascii="Arial" w:cs="Arial" w:eastAsia="Arial" w:hAnsi="Arial"/>
                <w:sz w:val="14"/>
                <w:szCs w:val="14"/>
                <w:color w:val="auto"/>
                <w:w w:val="92"/>
              </w:rPr>
              <w:t>Significant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0" w:lineRule="exact"/>
              <w:rPr>
                <w:sz w:val="20"/>
                <w:szCs w:val="20"/>
                <w:color w:val="auto"/>
              </w:rPr>
            </w:pPr>
            <w:r>
              <w:rPr>
                <w:rFonts w:ascii="Arial" w:cs="Arial" w:eastAsia="Arial" w:hAnsi="Arial"/>
                <w:sz w:val="14"/>
                <w:szCs w:val="14"/>
                <w:color w:val="auto"/>
                <w:w w:val="87"/>
              </w:rPr>
              <w:t>Total Fair</w:t>
            </w:r>
          </w:p>
        </w:tc>
        <w:tc>
          <w:tcPr>
            <w:tcW w:w="86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91"/>
              </w:rPr>
              <w:t>Markets for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0"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0" w:lineRule="exact"/>
              <w:rPr>
                <w:sz w:val="20"/>
                <w:szCs w:val="20"/>
                <w:color w:val="auto"/>
              </w:rPr>
            </w:pPr>
            <w:r>
              <w:rPr>
                <w:rFonts w:ascii="Arial" w:cs="Arial" w:eastAsia="Arial" w:hAnsi="Arial"/>
                <w:sz w:val="14"/>
                <w:szCs w:val="14"/>
                <w:color w:val="auto"/>
                <w:w w:val="89"/>
              </w:rPr>
              <w:t>Significant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0" w:lineRule="exact"/>
              <w:rPr>
                <w:sz w:val="20"/>
                <w:szCs w:val="20"/>
                <w:color w:val="auto"/>
              </w:rPr>
            </w:pPr>
            <w:r>
              <w:rPr>
                <w:rFonts w:ascii="Arial" w:cs="Arial" w:eastAsia="Arial" w:hAnsi="Arial"/>
                <w:sz w:val="14"/>
                <w:szCs w:val="14"/>
                <w:color w:val="auto"/>
                <w:w w:val="85"/>
              </w:rPr>
              <w:t>Value at</w:t>
            </w: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91"/>
              </w:rPr>
              <w:t>Identical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00"/>
              <w:spacing w:after="0" w:line="140" w:lineRule="exact"/>
              <w:rPr>
                <w:sz w:val="20"/>
                <w:szCs w:val="20"/>
                <w:color w:val="auto"/>
              </w:rPr>
            </w:pPr>
            <w:r>
              <w:rPr>
                <w:rFonts w:ascii="Arial" w:cs="Arial" w:eastAsia="Arial" w:hAnsi="Arial"/>
                <w:sz w:val="14"/>
                <w:szCs w:val="14"/>
                <w:color w:val="auto"/>
                <w:w w:val="86"/>
              </w:rPr>
              <w:t>Observable</w:t>
            </w:r>
          </w:p>
        </w:tc>
        <w:tc>
          <w:tcPr>
            <w:tcW w:w="80" w:type="dxa"/>
            <w:vAlign w:val="bottom"/>
          </w:tcPr>
          <w:p>
            <w:pPr>
              <w:spacing w:after="0"/>
              <w:rPr>
                <w:sz w:val="12"/>
                <w:szCs w:val="12"/>
                <w:color w:val="auto"/>
              </w:rPr>
            </w:pPr>
          </w:p>
        </w:tc>
        <w:tc>
          <w:tcPr>
            <w:tcW w:w="1020" w:type="dxa"/>
            <w:vAlign w:val="bottom"/>
            <w:gridSpan w:val="3"/>
          </w:tcPr>
          <w:p>
            <w:pPr>
              <w:spacing w:after="0" w:line="140" w:lineRule="exact"/>
              <w:rPr>
                <w:sz w:val="20"/>
                <w:szCs w:val="20"/>
                <w:color w:val="auto"/>
              </w:rPr>
            </w:pPr>
            <w:r>
              <w:rPr>
                <w:rFonts w:ascii="Arial" w:cs="Arial" w:eastAsia="Arial" w:hAnsi="Arial"/>
                <w:sz w:val="14"/>
                <w:szCs w:val="14"/>
                <w:color w:val="auto"/>
              </w:rPr>
              <w:t>Unobservable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40"/>
        </w:trPr>
        <w:tc>
          <w:tcPr>
            <w:tcW w:w="542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1260" w:type="dxa"/>
            <w:vAlign w:val="bottom"/>
            <w:gridSpan w:val="3"/>
          </w:tcPr>
          <w:p>
            <w:pPr>
              <w:spacing w:after="0" w:line="140"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85"/>
              </w:rPr>
              <w:t>Assets</w:t>
            </w:r>
          </w:p>
        </w:tc>
        <w:tc>
          <w:tcPr>
            <w:tcW w:w="420" w:type="dxa"/>
            <w:vAlign w:val="bottom"/>
          </w:tcPr>
          <w:p>
            <w:pPr>
              <w:spacing w:after="0"/>
              <w:rPr>
                <w:sz w:val="12"/>
                <w:szCs w:val="12"/>
                <w:color w:val="auto"/>
              </w:rPr>
            </w:pPr>
          </w:p>
        </w:tc>
        <w:tc>
          <w:tcPr>
            <w:tcW w:w="1260" w:type="dxa"/>
            <w:vAlign w:val="bottom"/>
            <w:gridSpan w:val="3"/>
          </w:tcPr>
          <w:p>
            <w:pPr>
              <w:jc w:val="center"/>
              <w:ind w:right="420"/>
              <w:spacing w:after="0" w:line="140" w:lineRule="exact"/>
              <w:rPr>
                <w:sz w:val="20"/>
                <w:szCs w:val="20"/>
                <w:color w:val="auto"/>
              </w:rPr>
            </w:pPr>
            <w:r>
              <w:rPr>
                <w:rFonts w:ascii="Arial" w:cs="Arial" w:eastAsia="Arial" w:hAnsi="Arial"/>
                <w:sz w:val="14"/>
                <w:szCs w:val="14"/>
                <w:color w:val="auto"/>
                <w:w w:val="89"/>
              </w:rPr>
              <w:t>Inputs (Level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0" w:lineRule="exact"/>
              <w:rPr>
                <w:sz w:val="20"/>
                <w:szCs w:val="20"/>
                <w:color w:val="auto"/>
              </w:rPr>
            </w:pPr>
            <w:r>
              <w:rPr>
                <w:rFonts w:ascii="Arial" w:cs="Arial" w:eastAsia="Arial" w:hAnsi="Arial"/>
                <w:sz w:val="14"/>
                <w:szCs w:val="14"/>
                <w:color w:val="auto"/>
              </w:rPr>
              <w:t>Inputs</w:t>
            </w:r>
          </w:p>
        </w:tc>
        <w:tc>
          <w:tcPr>
            <w:tcW w:w="260" w:type="dxa"/>
            <w:vAlign w:val="bottom"/>
          </w:tcPr>
          <w:p>
            <w:pPr>
              <w:spacing w:after="0"/>
              <w:rPr>
                <w:sz w:val="12"/>
                <w:szCs w:val="12"/>
                <w:color w:val="auto"/>
              </w:rPr>
            </w:pPr>
          </w:p>
        </w:tc>
        <w:tc>
          <w:tcPr>
            <w:tcW w:w="840" w:type="dxa"/>
            <w:vAlign w:val="bottom"/>
            <w:gridSpan w:val="3"/>
          </w:tcPr>
          <w:p>
            <w:pPr>
              <w:spacing w:after="0" w:line="140"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58"/>
        </w:trPr>
        <w:tc>
          <w:tcPr>
            <w:tcW w:w="54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0"/>
              <w:spacing w:after="0" w:line="158" w:lineRule="exact"/>
              <w:rPr>
                <w:sz w:val="20"/>
                <w:szCs w:val="20"/>
                <w:color w:val="auto"/>
              </w:rPr>
            </w:pPr>
            <w:r>
              <w:rPr>
                <w:rFonts w:ascii="Arial" w:cs="Arial" w:eastAsia="Arial" w:hAnsi="Arial"/>
                <w:sz w:val="14"/>
                <w:szCs w:val="14"/>
                <w:color w:val="auto"/>
                <w:w w:val="89"/>
              </w:rPr>
              <w:t>2014</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line="158" w:lineRule="exact"/>
              <w:rPr>
                <w:sz w:val="20"/>
                <w:szCs w:val="20"/>
                <w:color w:val="auto"/>
              </w:rPr>
            </w:pPr>
            <w:r>
              <w:rPr>
                <w:rFonts w:ascii="Arial" w:cs="Arial" w:eastAsia="Arial" w:hAnsi="Arial"/>
                <w:sz w:val="14"/>
                <w:szCs w:val="14"/>
                <w:color w:val="auto"/>
                <w:w w:val="91"/>
              </w:rPr>
              <w:t>(Level 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1"/>
              <w:spacing w:after="0" w:line="158" w:lineRule="exact"/>
              <w:rPr>
                <w:sz w:val="20"/>
                <w:szCs w:val="20"/>
                <w:color w:val="auto"/>
              </w:rPr>
            </w:pPr>
            <w:r>
              <w:rPr>
                <w:rFonts w:ascii="Arial" w:cs="Arial" w:eastAsia="Arial" w:hAnsi="Arial"/>
                <w:sz w:val="14"/>
                <w:szCs w:val="14"/>
                <w:color w:val="auto"/>
                <w:w w:val="96"/>
              </w:rPr>
              <w:t>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9"/>
              </w:rPr>
              <w:t>(Level 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0"/>
              <w:spacing w:after="0" w:line="158" w:lineRule="exact"/>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40" w:type="dxa"/>
            <w:vAlign w:val="bottom"/>
            <w:tcBorders>
              <w:top w:val="single" w:sz="8" w:color="auto"/>
            </w:tcBorders>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color w:val="auto"/>
                <w:w w:val="87"/>
              </w:rPr>
              <w:t>(In Thousands)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 - Supplies, prepaid items and other: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gridSpan w:val="2"/>
          </w:tcPr>
          <w:p>
            <w:pPr>
              <w:ind w:left="340"/>
              <w:spacing w:after="0"/>
              <w:rPr>
                <w:sz w:val="20"/>
                <w:szCs w:val="20"/>
                <w:color w:val="auto"/>
              </w:rPr>
            </w:pPr>
            <w:r>
              <w:rPr>
                <w:rFonts w:ascii="Arial" w:cs="Arial" w:eastAsia="Arial" w:hAnsi="Arial"/>
                <w:sz w:val="17"/>
                <w:szCs w:val="17"/>
                <w:color w:val="auto"/>
              </w:rPr>
              <w:t>Commodities contracts</w:t>
            </w: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tcPr>
          <w:p>
            <w:pPr>
              <w:ind w:left="4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tcPr>
          <w:p>
            <w:pPr>
              <w:ind w:left="400"/>
              <w:spacing w:after="0"/>
              <w:rPr>
                <w:sz w:val="20"/>
                <w:szCs w:val="20"/>
                <w:color w:val="auto"/>
              </w:rPr>
            </w:pPr>
            <w:r>
              <w:rPr>
                <w:rFonts w:ascii="Arial" w:cs="Arial" w:eastAsia="Arial" w:hAnsi="Arial"/>
                <w:sz w:val="17"/>
                <w:szCs w:val="17"/>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2"/>
          </w:tcPr>
          <w:p>
            <w:pPr>
              <w:ind w:left="480"/>
              <w:spacing w:after="0"/>
              <w:rPr>
                <w:sz w:val="20"/>
                <w:szCs w:val="20"/>
                <w:color w:val="auto"/>
              </w:rPr>
            </w:pPr>
            <w:r>
              <w:rPr>
                <w:rFonts w:ascii="Arial" w:cs="Arial" w:eastAsia="Arial" w:hAnsi="Arial"/>
                <w:sz w:val="17"/>
                <w:szCs w:val="17"/>
                <w:b w:val="1"/>
                <w:bCs w:val="1"/>
                <w:color w:val="auto"/>
              </w:rPr>
              <w:t>—</w:t>
            </w: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Carbon credits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2,779</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2,779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80" w:type="dxa"/>
            <w:vAlign w:val="bottom"/>
            <w:vMerge w:val="restart"/>
          </w:tcPr>
          <w:p>
            <w:pPr>
              <w:ind w:left="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2,779</w:t>
            </w:r>
          </w:p>
        </w:tc>
        <w:tc>
          <w:tcPr>
            <w:tcW w:w="50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ind w:left="480"/>
              <w:spacing w:after="0"/>
              <w:rPr>
                <w:sz w:val="20"/>
                <w:szCs w:val="20"/>
                <w:color w:val="auto"/>
              </w:rPr>
            </w:pPr>
            <w:r>
              <w:rPr>
                <w:rFonts w:ascii="Arial" w:cs="Arial" w:eastAsia="Arial" w:hAnsi="Arial"/>
                <w:sz w:val="17"/>
                <w:szCs w:val="17"/>
                <w:b w:val="1"/>
                <w:bCs w:val="1"/>
                <w:color w:val="auto"/>
              </w:rPr>
              <w:t>—</w:t>
            </w:r>
          </w:p>
        </w:tc>
        <w:tc>
          <w:tcPr>
            <w:tcW w:w="4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2,779</w:t>
            </w:r>
          </w:p>
        </w:tc>
        <w:tc>
          <w:tcPr>
            <w:tcW w:w="260" w:type="dxa"/>
            <w:vAlign w:val="bottom"/>
            <w:vMerge w:val="continue"/>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1,315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Liabilities - Current and noncurrent accrued and other liabilities: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gridSpan w:val="2"/>
          </w:tcPr>
          <w:p>
            <w:pPr>
              <w:ind w:left="340"/>
              <w:spacing w:after="0"/>
              <w:rPr>
                <w:sz w:val="20"/>
                <w:szCs w:val="20"/>
                <w:color w:val="auto"/>
              </w:rPr>
            </w:pPr>
            <w:r>
              <w:rPr>
                <w:rFonts w:ascii="Arial" w:cs="Arial" w:eastAsia="Arial" w:hAnsi="Arial"/>
                <w:sz w:val="17"/>
                <w:szCs w:val="17"/>
                <w:color w:val="auto"/>
              </w:rPr>
              <w:t>Commodities contracts</w:t>
            </w: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2,440</w:t>
            </w: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tcPr>
          <w:p>
            <w:pPr>
              <w:ind w:left="400"/>
              <w:spacing w:after="0"/>
              <w:rPr>
                <w:sz w:val="20"/>
                <w:szCs w:val="20"/>
                <w:color w:val="auto"/>
              </w:rPr>
            </w:pPr>
            <w:r>
              <w:rPr>
                <w:rFonts w:ascii="Arial" w:cs="Arial" w:eastAsia="Arial" w:hAnsi="Arial"/>
                <w:sz w:val="17"/>
                <w:szCs w:val="17"/>
                <w:b w:val="1"/>
                <w:bCs w:val="1"/>
                <w:color w:val="auto"/>
              </w:rPr>
              <w:t>316</w:t>
            </w: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2,124</w:t>
            </w: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Contractual obligations - carbon credits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b w:val="1"/>
                <w:bCs w:val="1"/>
                <w:color w:val="auto"/>
              </w:rPr>
              <w:t>2,779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2,779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03"/>
        </w:trPr>
        <w:tc>
          <w:tcPr>
            <w:tcW w:w="5420" w:type="dxa"/>
            <w:vAlign w:val="bottom"/>
            <w:gridSpan w:val="2"/>
          </w:tcPr>
          <w:p>
            <w:pPr>
              <w:ind w:left="340"/>
              <w:spacing w:after="0"/>
              <w:rPr>
                <w:sz w:val="20"/>
                <w:szCs w:val="20"/>
                <w:color w:val="auto"/>
              </w:rPr>
            </w:pPr>
            <w:r>
              <w:rPr>
                <w:rFonts w:ascii="Arial" w:cs="Arial" w:eastAsia="Arial" w:hAnsi="Arial"/>
                <w:sz w:val="17"/>
                <w:szCs w:val="17"/>
                <w:color w:val="auto"/>
              </w:rPr>
              <w:t>Interest rate contracts</w:t>
            </w:r>
          </w:p>
        </w:tc>
        <w:tc>
          <w:tcPr>
            <w:tcW w:w="10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671</w:t>
            </w:r>
          </w:p>
        </w:tc>
        <w:tc>
          <w:tcPr>
            <w:tcW w:w="12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480"/>
              <w:spacing w:after="0"/>
              <w:rPr>
                <w:sz w:val="20"/>
                <w:szCs w:val="20"/>
                <w:color w:val="auto"/>
              </w:rPr>
            </w:pPr>
            <w:r>
              <w:rPr>
                <w:rFonts w:ascii="Arial" w:cs="Arial" w:eastAsia="Arial" w:hAnsi="Arial"/>
                <w:sz w:val="17"/>
                <w:szCs w:val="17"/>
                <w:b w:val="1"/>
                <w:bCs w:val="1"/>
                <w:color w:val="auto"/>
              </w:rPr>
              <w:t>671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Foreign exchange contracts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780" w:type="dxa"/>
            <w:vAlign w:val="bottom"/>
          </w:tcPr>
          <w:p>
            <w:pPr>
              <w:ind w:left="4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5,934</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ind w:left="400"/>
              <w:spacing w:after="0"/>
              <w:rPr>
                <w:sz w:val="20"/>
                <w:szCs w:val="20"/>
                <w:color w:val="auto"/>
              </w:rPr>
            </w:pPr>
            <w:r>
              <w:rPr>
                <w:rFonts w:ascii="Arial" w:cs="Arial" w:eastAsia="Arial" w:hAnsi="Arial"/>
                <w:sz w:val="17"/>
                <w:szCs w:val="17"/>
                <w:b w:val="1"/>
                <w:bCs w:val="1"/>
                <w:color w:val="auto"/>
                <w:w w:val="84"/>
              </w:rPr>
              <w:t>316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2,839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2,779</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2,524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7"/>
                <w:szCs w:val="17"/>
                <w:color w:val="auto"/>
              </w:rPr>
              <w:t>F-32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Derivatives, Hedges, Financial Instruments and Carbon Credits (continued)</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None of our assets or liabilities measured at fair value on a recurring basis transferred between Level 1 and Level 2 classifications for the periods presented below except for certain futures/forward natural gas contracts (an asset with an estimated fair value of $31,000 at December 31, 2013) that were transferred from Level 1 to Level 2 since a portion of these contracts were expected to be settled on dates that quoted prices were not available. As a result, we are utilizing observable market data other than quoted prices to value these contracts. The classification transfer of the contracts was deemed to occur in the first quarter of 2014. In addition, the following is a reconciliation of the beginning and ending balances for assets and liabilities measured at fair value on a recurring basis using significant unobservable inputs (Level 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7"/>
              <w:spacing w:after="0" w:line="133"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40"/>
              <w:spacing w:after="0" w:line="133"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7"/>
          </w:tcPr>
          <w:p>
            <w:pPr>
              <w:ind w:left="80"/>
              <w:spacing w:after="0" w:line="133"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98"/>
              </w:rPr>
              <w:t>1,284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91</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$(1,284)</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Transfers into Level 3</w:t>
            </w: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Transfers out of Level 3</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Total realized and unrealized gains (losses) included in earnings</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8"/>
              </w:rPr>
              <w:t>3,089</w:t>
            </w:r>
          </w:p>
        </w:tc>
        <w:tc>
          <w:tcPr>
            <w:tcW w:w="680" w:type="dxa"/>
            <w:vAlign w:val="bottom"/>
            <w:gridSpan w:val="4"/>
          </w:tcPr>
          <w:p>
            <w:pPr>
              <w:jc w:val="right"/>
              <w:ind w:right="80"/>
              <w:spacing w:after="0"/>
              <w:rPr>
                <w:sz w:val="20"/>
                <w:szCs w:val="20"/>
                <w:color w:val="auto"/>
              </w:rPr>
            </w:pPr>
            <w:r>
              <w:rPr>
                <w:rFonts w:ascii="Arial" w:cs="Arial" w:eastAsia="Arial" w:hAnsi="Arial"/>
                <w:sz w:val="17"/>
                <w:szCs w:val="17"/>
                <w:color w:val="auto"/>
              </w:rPr>
              <w:t>1,233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7"/>
                <w:szCs w:val="17"/>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(2,799)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7"/>
                <w:szCs w:val="17"/>
                <w:color w:val="auto"/>
                <w:w w:val="89"/>
              </w:rPr>
              <w:t>(1,233)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Purchases</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Issuances</w:t>
            </w: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9"/>
              </w:rPr>
              <w:t>(1,594)</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(827)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Settlements</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b w:val="1"/>
                <w:bCs w:val="1"/>
                <w:color w:val="auto"/>
              </w:rPr>
              <w:t>1,304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98"/>
              </w:rPr>
              <w:t>2,779</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w:t>
            </w: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(2,779)</w:t>
            </w:r>
          </w:p>
        </w:tc>
        <w:tc>
          <w:tcPr>
            <w:tcW w:w="880" w:type="dxa"/>
            <w:vAlign w:val="bottom"/>
            <w:gridSpan w:val="7"/>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7"/>
                <w:szCs w:val="17"/>
                <w:color w:val="auto"/>
                <w:w w:val="93"/>
              </w:rPr>
              <w:t>Total gains (losses) for the period included in earnings attributed to the change in unrealized gains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20" w:type="dxa"/>
            <w:vAlign w:val="bottom"/>
            <w:gridSpan w:val="3"/>
            <w:vMerge w:val="continue"/>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w w:val="98"/>
              </w:rPr>
              <w:t>2,110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4"/>
            <w:vMerge w:val="restart"/>
          </w:tcPr>
          <w:p>
            <w:pPr>
              <w:jc w:val="right"/>
              <w:ind w:right="8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 (2,110)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7"/>
                <w:szCs w:val="17"/>
                <w:color w:val="auto"/>
              </w:rPr>
              <w:t>or losses on assets and liabilities still held at the reporting date</w:t>
            </w:r>
          </w:p>
        </w:tc>
        <w:tc>
          <w:tcPr>
            <w:tcW w:w="8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1,193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18"/>
                <w:szCs w:val="18"/>
                <w:color w:val="auto"/>
              </w:rPr>
            </w:pPr>
          </w:p>
        </w:tc>
        <w:tc>
          <w:tcPr>
            <w:tcW w:w="840" w:type="dxa"/>
            <w:vAlign w:val="bottom"/>
            <w:gridSpan w:val="4"/>
            <w:vMerge w:val="continue"/>
          </w:tcPr>
          <w:p>
            <w:pPr>
              <w:spacing w:after="0"/>
              <w:rPr>
                <w:sz w:val="18"/>
                <w:szCs w:val="18"/>
                <w:color w:val="auto"/>
              </w:rPr>
            </w:pPr>
          </w:p>
        </w:tc>
        <w:tc>
          <w:tcPr>
            <w:tcW w:w="880" w:type="dxa"/>
            <w:vAlign w:val="bottom"/>
            <w:gridSpan w:val="7"/>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(1,193)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7"/>
                <w:szCs w:val="17"/>
                <w:color w:val="auto"/>
                <w:w w:val="96"/>
              </w:rPr>
              <w:t>Net gains (losses) included in earnings and the income statement classifications are as follows: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9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5"/>
          </w:tcPr>
          <w:p>
            <w:pPr>
              <w:jc w:val="right"/>
              <w:ind w:right="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4"/>
          </w:tcPr>
          <w:p>
            <w:pPr>
              <w:ind w:left="160"/>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7"/>
          </w:tcPr>
          <w:p>
            <w:pPr>
              <w:ind w:left="180"/>
              <w:spacing w:after="0" w:line="133"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Total net gains (losses) included in earnings:</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7"/>
                <w:szCs w:val="17"/>
                <w:color w:val="auto"/>
              </w:rPr>
              <w:t>Cost of sales - Undesignated commodities contracts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6"/>
          </w:tcPr>
          <w:p>
            <w:pPr>
              <w:jc w:val="right"/>
              <w:ind w:right="40"/>
              <w:spacing w:after="0"/>
              <w:rPr>
                <w:sz w:val="20"/>
                <w:szCs w:val="20"/>
                <w:color w:val="auto"/>
              </w:rPr>
            </w:pPr>
            <w:r>
              <w:rPr>
                <w:rFonts w:ascii="Arial" w:cs="Arial" w:eastAsia="Arial" w:hAnsi="Arial"/>
                <w:sz w:val="17"/>
                <w:szCs w:val="17"/>
                <w:b w:val="1"/>
                <w:bCs w:val="1"/>
                <w:color w:val="auto"/>
              </w:rPr>
              <w:t>$(1,198)</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(244)</w:t>
            </w:r>
          </w:p>
        </w:tc>
        <w:tc>
          <w:tcPr>
            <w:tcW w:w="140" w:type="dxa"/>
            <w:vAlign w:val="bottom"/>
          </w:tcPr>
          <w:p>
            <w:pPr>
              <w:spacing w:after="0"/>
              <w:rPr>
                <w:sz w:val="17"/>
                <w:szCs w:val="17"/>
                <w:color w:val="auto"/>
              </w:rPr>
            </w:pPr>
          </w:p>
        </w:tc>
        <w:tc>
          <w:tcPr>
            <w:tcW w:w="240" w:type="dxa"/>
            <w:vAlign w:val="bottom"/>
            <w:gridSpan w:val="3"/>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sales - Undesignated foreign exchange contracts</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85"/>
              </w:rPr>
              <w:t>(49)</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7"/>
                <w:szCs w:val="17"/>
                <w:color w:val="auto"/>
              </w:rPr>
              <w:t>Other income - Carbon credits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rPr>
              <w:t>3,089</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1,233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jc w:val="right"/>
              <w:ind w:right="120"/>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expense - Contractual obligations relating to carbon credits</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(2,799)</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89"/>
              </w:rPr>
              <w:t>(1,233)</w:t>
            </w:r>
          </w:p>
        </w:tc>
        <w:tc>
          <w:tcPr>
            <w:tcW w:w="140" w:type="dxa"/>
            <w:vAlign w:val="bottom"/>
            <w:shd w:val="clear" w:color="auto" w:fill="CCEEFF"/>
          </w:tcPr>
          <w:p>
            <w:pPr>
              <w:spacing w:after="0"/>
              <w:rPr>
                <w:sz w:val="17"/>
                <w:szCs w:val="17"/>
                <w:color w:val="auto"/>
              </w:rPr>
            </w:pPr>
          </w:p>
        </w:tc>
        <w:tc>
          <w:tcPr>
            <w:tcW w:w="6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7"/>
                <w:szCs w:val="17"/>
                <w:color w:val="auto"/>
              </w:rPr>
              <w:t>Interest expense - Undesignated interest rate contracts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85"/>
              </w:rPr>
              <w:t>(71)</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7"/>
                <w:szCs w:val="17"/>
                <w:color w:val="auto"/>
              </w:rPr>
            </w:pPr>
          </w:p>
        </w:tc>
        <w:tc>
          <w:tcPr>
            <w:tcW w:w="600" w:type="dxa"/>
            <w:vAlign w:val="bottom"/>
            <w:gridSpan w:val="5"/>
          </w:tcPr>
          <w:p>
            <w:pPr>
              <w:jc w:val="right"/>
              <w:ind w:right="60"/>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net losses included in earnings</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(1,028)</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(277)</w:t>
            </w:r>
          </w:p>
        </w:tc>
        <w:tc>
          <w:tcPr>
            <w:tcW w:w="140" w:type="dxa"/>
            <w:vAlign w:val="bottom"/>
            <w:shd w:val="clear" w:color="auto" w:fill="CCEEFF"/>
          </w:tcPr>
          <w:p>
            <w:pPr>
              <w:spacing w:after="0"/>
              <w:rPr>
                <w:sz w:val="17"/>
                <w:szCs w:val="17"/>
                <w:color w:val="auto"/>
              </w:rPr>
            </w:pPr>
          </w:p>
        </w:tc>
        <w:tc>
          <w:tcPr>
            <w:tcW w:w="6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0" w:type="dxa"/>
            <w:vAlign w:val="bottom"/>
            <w:vMerge w:val="restart"/>
          </w:tcPr>
          <w:p>
            <w:pPr>
              <w:ind w:left="4640"/>
              <w:spacing w:after="0"/>
              <w:rPr>
                <w:sz w:val="20"/>
                <w:szCs w:val="20"/>
                <w:color w:val="auto"/>
              </w:rPr>
            </w:pPr>
            <w:r>
              <w:rPr>
                <w:rFonts w:ascii="Arial" w:cs="Arial" w:eastAsia="Arial" w:hAnsi="Arial"/>
                <w:sz w:val="17"/>
                <w:szCs w:val="17"/>
                <w:color w:val="auto"/>
              </w:rPr>
              <w:t>F-33</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Derivatives, Hedges, Financial Instruments and Carbon Credits (continued)</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At December 31, 2014 and 2013, we did not have any financial instruments with fair values significantly different from their carrying amounts, except for the Senior Secured Notes. At December 31, 2014, the estimated fair value of the Senior Secured Notes exceeded the carrying value by approximately $17 million based on a quoted price of 104.0. At December 31, 2013, the estimated fair value of the Senior Secured Notes exceeded the carrying by approximately $20 million based on a range of ask/bid prices (104.5 to 104.9). These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8 - Asset Retirement Obligations.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Stockholders’ Equity</w:t>
      </w:r>
    </w:p>
    <w:p>
      <w:pPr>
        <w:spacing w:after="0" w:line="110"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b w:val="1"/>
          <w:bCs w:val="1"/>
          <w:color w:val="auto"/>
        </w:rPr>
        <w:t xml:space="preserve">2008 Stock Incentive Plan - </w:t>
      </w:r>
      <w:r>
        <w:rPr>
          <w:rFonts w:ascii="Arial" w:cs="Arial" w:eastAsia="Arial" w:hAnsi="Arial"/>
          <w:sz w:val="16"/>
          <w:szCs w:val="16"/>
          <w:color w:val="auto"/>
        </w:rPr>
        <w:t>During 2014, our stockholders approved an amendment to our Incentive Stock Plan (the “2008 Plan”). As amended,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our common stock for which awards may be granted under the 2008 Plan is 1,975,000 shares, subject to adjustment. Under the 2008 Plan, awards may be made to any employee, officer or director of the Company and its affiliated companies. An award may also be granted to any consultant, agent, advisor or independent contractor for bona fide services rendered to the Company or any affiliate (as defined in the 2008 Plan), subject to certain conditions. The 2008 Plan is being administered by the compensation and stock option committee (the “Committee”) of our Board of Directors.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Board of Directors or the Committee may amend the 2008 Plan, except that if any applicable statute, rule or regulation requires shareholder approval with respect to any amendment of the 2008 Plan, then to the extent so required, shareholder approval will be obtained. Shareholder approval will also be obtained for any amendment that would increase the number of shares stated as available for issuance under the 2008 Plan. Unless sooner terminated by our Board of Directors, the 2008 Plan expires on June 5, 2018.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may be granted by the Committee under the 2008 Plan:</w:t>
      </w:r>
    </w:p>
    <w:p>
      <w:pPr>
        <w:spacing w:after="0" w:line="211"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Stock Options - The Committee may grant either incentive stock options or non-qualified stock options. The Committee sets option exercise prices and terms, except that the exercise price of a stock option may be no less than 100% of the fair market value, as defined in the 2008 Plan, of the shares on the date of grant. At the time of grant, the Committee will have sole discretion in determining when stock options are exercisable and when they expire, except that the term of a stock option cannot exceed 10 years.</w:t>
      </w:r>
    </w:p>
    <w:p>
      <w:pPr>
        <w:spacing w:after="0" w:line="179" w:lineRule="exact"/>
        <w:rPr>
          <w:sz w:val="20"/>
          <w:szCs w:val="20"/>
          <w:color w:val="auto"/>
        </w:rPr>
      </w:pPr>
    </w:p>
    <w:p>
      <w:pPr>
        <w:ind w:right="140" w:firstLine="457"/>
        <w:spacing w:after="0" w:line="302" w:lineRule="auto"/>
        <w:rPr>
          <w:sz w:val="20"/>
          <w:szCs w:val="20"/>
          <w:color w:val="auto"/>
        </w:rPr>
      </w:pPr>
      <w:r>
        <w:rPr>
          <w:rFonts w:ascii="Arial" w:cs="Arial" w:eastAsia="Arial" w:hAnsi="Arial"/>
          <w:sz w:val="15"/>
          <w:szCs w:val="15"/>
          <w:color w:val="auto"/>
        </w:rPr>
        <w:t>Stock Appreciation Rights (“SARs”) - The Committee may grant SARs as a right in tandem with the number of shares underlying stock options granted under the 2008 Plan or on a stand-alone basis. SARs are the right to receive payment per share of the SAR exercised in stock or in cash equal to the excess of the share’s fair market value, as defined in the 2008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144" w:lineRule="exact"/>
        <w:rPr>
          <w:sz w:val="20"/>
          <w:szCs w:val="20"/>
          <w:color w:val="auto"/>
        </w:rPr>
      </w:pPr>
    </w:p>
    <w:p>
      <w:pPr>
        <w:jc w:val="both"/>
        <w:ind w:firstLine="457"/>
        <w:spacing w:after="0" w:line="264" w:lineRule="auto"/>
        <w:rPr>
          <w:sz w:val="20"/>
          <w:szCs w:val="20"/>
          <w:color w:val="auto"/>
        </w:rPr>
      </w:pPr>
      <w:r>
        <w:rPr>
          <w:rFonts w:ascii="Arial" w:cs="Arial" w:eastAsia="Arial" w:hAnsi="Arial"/>
          <w:sz w:val="17"/>
          <w:szCs w:val="17"/>
          <w:color w:val="auto"/>
        </w:rPr>
        <w:t xml:space="preserve">Stock Awards, Restricted Stock, Restricted Stock Units, and Other Awards </w:t>
      </w:r>
      <w:r>
        <w:rPr>
          <w:rFonts w:ascii="Arial" w:cs="Arial" w:eastAsia="Arial" w:hAnsi="Arial"/>
          <w:sz w:val="17"/>
          <w:szCs w:val="17"/>
          <w:b w:val="1"/>
          <w:bCs w:val="1"/>
          <w:color w:val="auto"/>
        </w:rPr>
        <w:t>-</w:t>
      </w:r>
      <w:r>
        <w:rPr>
          <w:rFonts w:ascii="Arial" w:cs="Arial" w:eastAsia="Arial" w:hAnsi="Arial"/>
          <w:sz w:val="17"/>
          <w:szCs w:val="17"/>
          <w:color w:val="auto"/>
        </w:rPr>
        <w:t xml:space="preserve"> The Committee may grant awards of restricted stock, restricted stock 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16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color w:val="auto"/>
        </w:rPr>
        <w:t xml:space="preserve">Outside Director Stock Option Plan - </w:t>
      </w:r>
      <w:r>
        <w:rPr>
          <w:rFonts w:ascii="Arial" w:cs="Arial" w:eastAsia="Arial" w:hAnsi="Arial"/>
          <w:sz w:val="17"/>
          <w:szCs w:val="17"/>
          <w:color w:val="auto"/>
        </w:rPr>
        <w:t>In addition to the 2008 Plan discussed above, we have an Outside Director Stock Option Plan (the “Outside Director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Outside Director Plan authorizes the grant of non-qualified stock options to each member of our Board of Directors who is not an officer or employee of LSB or its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441"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Stockholders’ Equity (continued)</w:t>
      </w:r>
    </w:p>
    <w:p>
      <w:pPr>
        <w:spacing w:after="0" w:line="152" w:lineRule="exact"/>
        <w:rPr>
          <w:sz w:val="20"/>
          <w:szCs w:val="20"/>
          <w:color w:val="auto"/>
        </w:rPr>
      </w:pPr>
    </w:p>
    <w:p>
      <w:pPr>
        <w:ind w:right="120"/>
        <w:spacing w:after="0" w:line="341" w:lineRule="auto"/>
        <w:rPr>
          <w:sz w:val="20"/>
          <w:szCs w:val="20"/>
          <w:color w:val="auto"/>
        </w:rPr>
      </w:pPr>
      <w:r>
        <w:rPr>
          <w:rFonts w:ascii="Arial" w:cs="Arial" w:eastAsia="Arial" w:hAnsi="Arial"/>
          <w:sz w:val="15"/>
          <w:szCs w:val="15"/>
          <w:color w:val="auto"/>
        </w:rPr>
        <w:t>The Outside Director Plan also provides that each outside director may elect to receive all or any portion of his or her director fee for services rendered as a director of LSB in shares of LSB’s common stock, provided that the outside director elects to receive shares in payment of his or her director fee each calendar quarter.</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color w:val="auto"/>
        </w:rPr>
        <w:t xml:space="preserve">Stock-Based Compensation - </w:t>
      </w:r>
      <w:r>
        <w:rPr>
          <w:rFonts w:ascii="Arial" w:cs="Arial" w:eastAsia="Arial" w:hAnsi="Arial"/>
          <w:sz w:val="16"/>
          <w:szCs w:val="16"/>
          <w:color w:val="auto"/>
        </w:rPr>
        <w:t>During 2014, the Committee approved the grants under the 2008 Plan of 489,000 shares of stock options (the “2014 Options”)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The exercise price of the 2014 Options was equal to the market value of our common stock at the date of grant. The 2014 Options vest at the end of each one-year period at the rate of 16.5% per year for the first five years and the remaining unvested options will vest at the end of the sixth year. The 2014 Options expire in 2024. The fair value for the 2014 Options was estimated, using an option pricing model, as of the date of the grant, which date was also the service inception date. During 2013 and 2012, the Committee did not grant any awards under the 2008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for the 2014 Options was estimated using a Black-Scholes-Merton option pricing model with the following assumptions:</w:t>
      </w:r>
    </w:p>
    <w:p>
      <w:pPr>
        <w:spacing w:after="0" w:line="122" w:lineRule="exact"/>
        <w:rPr>
          <w:sz w:val="20"/>
          <w:szCs w:val="20"/>
          <w:color w:val="auto"/>
        </w:rPr>
      </w:pPr>
    </w:p>
    <w:p>
      <w:pPr>
        <w:ind w:left="420" w:hanging="317"/>
        <w:spacing w:after="0"/>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risk-free interest rate based on an U.S. Treasury zero-coupon issue with a term approximating the estimated expected life as of the grant date;</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dividend yield based on historical data;</w:t>
      </w:r>
    </w:p>
    <w:p>
      <w:pPr>
        <w:spacing w:after="0" w:line="122" w:lineRule="exact"/>
        <w:rPr>
          <w:rFonts w:ascii="Arial" w:cs="Arial" w:eastAsia="Arial" w:hAnsi="Arial"/>
          <w:sz w:val="17"/>
          <w:szCs w:val="17"/>
          <w:color w:val="auto"/>
        </w:rPr>
      </w:pPr>
    </w:p>
    <w:p>
      <w:pPr>
        <w:ind w:left="420" w:right="280" w:hanging="317"/>
        <w:spacing w:after="0" w:line="273"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volatility factors of the expected market price of our common stock based on historical volatility of our common stock primarily over approximately six years from the date of grant; and</w:t>
      </w:r>
    </w:p>
    <w:p>
      <w:pPr>
        <w:spacing w:after="0" w:line="76" w:lineRule="exact"/>
        <w:rPr>
          <w:rFonts w:ascii="Arial" w:cs="Arial" w:eastAsia="Arial" w:hAnsi="Arial"/>
          <w:sz w:val="17"/>
          <w:szCs w:val="17"/>
          <w:color w:val="auto"/>
        </w:rPr>
      </w:pPr>
    </w:p>
    <w:p>
      <w:pPr>
        <w:ind w:left="420" w:hanging="317"/>
        <w:spacing w:after="0"/>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weighted-average expected life of the options based on the historical exercise behavior of these employees and outside director, if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these granted stock options:</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risk-free interest rate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1.83%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1"/>
              </w:rPr>
              <w:t>N/A</w:t>
            </w:r>
          </w:p>
        </w:tc>
        <w:tc>
          <w:tcPr>
            <w:tcW w:w="120" w:type="dxa"/>
            <w:vAlign w:val="bottom"/>
            <w:shd w:val="clear" w:color="auto" w:fill="CCEEFF"/>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7"/>
                <w:szCs w:val="17"/>
                <w:color w:val="auto"/>
              </w:rPr>
              <w:t>Dividend yield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7"/>
                <w:szCs w:val="17"/>
                <w:color w:val="auto"/>
              </w:rPr>
              <w:t>N/A</w:t>
            </w: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expected volatility</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45.18%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N/A</w:t>
            </w:r>
          </w:p>
        </w:tc>
      </w:tr>
      <w:tr>
        <w:trPr>
          <w:trHeight w:val="203"/>
        </w:trPr>
        <w:tc>
          <w:tcPr>
            <w:tcW w:w="5120" w:type="dxa"/>
            <w:vAlign w:val="bottom"/>
          </w:tcPr>
          <w:p>
            <w:pPr>
              <w:spacing w:after="0"/>
              <w:rPr>
                <w:sz w:val="20"/>
                <w:szCs w:val="20"/>
                <w:color w:val="auto"/>
              </w:rPr>
            </w:pPr>
            <w:r>
              <w:rPr>
                <w:rFonts w:ascii="Arial" w:cs="Arial" w:eastAsia="Arial" w:hAnsi="Arial"/>
                <w:sz w:val="17"/>
                <w:szCs w:val="17"/>
                <w:color w:val="auto"/>
              </w:rPr>
              <w:t>Total weighted-average expected forfeiture rate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7.88%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7"/>
                <w:szCs w:val="17"/>
                <w:color w:val="auto"/>
              </w:rPr>
              <w:t>N/A</w:t>
            </w: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expected life (years)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5.90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N/A</w:t>
            </w:r>
          </w:p>
        </w:tc>
      </w:tr>
      <w:tr>
        <w:trPr>
          <w:trHeight w:val="203"/>
        </w:trPr>
        <w:tc>
          <w:tcPr>
            <w:tcW w:w="5120" w:type="dxa"/>
            <w:vAlign w:val="bottom"/>
          </w:tcPr>
          <w:p>
            <w:pPr>
              <w:spacing w:after="0"/>
              <w:rPr>
                <w:sz w:val="20"/>
                <w:szCs w:val="20"/>
                <w:color w:val="auto"/>
              </w:rPr>
            </w:pPr>
            <w:r>
              <w:rPr>
                <w:rFonts w:ascii="Arial" w:cs="Arial" w:eastAsia="Arial" w:hAnsi="Arial"/>
                <w:sz w:val="17"/>
                <w:szCs w:val="17"/>
                <w:color w:val="auto"/>
              </w:rPr>
              <w:t>Total weighted-average remaining vesting period in years (1)</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5.83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3.38</w:t>
            </w: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 fair value of options granted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7,262,000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N/A</w:t>
            </w:r>
          </w:p>
        </w:tc>
      </w:tr>
      <w:tr>
        <w:trPr>
          <w:trHeight w:val="203"/>
        </w:trPr>
        <w:tc>
          <w:tcPr>
            <w:tcW w:w="5120" w:type="dxa"/>
            <w:vAlign w:val="bottom"/>
          </w:tcPr>
          <w:p>
            <w:pPr>
              <w:spacing w:after="0"/>
              <w:rPr>
                <w:sz w:val="20"/>
                <w:szCs w:val="20"/>
                <w:color w:val="auto"/>
              </w:rPr>
            </w:pPr>
            <w:r>
              <w:rPr>
                <w:rFonts w:ascii="Arial" w:cs="Arial" w:eastAsia="Arial" w:hAnsi="Arial"/>
                <w:sz w:val="17"/>
                <w:szCs w:val="17"/>
                <w:color w:val="auto"/>
              </w:rPr>
              <w:t>Stock-based compensation expense - Cost of sales (1)</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255,000</w:t>
            </w:r>
          </w:p>
        </w:tc>
        <w:tc>
          <w:tcPr>
            <w:tcW w:w="3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227,000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278,000</w:t>
            </w: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 - SG&amp;A (1)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1,660,000</w:t>
            </w:r>
          </w:p>
        </w:tc>
        <w:tc>
          <w:tcPr>
            <w:tcW w:w="3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1,315,000</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1,374,000</w:t>
            </w:r>
          </w:p>
        </w:tc>
        <w:tc>
          <w:tcPr>
            <w:tcW w:w="120" w:type="dxa"/>
            <w:vAlign w:val="bottom"/>
            <w:shd w:val="clear" w:color="auto" w:fill="CCEEFF"/>
          </w:tcPr>
          <w:p>
            <w:pPr>
              <w:spacing w:after="0"/>
              <w:rPr>
                <w:sz w:val="17"/>
                <w:szCs w:val="17"/>
                <w:color w:val="auto"/>
              </w:rPr>
            </w:pPr>
          </w:p>
        </w:tc>
      </w:tr>
      <w:tr>
        <w:trPr>
          <w:trHeight w:val="219"/>
        </w:trPr>
        <w:tc>
          <w:tcPr>
            <w:tcW w:w="5120" w:type="dxa"/>
            <w:vAlign w:val="bottom"/>
          </w:tcPr>
          <w:p>
            <w:pPr>
              <w:spacing w:after="0"/>
              <w:rPr>
                <w:sz w:val="20"/>
                <w:szCs w:val="20"/>
                <w:color w:val="auto"/>
              </w:rPr>
            </w:pPr>
            <w:r>
              <w:rPr>
                <w:rFonts w:ascii="Arial" w:cs="Arial" w:eastAsia="Arial" w:hAnsi="Arial"/>
                <w:sz w:val="17"/>
                <w:szCs w:val="17"/>
                <w:color w:val="auto"/>
              </w:rPr>
              <w:t>Income tax benefit (1)</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(747,000)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(601,000)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(603,000)</w:t>
            </w:r>
          </w:p>
        </w:tc>
      </w:tr>
    </w:tbl>
    <w:p>
      <w:pPr>
        <w:spacing w:after="0" w:line="20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Information relates to stock options granted since 2006.</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December 31, 2014, the total stock-based compensation expense not yet recognized is $9,072,000 relating to non-vested stock options, which we will be amortizing (subject to adjustments for forfeitures) through the respective remaining vesting periods.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Stock Option Plans and Grants - </w:t>
      </w:r>
      <w:r>
        <w:rPr>
          <w:rFonts w:ascii="Arial" w:cs="Arial" w:eastAsia="Arial" w:hAnsi="Arial"/>
          <w:sz w:val="17"/>
          <w:szCs w:val="17"/>
          <w:color w:val="auto"/>
        </w:rPr>
        <w:t>At December 31, 2014, we have options outstanding under a 1998 Stock Option Plan (“1998 Plan”) and the 2008 Plan as discussed</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The 1998 Plan has expired, and accordingly, no additional options may be granted from the 1998 Plan. Options granted prior to the expiration of this plan continue to remain valid thereafter in accordance with their terms. The exercise price of the outstanding options granted under the 1998 and 2008 Plans was equal to the market value of our common stock at the date of grant.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00"/>
          </w:cols>
          <w:pgMar w:left="240" w:top="441" w:right="25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Stockholders’ Equity (continued)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relates to our stock option plans:</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7"/>
              </w:rPr>
              <w:t>December 31, 2014</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2"/>
        </w:trPr>
        <w:tc>
          <w:tcPr>
            <w:tcW w:w="6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ind w:left="80"/>
              <w:spacing w:after="0" w:line="113" w:lineRule="exact"/>
              <w:rPr>
                <w:sz w:val="20"/>
                <w:szCs w:val="20"/>
                <w:color w:val="auto"/>
              </w:rPr>
            </w:pPr>
            <w:r>
              <w:rPr>
                <w:rFonts w:ascii="Arial" w:cs="Arial" w:eastAsia="Arial" w:hAnsi="Arial"/>
                <w:sz w:val="12"/>
                <w:szCs w:val="12"/>
                <w:b w:val="1"/>
                <w:bCs w:val="1"/>
                <w:color w:val="auto"/>
              </w:rPr>
              <w:t>Outside</w:t>
            </w:r>
          </w:p>
        </w:tc>
        <w:tc>
          <w:tcPr>
            <w:tcW w:w="100" w:type="dxa"/>
            <w:vAlign w:val="bottom"/>
          </w:tcPr>
          <w:p>
            <w:pPr>
              <w:spacing w:after="0"/>
              <w:rPr>
                <w:sz w:val="9"/>
                <w:szCs w:val="9"/>
                <w:color w:val="auto"/>
              </w:rPr>
            </w:pPr>
          </w:p>
        </w:tc>
      </w:tr>
      <w:tr>
        <w:trPr>
          <w:trHeight w:val="140"/>
        </w:trPr>
        <w:tc>
          <w:tcPr>
            <w:tcW w:w="6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Director</w:t>
            </w:r>
          </w:p>
        </w:tc>
      </w:tr>
      <w:tr>
        <w:trPr>
          <w:trHeight w:val="160"/>
        </w:trPr>
        <w:tc>
          <w:tcPr>
            <w:tcW w:w="68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2008 Plan</w:t>
            </w:r>
          </w:p>
        </w:tc>
        <w:tc>
          <w:tcPr>
            <w:tcW w:w="36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1998 Plan</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Plan</w:t>
            </w:r>
          </w:p>
        </w:tc>
      </w:tr>
      <w:tr>
        <w:trPr>
          <w:trHeight w:val="19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Maximum number of securities for issuance</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1,975,000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N/A</w:t>
            </w: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w w:val="84"/>
              </w:rPr>
              <w:t>400,000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7"/>
                <w:szCs w:val="17"/>
                <w:color w:val="auto"/>
              </w:rPr>
              <w:t>Number of awards available to be granted</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869,170</w:t>
            </w:r>
          </w:p>
        </w:tc>
        <w:tc>
          <w:tcPr>
            <w:tcW w:w="36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N/A</w:t>
            </w:r>
          </w:p>
        </w:tc>
        <w:tc>
          <w:tcPr>
            <w:tcW w:w="700" w:type="dxa"/>
            <w:vAlign w:val="bottom"/>
            <w:gridSpan w:val="2"/>
          </w:tcPr>
          <w:p>
            <w:pPr>
              <w:ind w:left="60"/>
              <w:spacing w:after="0"/>
              <w:rPr>
                <w:sz w:val="20"/>
                <w:szCs w:val="20"/>
                <w:color w:val="auto"/>
              </w:rPr>
            </w:pPr>
            <w:r>
              <w:rPr>
                <w:rFonts w:ascii="Arial" w:cs="Arial" w:eastAsia="Arial" w:hAnsi="Arial"/>
                <w:sz w:val="17"/>
                <w:szCs w:val="17"/>
                <w:b w:val="1"/>
                <w:bCs w:val="1"/>
                <w:color w:val="auto"/>
              </w:rPr>
              <w:t>280,000</w:t>
            </w: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Number of options outstanding</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828,848</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7,000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r>
      <w:tr>
        <w:trPr>
          <w:trHeight w:val="219"/>
        </w:trPr>
        <w:tc>
          <w:tcPr>
            <w:tcW w:w="6840" w:type="dxa"/>
            <w:vAlign w:val="bottom"/>
          </w:tcPr>
          <w:p>
            <w:pPr>
              <w:spacing w:after="0"/>
              <w:rPr>
                <w:sz w:val="20"/>
                <w:szCs w:val="20"/>
                <w:color w:val="auto"/>
              </w:rPr>
            </w:pPr>
            <w:r>
              <w:rPr>
                <w:rFonts w:ascii="Arial" w:cs="Arial" w:eastAsia="Arial" w:hAnsi="Arial"/>
                <w:sz w:val="17"/>
                <w:szCs w:val="17"/>
                <w:color w:val="auto"/>
              </w:rPr>
              <w:t>Number of options exercisable</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228,748</w:t>
            </w:r>
          </w:p>
        </w:tc>
        <w:tc>
          <w:tcPr>
            <w:tcW w:w="1300" w:type="dxa"/>
            <w:vAlign w:val="bottom"/>
            <w:gridSpan w:val="3"/>
          </w:tcPr>
          <w:p>
            <w:pPr>
              <w:jc w:val="right"/>
              <w:ind w:right="380"/>
              <w:spacing w:after="0"/>
              <w:rPr>
                <w:sz w:val="20"/>
                <w:szCs w:val="20"/>
                <w:color w:val="auto"/>
              </w:rPr>
            </w:pPr>
            <w:r>
              <w:rPr>
                <w:rFonts w:ascii="Arial" w:cs="Arial" w:eastAsia="Arial" w:hAnsi="Arial"/>
                <w:sz w:val="17"/>
                <w:szCs w:val="17"/>
                <w:b w:val="1"/>
                <w:bCs w:val="1"/>
                <w:color w:val="auto"/>
              </w:rPr>
              <w:t>7,000</w:t>
            </w:r>
          </w:p>
        </w:tc>
        <w:tc>
          <w:tcPr>
            <w:tcW w:w="700" w:type="dxa"/>
            <w:vAlign w:val="bottom"/>
            <w:gridSpan w:val="2"/>
          </w:tcPr>
          <w:p>
            <w:pPr>
              <w:ind w:left="340"/>
              <w:spacing w:after="0"/>
              <w:rPr>
                <w:sz w:val="20"/>
                <w:szCs w:val="20"/>
                <w:color w:val="auto"/>
              </w:rPr>
            </w:pPr>
            <w:r>
              <w:rPr>
                <w:rFonts w:ascii="Arial" w:cs="Arial" w:eastAsia="Arial" w:hAnsi="Arial"/>
                <w:sz w:val="17"/>
                <w:szCs w:val="17"/>
                <w:b w:val="1"/>
                <w:bCs w:val="1"/>
                <w:color w:val="auto"/>
              </w:rPr>
              <w:t>—</w:t>
            </w:r>
          </w:p>
        </w:tc>
      </w:tr>
    </w:tbl>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addition to our stock option plans, in 2006 our stockholders approved the grant of 450,000 shares of stock options (the “2006 Options”) to certain Climate Control Business employees. The exercise price of the 2006 Options is $8.01 per share. At December 31, 2014, there were 120,000 options outstanding related to the 2006 Options, of which 30,000 are exercisable.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relates to our stock options:</w:t>
      </w:r>
    </w:p>
    <w:p>
      <w:pPr>
        <w:spacing w:after="0" w:line="22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gridSpan w:val="2"/>
          </w:tcPr>
          <w:p>
            <w:pPr>
              <w:spacing w:after="0" w:line="113" w:lineRule="exact"/>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3"/>
          </w:tcPr>
          <w:p>
            <w:pPr>
              <w:jc w:val="center"/>
              <w:ind w:right="80"/>
              <w:spacing w:after="0" w:line="140"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0"/>
        </w:trPr>
        <w:tc>
          <w:tcPr>
            <w:tcW w:w="6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0"/>
        </w:trPr>
        <w:tc>
          <w:tcPr>
            <w:tcW w:w="680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beginning of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599,630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7"/>
                <w:szCs w:val="17"/>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489,000</w:t>
            </w:r>
          </w:p>
        </w:tc>
        <w:tc>
          <w:tcPr>
            <w:tcW w:w="60" w:type="dxa"/>
            <w:vAlign w:val="bottom"/>
          </w:tcPr>
          <w:p>
            <w:pPr>
              <w:spacing w:after="0"/>
              <w:rPr>
                <w:sz w:val="17"/>
                <w:szCs w:val="17"/>
                <w:color w:val="auto"/>
              </w:rPr>
            </w:pPr>
          </w:p>
        </w:tc>
        <w:tc>
          <w:tcPr>
            <w:tcW w:w="560" w:type="dxa"/>
            <w:vAlign w:val="bottom"/>
            <w:gridSpan w:val="2"/>
          </w:tcPr>
          <w:p>
            <w:pPr>
              <w:ind w:left="4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33.13</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6"/>
              </w:rPr>
              <w:t>(121,742)</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8.82</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7"/>
                <w:szCs w:val="17"/>
                <w:color w:val="auto"/>
              </w:rPr>
              <w:t>Cancelled, forfeited or expired</w:t>
            </w:r>
          </w:p>
        </w:tc>
        <w:tc>
          <w:tcPr>
            <w:tcW w:w="7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(11,040)</w:t>
            </w:r>
          </w:p>
        </w:tc>
        <w:tc>
          <w:tcPr>
            <w:tcW w:w="560" w:type="dxa"/>
            <w:vAlign w:val="bottom"/>
            <w:gridSpan w:val="2"/>
          </w:tcPr>
          <w:p>
            <w:pPr>
              <w:ind w:left="4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33.71</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end of year</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955,848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27.09</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7"/>
                <w:szCs w:val="17"/>
                <w:color w:val="auto"/>
              </w:rPr>
              <w:t>Exercisable at end of year</w:t>
            </w: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19.36</w:t>
            </w:r>
          </w:p>
        </w:tc>
        <w:tc>
          <w:tcPr>
            <w:tcW w:w="0" w:type="dxa"/>
            <w:vAlign w:val="bottom"/>
          </w:tcPr>
          <w:p>
            <w:pPr>
              <w:spacing w:after="0" w:line="20" w:lineRule="exact"/>
              <w:rPr>
                <w:sz w:val="1"/>
                <w:szCs w:val="1"/>
                <w:color w:val="auto"/>
              </w:rPr>
            </w:pPr>
          </w:p>
        </w:tc>
      </w:tr>
      <w:tr>
        <w:trPr>
          <w:trHeight w:val="194"/>
        </w:trPr>
        <w:tc>
          <w:tcPr>
            <w:tcW w:w="6800" w:type="dxa"/>
            <w:vAlign w:val="bottom"/>
            <w:vMerge w:val="continue"/>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265,748</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00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6"/>
              </w:rPr>
              <w:t>Weighted-average fair value per option granted during year</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14.85</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w w:val="91"/>
              </w:rPr>
              <w:t>N/A</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w w:val="91"/>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Total intrinsic value of options exercised during the year</w:t>
            </w:r>
          </w:p>
        </w:tc>
        <w:tc>
          <w:tcPr>
            <w:tcW w:w="20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60" w:type="dxa"/>
            <w:vAlign w:val="bottom"/>
            <w:gridSpan w:val="3"/>
            <w:vMerge w:val="restart"/>
          </w:tcPr>
          <w:p>
            <w:pPr>
              <w:jc w:val="center"/>
              <w:ind w:right="22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2,970,000</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2,469,000</w:t>
            </w:r>
          </w:p>
        </w:tc>
        <w:tc>
          <w:tcPr>
            <w:tcW w:w="0" w:type="dxa"/>
            <w:vAlign w:val="bottom"/>
          </w:tcPr>
          <w:p>
            <w:pPr>
              <w:spacing w:after="0" w:line="20" w:lineRule="exact"/>
              <w:rPr>
                <w:sz w:val="1"/>
                <w:szCs w:val="1"/>
                <w:color w:val="auto"/>
              </w:rPr>
            </w:pPr>
          </w:p>
        </w:tc>
      </w:tr>
      <w:tr>
        <w:trPr>
          <w:trHeight w:val="194"/>
        </w:trPr>
        <w:tc>
          <w:tcPr>
            <w:tcW w:w="432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87"/>
              </w:rPr>
              <w:t>3,461,000</w:t>
            </w: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fair value of options vested during the year</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87"/>
              </w:rPr>
              <w:t>1,502,000</w:t>
            </w:r>
          </w:p>
        </w:tc>
        <w:tc>
          <w:tcPr>
            <w:tcW w:w="22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center"/>
              <w:ind w:right="220"/>
              <w:spacing w:after="0" w:line="194" w:lineRule="exact"/>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1,565,000</w:t>
            </w:r>
          </w:p>
        </w:tc>
        <w:tc>
          <w:tcPr>
            <w:tcW w:w="880" w:type="dxa"/>
            <w:vAlign w:val="bottom"/>
            <w:gridSpan w:val="2"/>
            <w:shd w:val="clear" w:color="auto" w:fill="CCEEFF"/>
          </w:tcPr>
          <w:p>
            <w:pPr>
              <w:jc w:val="center"/>
              <w:ind w:right="100"/>
              <w:spacing w:after="0" w:line="194" w:lineRule="exact"/>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1,592,000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320" w:type="dxa"/>
            <w:vAlign w:val="bottom"/>
          </w:tcPr>
          <w:p>
            <w:pPr>
              <w:spacing w:after="0"/>
              <w:rPr>
                <w:sz w:val="24"/>
                <w:szCs w:val="24"/>
                <w:color w:val="auto"/>
              </w:rPr>
            </w:pPr>
          </w:p>
        </w:tc>
        <w:tc>
          <w:tcPr>
            <w:tcW w:w="2040" w:type="dxa"/>
            <w:vAlign w:val="bottom"/>
            <w:gridSpan w:val="2"/>
          </w:tcPr>
          <w:p>
            <w:pPr>
              <w:jc w:val="right"/>
              <w:ind w:right="1326"/>
              <w:spacing w:after="0"/>
              <w:rPr>
                <w:sz w:val="20"/>
                <w:szCs w:val="20"/>
                <w:color w:val="auto"/>
              </w:rPr>
            </w:pPr>
            <w:r>
              <w:rPr>
                <w:rFonts w:ascii="Arial" w:cs="Arial" w:eastAsia="Arial" w:hAnsi="Arial"/>
                <w:sz w:val="17"/>
                <w:szCs w:val="17"/>
                <w:color w:val="auto"/>
              </w:rPr>
              <w:t>F-36</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41" w:right="4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Exercise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center"/>
        <w:ind w:right="3820"/>
        <w:spacing w:after="0"/>
        <w:rPr>
          <w:sz w:val="20"/>
          <w:szCs w:val="20"/>
          <w:color w:val="auto"/>
        </w:rPr>
      </w:pPr>
      <w:r>
        <w:rPr>
          <w:rFonts w:ascii="Arial" w:cs="Arial" w:eastAsia="Arial" w:hAnsi="Arial"/>
          <w:sz w:val="17"/>
          <w:szCs w:val="17"/>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-624205</wp:posOffset>
            </wp:positionV>
            <wp:extent cx="729615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Notes to Consolidated Financial Statements (continued)</w:t>
      </w:r>
    </w:p>
    <w:p>
      <w:pPr>
        <w:spacing w:after="0" w:line="200" w:lineRule="exact"/>
        <w:rPr>
          <w:sz w:val="20"/>
          <w:szCs w:val="20"/>
          <w:color w:val="auto"/>
        </w:rPr>
      </w:pPr>
    </w:p>
    <w:p>
      <w:pPr>
        <w:spacing w:after="0" w:line="282"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Stock Options Outstanding At December 31, 2014</w:t>
      </w:r>
    </w:p>
    <w:tbl>
      <w:tblPr>
        <w:tblLayout w:type="fixed"/>
        <w:tblInd w:w="1400" w:type="dxa"/>
        <w:tblCellMar>
          <w:top w:w="0" w:type="dxa"/>
          <w:left w:w="0" w:type="dxa"/>
          <w:bottom w:w="0" w:type="dxa"/>
          <w:right w:w="0" w:type="dxa"/>
        </w:tblCellMar>
      </w:tblPr>
      <w:tr>
        <w:trPr>
          <w:trHeight w:val="112"/>
        </w:trPr>
        <w:tc>
          <w:tcPr>
            <w:tcW w:w="1060" w:type="dxa"/>
            <w:vAlign w:val="bottom"/>
            <w:tcBorders>
              <w:top w:val="single" w:sz="8" w:color="auto"/>
            </w:tcBorders>
          </w:tcPr>
          <w:p>
            <w:pPr>
              <w:spacing w:after="0"/>
              <w:rPr>
                <w:sz w:val="9"/>
                <w:szCs w:val="9"/>
                <w:color w:val="auto"/>
              </w:rPr>
            </w:pPr>
          </w:p>
        </w:tc>
        <w:tc>
          <w:tcPr>
            <w:tcW w:w="16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Weighted-</w:t>
            </w:r>
          </w:p>
        </w:tc>
        <w:tc>
          <w:tcPr>
            <w:tcW w:w="16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r>
      <w:tr>
        <w:trPr>
          <w:trHeight w:val="140"/>
        </w:trPr>
        <w:tc>
          <w:tcPr>
            <w:tcW w:w="1060" w:type="dxa"/>
            <w:vAlign w:val="bottom"/>
          </w:tcPr>
          <w:p>
            <w:pPr>
              <w:spacing w:after="0"/>
              <w:rPr>
                <w:sz w:val="12"/>
                <w:szCs w:val="12"/>
                <w:color w:val="auto"/>
              </w:rPr>
            </w:pPr>
          </w:p>
        </w:tc>
        <w:tc>
          <w:tcPr>
            <w:tcW w:w="16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3"/>
              </w:rPr>
              <w:t>Average</w:t>
            </w:r>
          </w:p>
        </w:tc>
        <w:tc>
          <w:tcPr>
            <w:tcW w:w="16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060" w:type="dxa"/>
            <w:vAlign w:val="bottom"/>
          </w:tcPr>
          <w:p>
            <w:pPr>
              <w:spacing w:after="0"/>
              <w:rPr>
                <w:sz w:val="12"/>
                <w:szCs w:val="12"/>
                <w:color w:val="auto"/>
              </w:rPr>
            </w:pPr>
          </w:p>
        </w:tc>
        <w:tc>
          <w:tcPr>
            <w:tcW w:w="16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Remaining</w:t>
            </w:r>
          </w:p>
        </w:tc>
        <w:tc>
          <w:tcPr>
            <w:tcW w:w="1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8"/>
              </w:rPr>
              <w:t>Weighted-</w:t>
            </w:r>
          </w:p>
        </w:tc>
        <w:tc>
          <w:tcPr>
            <w:tcW w:w="1340" w:type="dxa"/>
            <w:vAlign w:val="bottom"/>
          </w:tcPr>
          <w:p>
            <w:pPr>
              <w:jc w:val="center"/>
              <w:ind w:left="272"/>
              <w:spacing w:after="0" w:line="140" w:lineRule="exact"/>
              <w:rPr>
                <w:sz w:val="20"/>
                <w:szCs w:val="20"/>
                <w:color w:val="auto"/>
              </w:rPr>
            </w:pPr>
            <w:r>
              <w:rPr>
                <w:rFonts w:ascii="Arial" w:cs="Arial" w:eastAsia="Arial" w:hAnsi="Arial"/>
                <w:sz w:val="14"/>
                <w:szCs w:val="14"/>
                <w:b w:val="1"/>
                <w:bCs w:val="1"/>
                <w:color w:val="auto"/>
                <w:w w:val="88"/>
              </w:rPr>
              <w:t>Intrinsic Value of</w:t>
            </w:r>
          </w:p>
        </w:tc>
      </w:tr>
      <w:tr>
        <w:trPr>
          <w:trHeight w:val="140"/>
        </w:trPr>
        <w:tc>
          <w:tcPr>
            <w:tcW w:w="1060" w:type="dxa"/>
            <w:vAlign w:val="bottom"/>
          </w:tcPr>
          <w:p>
            <w:pPr>
              <w:jc w:val="center"/>
              <w:ind w:right="252"/>
              <w:spacing w:after="0" w:line="140" w:lineRule="exact"/>
              <w:rPr>
                <w:sz w:val="20"/>
                <w:szCs w:val="20"/>
                <w:color w:val="auto"/>
              </w:rPr>
            </w:pPr>
            <w:r>
              <w:rPr>
                <w:rFonts w:ascii="Arial" w:cs="Arial" w:eastAsia="Arial" w:hAnsi="Arial"/>
                <w:sz w:val="14"/>
                <w:szCs w:val="14"/>
                <w:b w:val="1"/>
                <w:bCs w:val="1"/>
                <w:color w:val="auto"/>
                <w:w w:val="81"/>
              </w:rPr>
              <w:t>Shares</w:t>
            </w:r>
          </w:p>
        </w:tc>
        <w:tc>
          <w:tcPr>
            <w:tcW w:w="16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Contractual Life</w:t>
            </w:r>
          </w:p>
        </w:tc>
        <w:tc>
          <w:tcPr>
            <w:tcW w:w="1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3"/>
              </w:rPr>
              <w:t>Average Exercise</w:t>
            </w:r>
          </w:p>
        </w:tc>
        <w:tc>
          <w:tcPr>
            <w:tcW w:w="1340" w:type="dxa"/>
            <w:vAlign w:val="bottom"/>
          </w:tcPr>
          <w:p>
            <w:pPr>
              <w:jc w:val="center"/>
              <w:ind w:left="272"/>
              <w:spacing w:after="0" w:line="140" w:lineRule="exact"/>
              <w:rPr>
                <w:sz w:val="20"/>
                <w:szCs w:val="20"/>
                <w:color w:val="auto"/>
              </w:rPr>
            </w:pPr>
            <w:r>
              <w:rPr>
                <w:rFonts w:ascii="Arial" w:cs="Arial" w:eastAsia="Arial" w:hAnsi="Arial"/>
                <w:sz w:val="14"/>
                <w:szCs w:val="14"/>
                <w:b w:val="1"/>
                <w:bCs w:val="1"/>
                <w:color w:val="auto"/>
                <w:w w:val="85"/>
              </w:rPr>
              <w:t>Shares</w:t>
            </w:r>
          </w:p>
        </w:tc>
      </w:tr>
      <w:tr>
        <w:trPr>
          <w:trHeight w:val="160"/>
        </w:trPr>
        <w:tc>
          <w:tcPr>
            <w:tcW w:w="1060" w:type="dxa"/>
            <w:vAlign w:val="bottom"/>
          </w:tcPr>
          <w:p>
            <w:pPr>
              <w:jc w:val="center"/>
              <w:ind w:right="272"/>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340" w:type="dxa"/>
            <w:vAlign w:val="bottom"/>
          </w:tcPr>
          <w:p>
            <w:pPr>
              <w:jc w:val="center"/>
              <w:ind w:left="272"/>
              <w:spacing w:after="0"/>
              <w:rPr>
                <w:sz w:val="20"/>
                <w:szCs w:val="20"/>
                <w:color w:val="auto"/>
              </w:rPr>
            </w:pPr>
            <w:r>
              <w:rPr>
                <w:rFonts w:ascii="Arial" w:cs="Arial" w:eastAsia="Arial" w:hAnsi="Arial"/>
                <w:sz w:val="14"/>
                <w:szCs w:val="14"/>
                <w:b w:val="1"/>
                <w:bCs w:val="1"/>
                <w:color w:val="auto"/>
                <w:w w:val="87"/>
              </w:rPr>
              <w:t>Outstanding</w:t>
            </w:r>
          </w:p>
        </w:tc>
      </w:tr>
    </w:tbl>
    <w:p>
      <w:pPr>
        <w:spacing w:after="0" w:line="20" w:lineRule="exact"/>
        <w:rPr>
          <w:sz w:val="20"/>
          <w:szCs w:val="20"/>
          <w:color w:val="auto"/>
        </w:rPr>
      </w:pPr>
    </w:p>
    <w:p>
      <w:pPr>
        <w:sectPr>
          <w:pgSz w:w="11900" w:h="16838" w:orient="portrait"/>
          <w:cols w:equalWidth="0" w:num="2">
            <w:col w:w="3100" w:space="720"/>
            <w:col w:w="7600"/>
          </w:cols>
          <w:pgMar w:left="240" w:top="441" w:right="239" w:bottom="1440" w:gutter="0" w:footer="0" w:header="0"/>
        </w:sectPr>
      </w:pPr>
    </w:p>
    <w:tbl>
      <w:tblPr>
        <w:tblLayout w:type="fixed"/>
        <w:tblInd w:w="460" w:type="dxa"/>
        <w:tblCellMar>
          <w:top w:w="0" w:type="dxa"/>
          <w:left w:w="0" w:type="dxa"/>
          <w:bottom w:w="0" w:type="dxa"/>
          <w:right w:w="0" w:type="dxa"/>
        </w:tblCellMar>
      </w:tblPr>
      <w:tr>
        <w:trPr>
          <w:trHeight w:val="20"/>
        </w:trPr>
        <w:tc>
          <w:tcPr>
            <w:tcW w:w="880" w:type="dxa"/>
            <w:vAlign w:val="bottom"/>
            <w:shd w:val="clear" w:color="auto" w:fill="000000"/>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$ 5.10</w:t>
            </w:r>
          </w:p>
        </w:tc>
        <w:tc>
          <w:tcPr>
            <w:tcW w:w="38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660"/>
              <w:spacing w:after="0" w:line="176" w:lineRule="exact"/>
              <w:rPr>
                <w:sz w:val="20"/>
                <w:szCs w:val="20"/>
                <w:color w:val="auto"/>
              </w:rPr>
            </w:pPr>
            <w:r>
              <w:rPr>
                <w:rFonts w:ascii="Arial" w:cs="Arial" w:eastAsia="Arial" w:hAnsi="Arial"/>
                <w:sz w:val="17"/>
                <w:szCs w:val="17"/>
                <w:b w:val="1"/>
                <w:bCs w:val="1"/>
                <w:color w:val="auto"/>
              </w:rPr>
              <w:t>7,000</w:t>
            </w:r>
          </w:p>
        </w:tc>
        <w:tc>
          <w:tcPr>
            <w:tcW w:w="13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7"/>
                <w:szCs w:val="17"/>
                <w:b w:val="1"/>
                <w:bCs w:val="1"/>
                <w:color w:val="auto"/>
              </w:rPr>
              <w:t>0.92</w:t>
            </w:r>
          </w:p>
        </w:tc>
        <w:tc>
          <w:tcPr>
            <w:tcW w:w="4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7"/>
                <w:szCs w:val="17"/>
                <w:b w:val="1"/>
                <w:bCs w:val="1"/>
                <w:color w:val="auto"/>
              </w:rPr>
              <w:t>$</w:t>
            </w:r>
          </w:p>
        </w:tc>
        <w:tc>
          <w:tcPr>
            <w:tcW w:w="1520" w:type="dxa"/>
            <w:vAlign w:val="bottom"/>
            <w:gridSpan w:val="2"/>
            <w:shd w:val="clear" w:color="auto" w:fill="CCEEFF"/>
          </w:tcPr>
          <w:p>
            <w:pPr>
              <w:ind w:left="580"/>
              <w:spacing w:after="0" w:line="176" w:lineRule="exact"/>
              <w:rPr>
                <w:sz w:val="20"/>
                <w:szCs w:val="20"/>
                <w:color w:val="auto"/>
              </w:rPr>
            </w:pPr>
            <w:r>
              <w:rPr>
                <w:rFonts w:ascii="Arial" w:cs="Arial" w:eastAsia="Arial" w:hAnsi="Arial"/>
                <w:sz w:val="17"/>
                <w:szCs w:val="17"/>
                <w:b w:val="1"/>
                <w:bCs w:val="1"/>
                <w:color w:val="auto"/>
              </w:rPr>
              <w:t>5.10</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b w:val="1"/>
                <w:bCs w:val="1"/>
                <w:color w:val="auto"/>
                <w:w w:val="84"/>
              </w:rPr>
              <w:t>$</w:t>
            </w:r>
          </w:p>
        </w:tc>
        <w:tc>
          <w:tcPr>
            <w:tcW w:w="9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b w:val="1"/>
                <w:bCs w:val="1"/>
                <w:color w:val="auto"/>
              </w:rPr>
              <w:t>184,000</w:t>
            </w: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rPr>
                <w:sz w:val="20"/>
                <w:szCs w:val="20"/>
                <w:color w:val="auto"/>
              </w:rPr>
            </w:pPr>
            <w:r>
              <w:rPr>
                <w:rFonts w:ascii="Arial" w:cs="Arial" w:eastAsia="Arial" w:hAnsi="Arial"/>
                <w:sz w:val="17"/>
                <w:szCs w:val="17"/>
                <w:b w:val="1"/>
                <w:bCs w:val="1"/>
                <w:color w:val="auto"/>
              </w:rPr>
              <w:t>$ 7.86 - $8.17</w:t>
            </w:r>
          </w:p>
        </w:tc>
        <w:tc>
          <w:tcPr>
            <w:tcW w:w="13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162,950</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2.19</w:t>
            </w:r>
          </w:p>
        </w:tc>
        <w:tc>
          <w:tcPr>
            <w:tcW w:w="4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520" w:type="dxa"/>
            <w:vAlign w:val="bottom"/>
            <w:gridSpan w:val="2"/>
          </w:tcPr>
          <w:p>
            <w:pPr>
              <w:ind w:left="580"/>
              <w:spacing w:after="0"/>
              <w:rPr>
                <w:sz w:val="20"/>
                <w:szCs w:val="20"/>
                <w:color w:val="auto"/>
              </w:rPr>
            </w:pPr>
            <w:r>
              <w:rPr>
                <w:rFonts w:ascii="Arial" w:cs="Arial" w:eastAsia="Arial" w:hAnsi="Arial"/>
                <w:sz w:val="17"/>
                <w:szCs w:val="17"/>
                <w:b w:val="1"/>
                <w:bCs w:val="1"/>
                <w:color w:val="auto"/>
              </w:rPr>
              <w:t>7.97</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3,825,000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$ 9.69 - $9.97</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b w:val="1"/>
                <w:bCs w:val="1"/>
                <w:color w:val="auto"/>
              </w:rPr>
              <w:t>75,248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3.73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520" w:type="dxa"/>
            <w:vAlign w:val="bottom"/>
            <w:gridSpan w:val="2"/>
            <w:shd w:val="clear" w:color="auto" w:fill="CCEEFF"/>
          </w:tcPr>
          <w:p>
            <w:pPr>
              <w:ind w:left="580"/>
              <w:spacing w:after="0"/>
              <w:rPr>
                <w:sz w:val="20"/>
                <w:szCs w:val="20"/>
                <w:color w:val="auto"/>
              </w:rPr>
            </w:pPr>
            <w:r>
              <w:rPr>
                <w:rFonts w:ascii="Arial" w:cs="Arial" w:eastAsia="Arial" w:hAnsi="Arial"/>
                <w:sz w:val="17"/>
                <w:szCs w:val="17"/>
                <w:b w:val="1"/>
                <w:bCs w:val="1"/>
                <w:color w:val="auto"/>
              </w:rPr>
              <w:t>9.69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1,636,000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rPr>
                <w:sz w:val="20"/>
                <w:szCs w:val="20"/>
                <w:color w:val="auto"/>
              </w:rPr>
            </w:pPr>
            <w:r>
              <w:rPr>
                <w:rFonts w:ascii="Arial" w:cs="Arial" w:eastAsia="Arial" w:hAnsi="Arial"/>
                <w:sz w:val="17"/>
                <w:szCs w:val="17"/>
                <w:b w:val="1"/>
                <w:bCs w:val="1"/>
                <w:color w:val="auto"/>
              </w:rPr>
              <w:t>$29.99 - $34.50</w:t>
            </w:r>
          </w:p>
        </w:tc>
        <w:tc>
          <w:tcPr>
            <w:tcW w:w="13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710,650</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8.81</w:t>
            </w:r>
          </w:p>
        </w:tc>
        <w:tc>
          <w:tcPr>
            <w:tcW w:w="4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ind w:left="480"/>
              <w:spacing w:after="0"/>
              <w:rPr>
                <w:sz w:val="20"/>
                <w:szCs w:val="20"/>
                <w:color w:val="auto"/>
              </w:rPr>
            </w:pPr>
            <w:r>
              <w:rPr>
                <w:rFonts w:ascii="Arial" w:cs="Arial" w:eastAsia="Arial" w:hAnsi="Arial"/>
                <w:sz w:val="17"/>
                <w:szCs w:val="17"/>
                <w:b w:val="1"/>
                <w:bCs w:val="1"/>
                <w:color w:val="auto"/>
                <w:w w:val="84"/>
              </w:rPr>
              <w:t>33.53</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8,000</w:t>
            </w: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$ 5.10 - $34.50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b w:val="1"/>
                <w:bCs w:val="1"/>
                <w:color w:val="auto"/>
              </w:rPr>
              <w:t>955,848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7.22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w w:val="84"/>
              </w:rPr>
              <w:t>27.09</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5,653,000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Stock Options Exercisable At December 31, 2014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gridSpan w:val="2"/>
          </w:tcPr>
          <w:p>
            <w:pPr>
              <w:jc w:val="center"/>
              <w:ind w:right="340"/>
              <w:spacing w:after="0" w:line="113" w:lineRule="exact"/>
              <w:rPr>
                <w:sz w:val="20"/>
                <w:szCs w:val="20"/>
                <w:color w:val="auto"/>
              </w:rPr>
            </w:pPr>
            <w:r>
              <w:rPr>
                <w:rFonts w:ascii="Arial" w:cs="Arial" w:eastAsia="Arial" w:hAnsi="Arial"/>
                <w:sz w:val="12"/>
                <w:szCs w:val="12"/>
                <w:b w:val="1"/>
                <w:bCs w:val="1"/>
                <w:color w:val="auto"/>
              </w:rPr>
              <w:t>Weighted-</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6"/>
              </w:rPr>
              <w:t>Remaining</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Weighted-</w:t>
            </w:r>
          </w:p>
        </w:tc>
        <w:tc>
          <w:tcPr>
            <w:tcW w:w="108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3"/>
              </w:rPr>
              <w:t>Intrinsic Value of</w:t>
            </w:r>
          </w:p>
        </w:tc>
        <w:tc>
          <w:tcPr>
            <w:tcW w:w="0" w:type="dxa"/>
            <w:vAlign w:val="bottom"/>
          </w:tcPr>
          <w:p>
            <w:pPr>
              <w:spacing w:after="0"/>
              <w:rPr>
                <w:sz w:val="1"/>
                <w:szCs w:val="1"/>
                <w:color w:val="auto"/>
              </w:rPr>
            </w:pPr>
          </w:p>
        </w:tc>
      </w:tr>
      <w:tr>
        <w:trPr>
          <w:trHeight w:val="140"/>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380" w:type="dxa"/>
            <w:vAlign w:val="bottom"/>
            <w:gridSpan w:val="2"/>
          </w:tcPr>
          <w:p>
            <w:pPr>
              <w:jc w:val="right"/>
              <w:ind w:right="820"/>
              <w:spacing w:after="0" w:line="140" w:lineRule="exact"/>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340"/>
              <w:spacing w:after="0" w:line="140" w:lineRule="exact"/>
              <w:rPr>
                <w:sz w:val="20"/>
                <w:szCs w:val="20"/>
                <w:color w:val="auto"/>
              </w:rPr>
            </w:pPr>
            <w:r>
              <w:rPr>
                <w:rFonts w:ascii="Arial" w:cs="Arial" w:eastAsia="Arial" w:hAnsi="Arial"/>
                <w:sz w:val="14"/>
                <w:szCs w:val="14"/>
                <w:b w:val="1"/>
                <w:bCs w:val="1"/>
                <w:color w:val="auto"/>
                <w:w w:val="88"/>
              </w:rPr>
              <w:t>Contractual Life</w:t>
            </w:r>
          </w:p>
        </w:tc>
        <w:tc>
          <w:tcPr>
            <w:tcW w:w="320" w:type="dxa"/>
            <w:vAlign w:val="bottom"/>
          </w:tcPr>
          <w:p>
            <w:pPr>
              <w:spacing w:after="0"/>
              <w:rPr>
                <w:sz w:val="12"/>
                <w:szCs w:val="12"/>
                <w:color w:val="auto"/>
              </w:rPr>
            </w:pPr>
          </w:p>
        </w:tc>
        <w:tc>
          <w:tcPr>
            <w:tcW w:w="166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Average Exercise</w:t>
            </w: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0"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0"/>
        </w:trPr>
        <w:tc>
          <w:tcPr>
            <w:tcW w:w="4760" w:type="dxa"/>
            <w:vAlign w:val="bottom"/>
            <w:gridSpan w:val="2"/>
            <w:vMerge w:val="continue"/>
          </w:tcPr>
          <w:p>
            <w:pPr>
              <w:spacing w:after="0"/>
              <w:rPr>
                <w:sz w:val="13"/>
                <w:szCs w:val="13"/>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4"/>
              </w:rPr>
              <w:t>Outstanding</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 Years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96"/>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$ 5.10</w:t>
            </w:r>
          </w:p>
        </w:tc>
        <w:tc>
          <w:tcPr>
            <w:tcW w:w="38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7,000</w:t>
            </w:r>
          </w:p>
        </w:tc>
        <w:tc>
          <w:tcPr>
            <w:tcW w:w="6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0.92</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7"/>
                <w:szCs w:val="17"/>
                <w:b w:val="1"/>
                <w:bCs w:val="1"/>
                <w:color w:val="auto"/>
                <w:w w:val="78"/>
              </w:rPr>
              <w:t>5.10</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184,000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rPr>
                <w:sz w:val="20"/>
                <w:szCs w:val="20"/>
                <w:color w:val="auto"/>
              </w:rPr>
            </w:pPr>
            <w:r>
              <w:rPr>
                <w:rFonts w:ascii="Arial" w:cs="Arial" w:eastAsia="Arial" w:hAnsi="Arial"/>
                <w:sz w:val="17"/>
                <w:szCs w:val="17"/>
                <w:b w:val="1"/>
                <w:bCs w:val="1"/>
                <w:color w:val="auto"/>
              </w:rPr>
              <w:t>$ 7.86 - $8.17</w:t>
            </w:r>
          </w:p>
        </w:tc>
        <w:tc>
          <w:tcPr>
            <w:tcW w:w="13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72,950</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2.73</w:t>
            </w:r>
          </w:p>
        </w:tc>
        <w:tc>
          <w:tcPr>
            <w:tcW w:w="4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520" w:type="dxa"/>
            <w:vAlign w:val="bottom"/>
            <w:gridSpan w:val="2"/>
          </w:tcPr>
          <w:p>
            <w:pPr>
              <w:ind w:left="580"/>
              <w:spacing w:after="0"/>
              <w:rPr>
                <w:sz w:val="20"/>
                <w:szCs w:val="20"/>
                <w:color w:val="auto"/>
              </w:rPr>
            </w:pPr>
            <w:r>
              <w:rPr>
                <w:rFonts w:ascii="Arial" w:cs="Arial" w:eastAsia="Arial" w:hAnsi="Arial"/>
                <w:sz w:val="17"/>
                <w:szCs w:val="17"/>
                <w:b w:val="1"/>
                <w:bCs w:val="1"/>
                <w:color w:val="auto"/>
              </w:rPr>
              <w:t>7.92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1,716,000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$ 9.69 - $9.97</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b w:val="1"/>
                <w:bCs w:val="1"/>
                <w:color w:val="auto"/>
              </w:rPr>
              <w:t>75,248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3.73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520" w:type="dxa"/>
            <w:vAlign w:val="bottom"/>
            <w:gridSpan w:val="2"/>
            <w:shd w:val="clear" w:color="auto" w:fill="CCEEFF"/>
          </w:tcPr>
          <w:p>
            <w:pPr>
              <w:ind w:left="580"/>
              <w:spacing w:after="0"/>
              <w:rPr>
                <w:sz w:val="20"/>
                <w:szCs w:val="20"/>
                <w:color w:val="auto"/>
              </w:rPr>
            </w:pPr>
            <w:r>
              <w:rPr>
                <w:rFonts w:ascii="Arial" w:cs="Arial" w:eastAsia="Arial" w:hAnsi="Arial"/>
                <w:sz w:val="17"/>
                <w:szCs w:val="17"/>
                <w:b w:val="1"/>
                <w:bCs w:val="1"/>
                <w:color w:val="auto"/>
              </w:rPr>
              <w:t>9.69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1,636,000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rPr>
                <w:sz w:val="20"/>
                <w:szCs w:val="20"/>
                <w:color w:val="auto"/>
              </w:rPr>
            </w:pPr>
            <w:r>
              <w:rPr>
                <w:rFonts w:ascii="Arial" w:cs="Arial" w:eastAsia="Arial" w:hAnsi="Arial"/>
                <w:sz w:val="17"/>
                <w:szCs w:val="17"/>
                <w:b w:val="1"/>
                <w:bCs w:val="1"/>
                <w:color w:val="auto"/>
              </w:rPr>
              <w:t>$29.99 - $34.50</w:t>
            </w:r>
          </w:p>
        </w:tc>
        <w:tc>
          <w:tcPr>
            <w:tcW w:w="13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110,550</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6.80</w:t>
            </w:r>
          </w:p>
        </w:tc>
        <w:tc>
          <w:tcPr>
            <w:tcW w:w="4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ind w:left="480"/>
              <w:spacing w:after="0"/>
              <w:rPr>
                <w:sz w:val="20"/>
                <w:szCs w:val="20"/>
                <w:color w:val="auto"/>
              </w:rPr>
            </w:pPr>
            <w:r>
              <w:rPr>
                <w:rFonts w:ascii="Arial" w:cs="Arial" w:eastAsia="Arial" w:hAnsi="Arial"/>
                <w:sz w:val="17"/>
                <w:szCs w:val="17"/>
                <w:b w:val="1"/>
                <w:bCs w:val="1"/>
                <w:color w:val="auto"/>
                <w:w w:val="84"/>
              </w:rPr>
              <w:t>34.40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4,000</w:t>
            </w: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$ 5.10 - $34.50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b w:val="1"/>
                <w:bCs w:val="1"/>
                <w:color w:val="auto"/>
              </w:rPr>
              <w:t>265,748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4.66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w w:val="84"/>
              </w:rPr>
              <w:t>19.36</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3,540,000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Preferred Share Rights Plan - </w:t>
      </w:r>
      <w:r>
        <w:rPr>
          <w:rFonts w:ascii="Arial" w:cs="Arial" w:eastAsia="Arial" w:hAnsi="Arial"/>
          <w:sz w:val="15"/>
          <w:szCs w:val="15"/>
          <w:color w:val="auto"/>
        </w:rPr>
        <w:t>On January 5, 2009, a renewed shareholder rights plan became effective upon the expiration of our previous shareholder rights plan.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rights plan will impact a potential acquirer unless the acquirer negotiates with our Board of Directors and the Board of Directors approves the transaction. Pursuant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to the renewed plan, one preferred share purchase right (a “Right”) is attached to each currently outstanding or subsequently issued share of our common stock. Prior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becoming exercisable, the Rights trade together with our common stock. In general, if a person or group acquires or announces a tender or exchange offer for 15% or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more of our common stock (except for the Golsen Group and certain other limited excluded persons), then the Rights become exercisable. Each Right entitles the holder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(other than the person or group that triggers the Rights being exercisable) to purchase from us one one-hundredth of a share of Series 4 Junior Participating Preferred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Stock, no par value (the “Preferred Stock”), at an exercise price of $47.75 per one one-hundredth of a share, subject to adjustment. If a person or group acquires 15% or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more of our common stock, each Right will entitle the holder (other than the person or group that triggered the Rights being exercisable) to purchase shares of our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(or, in certain circumstances, cash or other securities) having a market value of twice the exercise price of a Right at such time. Under certain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circumstances, each Right will entitle the holder (other than the person or group that triggered the Rights being exercisable) to purchase the common stock of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acquirer having a market value of twice the exercise price of a Right at such time. In addition, under certain circumstances, our Board of Directors may exchange each</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Right (other than those held by the acquirer) for one share of our common stock, subject to adjustment. Our Board of Directors may redeem the Rights at a price of</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$0.01 per Right generally at any time before 10 days after the Rights become exercisable. Our Board of Directors may exchange all or part of the Rights (except to the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person or group that triggered the Rights being exercisable) for our common stock at an exchange ratio of one common share per Right until the person triggering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Right becomes the beneficial owner of 50% or more of our common stock.</w:t>
      </w:r>
    </w:p>
    <w:p>
      <w:pPr>
        <w:spacing w:after="0" w:line="196" w:lineRule="exact"/>
        <w:rPr>
          <w:sz w:val="20"/>
          <w:szCs w:val="20"/>
          <w:color w:val="auto"/>
        </w:rPr>
      </w:pPr>
    </w:p>
    <w:p>
      <w:pPr>
        <w:ind w:right="420"/>
        <w:spacing w:after="0" w:line="278" w:lineRule="auto"/>
        <w:rPr>
          <w:sz w:val="20"/>
          <w:szCs w:val="20"/>
          <w:color w:val="auto"/>
        </w:rPr>
      </w:pPr>
      <w:r>
        <w:rPr>
          <w:rFonts w:ascii="Arial" w:cs="Arial" w:eastAsia="Arial" w:hAnsi="Arial"/>
          <w:sz w:val="17"/>
          <w:szCs w:val="17"/>
          <w:b w:val="1"/>
          <w:bCs w:val="1"/>
          <w:color w:val="auto"/>
        </w:rPr>
        <w:t xml:space="preserve">Other – </w:t>
      </w:r>
      <w:r>
        <w:rPr>
          <w:rFonts w:ascii="Arial" w:cs="Arial" w:eastAsia="Arial" w:hAnsi="Arial"/>
          <w:sz w:val="17"/>
          <w:szCs w:val="17"/>
          <w:color w:val="auto"/>
        </w:rPr>
        <w:t>As of December 31, 2014, we have reserved 1.9 million shares of common stock issuable upon potential conversion of preferred stocks and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their respective terms.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41" w:right="239" w:bottom="1440" w:gutter="0" w:footer="0" w:header="0"/>
          <w:type w:val="continuous"/>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Non-Redeemable Preferred Stock</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 xml:space="preserve">Series B Preferred - </w:t>
      </w:r>
      <w:r>
        <w:rPr>
          <w:rFonts w:ascii="Arial" w:cs="Arial" w:eastAsia="Arial" w:hAnsi="Arial"/>
          <w:sz w:val="17"/>
          <w:szCs w:val="17"/>
          <w:color w:val="auto"/>
        </w:rPr>
        <w:t>The 20,000 shares of Series B 12% cumulative, convertible preferred stock (“Series B Preferred”), $100 par value, are convertible, in whole or in</w:t>
      </w:r>
      <w:r>
        <w:rPr>
          <w:rFonts w:ascii="Arial" w:cs="Arial" w:eastAsia="Arial" w:hAnsi="Arial"/>
          <w:sz w:val="17"/>
          <w:szCs w:val="17"/>
          <w:b w:val="1"/>
          <w:bCs w:val="1"/>
          <w:color w:val="auto"/>
        </w:rPr>
        <w:t xml:space="preserve"> </w:t>
      </w:r>
      <w:r>
        <w:rPr>
          <w:rFonts w:ascii="Arial" w:cs="Arial" w:eastAsia="Arial" w:hAnsi="Arial"/>
          <w:sz w:val="17"/>
          <w:szCs w:val="17"/>
          <w:color w:val="auto"/>
        </w:rPr>
        <w:t>part, into 666,666 shares of our common stock (33.3333 shares of common stock for each share of preferred stock) at any time at the option of the holder and entitle the holder to one vote per share. The Series B Preferred provides for annual cumulative dividends of 12% from date of issue, payable when and as declared. All of the outstanding shares of the Series B Preferred are owned by the Golsen Group.</w:t>
      </w:r>
    </w:p>
    <w:p>
      <w:pPr>
        <w:spacing w:after="0" w:line="173"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b w:val="1"/>
          <w:bCs w:val="1"/>
          <w:color w:val="auto"/>
        </w:rPr>
        <w:t xml:space="preserve">Series D Preferred - </w:t>
      </w:r>
      <w:r>
        <w:rPr>
          <w:rFonts w:ascii="Arial" w:cs="Arial" w:eastAsia="Arial" w:hAnsi="Arial"/>
          <w:sz w:val="15"/>
          <w:szCs w:val="15"/>
          <w:color w:val="auto"/>
        </w:rPr>
        <w:t>The 1,000,000 shares of Series D 6% cumulative, convertible Class C preferred stock (“Series D Preferred”) have no par value and are</w:t>
      </w:r>
      <w:r>
        <w:rPr>
          <w:rFonts w:ascii="Arial" w:cs="Arial" w:eastAsia="Arial" w:hAnsi="Arial"/>
          <w:sz w:val="15"/>
          <w:szCs w:val="15"/>
          <w:b w:val="1"/>
          <w:bCs w:val="1"/>
          <w:color w:val="auto"/>
        </w:rPr>
        <w:t xml:space="preserve"> </w:t>
      </w:r>
      <w:r>
        <w:rPr>
          <w:rFonts w:ascii="Arial" w:cs="Arial" w:eastAsia="Arial" w:hAnsi="Arial"/>
          <w:sz w:val="15"/>
          <w:szCs w:val="15"/>
          <w:color w:val="auto"/>
        </w:rPr>
        <w:t>convertible, in whole or in part, into 250,000 shares of our common stock (1 share of common stock for 4 shares of preferred stock) at any time at the option of the holder. Dividends on the Series D Preferred are cumulative and payable annually in arrears at the rate of 6% per annum of the liquidation preference of $1.00 per share. Each holder of the Series D Preferred shall be entitled to .875 votes per share. All of the outstanding shares of Series D Preferred are owned by the Golsen Group.</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Cash Dividends Paid – </w:t>
      </w:r>
      <w:r>
        <w:rPr>
          <w:rFonts w:ascii="Arial" w:cs="Arial" w:eastAsia="Arial" w:hAnsi="Arial"/>
          <w:sz w:val="15"/>
          <w:szCs w:val="15"/>
          <w:color w:val="auto"/>
        </w:rPr>
        <w:t>During 2014, 2013 and 2012, we paid the following cash dividends on our non-redeemable preferred stock in each of the respective year:</w:t>
      </w:r>
    </w:p>
    <w:p>
      <w:pPr>
        <w:spacing w:after="0" w:line="149" w:lineRule="exact"/>
        <w:rPr>
          <w:sz w:val="20"/>
          <w:szCs w:val="20"/>
          <w:color w:val="auto"/>
        </w:rPr>
      </w:pPr>
    </w:p>
    <w:p>
      <w:pPr>
        <w:ind w:left="420" w:hanging="317"/>
        <w:spacing w:after="0"/>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$240,000 on the Series B Preferred ($12.00 per share) and</w:t>
      </w:r>
    </w:p>
    <w:p>
      <w:pPr>
        <w:spacing w:after="0" w:line="122" w:lineRule="exact"/>
        <w:rPr>
          <w:rFonts w:ascii="Arial" w:cs="Arial" w:eastAsia="Arial" w:hAnsi="Arial"/>
          <w:sz w:val="17"/>
          <w:szCs w:val="17"/>
          <w:color w:val="auto"/>
        </w:rPr>
      </w:pPr>
    </w:p>
    <w:p>
      <w:pPr>
        <w:ind w:left="420" w:hanging="317"/>
        <w:spacing w:after="0"/>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$60,000 on the Series D Preferred ($0.06 per share).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2014, there were no dividends in arrears.</w:t>
      </w:r>
    </w:p>
    <w:p>
      <w:pPr>
        <w:spacing w:after="0" w:line="207"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Other - </w:t>
      </w:r>
      <w:r>
        <w:rPr>
          <w:rFonts w:ascii="Arial" w:cs="Arial" w:eastAsia="Arial" w:hAnsi="Arial"/>
          <w:sz w:val="16"/>
          <w:szCs w:val="16"/>
          <w:color w:val="auto"/>
        </w:rPr>
        <w:t>At December 31, 2014, we are authorized to issue an additional 230,000 shares of $100 par value preferred stock and an additional 4,000,000 shares of no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preferred stock. Upon issuance, our Board of Directors will determine the specific terms and conditions of such preferred stock.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Executive Benefit Agreements and Employee Savings Plans</w:t>
      </w:r>
    </w:p>
    <w:p>
      <w:pPr>
        <w:spacing w:after="0" w:line="11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are party to various individual benefit agreements (“1992 Agreements”) and death benefit agreements (“1981 Agreements”) with certain key executives and a death benefit agreement (“2005 Agreement”) with our Executive Chairman. The 1992 Agreements provide for annual benefit payments for life (in addition to salary) payable in monthly installments when the employee reaches age 65. In addition, should the executive die prior to attaining the age of 65, we will pay the beneficiary named in the agreement a monthly amount as specified in the agreement over a ten-year period. These benefits are forfeited if the respective executive’s employment is terminated prior to age 65 for any reason other than death. The 1992 Agreements may be terminated by the Company at any time and for any reason prior to the death of the employee.</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1981 Agreements provide for death benefits should the executive die while employed. Upon such of an event, we will pay the beneficiary named in the agreement a monthly amount as specified in the agreement over a ten-year period. These benefits are forfeited if the respective executive’s employment is terminated for any reason prior to death. The 1981 Agreements may be terminated by the Company at any time and for any reason prior to the death of the employee.</w:t>
      </w:r>
    </w:p>
    <w:p>
      <w:pPr>
        <w:spacing w:after="0" w:line="141"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The 2005 Agreement provides that, upon our Executive Chairman’s death, we will pay to our Executive Chairman’s designated beneficiary, a lump-sum payment of $2,500,000 to be funded from the net proceeds received by us under certain life insurance policies on our Executive Chairman’s life that are owned by us. We are obligated to keep in existence life insurance policies with a total face amount of no less than $2,500,000 of the stated death benefit. The benefit under the 2005 Agreement is not contingent upon continued employment and may be amended at any time by written agreement executed by the Executive Chairman and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41"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Executive Benefit Agreements and Employee Savings Plans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includes information about these agreements: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7220" w:type="dxa"/>
            <w:vAlign w:val="bottom"/>
          </w:tcPr>
          <w:p>
            <w:pPr>
              <w:spacing w:after="0"/>
              <w:rPr>
                <w:sz w:val="13"/>
                <w:szCs w:val="13"/>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2014</w:t>
            </w:r>
          </w:p>
        </w:tc>
        <w:tc>
          <w:tcPr>
            <w:tcW w:w="90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top w:val="single" w:sz="8" w:color="auto"/>
            </w:tcBorders>
            <w:gridSpan w:val="3"/>
          </w:tcPr>
          <w:p>
            <w:pPr>
              <w:ind w:left="240"/>
              <w:spacing w:after="0" w:line="133"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Total undiscounted death benefits</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u w:val="single" w:color="auto"/>
                <w:color w:val="auto"/>
                <w:w w:val="88"/>
              </w:rPr>
              <w:t>$</w:t>
            </w:r>
            <w:r>
              <w:rPr>
                <w:rFonts w:ascii="Arial" w:cs="Arial" w:eastAsia="Arial" w:hAnsi="Arial"/>
                <w:sz w:val="17"/>
                <w:szCs w:val="17"/>
                <w:b w:val="1"/>
                <w:bCs w:val="1"/>
                <w:color w:val="auto"/>
                <w:w w:val="88"/>
              </w:rPr>
              <w:t>6,417</w:t>
            </w:r>
          </w:p>
        </w:tc>
        <w:tc>
          <w:tcPr>
            <w:tcW w:w="1000" w:type="dxa"/>
            <w:vAlign w:val="bottom"/>
            <w:gridSpan w:val="3"/>
            <w:shd w:val="clear" w:color="auto" w:fill="CCEEFF"/>
          </w:tcPr>
          <w:p>
            <w:pPr>
              <w:jc w:val="center"/>
              <w:ind w:left="259"/>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6,417</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7"/>
                <w:szCs w:val="17"/>
                <w:color w:val="auto"/>
              </w:rPr>
              <w:t>Total accrued death benefits</w:t>
            </w: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jc w:val="center"/>
              <w:spacing w:after="0" w:line="194" w:lineRule="exact"/>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4,054</w:t>
            </w:r>
          </w:p>
        </w:tc>
        <w:tc>
          <w:tcPr>
            <w:tcW w:w="1000" w:type="dxa"/>
            <w:vAlign w:val="bottom"/>
            <w:gridSpan w:val="3"/>
          </w:tcPr>
          <w:p>
            <w:pPr>
              <w:jc w:val="center"/>
              <w:ind w:left="259"/>
              <w:spacing w:after="0" w:line="194" w:lineRule="exact"/>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4,121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undiscounted executive benefits</w:t>
            </w:r>
          </w:p>
        </w:tc>
        <w:tc>
          <w:tcPr>
            <w:tcW w:w="460" w:type="dxa"/>
            <w:vAlign w:val="bottom"/>
            <w:gridSpan w:val="2"/>
            <w:shd w:val="clear" w:color="auto" w:fill="CCEEFF"/>
          </w:tcPr>
          <w:p>
            <w:pPr>
              <w:jc w:val="center"/>
              <w:spacing w:after="0" w:line="194" w:lineRule="exact"/>
              <w:rPr>
                <w:sz w:val="20"/>
                <w:szCs w:val="20"/>
                <w:color w:val="auto"/>
              </w:rPr>
            </w:pPr>
            <w:r>
              <w:rPr>
                <w:rFonts w:ascii="Arial" w:cs="Arial" w:eastAsia="Arial" w:hAnsi="Arial"/>
                <w:sz w:val="17"/>
                <w:szCs w:val="17"/>
                <w:b w:val="1"/>
                <w:bCs w:val="1"/>
                <w:u w:val="single" w:color="auto"/>
                <w:color w:val="auto"/>
                <w:w w:val="88"/>
              </w:rPr>
              <w:t>$</w:t>
            </w:r>
            <w:r>
              <w:rPr>
                <w:rFonts w:ascii="Arial" w:cs="Arial" w:eastAsia="Arial" w:hAnsi="Arial"/>
                <w:sz w:val="17"/>
                <w:szCs w:val="17"/>
                <w:b w:val="1"/>
                <w:bCs w:val="1"/>
                <w:color w:val="auto"/>
                <w:w w:val="88"/>
              </w:rPr>
              <w:t>1,900</w:t>
            </w:r>
          </w:p>
        </w:tc>
        <w:tc>
          <w:tcPr>
            <w:tcW w:w="1000" w:type="dxa"/>
            <w:vAlign w:val="bottom"/>
            <w:gridSpan w:val="3"/>
            <w:shd w:val="clear" w:color="auto" w:fill="CCEEFF"/>
          </w:tcPr>
          <w:p>
            <w:pPr>
              <w:jc w:val="center"/>
              <w:ind w:left="259"/>
              <w:spacing w:after="0" w:line="194" w:lineRule="exact"/>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1,904</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7"/>
                <w:szCs w:val="17"/>
                <w:color w:val="auto"/>
              </w:rPr>
              <w:t>Total accrued executive benefits</w:t>
            </w: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jc w:val="center"/>
              <w:spacing w:after="0" w:line="194" w:lineRule="exact"/>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1,363</w:t>
            </w:r>
          </w:p>
        </w:tc>
        <w:tc>
          <w:tcPr>
            <w:tcW w:w="1000" w:type="dxa"/>
            <w:vAlign w:val="bottom"/>
            <w:gridSpan w:val="3"/>
          </w:tcPr>
          <w:p>
            <w:pPr>
              <w:jc w:val="center"/>
              <w:ind w:left="259"/>
              <w:spacing w:after="0" w:line="194" w:lineRule="exact"/>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1,280</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r>
      <w:tr>
        <w:trPr>
          <w:trHeight w:val="132"/>
        </w:trPr>
        <w:tc>
          <w:tcPr>
            <w:tcW w:w="67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color w:val="auto"/>
                <w:w w:val="84"/>
              </w:rPr>
              <w:t>(In Thousands)</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Costs associated with executive benefits included in SG&amp;A, net</w:t>
            </w:r>
          </w:p>
        </w:tc>
        <w:tc>
          <w:tcPr>
            <w:tcW w:w="940" w:type="dxa"/>
            <w:vAlign w:val="bottom"/>
            <w:gridSpan w:val="2"/>
            <w:shd w:val="clear" w:color="auto" w:fill="CCEEFF"/>
          </w:tcPr>
          <w:p>
            <w:pPr>
              <w:jc w:val="center"/>
              <w:ind w:right="580"/>
              <w:spacing w:after="0"/>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166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720" w:type="dxa"/>
            <w:vAlign w:val="bottom"/>
            <w:gridSpan w:val="3"/>
            <w:shd w:val="clear" w:color="auto" w:fill="CCEEFF"/>
          </w:tcPr>
          <w:p>
            <w:pPr>
              <w:jc w:val="center"/>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186</w:t>
            </w: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Accrued death and executive benefits under the above agreements are included in current and noncurrent accrued and other liabilities. We accrue for such liabilities when they become probable and discount the liabilities to their present value.</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To assist us in funding the benefit agreements discussed above and for other business reasons, we purchased life insurance policies on various individuals in which we are the beneficiary. The net cash surrender values of these policies are included in other assets. The following table summarizes certain information about these life insurance policies.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5"/>
          </w:tcPr>
          <w:p>
            <w:pPr>
              <w:jc w:val="right"/>
              <w:ind w:right="360"/>
              <w:spacing w:after="0" w:line="133" w:lineRule="exact"/>
              <w:rPr>
                <w:sz w:val="20"/>
                <w:szCs w:val="20"/>
                <w:color w:val="auto"/>
              </w:rPr>
            </w:pPr>
            <w:r>
              <w:rPr>
                <w:rFonts w:ascii="Arial" w:cs="Arial" w:eastAsia="Arial" w:hAnsi="Arial"/>
                <w:sz w:val="14"/>
                <w:szCs w:val="14"/>
                <w:color w:val="auto"/>
                <w:w w:val="84"/>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Total face value of life insurance policies</w:t>
            </w:r>
          </w:p>
        </w:tc>
        <w:tc>
          <w:tcPr>
            <w:tcW w:w="860" w:type="dxa"/>
            <w:vAlign w:val="bottom"/>
            <w:gridSpan w:val="6"/>
            <w:shd w:val="clear" w:color="auto" w:fill="CCEEFF"/>
          </w:tcPr>
          <w:p>
            <w:pPr>
              <w:jc w:val="right"/>
              <w:ind w:right="18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26,242</w:t>
            </w:r>
          </w:p>
        </w:tc>
        <w:tc>
          <w:tcPr>
            <w:tcW w:w="820" w:type="dxa"/>
            <w:vAlign w:val="bottom"/>
            <w:gridSpan w:val="4"/>
            <w:shd w:val="clear" w:color="auto" w:fill="CCEEFF"/>
          </w:tcPr>
          <w:p>
            <w:pPr>
              <w:jc w:val="center"/>
              <w:ind w:left="141"/>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26,242</w:t>
            </w:r>
          </w:p>
        </w:tc>
        <w:tc>
          <w:tcPr>
            <w:tcW w:w="80" w:type="dxa"/>
            <w:vAlign w:val="bottom"/>
            <w:tcBorders>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20" w:type="dxa"/>
            <w:vAlign w:val="bottom"/>
            <w:vMerge w:val="restart"/>
          </w:tcPr>
          <w:p>
            <w:pPr>
              <w:spacing w:after="0"/>
              <w:rPr>
                <w:sz w:val="20"/>
                <w:szCs w:val="20"/>
                <w:color w:val="auto"/>
              </w:rPr>
            </w:pPr>
            <w:r>
              <w:rPr>
                <w:rFonts w:ascii="Arial" w:cs="Arial" w:eastAsia="Arial" w:hAnsi="Arial"/>
                <w:sz w:val="17"/>
                <w:szCs w:val="17"/>
                <w:color w:val="auto"/>
              </w:rPr>
              <w:t>Total cash surrender values of life insurance policies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auto"/>
              </w:rPr>
              <w:t>6,936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auto"/>
                <w:w w:val="98"/>
              </w:rPr>
              <w:t>$ 6,184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6"/>
          </w:tcPr>
          <w:p>
            <w:pPr>
              <w:ind w:left="160"/>
              <w:spacing w:after="0" w:line="133"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life insurance premiums</w:t>
            </w:r>
          </w:p>
        </w:tc>
        <w:tc>
          <w:tcPr>
            <w:tcW w:w="680" w:type="dxa"/>
            <w:vAlign w:val="bottom"/>
            <w:gridSpan w:val="5"/>
            <w:shd w:val="clear" w:color="auto" w:fill="CCEEFF"/>
          </w:tcPr>
          <w:p>
            <w:pPr>
              <w:jc w:val="right"/>
              <w:ind w:right="132"/>
              <w:spacing w:after="0"/>
              <w:rPr>
                <w:sz w:val="20"/>
                <w:szCs w:val="20"/>
                <w:color w:val="auto"/>
              </w:rPr>
            </w:pPr>
            <w:r>
              <w:rPr>
                <w:rFonts w:ascii="Arial" w:cs="Arial" w:eastAsia="Arial" w:hAnsi="Arial"/>
                <w:sz w:val="17"/>
                <w:szCs w:val="17"/>
                <w:b w:val="1"/>
                <w:bCs w:val="1"/>
                <w:color w:val="auto"/>
                <w:w w:val="88"/>
              </w:rPr>
              <w:t>$1,224</w:t>
            </w: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w w:val="84"/>
              </w:rPr>
              <w:t>$1,159</w:t>
            </w: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3"/>
              </w:rPr>
              <w:t>$ 851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spacing w:after="0"/>
              <w:rPr>
                <w:sz w:val="20"/>
                <w:szCs w:val="20"/>
                <w:color w:val="auto"/>
              </w:rPr>
            </w:pPr>
            <w:r>
              <w:rPr>
                <w:rFonts w:ascii="Arial" w:cs="Arial" w:eastAsia="Arial" w:hAnsi="Arial"/>
                <w:sz w:val="17"/>
                <w:szCs w:val="17"/>
                <w:color w:val="auto"/>
              </w:rPr>
              <w:t>Increases in cash surrender values</w:t>
            </w:r>
          </w:p>
        </w:tc>
        <w:tc>
          <w:tcPr>
            <w:tcW w:w="680" w:type="dxa"/>
            <w:vAlign w:val="bottom"/>
            <w:gridSpan w:val="5"/>
          </w:tcPr>
          <w:p>
            <w:pPr>
              <w:jc w:val="right"/>
              <w:ind w:right="92"/>
              <w:spacing w:after="0"/>
              <w:rPr>
                <w:sz w:val="20"/>
                <w:szCs w:val="20"/>
                <w:color w:val="auto"/>
              </w:rPr>
            </w:pPr>
            <w:r>
              <w:rPr>
                <w:rFonts w:ascii="Arial" w:cs="Arial" w:eastAsia="Arial" w:hAnsi="Arial"/>
                <w:sz w:val="17"/>
                <w:szCs w:val="17"/>
                <w:b w:val="1"/>
                <w:bCs w:val="1"/>
                <w:color w:val="auto"/>
              </w:rPr>
              <w:t>(752)</w:t>
            </w:r>
          </w:p>
        </w:tc>
        <w:tc>
          <w:tcPr>
            <w:tcW w:w="180" w:type="dxa"/>
            <w:vAlign w:val="bottom"/>
          </w:tcPr>
          <w:p>
            <w:pPr>
              <w:spacing w:after="0"/>
              <w:rPr>
                <w:sz w:val="17"/>
                <w:szCs w:val="17"/>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7"/>
                <w:szCs w:val="17"/>
                <w:color w:val="auto"/>
              </w:rPr>
              <w:t>(745)</w:t>
            </w:r>
          </w:p>
        </w:tc>
        <w:tc>
          <w:tcPr>
            <w:tcW w:w="2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cost of life insurance premiums included in SG&amp;A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472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w w:val="92"/>
              </w:rPr>
              <w:t>$  414</w:t>
            </w: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3"/>
              </w:rPr>
              <w:t>$ 372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Employee Savings Plans - We sponsor a savings plan under Section 401(k) of the Internal Revenue Code under which participation is available to substantially all full-time employees. We do not presently contribute to this plan except for certain employees within the Chemical Business, which amounts were not material for each of the three years ended December 31, 2014.</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320"/>
          </w:cols>
          <w:pgMar w:left="240" w:top="441" w:right="3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Other Expense, Income and Non-Operating Other Income, net</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2013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right"/>
              <w:ind w:right="180"/>
              <w:spacing w:after="0" w:line="133" w:lineRule="exact"/>
              <w:rPr>
                <w:sz w:val="20"/>
                <w:szCs w:val="20"/>
                <w:color w:val="auto"/>
              </w:rPr>
            </w:pPr>
            <w:r>
              <w:rPr>
                <w:rFonts w:ascii="Arial" w:cs="Arial" w:eastAsia="Arial" w:hAnsi="Arial"/>
                <w:sz w:val="14"/>
                <w:szCs w:val="14"/>
                <w:color w:val="auto"/>
                <w:w w:val="95"/>
              </w:rPr>
              <w:t>(In Thousands)</w:t>
            </w: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expense:</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Realized and unrealized losses on contractual obligations associated with carbon credits</w:t>
            </w:r>
          </w:p>
        </w:tc>
        <w:tc>
          <w:tcPr>
            <w:tcW w:w="60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w w:val="84"/>
              </w:rPr>
              <w:t>$2,799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w w:val="84"/>
              </w:rPr>
              <w:t>1,233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Losses on sales and disposals of property and equipment</w:t>
            </w: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1,312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737</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Dismantle and demolition expense (1)</w:t>
            </w:r>
          </w:p>
        </w:tc>
        <w:tc>
          <w:tcPr>
            <w:tcW w:w="60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559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w w:val="84"/>
              </w:rPr>
              <w:t>2,578</w:t>
            </w:r>
          </w:p>
        </w:tc>
        <w:tc>
          <w:tcPr>
            <w:tcW w:w="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Miscellaneous penalties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824</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Miscellaneous expense</w:t>
            </w:r>
          </w:p>
        </w:tc>
        <w:tc>
          <w:tcPr>
            <w:tcW w:w="2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197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rPr>
              <w:t>302</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other expense</w:t>
            </w: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4,885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4"/>
              </w:rPr>
              <w:t>5,674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2,118</w:t>
            </w:r>
          </w:p>
        </w:tc>
        <w:tc>
          <w:tcPr>
            <w:tcW w:w="0" w:type="dxa"/>
            <w:vAlign w:val="bottom"/>
          </w:tcPr>
          <w:p>
            <w:pPr>
              <w:spacing w:after="0"/>
              <w:rPr>
                <w:sz w:val="1"/>
                <w:szCs w:val="1"/>
                <w:color w:val="auto"/>
              </w:rPr>
            </w:pPr>
          </w:p>
        </w:tc>
      </w:tr>
      <w:tr>
        <w:trPr>
          <w:trHeight w:val="208"/>
        </w:trPr>
        <w:tc>
          <w:tcPr>
            <w:tcW w:w="7260" w:type="dxa"/>
            <w:vAlign w:val="bottom"/>
            <w:gridSpan w:val="2"/>
          </w:tcPr>
          <w:p>
            <w:pPr>
              <w:spacing w:after="0"/>
              <w:rPr>
                <w:sz w:val="20"/>
                <w:szCs w:val="20"/>
                <w:color w:val="auto"/>
              </w:rPr>
            </w:pPr>
            <w:r>
              <w:rPr>
                <w:rFonts w:ascii="Arial" w:cs="Arial" w:eastAsia="Arial" w:hAnsi="Arial"/>
                <w:sz w:val="17"/>
                <w:szCs w:val="17"/>
                <w:b w:val="1"/>
                <w:bCs w:val="1"/>
                <w:color w:val="auto"/>
              </w:rPr>
              <w:t>Other income:</w:t>
            </w: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Realized and unrealized gains on carbon credits</w:t>
            </w: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84"/>
              </w:rPr>
              <w:t>$3,089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4"/>
              </w:rPr>
              <w:t>1,233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Settlements of litigation and potential litigation (2)</w:t>
            </w:r>
          </w:p>
        </w:tc>
        <w:tc>
          <w:tcPr>
            <w:tcW w:w="20" w:type="dxa"/>
            <w:vAlign w:val="bottom"/>
          </w:tcPr>
          <w:p>
            <w:pPr>
              <w:spacing w:after="0"/>
              <w:rPr>
                <w:sz w:val="17"/>
                <w:szCs w:val="17"/>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rPr>
              <w:t>545</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2,303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Miscellaneous income</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676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545</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660"/>
              <w:spacing w:after="0"/>
              <w:rPr>
                <w:sz w:val="20"/>
                <w:szCs w:val="20"/>
                <w:color w:val="auto"/>
              </w:rPr>
            </w:pPr>
            <w:r>
              <w:rPr>
                <w:rFonts w:ascii="Arial" w:cs="Arial" w:eastAsia="Arial" w:hAnsi="Arial"/>
                <w:sz w:val="17"/>
                <w:szCs w:val="17"/>
                <w:color w:val="auto"/>
              </w:rPr>
              <w:t>Total other income</w:t>
            </w:r>
          </w:p>
        </w:tc>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u w:val="single" w:color="auto"/>
                <w:color w:val="auto"/>
                <w:w w:val="80"/>
              </w:rPr>
              <w:t>$</w:t>
            </w:r>
            <w:r>
              <w:rPr>
                <w:rFonts w:ascii="Arial" w:cs="Arial" w:eastAsia="Arial" w:hAnsi="Arial"/>
                <w:sz w:val="17"/>
                <w:szCs w:val="17"/>
                <w:b w:val="1"/>
                <w:bCs w:val="1"/>
                <w:color w:val="auto"/>
                <w:w w:val="80"/>
              </w:rPr>
              <w:t>3,765</w:t>
            </w: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2,323</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3,811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expense (income), net</w:t>
            </w: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1,120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4"/>
              </w:rPr>
              <w:t>3,351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(1,693)</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Non-operating other expense (income), net:</w:t>
            </w: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92"/>
              </w:rPr>
              <w:t>$ (301)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Miscellaneous income</w:t>
            </w:r>
          </w:p>
        </w:tc>
        <w:tc>
          <w:tcPr>
            <w:tcW w:w="20" w:type="dxa"/>
            <w:vAlign w:val="bottom"/>
          </w:tcPr>
          <w:p>
            <w:pPr>
              <w:spacing w:after="0"/>
              <w:rPr>
                <w:sz w:val="17"/>
                <w:szCs w:val="17"/>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Miscellaneous expense</w:t>
            </w: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3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ind w:left="660"/>
              <w:spacing w:after="0"/>
              <w:rPr>
                <w:sz w:val="20"/>
                <w:szCs w:val="20"/>
                <w:color w:val="auto"/>
              </w:rPr>
            </w:pPr>
            <w:r>
              <w:rPr>
                <w:rFonts w:ascii="Arial" w:cs="Arial" w:eastAsia="Arial" w:hAnsi="Arial"/>
                <w:sz w:val="17"/>
                <w:szCs w:val="17"/>
                <w:color w:val="auto"/>
              </w:rPr>
              <w:t>Total non-operating other income, net</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w w:val="87"/>
              </w:rPr>
              <w:t>$ (281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8"/>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 relates to the dismantling and demolition of certain plant and equipment at our chemical facilities.</w:t>
      </w:r>
    </w:p>
    <w:p>
      <w:pPr>
        <w:spacing w:after="0" w:line="19" w:lineRule="exact"/>
        <w:rPr>
          <w:rFonts w:ascii="Arial" w:cs="Arial" w:eastAsia="Arial" w:hAnsi="Arial"/>
          <w:sz w:val="17"/>
          <w:szCs w:val="17"/>
          <w:color w:val="auto"/>
        </w:rPr>
      </w:pPr>
    </w:p>
    <w:p>
      <w:pPr>
        <w:ind w:left="440" w:hanging="438"/>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Amounts relate primarily to settlements reached with certain vendors of our Chemical Business.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Used by Management to Identify the Enterprise’s Reportable Segments and Measurement of Segment Income or Loss and Segment Assets</w:t>
      </w:r>
    </w:p>
    <w:p>
      <w:pPr>
        <w:spacing w:after="0" w:line="125"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We have three operating segments (business segments) but only two reportable segments: the Chemical Business and the Climate Control Business. A reportable segment may include several business units that offer similar products and services. The reportable segments are managed separately from each other because they manufacture and distribute distinct products with different production processes.</w:t>
      </w:r>
    </w:p>
    <w:p>
      <w:pPr>
        <w:spacing w:after="0" w:line="1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evaluate performance and allocate resources based on operating results. The accounting policies of the reportable segments are the same as those described in the summary of significant accounting policies.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Each Reportable Segment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Chemical Business -</w:t>
      </w:r>
      <w:r>
        <w:rPr>
          <w:rFonts w:ascii="Arial" w:cs="Arial" w:eastAsia="Arial" w:hAnsi="Arial"/>
          <w:sz w:val="17"/>
          <w:szCs w:val="17"/>
          <w:color w:val="auto"/>
        </w:rPr>
        <w:t>The Chemical Business segment primarily manufactures and sells:</w:t>
      </w:r>
    </w:p>
    <w:p>
      <w:pPr>
        <w:spacing w:after="0" w:line="126" w:lineRule="exact"/>
        <w:rPr>
          <w:sz w:val="20"/>
          <w:szCs w:val="20"/>
          <w:color w:val="auto"/>
        </w:rPr>
      </w:pPr>
    </w:p>
    <w:p>
      <w:pPr>
        <w:ind w:left="1460" w:hanging="442"/>
        <w:spacing w:after="0"/>
        <w:tabs>
          <w:tab w:leader="none" w:pos="1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anhydrous ammonia, fertilizer grade AN, UAN, and AN ammonia solution for agricultural applications,</w:t>
      </w:r>
    </w:p>
    <w:p>
      <w:pPr>
        <w:spacing w:after="0" w:line="122" w:lineRule="exact"/>
        <w:rPr>
          <w:rFonts w:ascii="Arial" w:cs="Arial" w:eastAsia="Arial" w:hAnsi="Arial"/>
          <w:sz w:val="17"/>
          <w:szCs w:val="17"/>
          <w:color w:val="auto"/>
        </w:rPr>
      </w:pPr>
    </w:p>
    <w:p>
      <w:pPr>
        <w:ind w:left="1460" w:right="400" w:hanging="442"/>
        <w:spacing w:after="0" w:line="273" w:lineRule="auto"/>
        <w:tabs>
          <w:tab w:leader="none" w:pos="1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high purity and commercial grade anhydrous ammonia, high purity AN, sulfuric acids, concentrated, blended and regular nitric acid, mixed nitrating acids, carbon dioxide, and diesel exhaust fluid for industrial applications, and</w:t>
      </w:r>
    </w:p>
    <w:p>
      <w:pPr>
        <w:spacing w:after="0" w:line="76" w:lineRule="exact"/>
        <w:rPr>
          <w:rFonts w:ascii="Arial" w:cs="Arial" w:eastAsia="Arial" w:hAnsi="Arial"/>
          <w:sz w:val="17"/>
          <w:szCs w:val="17"/>
          <w:color w:val="auto"/>
        </w:rPr>
      </w:pPr>
    </w:p>
    <w:p>
      <w:pPr>
        <w:ind w:left="1460" w:hanging="442"/>
        <w:spacing w:after="0"/>
        <w:tabs>
          <w:tab w:leader="none" w:pos="1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industrial grade AN and solutions for the mining industry.</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chemical production facilities are located in El Dorado, Arkansas; Cherokee, Alabama; Pryor, Oklahoma; and Baytown, Texas. Sales to customers of this segment primarily include farmers, ranchers, fertilizer dealers and distributors primarily in the ranch land and grain production markets in the United States; industrial users of acids throughout the United States and parts of Canada; and explosive manufacturers in the United States.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300"/>
          </w:cols>
          <w:pgMar w:left="240" w:top="441" w:right="3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 (continued)</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During the last three years, our Chemical Business encountered a number of significant issues including an explosion in one of our nitric acid plants at the El Dorado Facility in May 2012, a pipe rupture that damaged the ammonia plant at the Cherokee Facility in November 2012, unplanned downtime at the Cherokee Facility in December 2014, and numerous mechanical issues at the Pryor Facility, all resulting in lost production and causing an adverse effect on our sales and operating income for the periods presented. Also see footnotes (2) and (3) below and Note 20 – Property and Business Interruption Insurance Claims and Recoveries relating to business interruption and property insurance recoveries.</w:t>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Other products relate to working interests in certain natural gas properties. In 2012 and 2013, a subsidiary within our Chemical Business acquired these working interests. Since our Chemical Business purchases a significant amount of natural gas as a feedstock for the production of anhydrous ammonia, management considers these acquisitions as economic hedges against a portion of a potential rise in natural gas prices in the future for a portion of our future natural gas production requirements. We report the working interests as part of the Chemical Business reportable segment. All of our natural gas producing activities are within the United States (in Pennsylvania).</w:t>
      </w:r>
    </w:p>
    <w:p>
      <w:pPr>
        <w:spacing w:after="0" w:line="18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of December 31, 2014, our Chemical Business employed 545 persons, with 166 represented by unions under agreements, which will expire in November of 2016 through October of 2018.</w:t>
      </w:r>
    </w:p>
    <w:p>
      <w:pPr>
        <w:spacing w:after="0" w:line="161" w:lineRule="exact"/>
        <w:rPr>
          <w:sz w:val="20"/>
          <w:szCs w:val="20"/>
          <w:color w:val="auto"/>
        </w:rPr>
      </w:pPr>
    </w:p>
    <w:p>
      <w:pPr>
        <w:ind w:right="240" w:firstLine="457"/>
        <w:spacing w:after="0" w:line="278" w:lineRule="auto"/>
        <w:rPr>
          <w:sz w:val="20"/>
          <w:szCs w:val="20"/>
          <w:color w:val="auto"/>
        </w:rPr>
      </w:pPr>
      <w:r>
        <w:rPr>
          <w:rFonts w:ascii="Arial" w:cs="Arial" w:eastAsia="Arial" w:hAnsi="Arial"/>
          <w:sz w:val="17"/>
          <w:szCs w:val="17"/>
          <w:b w:val="1"/>
          <w:bCs w:val="1"/>
          <w:color w:val="auto"/>
        </w:rPr>
        <w:t xml:space="preserve">Climate Control Business - </w:t>
      </w:r>
      <w:r>
        <w:rPr>
          <w:rFonts w:ascii="Arial" w:cs="Arial" w:eastAsia="Arial" w:hAnsi="Arial"/>
          <w:sz w:val="17"/>
          <w:szCs w:val="17"/>
          <w:color w:val="auto"/>
        </w:rPr>
        <w:t>The Climate Control Business segment manufactures and sells the following variety of heating, ventilation, and air conditioning</w:t>
      </w:r>
      <w:r>
        <w:rPr>
          <w:rFonts w:ascii="Arial" w:cs="Arial" w:eastAsia="Arial" w:hAnsi="Arial"/>
          <w:sz w:val="17"/>
          <w:szCs w:val="17"/>
          <w:b w:val="1"/>
          <w:bCs w:val="1"/>
          <w:color w:val="auto"/>
        </w:rPr>
        <w:t xml:space="preserve"> </w:t>
      </w:r>
      <w:r>
        <w:rPr>
          <w:rFonts w:ascii="Arial" w:cs="Arial" w:eastAsia="Arial" w:hAnsi="Arial"/>
          <w:sz w:val="17"/>
          <w:szCs w:val="17"/>
          <w:color w:val="auto"/>
        </w:rPr>
        <w:t>(“HVAC”) products:</w:t>
      </w:r>
    </w:p>
    <w:p>
      <w:pPr>
        <w:spacing w:after="0" w:line="72" w:lineRule="exact"/>
        <w:rPr>
          <w:sz w:val="20"/>
          <w:szCs w:val="20"/>
          <w:color w:val="auto"/>
        </w:rPr>
      </w:pPr>
    </w:p>
    <w:p>
      <w:pPr>
        <w:ind w:left="880" w:hanging="319"/>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water source and geothermal heat pumps,</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hydronic fan coils, and</w:t>
      </w:r>
    </w:p>
    <w:p>
      <w:pPr>
        <w:spacing w:after="0" w:line="122" w:lineRule="exact"/>
        <w:rPr>
          <w:rFonts w:ascii="Arial" w:cs="Arial" w:eastAsia="Arial" w:hAnsi="Arial"/>
          <w:sz w:val="17"/>
          <w:szCs w:val="17"/>
          <w:color w:val="auto"/>
        </w:rPr>
      </w:pPr>
    </w:p>
    <w:p>
      <w:pPr>
        <w:ind w:left="880" w:hanging="319"/>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HVAC products including large custom air handlers, modular geothermal and other chillers and other products and services.</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These HVAC products are primarily for use in commercial/institutional and residential new building construction, renovation of existing buildings and replacement of existing systems. Our various facilities located in Oklahoma City, Oklahoma comprise substantially all of the Climate Control segment’s operations. Sales to customers of this segment primarily include original equipment manufacturers, contractors and independent sales representatives located throughout the world.</w:t>
      </w:r>
    </w:p>
    <w:p>
      <w:pPr>
        <w:spacing w:after="0" w:line="137" w:lineRule="exact"/>
        <w:rPr>
          <w:sz w:val="20"/>
          <w:szCs w:val="20"/>
          <w:color w:val="auto"/>
        </w:rPr>
      </w:pPr>
    </w:p>
    <w:p>
      <w:pPr>
        <w:ind w:right="100" w:firstLine="457"/>
        <w:spacing w:after="0" w:line="278" w:lineRule="auto"/>
        <w:rPr>
          <w:sz w:val="20"/>
          <w:szCs w:val="20"/>
          <w:color w:val="auto"/>
        </w:rPr>
      </w:pPr>
      <w:r>
        <w:rPr>
          <w:rFonts w:ascii="Arial" w:cs="Arial" w:eastAsia="Arial" w:hAnsi="Arial"/>
          <w:sz w:val="17"/>
          <w:szCs w:val="17"/>
          <w:b w:val="1"/>
          <w:bCs w:val="1"/>
          <w:color w:val="auto"/>
        </w:rPr>
        <w:t xml:space="preserve">Other - </w:t>
      </w:r>
      <w:r>
        <w:rPr>
          <w:rFonts w:ascii="Arial" w:cs="Arial" w:eastAsia="Arial" w:hAnsi="Arial"/>
          <w:sz w:val="17"/>
          <w:szCs w:val="17"/>
          <w:color w:val="auto"/>
        </w:rPr>
        <w:t>The business operation classified as “Other” primarily sells industrial machinery and related components to machine tool dealers and end users located</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in North America.</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360"/>
          </w:cols>
          <w:pgMar w:left="240" w:top="441" w:right="29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 (continued)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our continuing operations in different business segments is detailed below.</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center"/>
              <w:ind w:right="180"/>
              <w:spacing w:after="0" w:line="133" w:lineRule="exact"/>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40"/>
              <w:spacing w:after="0"/>
              <w:rPr>
                <w:sz w:val="20"/>
                <w:szCs w:val="20"/>
                <w:color w:val="auto"/>
              </w:rPr>
            </w:pPr>
            <w:r>
              <w:rPr>
                <w:rFonts w:ascii="Arial" w:cs="Arial" w:eastAsia="Arial" w:hAnsi="Arial"/>
                <w:sz w:val="17"/>
                <w:szCs w:val="17"/>
                <w:color w:val="auto"/>
              </w:rPr>
              <w:t>Chemical (1):</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Agricultural products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87"/>
              </w:rPr>
              <w:t>215,523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167,614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217,329</w:t>
            </w:r>
          </w:p>
        </w:tc>
        <w:tc>
          <w:tcPr>
            <w:tcW w:w="0" w:type="dxa"/>
            <w:vAlign w:val="bottom"/>
          </w:tcPr>
          <w:p>
            <w:pPr>
              <w:spacing w:after="0"/>
              <w:rPr>
                <w:sz w:val="1"/>
                <w:szCs w:val="1"/>
                <w:color w:val="auto"/>
              </w:rPr>
            </w:pPr>
          </w:p>
        </w:tc>
      </w:tr>
      <w:tr>
        <w:trPr>
          <w:trHeight w:val="203"/>
        </w:trPr>
        <w:tc>
          <w:tcPr>
            <w:tcW w:w="4160" w:type="dxa"/>
            <w:vAlign w:val="bottom"/>
          </w:tcPr>
          <w:p>
            <w:pPr>
              <w:ind w:left="680"/>
              <w:spacing w:after="0"/>
              <w:rPr>
                <w:sz w:val="20"/>
                <w:szCs w:val="20"/>
                <w:color w:val="auto"/>
              </w:rPr>
            </w:pPr>
            <w:r>
              <w:rPr>
                <w:rFonts w:ascii="Arial" w:cs="Arial" w:eastAsia="Arial" w:hAnsi="Arial"/>
                <w:sz w:val="17"/>
                <w:szCs w:val="17"/>
                <w:color w:val="auto"/>
              </w:rPr>
              <w:t>Industrial acids and other chemical products</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87"/>
              </w:rPr>
              <w:t>160,104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w w:val="87"/>
              </w:rPr>
              <w:t>141,936</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162,498</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Mining products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67,043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63,042</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96,538</w:t>
            </w:r>
          </w:p>
        </w:tc>
        <w:tc>
          <w:tcPr>
            <w:tcW w:w="0" w:type="dxa"/>
            <w:vAlign w:val="bottom"/>
          </w:tcPr>
          <w:p>
            <w:pPr>
              <w:spacing w:after="0"/>
              <w:rPr>
                <w:sz w:val="1"/>
                <w:szCs w:val="1"/>
                <w:color w:val="auto"/>
              </w:rPr>
            </w:pPr>
          </w:p>
        </w:tc>
      </w:tr>
      <w:tr>
        <w:trPr>
          <w:trHeight w:val="203"/>
        </w:trPr>
        <w:tc>
          <w:tcPr>
            <w:tcW w:w="4160" w:type="dxa"/>
            <w:vAlign w:val="bottom"/>
          </w:tcPr>
          <w:p>
            <w:pPr>
              <w:ind w:left="680"/>
              <w:spacing w:after="0"/>
              <w:rPr>
                <w:sz w:val="20"/>
                <w:szCs w:val="20"/>
                <w:color w:val="auto"/>
              </w:rPr>
            </w:pPr>
            <w:r>
              <w:rPr>
                <w:rFonts w:ascii="Arial" w:cs="Arial" w:eastAsia="Arial" w:hAnsi="Arial"/>
                <w:sz w:val="17"/>
                <w:szCs w:val="17"/>
                <w:color w:val="auto"/>
              </w:rPr>
              <w:t>Other products</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12,232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8,077</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1,448</w:t>
            </w: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Chemical</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454,902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380,669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477,813</w:t>
            </w:r>
          </w:p>
        </w:tc>
        <w:tc>
          <w:tcPr>
            <w:tcW w:w="0" w:type="dxa"/>
            <w:vAlign w:val="bottom"/>
          </w:tcPr>
          <w:p>
            <w:pPr>
              <w:spacing w:after="0"/>
              <w:rPr>
                <w:sz w:val="1"/>
                <w:szCs w:val="1"/>
                <w:color w:val="auto"/>
              </w:rPr>
            </w:pPr>
          </w:p>
        </w:tc>
      </w:tr>
      <w:tr>
        <w:trPr>
          <w:trHeight w:val="305"/>
        </w:trPr>
        <w:tc>
          <w:tcPr>
            <w:tcW w:w="4160" w:type="dxa"/>
            <w:vAlign w:val="bottom"/>
          </w:tcPr>
          <w:p>
            <w:pPr>
              <w:ind w:left="340"/>
              <w:spacing w:after="0"/>
              <w:rPr>
                <w:sz w:val="20"/>
                <w:szCs w:val="20"/>
                <w:color w:val="auto"/>
              </w:rPr>
            </w:pPr>
            <w:r>
              <w:rPr>
                <w:rFonts w:ascii="Arial" w:cs="Arial" w:eastAsia="Arial" w:hAnsi="Arial"/>
                <w:sz w:val="17"/>
                <w:szCs w:val="17"/>
                <w:color w:val="auto"/>
              </w:rPr>
              <w:t>Climate Control:</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Water source and geothermal heat pumps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87"/>
              </w:rPr>
              <w:t>168,804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183,757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162,697</w:t>
            </w:r>
          </w:p>
        </w:tc>
        <w:tc>
          <w:tcPr>
            <w:tcW w:w="0" w:type="dxa"/>
            <w:vAlign w:val="bottom"/>
          </w:tcPr>
          <w:p>
            <w:pPr>
              <w:spacing w:after="0"/>
              <w:rPr>
                <w:sz w:val="1"/>
                <w:szCs w:val="1"/>
                <w:color w:val="auto"/>
              </w:rPr>
            </w:pPr>
          </w:p>
        </w:tc>
      </w:tr>
      <w:tr>
        <w:trPr>
          <w:trHeight w:val="203"/>
        </w:trPr>
        <w:tc>
          <w:tcPr>
            <w:tcW w:w="4160" w:type="dxa"/>
            <w:vAlign w:val="bottom"/>
          </w:tcPr>
          <w:p>
            <w:pPr>
              <w:ind w:left="680"/>
              <w:spacing w:after="0"/>
              <w:rPr>
                <w:sz w:val="20"/>
                <w:szCs w:val="20"/>
                <w:color w:val="auto"/>
              </w:rPr>
            </w:pPr>
            <w:r>
              <w:rPr>
                <w:rFonts w:ascii="Arial" w:cs="Arial" w:eastAsia="Arial" w:hAnsi="Arial"/>
                <w:sz w:val="17"/>
                <w:szCs w:val="17"/>
                <w:color w:val="auto"/>
              </w:rPr>
              <w:t>Hydronic fan coils</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61,307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64,541</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55,812</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HVAC products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35,247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36,720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47,662</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340"/>
              <w:spacing w:after="0"/>
              <w:rPr>
                <w:sz w:val="20"/>
                <w:szCs w:val="20"/>
                <w:color w:val="auto"/>
              </w:rPr>
            </w:pPr>
            <w:r>
              <w:rPr>
                <w:rFonts w:ascii="Arial" w:cs="Arial" w:eastAsia="Arial" w:hAnsi="Arial"/>
                <w:sz w:val="17"/>
                <w:szCs w:val="17"/>
                <w:color w:val="auto"/>
              </w:rPr>
              <w:t>Total Climate Control</w:t>
            </w: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w w:val="87"/>
              </w:rPr>
              <w:t>265,358</w:t>
            </w: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w w:val="87"/>
              </w:rPr>
              <w:t>285,018</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266,171</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12,250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13,600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15,047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w w:val="87"/>
              </w:rPr>
              <w:t>732,510</w:t>
            </w:r>
          </w:p>
        </w:tc>
        <w:tc>
          <w:tcPr>
            <w:tcW w:w="16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w w:val="87"/>
              </w:rPr>
              <w:t>679,287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759,031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Gross profit:</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40"/>
              <w:spacing w:after="0"/>
              <w:rPr>
                <w:sz w:val="20"/>
                <w:szCs w:val="20"/>
                <w:color w:val="auto"/>
              </w:rPr>
            </w:pPr>
            <w:r>
              <w:rPr>
                <w:rFonts w:ascii="Arial" w:cs="Arial" w:eastAsia="Arial" w:hAnsi="Arial"/>
                <w:sz w:val="17"/>
                <w:szCs w:val="17"/>
                <w:color w:val="auto"/>
              </w:rPr>
              <w:t>Chemical (1) (2)</w:t>
            </w:r>
          </w:p>
        </w:tc>
        <w:tc>
          <w:tcPr>
            <w:tcW w:w="27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66,565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46,165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97,692</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Climate Control</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82,443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92,907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80,981</w:t>
            </w:r>
          </w:p>
        </w:tc>
        <w:tc>
          <w:tcPr>
            <w:tcW w:w="0" w:type="dxa"/>
            <w:vAlign w:val="bottom"/>
          </w:tcPr>
          <w:p>
            <w:pPr>
              <w:spacing w:after="0"/>
              <w:rPr>
                <w:sz w:val="1"/>
                <w:szCs w:val="1"/>
                <w:color w:val="auto"/>
              </w:rPr>
            </w:pPr>
          </w:p>
        </w:tc>
      </w:tr>
      <w:tr>
        <w:trPr>
          <w:trHeight w:val="203"/>
        </w:trPr>
        <w:tc>
          <w:tcPr>
            <w:tcW w:w="4160" w:type="dxa"/>
            <w:vAlign w:val="bottom"/>
          </w:tcPr>
          <w:p>
            <w:pPr>
              <w:ind w:left="340"/>
              <w:spacing w:after="0"/>
              <w:rPr>
                <w:sz w:val="20"/>
                <w:szCs w:val="20"/>
                <w:color w:val="auto"/>
              </w:rPr>
            </w:pPr>
            <w:r>
              <w:rPr>
                <w:rFonts w:ascii="Arial" w:cs="Arial" w:eastAsia="Arial" w:hAnsi="Arial"/>
                <w:sz w:val="17"/>
                <w:szCs w:val="17"/>
                <w:color w:val="auto"/>
              </w:rPr>
              <w:t>Other</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4,347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4,484</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5,063</w:t>
            </w: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153,355</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143,556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183,736</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6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Chemical (1) (2) (3)</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51,281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87,784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82,101</w:t>
            </w:r>
          </w:p>
        </w:tc>
        <w:tc>
          <w:tcPr>
            <w:tcW w:w="0" w:type="dxa"/>
            <w:vAlign w:val="bottom"/>
          </w:tcPr>
          <w:p>
            <w:pPr>
              <w:spacing w:after="0"/>
              <w:rPr>
                <w:sz w:val="1"/>
                <w:szCs w:val="1"/>
                <w:color w:val="auto"/>
              </w:rPr>
            </w:pPr>
          </w:p>
        </w:tc>
      </w:tr>
      <w:tr>
        <w:trPr>
          <w:trHeight w:val="203"/>
        </w:trPr>
        <w:tc>
          <w:tcPr>
            <w:tcW w:w="4160" w:type="dxa"/>
            <w:vAlign w:val="bottom"/>
          </w:tcPr>
          <w:p>
            <w:pPr>
              <w:ind w:left="340"/>
              <w:spacing w:after="0"/>
              <w:rPr>
                <w:sz w:val="20"/>
                <w:szCs w:val="20"/>
                <w:color w:val="auto"/>
              </w:rPr>
            </w:pPr>
            <w:r>
              <w:rPr>
                <w:rFonts w:ascii="Arial" w:cs="Arial" w:eastAsia="Arial" w:hAnsi="Arial"/>
                <w:sz w:val="17"/>
                <w:szCs w:val="17"/>
                <w:color w:val="auto"/>
              </w:rPr>
              <w:t>Climate Control</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21,675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30,386</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25,834</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1,771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1,699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2,091</w:t>
            </w:r>
          </w:p>
        </w:tc>
        <w:tc>
          <w:tcPr>
            <w:tcW w:w="0" w:type="dxa"/>
            <w:vAlign w:val="bottom"/>
          </w:tcPr>
          <w:p>
            <w:pPr>
              <w:spacing w:after="0"/>
              <w:rPr>
                <w:sz w:val="1"/>
                <w:szCs w:val="1"/>
                <w:color w:val="auto"/>
              </w:rPr>
            </w:pPr>
          </w:p>
        </w:tc>
      </w:tr>
      <w:tr>
        <w:trPr>
          <w:trHeight w:val="203"/>
        </w:trPr>
        <w:tc>
          <w:tcPr>
            <w:tcW w:w="4160" w:type="dxa"/>
            <w:vAlign w:val="bottom"/>
          </w:tcPr>
          <w:p>
            <w:pPr>
              <w:ind w:left="340"/>
              <w:spacing w:after="0"/>
              <w:rPr>
                <w:sz w:val="20"/>
                <w:szCs w:val="20"/>
                <w:color w:val="auto"/>
              </w:rPr>
            </w:pPr>
            <w:r>
              <w:rPr>
                <w:rFonts w:ascii="Arial" w:cs="Arial" w:eastAsia="Arial" w:hAnsi="Arial"/>
                <w:sz w:val="17"/>
                <w:szCs w:val="17"/>
                <w:color w:val="auto"/>
              </w:rPr>
              <w:t>General corporate expenses (4)</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1"/>
              </w:rPr>
              <w:t>(21,365)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w w:val="94"/>
              </w:rPr>
              <w:t>(14,561)</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(14,371)</w:t>
            </w: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53,362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105,308</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95,655</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7"/>
                <w:szCs w:val="17"/>
                <w:color w:val="auto"/>
              </w:rPr>
              <w:t>Interest expense, net (5)</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21,599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13,986</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4,237</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Losses on extinguishment of debt</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1,296</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7"/>
                <w:szCs w:val="17"/>
                <w:color w:val="auto"/>
              </w:rPr>
              <w:t>Non-operating expense (income), net:</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Chemical</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(249)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4160" w:type="dxa"/>
            <w:vAlign w:val="bottom"/>
          </w:tcPr>
          <w:p>
            <w:pPr>
              <w:ind w:left="340"/>
              <w:spacing w:after="0"/>
              <w:rPr>
                <w:sz w:val="20"/>
                <w:szCs w:val="20"/>
                <w:color w:val="auto"/>
              </w:rPr>
            </w:pPr>
            <w:r>
              <w:rPr>
                <w:rFonts w:ascii="Arial" w:cs="Arial" w:eastAsia="Arial" w:hAnsi="Arial"/>
                <w:sz w:val="17"/>
                <w:szCs w:val="17"/>
                <w:color w:val="auto"/>
              </w:rPr>
              <w:t>Climate Control</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and other business operations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7"/>
                <w:szCs w:val="17"/>
                <w:color w:val="auto"/>
              </w:rPr>
              <w:t>Provisions for income taxes</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12,400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35,421</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33,594</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Equity in earnings of affiliate - Climate Control</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(79)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2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19,723</w:t>
            </w:r>
          </w:p>
        </w:tc>
        <w:tc>
          <w:tcPr>
            <w:tcW w:w="16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55,141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58,786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160" w:type="dxa"/>
            <w:vAlign w:val="bottom"/>
          </w:tcPr>
          <w:p>
            <w:pPr>
              <w:spacing w:after="0"/>
              <w:rPr>
                <w:sz w:val="24"/>
                <w:szCs w:val="24"/>
                <w:color w:val="auto"/>
              </w:rPr>
            </w:pPr>
          </w:p>
        </w:tc>
        <w:tc>
          <w:tcPr>
            <w:tcW w:w="2720" w:type="dxa"/>
            <w:vAlign w:val="bottom"/>
            <w:gridSpan w:val="2"/>
          </w:tcPr>
          <w:p>
            <w:pPr>
              <w:jc w:val="right"/>
              <w:ind w:right="1846"/>
              <w:spacing w:after="0"/>
              <w:rPr>
                <w:sz w:val="20"/>
                <w:szCs w:val="20"/>
                <w:color w:val="auto"/>
              </w:rPr>
            </w:pPr>
            <w:r>
              <w:rPr>
                <w:rFonts w:ascii="Arial" w:cs="Arial" w:eastAsia="Arial" w:hAnsi="Arial"/>
                <w:sz w:val="17"/>
                <w:szCs w:val="17"/>
                <w:color w:val="auto"/>
              </w:rPr>
              <w:t>F-42</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40" w:top="441" w:right="11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 (continued)</w:t>
      </w:r>
    </w:p>
    <w:p>
      <w:pPr>
        <w:spacing w:after="0" w:line="152" w:lineRule="exact"/>
        <w:rPr>
          <w:sz w:val="20"/>
          <w:szCs w:val="20"/>
          <w:color w:val="auto"/>
        </w:rPr>
      </w:pPr>
    </w:p>
    <w:p>
      <w:pPr>
        <w:ind w:left="440" w:right="80" w:hanging="438"/>
        <w:spacing w:after="0" w:line="254" w:lineRule="auto"/>
        <w:tabs>
          <w:tab w:leader="none" w:pos="4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As discussed above under “Chemical Business”, during the last three years, our Chemical Business encountered a number of significant issues at certain of our facilities resulting in lost production and adverse effects on operating results. However, some of these issues were covered by our business interruption and property insurance policies.</w:t>
      </w:r>
    </w:p>
    <w:p>
      <w:pPr>
        <w:ind w:left="440" w:hanging="438"/>
        <w:spacing w:after="0" w:line="249" w:lineRule="auto"/>
        <w:tabs>
          <w:tab w:leader="none" w:pos="4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2014, 2013, and 2012, we recognized business interruption insurance recoveries, of which $22.9 million, $28.4 million, and $7.3 million, respectively, were classified as reductions to cost of sales.</w:t>
      </w:r>
    </w:p>
    <w:p>
      <w:pPr>
        <w:spacing w:after="0" w:line="1" w:lineRule="exact"/>
        <w:rPr>
          <w:rFonts w:ascii="Arial" w:cs="Arial" w:eastAsia="Arial" w:hAnsi="Arial"/>
          <w:sz w:val="17"/>
          <w:szCs w:val="17"/>
          <w:color w:val="auto"/>
        </w:rPr>
      </w:pPr>
    </w:p>
    <w:p>
      <w:pPr>
        <w:ind w:left="440" w:right="160" w:hanging="438"/>
        <w:spacing w:after="0" w:line="249" w:lineRule="auto"/>
        <w:tabs>
          <w:tab w:leader="none" w:pos="4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2014 and 2013, we recognized property insurance recoveries, of which $5.1 million and $66.3 million, were classified as property insurance recoveries in excess of losses incurred (none for 2012).</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General corporate expenses consist of the following:</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4"/>
          </w:tcPr>
          <w:p>
            <w:pPr>
              <w:jc w:val="right"/>
              <w:ind w:right="360"/>
              <w:spacing w:after="0" w:line="133"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320"/>
              <w:spacing w:after="0"/>
              <w:rPr>
                <w:sz w:val="20"/>
                <w:szCs w:val="20"/>
                <w:color w:val="auto"/>
              </w:rPr>
            </w:pPr>
            <w:r>
              <w:rPr>
                <w:rFonts w:ascii="Arial" w:cs="Arial" w:eastAsia="Arial" w:hAnsi="Arial"/>
                <w:sz w:val="17"/>
                <w:szCs w:val="17"/>
                <w:color w:val="auto"/>
              </w:rPr>
              <w:t>Personnel costs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(8,434)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(8,096)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Fees and expenses relating to certain activist shareholders’ proposals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(4,163)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320"/>
              <w:spacing w:after="0"/>
              <w:rPr>
                <w:sz w:val="20"/>
                <w:szCs w:val="20"/>
                <w:color w:val="auto"/>
              </w:rPr>
            </w:pPr>
            <w:r>
              <w:rPr>
                <w:rFonts w:ascii="Arial" w:cs="Arial" w:eastAsia="Arial" w:hAnsi="Arial"/>
                <w:sz w:val="17"/>
                <w:szCs w:val="17"/>
                <w:color w:val="auto"/>
              </w:rPr>
              <w:t>Professional fees</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(4,536)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(4,813)</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All other</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(4,312)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(2,208)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(2,533)</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7"/>
                <w:szCs w:val="17"/>
                <w:color w:val="auto"/>
              </w:rPr>
              <w:t>Total selling, general and adminsitrative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w w:val="78"/>
              </w:rPr>
              <w:t>(21,445)</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w w:val="91"/>
              </w:rPr>
              <w:t>(15,117)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(14,759)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584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Other expense</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Total general corporate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88"/>
              </w:rPr>
              <w:t>(21,365)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(14,561)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(14,371)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180" w:hanging="438"/>
        <w:spacing w:after="0" w:line="273"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During the first quarter of 2014, we incurred fees and expenses in evaluating and analyzing proposals received from certain activist shareholders and dealing, negotiating and settling with those shareholders in order to avoid a proxy contest in 2014.</w:t>
      </w:r>
    </w:p>
    <w:p>
      <w:pPr>
        <w:spacing w:after="0" w:line="76" w:lineRule="exact"/>
        <w:rPr>
          <w:sz w:val="20"/>
          <w:szCs w:val="20"/>
          <w:color w:val="auto"/>
        </w:rPr>
      </w:pPr>
    </w:p>
    <w:p>
      <w:pPr>
        <w:ind w:left="5560" w:right="1920" w:hanging="5558"/>
        <w:spacing w:after="0" w:line="445" w:lineRule="auto"/>
        <w:tabs>
          <w:tab w:leader="none" w:pos="4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2014, 2013 and 2012, interest expense is net of capitalized interest of $14.1 million, $4.0 million and $0.4 million, respectively. F-43</w:t>
      </w:r>
    </w:p>
    <w:p>
      <w:pPr>
        <w:sectPr>
          <w:pgSz w:w="11900" w:h="16838" w:orient="portrait"/>
          <w:cols w:equalWidth="0" w:num="1">
            <w:col w:w="11300"/>
          </w:cols>
          <w:pgMar w:left="240" w:top="441" w:right="3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 (continued)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our PP&amp;E and total assets by business segment is detailed below:</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tcPr>
          <w:p>
            <w:pPr>
              <w:ind w:left="200"/>
              <w:spacing w:after="0" w:line="133"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Depreciation, depletion and amortization of PP&amp;E: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40"/>
              <w:spacing w:after="0"/>
              <w:rPr>
                <w:sz w:val="20"/>
                <w:szCs w:val="20"/>
                <w:color w:val="auto"/>
              </w:rPr>
            </w:pPr>
            <w:r>
              <w:rPr>
                <w:rFonts w:ascii="Arial" w:cs="Arial" w:eastAsia="Arial" w:hAnsi="Arial"/>
                <w:sz w:val="17"/>
                <w:szCs w:val="17"/>
                <w:color w:val="auto"/>
              </w:rPr>
              <w:t>Chemical</w:t>
            </w:r>
          </w:p>
        </w:tc>
        <w:tc>
          <w:tcPr>
            <w:tcW w:w="100" w:type="dxa"/>
            <w:vAlign w:val="bottom"/>
            <w:gridSpan w:val="2"/>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30,364</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23,497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16,355</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Climate Control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4,946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4,707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4,250</w:t>
            </w:r>
          </w:p>
        </w:tc>
        <w:tc>
          <w:tcPr>
            <w:tcW w:w="0" w:type="dxa"/>
            <w:vAlign w:val="bottom"/>
          </w:tcPr>
          <w:p>
            <w:pPr>
              <w:spacing w:after="0"/>
              <w:rPr>
                <w:sz w:val="1"/>
                <w:szCs w:val="1"/>
                <w:color w:val="auto"/>
              </w:rPr>
            </w:pPr>
          </w:p>
        </w:tc>
      </w:tr>
      <w:tr>
        <w:trPr>
          <w:trHeight w:val="203"/>
        </w:trPr>
        <w:tc>
          <w:tcPr>
            <w:tcW w:w="6380" w:type="dxa"/>
            <w:vAlign w:val="bottom"/>
          </w:tcPr>
          <w:p>
            <w:pPr>
              <w:ind w:left="34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49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320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color w:val="auto"/>
              </w:rPr>
              <w:t>Total depreciation, depletion and amortization of PP&amp;E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35,664</w:t>
            </w:r>
          </w:p>
        </w:tc>
        <w:tc>
          <w:tcPr>
            <w:tcW w:w="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28,310</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20,681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Additions to PP&amp;E: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40"/>
              <w:spacing w:after="0"/>
              <w:rPr>
                <w:sz w:val="20"/>
                <w:szCs w:val="20"/>
                <w:color w:val="auto"/>
              </w:rPr>
            </w:pPr>
            <w:r>
              <w:rPr>
                <w:rFonts w:ascii="Arial" w:cs="Arial" w:eastAsia="Arial" w:hAnsi="Arial"/>
                <w:sz w:val="17"/>
                <w:szCs w:val="17"/>
                <w:color w:val="auto"/>
              </w:rPr>
              <w:t>Chemical</w:t>
            </w:r>
          </w:p>
        </w:tc>
        <w:tc>
          <w:tcPr>
            <w:tcW w:w="100" w:type="dxa"/>
            <w:vAlign w:val="bottom"/>
            <w:gridSpan w:val="2"/>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238,070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160,343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141,399</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Climate Control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1,859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5,576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5,816</w:t>
            </w:r>
          </w:p>
        </w:tc>
        <w:tc>
          <w:tcPr>
            <w:tcW w:w="0" w:type="dxa"/>
            <w:vAlign w:val="bottom"/>
          </w:tcPr>
          <w:p>
            <w:pPr>
              <w:spacing w:after="0"/>
              <w:rPr>
                <w:sz w:val="1"/>
                <w:szCs w:val="1"/>
                <w:color w:val="auto"/>
              </w:rPr>
            </w:pPr>
          </w:p>
        </w:tc>
      </w:tr>
      <w:tr>
        <w:trPr>
          <w:trHeight w:val="203"/>
        </w:trPr>
        <w:tc>
          <w:tcPr>
            <w:tcW w:w="6380" w:type="dxa"/>
            <w:vAlign w:val="bottom"/>
          </w:tcPr>
          <w:p>
            <w:pPr>
              <w:ind w:left="34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65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2,701</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color w:val="auto"/>
              </w:rPr>
              <w:t>Total additions to PP&amp;E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240,104</w:t>
            </w:r>
          </w:p>
        </w:tc>
        <w:tc>
          <w:tcPr>
            <w:tcW w:w="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166,419</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150,805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assets at December 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40"/>
              <w:spacing w:after="0"/>
              <w:rPr>
                <w:sz w:val="20"/>
                <w:szCs w:val="20"/>
                <w:color w:val="auto"/>
              </w:rPr>
            </w:pPr>
            <w:r>
              <w:rPr>
                <w:rFonts w:ascii="Arial" w:cs="Arial" w:eastAsia="Arial" w:hAnsi="Arial"/>
                <w:sz w:val="17"/>
                <w:szCs w:val="17"/>
                <w:color w:val="auto"/>
              </w:rPr>
              <w:t>Chemical</w:t>
            </w:r>
          </w:p>
        </w:tc>
        <w:tc>
          <w:tcPr>
            <w:tcW w:w="100" w:type="dxa"/>
            <w:vAlign w:val="bottom"/>
            <w:gridSpan w:val="2"/>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929,745</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842,725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394,479</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Climate Control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133,183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159,960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139,526</w:t>
            </w:r>
          </w:p>
        </w:tc>
        <w:tc>
          <w:tcPr>
            <w:tcW w:w="0" w:type="dxa"/>
            <w:vAlign w:val="bottom"/>
          </w:tcPr>
          <w:p>
            <w:pPr>
              <w:spacing w:after="0"/>
              <w:rPr>
                <w:sz w:val="1"/>
                <w:szCs w:val="1"/>
                <w:color w:val="auto"/>
              </w:rPr>
            </w:pPr>
          </w:p>
        </w:tc>
      </w:tr>
      <w:tr>
        <w:trPr>
          <w:trHeight w:val="203"/>
        </w:trPr>
        <w:tc>
          <w:tcPr>
            <w:tcW w:w="6380" w:type="dxa"/>
            <w:vAlign w:val="bottom"/>
          </w:tcPr>
          <w:p>
            <w:pPr>
              <w:ind w:left="34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5,960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6,832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8,204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68,117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73,580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34,403</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color w:val="auto"/>
              </w:rPr>
              <w:t>Total assets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87"/>
              </w:rPr>
              <w:t>1,137,005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1,083,097</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576,612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sales by business segment include net sales to unaffiliated customers as reported in the consolidated financial statements. Net sales classified as “Other” consist of sales of industrial machinery and related components. Intersegment net sales are not significant.</w:t>
      </w:r>
    </w:p>
    <w:p>
      <w:pPr>
        <w:spacing w:after="0" w:line="165" w:lineRule="exact"/>
        <w:rPr>
          <w:sz w:val="20"/>
          <w:szCs w:val="20"/>
          <w:color w:val="auto"/>
        </w:rPr>
      </w:pPr>
    </w:p>
    <w:p>
      <w:pPr>
        <w:ind w:right="540"/>
        <w:spacing w:after="0" w:line="273" w:lineRule="auto"/>
        <w:rPr>
          <w:sz w:val="20"/>
          <w:szCs w:val="20"/>
          <w:color w:val="auto"/>
        </w:rPr>
      </w:pPr>
      <w:r>
        <w:rPr>
          <w:rFonts w:ascii="Arial" w:cs="Arial" w:eastAsia="Arial" w:hAnsi="Arial"/>
          <w:sz w:val="17"/>
          <w:szCs w:val="17"/>
          <w:color w:val="auto"/>
        </w:rPr>
        <w:t>Gross profit by business segment represents net sales less cost of sales. Gross profit classified as “Other” relates to the sales of industrial machinery and related components.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Our chief operating decision makers use operating income by business segment for purposes of making decisions that include resource allocations and performance evaluations. Operating income by business segment represents gross profit by business segment less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Identifiable assets by business segment are those assets used in the operations of each business. Corporate assets are those principally owned by LSB or by subsidiaries not involved in the three business segments.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All net sales and long-lived assets relate to domestic operations for the periods presented.</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340"/>
          </w:cols>
          <w:pgMar w:left="240" w:top="441" w:right="31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 (continued)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Net sales to unaffiliated customers are to U.S. customers except foreign export sales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Geographic Area</w:t>
            </w:r>
          </w:p>
        </w:tc>
        <w:tc>
          <w:tcPr>
            <w:tcW w:w="560" w:type="dxa"/>
            <w:vAlign w:val="bottom"/>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r>
      <w:tr>
        <w:trPr>
          <w:trHeight w:val="132"/>
        </w:trPr>
        <w:tc>
          <w:tcPr>
            <w:tcW w:w="980" w:type="dxa"/>
            <w:vAlign w:val="bottom"/>
            <w:tcBorders>
              <w:top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w w:val="84"/>
              </w:rPr>
              <w:t>(In Thousands)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Canada</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w w:val="87"/>
              </w:rPr>
              <w:t>$19,334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19,976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$21,079</w:t>
            </w:r>
          </w:p>
        </w:tc>
      </w:tr>
      <w:tr>
        <w:trPr>
          <w:trHeight w:val="203"/>
        </w:trPr>
        <w:tc>
          <w:tcPr>
            <w:tcW w:w="6520" w:type="dxa"/>
            <w:vAlign w:val="bottom"/>
            <w:gridSpan w:val="2"/>
          </w:tcPr>
          <w:p>
            <w:pPr>
              <w:spacing w:after="0"/>
              <w:rPr>
                <w:sz w:val="20"/>
                <w:szCs w:val="20"/>
                <w:color w:val="auto"/>
              </w:rPr>
            </w:pPr>
            <w:r>
              <w:rPr>
                <w:rFonts w:ascii="Arial" w:cs="Arial" w:eastAsia="Arial" w:hAnsi="Arial"/>
                <w:sz w:val="17"/>
                <w:szCs w:val="17"/>
                <w:color w:val="auto"/>
              </w:rPr>
              <w:t>Other</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12,642</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14,178</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11,091</w:t>
            </w:r>
          </w:p>
        </w:tc>
      </w:tr>
      <w:tr>
        <w:trPr>
          <w:trHeight w:val="25"/>
        </w:trPr>
        <w:tc>
          <w:tcPr>
            <w:tcW w:w="9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8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31,976</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34,154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32,170</w:t>
            </w:r>
          </w:p>
        </w:tc>
      </w:tr>
      <w:tr>
        <w:trPr>
          <w:trHeight w:val="20"/>
        </w:trPr>
        <w:tc>
          <w:tcPr>
            <w:tcW w:w="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In general, foreign export sales are attributed based upon the location of the customer.</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Related Party Transactions</w:t>
      </w:r>
    </w:p>
    <w:p>
      <w:pPr>
        <w:spacing w:after="0" w:line="114" w:lineRule="exact"/>
        <w:rPr>
          <w:sz w:val="20"/>
          <w:szCs w:val="20"/>
          <w:color w:val="auto"/>
        </w:rPr>
      </w:pPr>
    </w:p>
    <w:p>
      <w:pPr>
        <w:ind w:right="540"/>
        <w:spacing w:after="0" w:line="341" w:lineRule="auto"/>
        <w:rPr>
          <w:sz w:val="20"/>
          <w:szCs w:val="20"/>
          <w:color w:val="auto"/>
        </w:rPr>
      </w:pPr>
      <w:r>
        <w:rPr>
          <w:rFonts w:ascii="Arial" w:cs="Arial" w:eastAsia="Arial" w:hAnsi="Arial"/>
          <w:sz w:val="15"/>
          <w:szCs w:val="15"/>
          <w:color w:val="auto"/>
        </w:rPr>
        <w:t>In 2014, 2013 and 2012, we paid annual dividends totaling $300,000 on our Series B Preferred and our Series D Preferred. The Series B Preferred and Series D Preferred are non-redeemable preferred stocks issued in 1986 and 2001, respectively, of which all outstanding shares are owned by the Golsen Group.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Supplemental Cash Flow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provides additional information relating to cash flow activities:</w:t>
      </w:r>
    </w:p>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2"/>
          </w:tcPr>
          <w:p>
            <w:pPr>
              <w:jc w:val="right"/>
              <w:ind w:right="77"/>
              <w:spacing w:after="0" w:line="133" w:lineRule="exact"/>
              <w:rPr>
                <w:sz w:val="20"/>
                <w:szCs w:val="20"/>
                <w:color w:val="auto"/>
              </w:rPr>
            </w:pPr>
            <w:r>
              <w:rPr>
                <w:rFonts w:ascii="Arial" w:cs="Arial" w:eastAsia="Arial" w:hAnsi="Arial"/>
                <w:sz w:val="14"/>
                <w:szCs w:val="14"/>
                <w:color w:val="auto"/>
                <w:w w:val="99"/>
              </w:rPr>
              <w:t>(In Thousands)</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Cash payments (refunds) for:</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Interest on long-term debt and other</w:t>
            </w:r>
          </w:p>
        </w:tc>
        <w:tc>
          <w:tcPr>
            <w:tcW w:w="4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17"/>
              <w:spacing w:after="0"/>
              <w:rPr>
                <w:sz w:val="20"/>
                <w:szCs w:val="20"/>
                <w:color w:val="auto"/>
              </w:rPr>
            </w:pPr>
            <w:r>
              <w:rPr>
                <w:rFonts w:ascii="Arial" w:cs="Arial" w:eastAsia="Arial" w:hAnsi="Arial"/>
                <w:sz w:val="17"/>
                <w:szCs w:val="17"/>
                <w:b w:val="1"/>
                <w:bCs w:val="1"/>
                <w:color w:val="auto"/>
                <w:w w:val="88"/>
              </w:rPr>
              <w:t>21,063</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17"/>
              <w:spacing w:after="0"/>
              <w:rPr>
                <w:sz w:val="20"/>
                <w:szCs w:val="20"/>
                <w:color w:val="auto"/>
              </w:rPr>
            </w:pPr>
            <w:r>
              <w:rPr>
                <w:rFonts w:ascii="Arial" w:cs="Arial" w:eastAsia="Arial" w:hAnsi="Arial"/>
                <w:sz w:val="17"/>
                <w:szCs w:val="17"/>
                <w:color w:val="auto"/>
              </w:rPr>
              <w:t>451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4,325</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taxes, net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96"/>
              </w:rPr>
              <w:t>(3,999)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13,320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21,766</w:t>
            </w:r>
          </w:p>
        </w:tc>
        <w:tc>
          <w:tcPr>
            <w:tcW w:w="0" w:type="dxa"/>
            <w:vAlign w:val="bottom"/>
          </w:tcPr>
          <w:p>
            <w:pPr>
              <w:spacing w:after="0"/>
              <w:rPr>
                <w:sz w:val="1"/>
                <w:szCs w:val="1"/>
                <w:color w:val="auto"/>
              </w:rPr>
            </w:pPr>
          </w:p>
        </w:tc>
      </w:tr>
      <w:tr>
        <w:trPr>
          <w:trHeight w:val="305"/>
        </w:trPr>
        <w:tc>
          <w:tcPr>
            <w:tcW w:w="654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Insurance claims receivable associated with property, plant and equipment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249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191"/>
        </w:trPr>
        <w:tc>
          <w:tcPr>
            <w:tcW w:w="6540" w:type="dxa"/>
            <w:vAlign w:val="bottom"/>
          </w:tcPr>
          <w:p>
            <w:pPr>
              <w:ind w:left="340"/>
              <w:spacing w:after="0" w:line="191" w:lineRule="exact"/>
              <w:rPr>
                <w:sz w:val="20"/>
                <w:szCs w:val="20"/>
                <w:color w:val="auto"/>
              </w:rPr>
            </w:pPr>
            <w:r>
              <w:rPr>
                <w:rFonts w:ascii="Arial" w:cs="Arial" w:eastAsia="Arial" w:hAnsi="Arial"/>
                <w:sz w:val="17"/>
                <w:szCs w:val="17"/>
                <w:color w:val="auto"/>
                <w:w w:val="98"/>
              </w:rPr>
              <w:t>Other assets, accounts payable, other liabilities, and long-term debt associated with</w:t>
            </w:r>
          </w:p>
        </w:tc>
        <w:tc>
          <w:tcPr>
            <w:tcW w:w="4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vMerge w:val="restart"/>
          </w:tcPr>
          <w:p>
            <w:pPr>
              <w:jc w:val="right"/>
              <w:ind w:right="117"/>
              <w:spacing w:after="0"/>
              <w:rPr>
                <w:sz w:val="20"/>
                <w:szCs w:val="20"/>
                <w:color w:val="auto"/>
              </w:rPr>
            </w:pPr>
            <w:r>
              <w:rPr>
                <w:rFonts w:ascii="Arial" w:cs="Arial" w:eastAsia="Arial" w:hAnsi="Arial"/>
                <w:sz w:val="17"/>
                <w:szCs w:val="17"/>
                <w:b w:val="1"/>
                <w:bCs w:val="1"/>
                <w:color w:val="auto"/>
                <w:w w:val="88"/>
              </w:rPr>
              <w:t>34,636</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Pr>
          <w:p>
            <w:pPr>
              <w:ind w:left="500"/>
              <w:spacing w:after="0"/>
              <w:rPr>
                <w:sz w:val="20"/>
                <w:szCs w:val="20"/>
                <w:color w:val="auto"/>
              </w:rPr>
            </w:pPr>
            <w:r>
              <w:rPr>
                <w:rFonts w:ascii="Arial" w:cs="Arial" w:eastAsia="Arial" w:hAnsi="Arial"/>
                <w:sz w:val="17"/>
                <w:szCs w:val="17"/>
                <w:color w:val="auto"/>
              </w:rPr>
              <w:t>additions of property, plant and equipment</w:t>
            </w:r>
          </w:p>
        </w:tc>
        <w:tc>
          <w:tcPr>
            <w:tcW w:w="4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17"/>
              <w:spacing w:after="0"/>
              <w:rPr>
                <w:sz w:val="20"/>
                <w:szCs w:val="20"/>
                <w:color w:val="auto"/>
              </w:rPr>
            </w:pPr>
            <w:r>
              <w:rPr>
                <w:rFonts w:ascii="Arial" w:cs="Arial" w:eastAsia="Arial" w:hAnsi="Arial"/>
                <w:sz w:val="17"/>
                <w:szCs w:val="17"/>
                <w:color w:val="auto"/>
                <w:w w:val="84"/>
              </w:rPr>
              <w:t>14,465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15,522</w:t>
            </w:r>
          </w:p>
        </w:tc>
        <w:tc>
          <w:tcPr>
            <w:tcW w:w="0" w:type="dxa"/>
            <w:vAlign w:val="bottom"/>
          </w:tcPr>
          <w:p>
            <w:pPr>
              <w:spacing w:after="0"/>
              <w:rPr>
                <w:sz w:val="1"/>
                <w:szCs w:val="1"/>
                <w:color w:val="auto"/>
              </w:rPr>
            </w:pPr>
          </w:p>
        </w:tc>
      </w:tr>
      <w:tr>
        <w:trPr>
          <w:trHeight w:val="191"/>
        </w:trPr>
        <w:tc>
          <w:tcPr>
            <w:tcW w:w="6540" w:type="dxa"/>
            <w:vAlign w:val="bottom"/>
            <w:shd w:val="clear" w:color="auto" w:fill="CCEEFF"/>
          </w:tcPr>
          <w:p>
            <w:pPr>
              <w:ind w:left="340"/>
              <w:spacing w:after="0" w:line="191" w:lineRule="exact"/>
              <w:rPr>
                <w:sz w:val="20"/>
                <w:szCs w:val="20"/>
                <w:color w:val="auto"/>
              </w:rPr>
            </w:pPr>
            <w:r>
              <w:rPr>
                <w:rFonts w:ascii="Arial" w:cs="Arial" w:eastAsia="Arial" w:hAnsi="Arial"/>
                <w:sz w:val="17"/>
                <w:szCs w:val="17"/>
                <w:color w:val="auto"/>
                <w:w w:val="95"/>
              </w:rPr>
              <w:t>Accounts payable, long-term debt associated with additions of capitalized internal-use</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5,303</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software and software development</w:t>
            </w:r>
          </w:p>
        </w:tc>
        <w:tc>
          <w:tcPr>
            <w:tcW w:w="4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4,011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Secured term loan extinguished</w:t>
            </w:r>
          </w:p>
        </w:tc>
        <w:tc>
          <w:tcPr>
            <w:tcW w:w="4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97"/>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17"/>
              <w:spacing w:after="0"/>
              <w:rPr>
                <w:sz w:val="20"/>
                <w:szCs w:val="20"/>
                <w:color w:val="auto"/>
              </w:rPr>
            </w:pPr>
            <w:r>
              <w:rPr>
                <w:rFonts w:ascii="Arial" w:cs="Arial" w:eastAsia="Arial" w:hAnsi="Arial"/>
                <w:sz w:val="17"/>
                <w:szCs w:val="17"/>
                <w:color w:val="auto"/>
                <w:w w:val="84"/>
              </w:rPr>
              <w:t>66,563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Debt issuance costs incurred associated with senior secured notes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6,498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Debt issuance costs written off associated with secured term loan</w:t>
            </w:r>
          </w:p>
        </w:tc>
        <w:tc>
          <w:tcPr>
            <w:tcW w:w="4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97"/>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17"/>
              <w:spacing w:after="0"/>
              <w:rPr>
                <w:sz w:val="20"/>
                <w:szCs w:val="20"/>
                <w:color w:val="auto"/>
              </w:rPr>
            </w:pPr>
            <w:r>
              <w:rPr>
                <w:rFonts w:ascii="Arial" w:cs="Arial" w:eastAsia="Arial" w:hAnsi="Arial"/>
                <w:sz w:val="17"/>
                <w:szCs w:val="17"/>
                <w:color w:val="auto"/>
              </w:rPr>
              <w:t>630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Prepayment premium incurred associated with secured term loan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666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6060" w:firstLine="2"/>
        <w:spacing w:after="0" w:line="376" w:lineRule="auto"/>
        <w:tabs>
          <w:tab w:leader="none" w:pos="254"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Business Interruption Insurance Claims and Recoveries El Dorado Facility</w:t>
      </w:r>
    </w:p>
    <w:p>
      <w:pPr>
        <w:spacing w:after="0" w:line="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On May 15, 2012, the El Dorado Facility suffered significant damage when a reactor in its 98% strength nitric acid plant (“DSN plant”) exploded. No employees or individuals in the surrounding area were seriously injured as a result of the explosion. In addition, several other plants and infrastructure within the El Dorado Facility sustained various degrees of damage. Our insurance policy provided for repair or replacement cost coverage relating to property damage with a $1.0 million deductible and provided for business interruption coverage for certain lost profits and extra expense with a 30-day waiting period. We concluded that due to the extensive damage, the DSN plant should not be repaired but should be replaced with a new 65% strength nitric acid plant and a separate nitric acid concentrator.</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360"/>
          </w:cols>
          <w:pgMar w:left="240" w:top="441" w:right="29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Consolidated Financial Statements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Property and Business Interruption Insurance Claims and Recoveries (continued)</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October 2013, we settled these claims with our insurance carriers for the aggregate amount of $113 million. For financial reporting purposes, we allocated $90.7 million to our property insurance claim and $22.3 million to our business interruption claim primarily based on negotiations with our insurance carriers concerning our claims.</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$90.7 million allocated to the property insurance claim was partially applied against the recoverable costs totaling $24.7 million. The insurance recovery in excess of the recoverable costs of $66.0 million was recognized as property insurance recoveries in excess of losses incurred in 2013.</w:t>
      </w:r>
    </w:p>
    <w:p>
      <w:pPr>
        <w:spacing w:after="0" w:line="16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insurance recovery of $22.3 million allocated to the business interruption claim was recognized as a reduction to cost of sales ($15.0 million in 2013 and $7.3 million in 2012) consisting of recoverable costs (primarily relating to additional expenses associated with purchased product sold to our customers while certain of our nitric and sulfuric acid plants were being repaired) and certain lost profits.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Cherokee Facility</w:t>
      </w:r>
    </w:p>
    <w:p>
      <w:pPr>
        <w:spacing w:after="0" w:line="11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On November 13, 2012, a pipe ruptured within our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 repairs were completed. Our insurance policy provided, for the policy period covering this claim,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2013, we received business interruption insurance recovery of $15 million and was applied against recoverable costs (primarily relating to additional expenses associated with purchased product sold or used in products sold to our customers while our facility was being repaired) totaling $13.6 million as a reduction to cost of sales. The insurance recovery in excess of recoverable costs of $1.4 million was deferred (included in deferred gain on insurance recoveries at December 31, 2013) since this amount relates to lost profits, which is considered a gain contingency.</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January 2014, we settled the claim with our insurance carriers for the aggregate amount of approximately $43.5 million (of which approximately $36.5 million relates to the business interruption claim), comprised of $15 million previously paid to us in 2013 and $28.5 million paid to us in 2014. The $43.5 million settlement amount is net of our $2.5 million property insurance deductible. As a result, an insurance recovery of approximately $28 million was recognized as income associated with this settlement in 2014.</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Subsequent Event</w:t>
      </w:r>
    </w:p>
    <w:p>
      <w:pPr>
        <w:spacing w:after="0" w:line="11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Dividends Declared on Preferred Stock – In January 2015, our Board of Directors declared dividends totaling $300,000 on our Series B Preferred and our Series D Preferred, which dividends were paid in February 2015. The Series B Preferred and Series D Preferred are non-redeemable preferred stocks issued in 1986 and 2001, respectively, of which all outstanding shares are owned by the Golsen Group.</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320"/>
          </w:cols>
          <w:pgMar w:left="240" w:top="441" w:right="3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Supplementary Financial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520" w:type="dxa"/>
            <w:vAlign w:val="bottom"/>
          </w:tcPr>
          <w:p>
            <w:pPr>
              <w:spacing w:after="0"/>
              <w:rPr>
                <w:sz w:val="13"/>
                <w:szCs w:val="1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2"/>
        </w:trPr>
        <w:tc>
          <w:tcPr>
            <w:tcW w:w="7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9"/>
          </w:tcPr>
          <w:p>
            <w:pPr>
              <w:spacing w:after="0" w:line="133" w:lineRule="exact"/>
              <w:rPr>
                <w:sz w:val="20"/>
                <w:szCs w:val="20"/>
                <w:color w:val="auto"/>
              </w:rPr>
            </w:pPr>
            <w:r>
              <w:rPr>
                <w:rFonts w:ascii="Arial" w:cs="Arial" w:eastAsia="Arial" w:hAnsi="Arial"/>
                <w:sz w:val="14"/>
                <w:szCs w:val="14"/>
                <w:color w:val="auto"/>
                <w:w w:val="90"/>
              </w:rPr>
              <w:t>(In Thousands, Except Per Share Amounts)</w:t>
            </w: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 (1)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Arial" w:cs="Arial" w:eastAsia="Arial" w:hAnsi="Arial"/>
                <w:sz w:val="17"/>
                <w:szCs w:val="17"/>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178,525</w:t>
            </w:r>
          </w:p>
        </w:tc>
        <w:tc>
          <w:tcPr>
            <w:tcW w:w="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201,662</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171,046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181,277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Gross profit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48,722</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48,869</w:t>
            </w:r>
          </w:p>
        </w:tc>
        <w:tc>
          <w:tcPr>
            <w:tcW w:w="3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24,386</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31,378</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color w:val="auto"/>
              </w:rPr>
              <w:t>Income (loss) from continuing operations (2) (3) (4)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5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11,643</w:t>
            </w:r>
          </w:p>
        </w:tc>
        <w:tc>
          <w:tcPr>
            <w:tcW w:w="60" w:type="dxa"/>
            <w:vAlign w:val="bottom"/>
          </w:tcPr>
          <w:p>
            <w:pPr>
              <w:spacing w:after="0"/>
              <w:rPr>
                <w:sz w:val="16"/>
                <w:szCs w:val="16"/>
                <w:color w:val="auto"/>
              </w:rPr>
            </w:pPr>
          </w:p>
        </w:tc>
        <w:tc>
          <w:tcPr>
            <w:tcW w:w="3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11,134</w:t>
            </w:r>
          </w:p>
        </w:tc>
        <w:tc>
          <w:tcPr>
            <w:tcW w:w="160" w:type="dxa"/>
            <w:vAlign w:val="bottom"/>
          </w:tcPr>
          <w:p>
            <w:pPr>
              <w:spacing w:after="0"/>
              <w:rPr>
                <w:sz w:val="16"/>
                <w:szCs w:val="16"/>
                <w:color w:val="auto"/>
              </w:rPr>
            </w:pPr>
          </w:p>
        </w:tc>
        <w:tc>
          <w:tcPr>
            <w:tcW w:w="32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(3,772)</w:t>
            </w: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718</w:t>
            </w:r>
          </w:p>
        </w:tc>
        <w:tc>
          <w:tcPr>
            <w:tcW w:w="0" w:type="dxa"/>
            <w:vAlign w:val="bottom"/>
          </w:tcPr>
          <w:p>
            <w:pPr>
              <w:spacing w:after="0"/>
              <w:rPr>
                <w:sz w:val="1"/>
                <w:szCs w:val="1"/>
                <w:color w:val="auto"/>
              </w:rPr>
            </w:pPr>
          </w:p>
        </w:tc>
      </w:tr>
      <w:tr>
        <w:trPr>
          <w:trHeight w:val="204"/>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from discontinued operations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11,641</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11,113</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(3,777)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applicable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11,341</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11,113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(3,777)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color w:val="auto"/>
              </w:rPr>
              <w:t>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680"/>
              <w:spacing w:after="0"/>
              <w:rPr>
                <w:sz w:val="20"/>
                <w:szCs w:val="20"/>
                <w:color w:val="auto"/>
              </w:rPr>
            </w:pPr>
            <w:r>
              <w:rPr>
                <w:rFonts w:ascii="Arial" w:cs="Arial" w:eastAsia="Arial" w:hAnsi="Arial"/>
                <w:sz w:val="17"/>
                <w:szCs w:val="17"/>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0.50</w:t>
            </w:r>
          </w:p>
        </w:tc>
        <w:tc>
          <w:tcPr>
            <w:tcW w:w="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0.49</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(0.17)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loss from discontinued operations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68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0.50</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0.49</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(0.17)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680"/>
              <w:spacing w:after="0"/>
              <w:rPr>
                <w:sz w:val="20"/>
                <w:szCs w:val="20"/>
                <w:color w:val="auto"/>
              </w:rPr>
            </w:pPr>
            <w:r>
              <w:rPr>
                <w:rFonts w:ascii="Arial" w:cs="Arial" w:eastAsia="Arial" w:hAnsi="Arial"/>
                <w:sz w:val="17"/>
                <w:szCs w:val="17"/>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0.49</w:t>
            </w:r>
          </w:p>
        </w:tc>
        <w:tc>
          <w:tcPr>
            <w:tcW w:w="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0.47</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(0.17)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loss from discontinued operations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68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0.49</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0.47</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(0.17)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2013 (1)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Arial" w:cs="Arial" w:eastAsia="Arial" w:hAnsi="Arial"/>
                <w:sz w:val="17"/>
                <w:szCs w:val="17"/>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150,679</w:t>
            </w:r>
          </w:p>
        </w:tc>
        <w:tc>
          <w:tcPr>
            <w:tcW w:w="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202,223</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177,350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149,035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Gross profit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25,422</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38,659</w:t>
            </w:r>
          </w:p>
        </w:tc>
        <w:tc>
          <w:tcPr>
            <w:tcW w:w="3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48,909</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30,566</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color w:val="auto"/>
              </w:rPr>
              <w:t>Income (loss) from continuing operations (2) (3) (4)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5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(68)</w:t>
            </w:r>
          </w:p>
        </w:tc>
        <w:tc>
          <w:tcPr>
            <w:tcW w:w="3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7,486</w:t>
            </w:r>
          </w:p>
        </w:tc>
        <w:tc>
          <w:tcPr>
            <w:tcW w:w="32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10,250</w:t>
            </w: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37,473</w:t>
            </w:r>
          </w:p>
        </w:tc>
        <w:tc>
          <w:tcPr>
            <w:tcW w:w="0" w:type="dxa"/>
            <w:vAlign w:val="bottom"/>
          </w:tcPr>
          <w:p>
            <w:pPr>
              <w:spacing w:after="0"/>
              <w:rPr>
                <w:sz w:val="1"/>
                <w:szCs w:val="1"/>
                <w:color w:val="auto"/>
              </w:rPr>
            </w:pPr>
          </w:p>
        </w:tc>
      </w:tr>
      <w:tr>
        <w:trPr>
          <w:trHeight w:val="204"/>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from discontinued operations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7,427</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10,260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37,343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applicable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7,427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10,260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37,343</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color w:val="auto"/>
              </w:rPr>
              <w:t>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680"/>
              <w:spacing w:after="0"/>
              <w:rPr>
                <w:sz w:val="20"/>
                <w:szCs w:val="20"/>
                <w:color w:val="auto"/>
              </w:rPr>
            </w:pPr>
            <w:r>
              <w:rPr>
                <w:rFonts w:ascii="Arial" w:cs="Arial" w:eastAsia="Arial" w:hAnsi="Arial"/>
                <w:sz w:val="17"/>
                <w:szCs w:val="17"/>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(0.02)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0.33</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0.46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loss from discontinued operations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(0.02)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0.33</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0.46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680"/>
              <w:spacing w:after="0"/>
              <w:rPr>
                <w:sz w:val="20"/>
                <w:szCs w:val="20"/>
                <w:color w:val="auto"/>
              </w:rPr>
            </w:pPr>
            <w:r>
              <w:rPr>
                <w:rFonts w:ascii="Arial" w:cs="Arial" w:eastAsia="Arial" w:hAnsi="Arial"/>
                <w:sz w:val="17"/>
                <w:szCs w:val="17"/>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(0.02)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0.31</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0.43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loss from discontinued operations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(0.02)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0.31</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0.43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40" w:hanging="438"/>
        <w:spacing w:after="0" w:line="278" w:lineRule="auto"/>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During 2013 and 2014, our Chemical Business encountered a number of significant issues including the impact on production relating to an explosion in one of our nitric acid plants at the El Dorado Facility in May 2012, which replacement construction is underway, a pipe rupture that damaged the ammonia plant at the Cherokee Facility in November 2012, unplanned downtime at the Cherokee Facility in December 2014, and numerous mechanical issues at the Pryor Facility, all resulting in lost production and significant adverse effect on 2013 and 2014 operating results.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1420"/>
          </w:cols>
          <w:pgMar w:left="240" w:top="441"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Supplementary Financial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Quarterly Financial Data (Unaudited) (continued)</w:t>
      </w:r>
    </w:p>
    <w:p>
      <w:pPr>
        <w:spacing w:after="0" w:line="148" w:lineRule="exact"/>
        <w:rPr>
          <w:sz w:val="20"/>
          <w:szCs w:val="20"/>
          <w:color w:val="auto"/>
        </w:rPr>
      </w:pPr>
    </w:p>
    <w:p>
      <w:pPr>
        <w:ind w:left="440" w:hanging="438"/>
        <w:spacing w:after="0"/>
        <w:tabs>
          <w:tab w:leader="none" w:pos="4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following items increased (decreased) gross profit and income from continuing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7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88"/>
              </w:rPr>
              <w:t>June 30</w:t>
            </w:r>
          </w:p>
        </w:tc>
        <w:tc>
          <w:tcPr>
            <w:tcW w:w="180" w:type="dxa"/>
            <w:vAlign w:val="bottom"/>
          </w:tcPr>
          <w:p>
            <w:pPr>
              <w:spacing w:after="0"/>
              <w:rPr>
                <w:sz w:val="13"/>
                <w:szCs w:val="13"/>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2"/>
              </w:rPr>
              <w:t>September 30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5"/>
          </w:tcPr>
          <w:p>
            <w:pPr>
              <w:jc w:val="center"/>
              <w:ind w:right="720"/>
              <w:spacing w:after="0" w:line="133" w:lineRule="exact"/>
              <w:rPr>
                <w:sz w:val="20"/>
                <w:szCs w:val="20"/>
                <w:color w:val="auto"/>
              </w:rPr>
            </w:pPr>
            <w:r>
              <w:rPr>
                <w:rFonts w:ascii="Arial" w:cs="Arial" w:eastAsia="Arial" w:hAnsi="Arial"/>
                <w:sz w:val="14"/>
                <w:szCs w:val="14"/>
                <w:color w:val="auto"/>
                <w:w w:val="87"/>
              </w:rPr>
              <w:t>(In Thousands)</w:t>
            </w: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Business interruption insurance recoveries: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jc w:val="right"/>
              <w:ind w:right="5295"/>
              <w:spacing w:after="0"/>
              <w:rPr>
                <w:sz w:val="20"/>
                <w:szCs w:val="20"/>
                <w:color w:val="auto"/>
              </w:rPr>
            </w:pPr>
            <w:r>
              <w:rPr>
                <w:rFonts w:ascii="Arial" w:cs="Arial" w:eastAsia="Arial" w:hAnsi="Arial"/>
                <w:sz w:val="17"/>
                <w:szCs w:val="17"/>
                <w:color w:val="auto"/>
              </w:rPr>
              <w:t>2014</w:t>
            </w:r>
          </w:p>
        </w:tc>
        <w:tc>
          <w:tcPr>
            <w:tcW w:w="1240" w:type="dxa"/>
            <w:vAlign w:val="bottom"/>
            <w:gridSpan w:val="2"/>
          </w:tcPr>
          <w:p>
            <w:pPr>
              <w:ind w:left="1140"/>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22,836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52"/>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jc w:val="right"/>
              <w:ind w:right="5295"/>
              <w:spacing w:after="0" w:line="194" w:lineRule="exact"/>
              <w:rPr>
                <w:sz w:val="20"/>
                <w:szCs w:val="20"/>
                <w:color w:val="auto"/>
              </w:rPr>
            </w:pPr>
            <w:r>
              <w:rPr>
                <w:rFonts w:ascii="Arial" w:cs="Arial" w:eastAsia="Arial" w:hAnsi="Arial"/>
                <w:sz w:val="17"/>
                <w:szCs w:val="17"/>
                <w:color w:val="auto"/>
              </w:rPr>
              <w:t>2013</w:t>
            </w:r>
          </w:p>
        </w:tc>
        <w:tc>
          <w:tcPr>
            <w:tcW w:w="1240" w:type="dxa"/>
            <w:vAlign w:val="bottom"/>
            <w:gridSpan w:val="2"/>
            <w:shd w:val="clear" w:color="auto" w:fill="CCEEFF"/>
          </w:tcPr>
          <w:p>
            <w:pPr>
              <w:ind w:left="1140"/>
              <w:spacing w:after="0" w:line="194" w:lineRule="exact"/>
              <w:rPr>
                <w:sz w:val="20"/>
                <w:szCs w:val="20"/>
                <w:color w:val="auto"/>
              </w:rPr>
            </w:pPr>
            <w:r>
              <w:rPr>
                <w:rFonts w:ascii="Arial" w:cs="Arial" w:eastAsia="Arial" w:hAnsi="Arial"/>
                <w:sz w:val="17"/>
                <w:szCs w:val="17"/>
                <w:u w:val="single" w:color="auto"/>
                <w:color w:val="auto"/>
                <w:w w:val="84"/>
              </w:rPr>
              <w:t>$</w:t>
            </w:r>
          </w:p>
        </w:tc>
        <w:tc>
          <w:tcPr>
            <w:tcW w:w="7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w w:val="84"/>
              </w:rPr>
              <w:t>10,810</w:t>
            </w:r>
          </w:p>
        </w:tc>
        <w:tc>
          <w:tcPr>
            <w:tcW w:w="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72"/>
              <w:spacing w:after="0" w:line="194" w:lineRule="exact"/>
              <w:rPr>
                <w:sz w:val="20"/>
                <w:szCs w:val="20"/>
                <w:color w:val="auto"/>
              </w:rPr>
            </w:pPr>
            <w:r>
              <w:rPr>
                <w:rFonts w:ascii="Arial" w:cs="Arial" w:eastAsia="Arial" w:hAnsi="Arial"/>
                <w:sz w:val="17"/>
                <w:szCs w:val="17"/>
                <w:color w:val="auto"/>
                <w:w w:val="98"/>
              </w:rPr>
              <w:t>3,400</w:t>
            </w:r>
          </w:p>
        </w:tc>
        <w:tc>
          <w:tcPr>
            <w:tcW w:w="400" w:type="dxa"/>
            <w:vAlign w:val="bottom"/>
            <w:gridSpan w:val="2"/>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4,227</w:t>
            </w: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10,203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Undesignated commodities contracts: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6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jc w:val="right"/>
              <w:ind w:right="5295"/>
              <w:spacing w:after="0"/>
              <w:rPr>
                <w:sz w:val="20"/>
                <w:szCs w:val="20"/>
                <w:color w:val="auto"/>
              </w:rPr>
            </w:pPr>
            <w:r>
              <w:rPr>
                <w:rFonts w:ascii="Arial" w:cs="Arial" w:eastAsia="Arial" w:hAnsi="Arial"/>
                <w:sz w:val="17"/>
                <w:szCs w:val="17"/>
                <w:color w:val="auto"/>
              </w:rPr>
              <w:t>2014</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7"/>
                <w:szCs w:val="17"/>
                <w:color w:val="auto"/>
              </w:rPr>
              <w:t>(105)</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(3,095)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5295"/>
              <w:spacing w:after="0"/>
              <w:rPr>
                <w:sz w:val="20"/>
                <w:szCs w:val="20"/>
                <w:color w:val="auto"/>
              </w:rPr>
            </w:pPr>
            <w:r>
              <w:rPr>
                <w:rFonts w:ascii="Arial" w:cs="Arial" w:eastAsia="Arial" w:hAnsi="Arial"/>
                <w:sz w:val="17"/>
                <w:szCs w:val="17"/>
                <w:color w:val="auto"/>
              </w:rPr>
              <w:t>2013</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gridSpan w:val="2"/>
            <w:vMerge w:val="continue"/>
          </w:tcPr>
          <w:p>
            <w:pPr>
              <w:spacing w:after="0"/>
              <w:rPr>
                <w:sz w:val="16"/>
                <w:szCs w:val="16"/>
                <w:color w:val="auto"/>
              </w:rPr>
            </w:pPr>
          </w:p>
        </w:tc>
        <w:tc>
          <w:tcPr>
            <w:tcW w:w="1240" w:type="dxa"/>
            <w:vAlign w:val="bottom"/>
            <w:gridSpan w:val="2"/>
          </w:tcPr>
          <w:p>
            <w:pPr>
              <w:ind w:left="1140"/>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(162)</w:t>
            </w:r>
          </w:p>
        </w:tc>
        <w:tc>
          <w:tcPr>
            <w:tcW w:w="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2"/>
              <w:spacing w:after="0" w:line="194" w:lineRule="exact"/>
              <w:rPr>
                <w:sz w:val="20"/>
                <w:szCs w:val="20"/>
                <w:color w:val="auto"/>
              </w:rPr>
            </w:pPr>
            <w:r>
              <w:rPr>
                <w:rFonts w:ascii="Arial" w:cs="Arial" w:eastAsia="Arial" w:hAnsi="Arial"/>
                <w:sz w:val="17"/>
                <w:szCs w:val="17"/>
                <w:color w:val="auto"/>
              </w:rPr>
              <w:t>(113)</w:t>
            </w:r>
          </w:p>
        </w:tc>
        <w:tc>
          <w:tcPr>
            <w:tcW w:w="40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31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Turnaround costs: (A)</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jc w:val="right"/>
              <w:ind w:right="5295"/>
              <w:spacing w:after="0"/>
              <w:rPr>
                <w:sz w:val="20"/>
                <w:szCs w:val="20"/>
                <w:color w:val="auto"/>
              </w:rPr>
            </w:pPr>
            <w:r>
              <w:rPr>
                <w:rFonts w:ascii="Arial" w:cs="Arial" w:eastAsia="Arial" w:hAnsi="Arial"/>
                <w:sz w:val="17"/>
                <w:szCs w:val="17"/>
                <w:color w:val="auto"/>
              </w:rPr>
              <w:t>2014</w:t>
            </w:r>
          </w:p>
        </w:tc>
        <w:tc>
          <w:tcPr>
            <w:tcW w:w="1240" w:type="dxa"/>
            <w:vAlign w:val="bottom"/>
            <w:gridSpan w:val="2"/>
          </w:tcPr>
          <w:p>
            <w:pPr>
              <w:ind w:left="114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(330)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7"/>
                <w:szCs w:val="17"/>
                <w:color w:val="auto"/>
              </w:rPr>
              <w:t>(840)</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(5,215)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jc w:val="right"/>
              <w:ind w:right="5295"/>
              <w:spacing w:after="0" w:line="194" w:lineRule="exact"/>
              <w:rPr>
                <w:sz w:val="20"/>
                <w:szCs w:val="20"/>
                <w:color w:val="auto"/>
              </w:rPr>
            </w:pPr>
            <w:r>
              <w:rPr>
                <w:rFonts w:ascii="Arial" w:cs="Arial" w:eastAsia="Arial" w:hAnsi="Arial"/>
                <w:sz w:val="17"/>
                <w:szCs w:val="17"/>
                <w:color w:val="auto"/>
              </w:rPr>
              <w:t>2013</w:t>
            </w:r>
          </w:p>
        </w:tc>
        <w:tc>
          <w:tcPr>
            <w:tcW w:w="1240" w:type="dxa"/>
            <w:vAlign w:val="bottom"/>
            <w:gridSpan w:val="2"/>
            <w:shd w:val="clear" w:color="auto" w:fill="CCEEFF"/>
          </w:tcPr>
          <w:p>
            <w:pPr>
              <w:ind w:left="1140"/>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w w:val="92"/>
              </w:rPr>
              <w:t>(1,587)</w:t>
            </w:r>
          </w:p>
        </w:tc>
        <w:tc>
          <w:tcPr>
            <w:tcW w:w="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680" w:type="dxa"/>
            <w:vAlign w:val="bottom"/>
            <w:gridSpan w:val="2"/>
            <w:shd w:val="clear" w:color="auto" w:fill="CCEEFF"/>
          </w:tcPr>
          <w:p>
            <w:pPr>
              <w:jc w:val="right"/>
              <w:ind w:right="112"/>
              <w:spacing w:after="0" w:line="194" w:lineRule="exact"/>
              <w:rPr>
                <w:sz w:val="20"/>
                <w:szCs w:val="20"/>
                <w:color w:val="auto"/>
              </w:rPr>
            </w:pPr>
            <w:r>
              <w:rPr>
                <w:rFonts w:ascii="Arial" w:cs="Arial" w:eastAsia="Arial" w:hAnsi="Arial"/>
                <w:sz w:val="17"/>
                <w:szCs w:val="17"/>
                <w:color w:val="auto"/>
                <w:w w:val="89"/>
              </w:rPr>
              <w:t>(1,398)</w:t>
            </w:r>
          </w:p>
        </w:tc>
        <w:tc>
          <w:tcPr>
            <w:tcW w:w="400" w:type="dxa"/>
            <w:vAlign w:val="bottom"/>
            <w:gridSpan w:val="2"/>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(2,112)</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Precious metals recoveries: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6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jc w:val="right"/>
              <w:ind w:right="5295"/>
              <w:spacing w:after="0"/>
              <w:rPr>
                <w:sz w:val="20"/>
                <w:szCs w:val="20"/>
                <w:color w:val="auto"/>
              </w:rPr>
            </w:pPr>
            <w:r>
              <w:rPr>
                <w:rFonts w:ascii="Arial" w:cs="Arial" w:eastAsia="Arial" w:hAnsi="Arial"/>
                <w:sz w:val="17"/>
                <w:szCs w:val="17"/>
                <w:color w:val="auto"/>
              </w:rPr>
              <w:t>2013</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52"/>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4,493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(3)  The following items increased income from continuing operations: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0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Property insurance recoveries: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jc w:val="right"/>
              <w:ind w:right="5295"/>
              <w:spacing w:after="0"/>
              <w:rPr>
                <w:sz w:val="20"/>
                <w:szCs w:val="20"/>
                <w:color w:val="auto"/>
              </w:rPr>
            </w:pPr>
            <w:r>
              <w:rPr>
                <w:rFonts w:ascii="Arial" w:cs="Arial" w:eastAsia="Arial" w:hAnsi="Arial"/>
                <w:sz w:val="17"/>
                <w:szCs w:val="17"/>
                <w:color w:val="auto"/>
              </w:rPr>
              <w:t>2014</w:t>
            </w:r>
          </w:p>
        </w:tc>
        <w:tc>
          <w:tcPr>
            <w:tcW w:w="1240" w:type="dxa"/>
            <w:vAlign w:val="bottom"/>
            <w:gridSpan w:val="2"/>
          </w:tcPr>
          <w:p>
            <w:pPr>
              <w:ind w:left="114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5,147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52"/>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jc w:val="right"/>
              <w:ind w:right="5295"/>
              <w:spacing w:after="0" w:line="194" w:lineRule="exact"/>
              <w:rPr>
                <w:sz w:val="20"/>
                <w:szCs w:val="20"/>
                <w:color w:val="auto"/>
              </w:rPr>
            </w:pPr>
            <w:r>
              <w:rPr>
                <w:rFonts w:ascii="Arial" w:cs="Arial" w:eastAsia="Arial" w:hAnsi="Arial"/>
                <w:sz w:val="17"/>
                <w:szCs w:val="17"/>
                <w:color w:val="auto"/>
              </w:rPr>
              <w:t>2013</w:t>
            </w:r>
          </w:p>
        </w:tc>
        <w:tc>
          <w:tcPr>
            <w:tcW w:w="1240" w:type="dxa"/>
            <w:vAlign w:val="bottom"/>
            <w:gridSpan w:val="2"/>
            <w:shd w:val="clear" w:color="auto" w:fill="CCEEFF"/>
          </w:tcPr>
          <w:p>
            <w:pPr>
              <w:ind w:left="1140"/>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52"/>
              <w:spacing w:after="0" w:line="194"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255</w:t>
            </w: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66,000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(4)  The following item decreased income from continuing operations: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0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Fees and expenses relating to certain activist shareholders’ proposals: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jc w:val="right"/>
              <w:ind w:right="5295"/>
              <w:spacing w:after="0"/>
              <w:rPr>
                <w:sz w:val="20"/>
                <w:szCs w:val="20"/>
                <w:color w:val="auto"/>
              </w:rPr>
            </w:pPr>
            <w:r>
              <w:rPr>
                <w:rFonts w:ascii="Arial" w:cs="Arial" w:eastAsia="Arial" w:hAnsi="Arial"/>
                <w:sz w:val="17"/>
                <w:szCs w:val="17"/>
                <w:color w:val="auto"/>
              </w:rPr>
              <w:t>2014</w:t>
            </w:r>
          </w:p>
        </w:tc>
        <w:tc>
          <w:tcPr>
            <w:tcW w:w="1240" w:type="dxa"/>
            <w:vAlign w:val="bottom"/>
            <w:gridSpan w:val="2"/>
          </w:tcPr>
          <w:p>
            <w:pPr>
              <w:ind w:left="114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4,163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52"/>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Interest expense, net: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jc w:val="right"/>
              <w:ind w:right="5295"/>
              <w:spacing w:after="0"/>
              <w:rPr>
                <w:sz w:val="20"/>
                <w:szCs w:val="20"/>
                <w:color w:val="auto"/>
              </w:rPr>
            </w:pPr>
            <w:r>
              <w:rPr>
                <w:rFonts w:ascii="Arial" w:cs="Arial" w:eastAsia="Arial" w:hAnsi="Arial"/>
                <w:sz w:val="17"/>
                <w:szCs w:val="17"/>
                <w:color w:val="auto"/>
              </w:rPr>
              <w:t>2014</w:t>
            </w:r>
          </w:p>
        </w:tc>
        <w:tc>
          <w:tcPr>
            <w:tcW w:w="1240" w:type="dxa"/>
            <w:vAlign w:val="bottom"/>
            <w:gridSpan w:val="2"/>
          </w:tcPr>
          <w:p>
            <w:pPr>
              <w:ind w:left="114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6,708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72"/>
              <w:spacing w:after="0"/>
              <w:rPr>
                <w:sz w:val="20"/>
                <w:szCs w:val="20"/>
                <w:color w:val="auto"/>
              </w:rPr>
            </w:pPr>
            <w:r>
              <w:rPr>
                <w:rFonts w:ascii="Arial" w:cs="Arial" w:eastAsia="Arial" w:hAnsi="Arial"/>
                <w:sz w:val="17"/>
                <w:szCs w:val="17"/>
                <w:color w:val="auto"/>
                <w:w w:val="98"/>
              </w:rPr>
              <w:t>5,671</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5,079</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4,141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jc w:val="right"/>
              <w:ind w:right="5295"/>
              <w:spacing w:after="0" w:line="194" w:lineRule="exact"/>
              <w:rPr>
                <w:sz w:val="20"/>
                <w:szCs w:val="20"/>
                <w:color w:val="auto"/>
              </w:rPr>
            </w:pPr>
            <w:r>
              <w:rPr>
                <w:rFonts w:ascii="Arial" w:cs="Arial" w:eastAsia="Arial" w:hAnsi="Arial"/>
                <w:sz w:val="17"/>
                <w:szCs w:val="17"/>
                <w:color w:val="auto"/>
              </w:rPr>
              <w:t>2013</w:t>
            </w:r>
          </w:p>
        </w:tc>
        <w:tc>
          <w:tcPr>
            <w:tcW w:w="1240" w:type="dxa"/>
            <w:vAlign w:val="bottom"/>
            <w:gridSpan w:val="2"/>
            <w:shd w:val="clear" w:color="auto" w:fill="CCEEFF"/>
          </w:tcPr>
          <w:p>
            <w:pPr>
              <w:ind w:left="1140"/>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731</w:t>
            </w:r>
          </w:p>
        </w:tc>
        <w:tc>
          <w:tcPr>
            <w:tcW w:w="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72"/>
              <w:spacing w:after="0" w:line="194" w:lineRule="exact"/>
              <w:rPr>
                <w:sz w:val="20"/>
                <w:szCs w:val="20"/>
                <w:color w:val="auto"/>
              </w:rPr>
            </w:pPr>
            <w:r>
              <w:rPr>
                <w:rFonts w:ascii="Arial" w:cs="Arial" w:eastAsia="Arial" w:hAnsi="Arial"/>
                <w:sz w:val="17"/>
                <w:szCs w:val="17"/>
                <w:color w:val="auto"/>
              </w:rPr>
              <w:t>536</w:t>
            </w:r>
          </w:p>
        </w:tc>
        <w:tc>
          <w:tcPr>
            <w:tcW w:w="400" w:type="dxa"/>
            <w:vAlign w:val="bottom"/>
            <w:gridSpan w:val="2"/>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5,395</w:t>
            </w: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7,324</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8"/>
        <w:spacing w:after="0"/>
        <w:tabs>
          <w:tab w:leader="none" w:pos="4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Turnaround costs do not include the impact on operating results relating to lost absorption or reduced margins due to the associated plants being shut down.</w:t>
      </w:r>
    </w:p>
    <w:p>
      <w:pPr>
        <w:spacing w:after="0" w:line="170" w:lineRule="exact"/>
        <w:rPr>
          <w:rFonts w:ascii="Arial" w:cs="Arial" w:eastAsia="Arial" w:hAnsi="Arial"/>
          <w:sz w:val="15"/>
          <w:szCs w:val="15"/>
          <w:color w:val="auto"/>
        </w:rPr>
      </w:pPr>
    </w:p>
    <w:p>
      <w:pPr>
        <w:ind w:left="5560"/>
        <w:spacing w:after="0"/>
        <w:rPr>
          <w:rFonts w:ascii="Arial" w:cs="Arial" w:eastAsia="Arial" w:hAnsi="Arial"/>
          <w:sz w:val="15"/>
          <w:szCs w:val="15"/>
          <w:color w:val="auto"/>
        </w:rPr>
      </w:pPr>
      <w:r>
        <w:rPr>
          <w:rFonts w:ascii="Arial" w:cs="Arial" w:eastAsia="Arial" w:hAnsi="Arial"/>
          <w:sz w:val="17"/>
          <w:szCs w:val="17"/>
          <w:color w:val="auto"/>
        </w:rPr>
        <w:t>F-48</w:t>
      </w:r>
    </w:p>
    <w:p>
      <w:pPr>
        <w:sectPr>
          <w:pgSz w:w="11900" w:h="16838" w:orient="portrait"/>
          <w:cols w:equalWidth="0" w:num="1">
            <w:col w:w="11420"/>
          </w:cols>
          <w:pgMar w:left="240" w:top="441"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II - Valuation and Qualifying Accounts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Years ended December 31, 2014, 2013, and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Additions-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3"/>
          </w:tcPr>
          <w:p>
            <w:pPr>
              <w:jc w:val="center"/>
              <w:ind w:right="340"/>
              <w:spacing w:after="0" w:line="140" w:lineRule="exact"/>
              <w:rPr>
                <w:sz w:val="20"/>
                <w:szCs w:val="20"/>
                <w:color w:val="auto"/>
              </w:rPr>
            </w:pPr>
            <w:r>
              <w:rPr>
                <w:rFonts w:ascii="Arial" w:cs="Arial" w:eastAsia="Arial" w:hAnsi="Arial"/>
                <w:sz w:val="14"/>
                <w:szCs w:val="14"/>
                <w:b w:val="1"/>
                <w:bCs w:val="1"/>
                <w:color w:val="auto"/>
                <w:w w:val="84"/>
              </w:rPr>
              <w:t>Charges to</w:t>
            </w:r>
          </w:p>
        </w:tc>
        <w:tc>
          <w:tcPr>
            <w:tcW w:w="300" w:type="dxa"/>
            <w:vAlign w:val="bottom"/>
          </w:tcPr>
          <w:p>
            <w:pPr>
              <w:spacing w:after="0"/>
              <w:rPr>
                <w:sz w:val="12"/>
                <w:szCs w:val="12"/>
                <w:color w:val="auto"/>
              </w:rPr>
            </w:pPr>
          </w:p>
        </w:tc>
        <w:tc>
          <w:tcPr>
            <w:tcW w:w="10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80" w:type="dxa"/>
            <w:vAlign w:val="bottom"/>
            <w:gridSpan w:val="3"/>
          </w:tcPr>
          <w:p>
            <w:pPr>
              <w:jc w:val="center"/>
              <w:ind w:right="660"/>
              <w:spacing w:after="0" w:line="140" w:lineRule="exact"/>
              <w:rPr>
                <w:sz w:val="20"/>
                <w:szCs w:val="20"/>
                <w:color w:val="auto"/>
              </w:rPr>
            </w:pPr>
            <w:r>
              <w:rPr>
                <w:rFonts w:ascii="Arial" w:cs="Arial" w:eastAsia="Arial" w:hAnsi="Arial"/>
                <w:sz w:val="14"/>
                <w:szCs w:val="14"/>
                <w:b w:val="1"/>
                <w:bCs w:val="1"/>
                <w:color w:val="auto"/>
                <w:w w:val="85"/>
              </w:rPr>
              <w:t>Balance at</w:t>
            </w:r>
          </w:p>
        </w:tc>
        <w:tc>
          <w:tcPr>
            <w:tcW w:w="11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(Recovery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95"/>
              </w:rPr>
              <w:t>Write-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(1)</w:t>
            </w:r>
          </w:p>
        </w:tc>
        <w:tc>
          <w:tcPr>
            <w:tcW w:w="138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Beginning of</w:t>
            </w:r>
          </w:p>
        </w:tc>
        <w:tc>
          <w:tcPr>
            <w:tcW w:w="80" w:type="dxa"/>
            <w:vAlign w:val="bottom"/>
          </w:tcPr>
          <w:p>
            <w:pPr>
              <w:spacing w:after="0"/>
              <w:rPr>
                <w:sz w:val="12"/>
                <w:szCs w:val="12"/>
                <w:color w:val="auto"/>
              </w:rPr>
            </w:pPr>
          </w:p>
        </w:tc>
        <w:tc>
          <w:tcPr>
            <w:tcW w:w="104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2"/>
              </w:rPr>
              <w:t>Costs and</w:t>
            </w:r>
          </w:p>
        </w:tc>
        <w:tc>
          <w:tcPr>
            <w:tcW w:w="300" w:type="dxa"/>
            <w:vAlign w:val="bottom"/>
          </w:tcPr>
          <w:p>
            <w:pPr>
              <w:spacing w:after="0"/>
              <w:rPr>
                <w:sz w:val="12"/>
                <w:szCs w:val="12"/>
                <w:color w:val="auto"/>
              </w:rPr>
            </w:pPr>
          </w:p>
        </w:tc>
        <w:tc>
          <w:tcPr>
            <w:tcW w:w="1020" w:type="dxa"/>
            <w:vAlign w:val="bottom"/>
            <w:gridSpan w:val="3"/>
          </w:tcPr>
          <w:p>
            <w:pPr>
              <w:jc w:val="center"/>
              <w:ind w:right="340"/>
              <w:spacing w:after="0" w:line="140" w:lineRule="exact"/>
              <w:rPr>
                <w:sz w:val="20"/>
                <w:szCs w:val="20"/>
                <w:color w:val="auto"/>
              </w:rPr>
            </w:pPr>
            <w:r>
              <w:rPr>
                <w:rFonts w:ascii="Arial" w:cs="Arial" w:eastAsia="Arial" w:hAnsi="Arial"/>
                <w:sz w:val="14"/>
                <w:szCs w:val="14"/>
                <w:b w:val="1"/>
                <w:bCs w:val="1"/>
                <w:color w:val="auto"/>
                <w:w w:val="81"/>
              </w:rPr>
              <w:t>offs/Costs</w:t>
            </w:r>
          </w:p>
        </w:tc>
        <w:tc>
          <w:tcPr>
            <w:tcW w:w="300" w:type="dxa"/>
            <w:vAlign w:val="bottom"/>
          </w:tcPr>
          <w:p>
            <w:pPr>
              <w:spacing w:after="0"/>
              <w:rPr>
                <w:sz w:val="12"/>
                <w:szCs w:val="12"/>
                <w:color w:val="auto"/>
              </w:rPr>
            </w:pPr>
          </w:p>
        </w:tc>
        <w:tc>
          <w:tcPr>
            <w:tcW w:w="98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60"/>
        </w:trPr>
        <w:tc>
          <w:tcPr>
            <w:tcW w:w="6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Expenses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Incurred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Accounts receivable - allowance for doubtful accounts: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96"/>
              <w:spacing w:after="0"/>
              <w:rPr>
                <w:sz w:val="20"/>
                <w:szCs w:val="20"/>
                <w:color w:val="auto"/>
              </w:rPr>
            </w:pPr>
            <w:r>
              <w:rPr>
                <w:rFonts w:ascii="Arial" w:cs="Arial" w:eastAsia="Arial" w:hAnsi="Arial"/>
                <w:sz w:val="17"/>
                <w:szCs w:val="17"/>
                <w:color w:val="auto"/>
              </w:rPr>
              <w:t>2014</w:t>
            </w:r>
          </w:p>
        </w:tc>
        <w:tc>
          <w:tcPr>
            <w:tcW w:w="54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827</w:t>
            </w:r>
          </w:p>
        </w:tc>
        <w:tc>
          <w:tcPr>
            <w:tcW w:w="6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rPr>
                <w:sz w:val="20"/>
                <w:szCs w:val="20"/>
                <w:color w:val="auto"/>
              </w:rPr>
            </w:pPr>
            <w:r>
              <w:rPr>
                <w:rFonts w:ascii="Arial" w:cs="Arial" w:eastAsia="Arial" w:hAnsi="Arial"/>
                <w:sz w:val="17"/>
                <w:szCs w:val="17"/>
                <w:color w:val="auto"/>
              </w:rPr>
              <w:t>134</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135</w:t>
            </w: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rPr>
              <w:t>2013</w:t>
            </w:r>
          </w:p>
        </w:tc>
        <w:tc>
          <w:tcPr>
            <w:tcW w:w="5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636</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84"/>
              </w:rPr>
              <w:t>478</w:t>
            </w:r>
          </w:p>
        </w:tc>
        <w:tc>
          <w:tcPr>
            <w:tcW w:w="3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287</w:t>
            </w:r>
          </w:p>
        </w:tc>
        <w:tc>
          <w:tcPr>
            <w:tcW w:w="46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96"/>
              <w:spacing w:after="0"/>
              <w:rPr>
                <w:sz w:val="20"/>
                <w:szCs w:val="20"/>
                <w:color w:val="auto"/>
              </w:rPr>
            </w:pPr>
            <w:r>
              <w:rPr>
                <w:rFonts w:ascii="Arial" w:cs="Arial" w:eastAsia="Arial" w:hAnsi="Arial"/>
                <w:sz w:val="17"/>
                <w:szCs w:val="17"/>
                <w:color w:val="auto"/>
              </w:rPr>
              <w:t>2012</w:t>
            </w: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vMerge w:val="continue"/>
          </w:tcPr>
          <w:p>
            <w:pPr>
              <w:spacing w:after="0"/>
              <w:rPr>
                <w:sz w:val="16"/>
                <w:szCs w:val="16"/>
                <w:color w:val="auto"/>
              </w:rPr>
            </w:pPr>
          </w:p>
        </w:tc>
        <w:tc>
          <w:tcPr>
            <w:tcW w:w="5460" w:type="dxa"/>
            <w:vAlign w:val="bottom"/>
          </w:tcPr>
          <w:p>
            <w:pPr>
              <w:spacing w:after="0"/>
              <w:rPr>
                <w:sz w:val="16"/>
                <w:szCs w:val="16"/>
                <w:color w:val="auto"/>
              </w:rPr>
            </w:pP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955</w:t>
            </w:r>
          </w:p>
        </w:tc>
        <w:tc>
          <w:tcPr>
            <w:tcW w:w="6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(214)</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105</w:t>
            </w:r>
          </w:p>
        </w:tc>
        <w:tc>
          <w:tcPr>
            <w:tcW w:w="46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636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Inventory-reserve for slow-moving items: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96"/>
              <w:spacing w:after="0"/>
              <w:rPr>
                <w:sz w:val="20"/>
                <w:szCs w:val="20"/>
                <w:color w:val="auto"/>
              </w:rPr>
            </w:pPr>
            <w:r>
              <w:rPr>
                <w:rFonts w:ascii="Arial" w:cs="Arial" w:eastAsia="Arial" w:hAnsi="Arial"/>
                <w:sz w:val="17"/>
                <w:szCs w:val="17"/>
                <w:color w:val="auto"/>
              </w:rPr>
              <w:t>2014</w:t>
            </w:r>
          </w:p>
        </w:tc>
        <w:tc>
          <w:tcPr>
            <w:tcW w:w="54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1,389</w:t>
            </w:r>
          </w:p>
        </w:tc>
        <w:tc>
          <w:tcPr>
            <w:tcW w:w="6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rPr>
                <w:sz w:val="20"/>
                <w:szCs w:val="20"/>
                <w:color w:val="auto"/>
              </w:rPr>
            </w:pPr>
            <w:r>
              <w:rPr>
                <w:rFonts w:ascii="Arial" w:cs="Arial" w:eastAsia="Arial" w:hAnsi="Arial"/>
                <w:sz w:val="17"/>
                <w:szCs w:val="17"/>
                <w:color w:val="auto"/>
              </w:rPr>
              <w:t>325</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61</w:t>
            </w: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1,653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rPr>
              <w:t>2013</w:t>
            </w:r>
          </w:p>
        </w:tc>
        <w:tc>
          <w:tcPr>
            <w:tcW w:w="5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1,818</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w w:val="84"/>
              </w:rPr>
              <w:t>249</w:t>
            </w:r>
          </w:p>
        </w:tc>
        <w:tc>
          <w:tcPr>
            <w:tcW w:w="3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678</w:t>
            </w:r>
          </w:p>
        </w:tc>
        <w:tc>
          <w:tcPr>
            <w:tcW w:w="46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1,389</w:t>
            </w: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96"/>
              <w:spacing w:after="0"/>
              <w:rPr>
                <w:sz w:val="20"/>
                <w:szCs w:val="20"/>
                <w:color w:val="auto"/>
              </w:rPr>
            </w:pPr>
            <w:r>
              <w:rPr>
                <w:rFonts w:ascii="Arial" w:cs="Arial" w:eastAsia="Arial" w:hAnsi="Arial"/>
                <w:sz w:val="17"/>
                <w:szCs w:val="17"/>
                <w:color w:val="auto"/>
              </w:rPr>
              <w:t>2012</w:t>
            </w: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vMerge w:val="continue"/>
          </w:tcPr>
          <w:p>
            <w:pPr>
              <w:spacing w:after="0"/>
              <w:rPr>
                <w:sz w:val="16"/>
                <w:szCs w:val="16"/>
                <w:color w:val="auto"/>
              </w:rPr>
            </w:pPr>
          </w:p>
        </w:tc>
        <w:tc>
          <w:tcPr>
            <w:tcW w:w="5460" w:type="dxa"/>
            <w:vAlign w:val="bottom"/>
          </w:tcPr>
          <w:p>
            <w:pPr>
              <w:spacing w:after="0"/>
              <w:rPr>
                <w:sz w:val="16"/>
                <w:szCs w:val="16"/>
                <w:color w:val="auto"/>
              </w:rPr>
            </w:pP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1,767</w:t>
            </w:r>
          </w:p>
        </w:tc>
        <w:tc>
          <w:tcPr>
            <w:tcW w:w="6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line="194" w:lineRule="exact"/>
              <w:rPr>
                <w:sz w:val="20"/>
                <w:szCs w:val="20"/>
                <w:color w:val="auto"/>
              </w:rPr>
            </w:pPr>
            <w:r>
              <w:rPr>
                <w:rFonts w:ascii="Arial" w:cs="Arial" w:eastAsia="Arial" w:hAnsi="Arial"/>
                <w:sz w:val="17"/>
                <w:szCs w:val="17"/>
                <w:color w:val="auto"/>
              </w:rPr>
              <w:t>181</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130</w:t>
            </w:r>
          </w:p>
        </w:tc>
        <w:tc>
          <w:tcPr>
            <w:tcW w:w="46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1,818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Supplies-reserve for slow-moving items: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96"/>
              <w:spacing w:after="0"/>
              <w:rPr>
                <w:sz w:val="20"/>
                <w:szCs w:val="20"/>
                <w:color w:val="auto"/>
              </w:rPr>
            </w:pPr>
            <w:r>
              <w:rPr>
                <w:rFonts w:ascii="Arial" w:cs="Arial" w:eastAsia="Arial" w:hAnsi="Arial"/>
                <w:sz w:val="17"/>
                <w:szCs w:val="17"/>
                <w:color w:val="auto"/>
              </w:rPr>
              <w:t>2014</w:t>
            </w:r>
          </w:p>
        </w:tc>
        <w:tc>
          <w:tcPr>
            <w:tcW w:w="54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721</w:t>
            </w:r>
          </w:p>
        </w:tc>
        <w:tc>
          <w:tcPr>
            <w:tcW w:w="6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rPr>
                <w:sz w:val="20"/>
                <w:szCs w:val="20"/>
                <w:color w:val="auto"/>
              </w:rPr>
            </w:pPr>
            <w:r>
              <w:rPr>
                <w:rFonts w:ascii="Arial" w:cs="Arial" w:eastAsia="Arial" w:hAnsi="Arial"/>
                <w:sz w:val="17"/>
                <w:szCs w:val="17"/>
                <w:color w:val="auto"/>
              </w:rPr>
              <w:t>379</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172</w:t>
            </w: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rPr>
              <w:t>2013</w:t>
            </w:r>
          </w:p>
        </w:tc>
        <w:tc>
          <w:tcPr>
            <w:tcW w:w="5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722</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1</w:t>
            </w:r>
          </w:p>
        </w:tc>
        <w:tc>
          <w:tcPr>
            <w:tcW w:w="46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96"/>
              <w:spacing w:after="0"/>
              <w:rPr>
                <w:sz w:val="20"/>
                <w:szCs w:val="20"/>
                <w:color w:val="auto"/>
              </w:rPr>
            </w:pPr>
            <w:r>
              <w:rPr>
                <w:rFonts w:ascii="Arial" w:cs="Arial" w:eastAsia="Arial" w:hAnsi="Arial"/>
                <w:sz w:val="17"/>
                <w:szCs w:val="17"/>
                <w:color w:val="auto"/>
              </w:rPr>
              <w:t>2012</w:t>
            </w: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vMerge w:val="continue"/>
          </w:tcPr>
          <w:p>
            <w:pPr>
              <w:spacing w:after="0"/>
              <w:rPr>
                <w:sz w:val="16"/>
                <w:szCs w:val="16"/>
                <w:color w:val="auto"/>
              </w:rPr>
            </w:pPr>
          </w:p>
        </w:tc>
        <w:tc>
          <w:tcPr>
            <w:tcW w:w="5460" w:type="dxa"/>
            <w:vAlign w:val="bottom"/>
          </w:tcPr>
          <w:p>
            <w:pPr>
              <w:spacing w:after="0"/>
              <w:rPr>
                <w:sz w:val="16"/>
                <w:szCs w:val="16"/>
                <w:color w:val="auto"/>
              </w:rPr>
            </w:pP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899</w:t>
            </w:r>
          </w:p>
        </w:tc>
        <w:tc>
          <w:tcPr>
            <w:tcW w:w="6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c>
          <w:tcPr>
            <w:tcW w:w="340" w:type="dxa"/>
            <w:vAlign w:val="bottom"/>
          </w:tcPr>
          <w:p>
            <w:pPr>
              <w:spacing w:after="0"/>
              <w:rPr>
                <w:sz w:val="16"/>
                <w:szCs w:val="16"/>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189</w:t>
            </w:r>
          </w:p>
        </w:tc>
        <w:tc>
          <w:tcPr>
            <w:tcW w:w="46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receivable - allowance for doubtful accounts: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96"/>
              <w:spacing w:after="0"/>
              <w:rPr>
                <w:sz w:val="20"/>
                <w:szCs w:val="20"/>
                <w:color w:val="auto"/>
              </w:rPr>
            </w:pPr>
            <w:r>
              <w:rPr>
                <w:rFonts w:ascii="Arial" w:cs="Arial" w:eastAsia="Arial" w:hAnsi="Arial"/>
                <w:sz w:val="17"/>
                <w:szCs w:val="17"/>
                <w:color w:val="auto"/>
              </w:rPr>
              <w:t>2014</w:t>
            </w:r>
          </w:p>
        </w:tc>
        <w:tc>
          <w:tcPr>
            <w:tcW w:w="54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970</w:t>
            </w:r>
          </w:p>
        </w:tc>
        <w:tc>
          <w:tcPr>
            <w:tcW w:w="6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rPr>
              <w:t>2013</w:t>
            </w:r>
          </w:p>
        </w:tc>
        <w:tc>
          <w:tcPr>
            <w:tcW w:w="5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970</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96"/>
              <w:spacing w:after="0"/>
              <w:rPr>
                <w:sz w:val="20"/>
                <w:szCs w:val="20"/>
                <w:color w:val="auto"/>
              </w:rPr>
            </w:pPr>
            <w:r>
              <w:rPr>
                <w:rFonts w:ascii="Arial" w:cs="Arial" w:eastAsia="Arial" w:hAnsi="Arial"/>
                <w:sz w:val="17"/>
                <w:szCs w:val="17"/>
                <w:color w:val="auto"/>
              </w:rPr>
              <w:t>2012</w:t>
            </w: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vMerge w:val="continue"/>
          </w:tcPr>
          <w:p>
            <w:pPr>
              <w:spacing w:after="0"/>
              <w:rPr>
                <w:sz w:val="16"/>
                <w:szCs w:val="16"/>
                <w:color w:val="auto"/>
              </w:rPr>
            </w:pPr>
          </w:p>
        </w:tc>
        <w:tc>
          <w:tcPr>
            <w:tcW w:w="5460" w:type="dxa"/>
            <w:vAlign w:val="bottom"/>
          </w:tcPr>
          <w:p>
            <w:pPr>
              <w:spacing w:after="0"/>
              <w:rPr>
                <w:sz w:val="16"/>
                <w:szCs w:val="16"/>
                <w:color w:val="auto"/>
              </w:rPr>
            </w:pP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970</w:t>
            </w:r>
          </w:p>
        </w:tc>
        <w:tc>
          <w:tcPr>
            <w:tcW w:w="6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line="194" w:lineRule="exact"/>
              <w:rPr>
                <w:sz w:val="20"/>
                <w:szCs w:val="20"/>
                <w:color w:val="auto"/>
              </w:rPr>
            </w:pPr>
            <w:r>
              <w:rPr>
                <w:rFonts w:ascii="Arial" w:cs="Arial" w:eastAsia="Arial" w:hAnsi="Arial"/>
                <w:sz w:val="17"/>
                <w:szCs w:val="17"/>
                <w:color w:val="auto"/>
              </w:rPr>
              <w:t>—</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46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assets - valuation allowance: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96"/>
              <w:spacing w:after="0"/>
              <w:rPr>
                <w:sz w:val="20"/>
                <w:szCs w:val="20"/>
                <w:color w:val="auto"/>
              </w:rPr>
            </w:pPr>
            <w:r>
              <w:rPr>
                <w:rFonts w:ascii="Arial" w:cs="Arial" w:eastAsia="Arial" w:hAnsi="Arial"/>
                <w:sz w:val="17"/>
                <w:szCs w:val="17"/>
                <w:color w:val="auto"/>
              </w:rPr>
              <w:t>2014</w:t>
            </w:r>
          </w:p>
        </w:tc>
        <w:tc>
          <w:tcPr>
            <w:tcW w:w="54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298</w:t>
            </w:r>
          </w:p>
        </w:tc>
        <w:tc>
          <w:tcPr>
            <w:tcW w:w="6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6</w:t>
            </w: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rPr>
              <w:t>2013</w:t>
            </w:r>
          </w:p>
        </w:tc>
        <w:tc>
          <w:tcPr>
            <w:tcW w:w="5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273</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w:t>
            </w:r>
          </w:p>
        </w:tc>
        <w:tc>
          <w:tcPr>
            <w:tcW w:w="3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96"/>
              <w:spacing w:after="0"/>
              <w:rPr>
                <w:sz w:val="20"/>
                <w:szCs w:val="20"/>
                <w:color w:val="auto"/>
              </w:rPr>
            </w:pPr>
            <w:r>
              <w:rPr>
                <w:rFonts w:ascii="Arial" w:cs="Arial" w:eastAsia="Arial" w:hAnsi="Arial"/>
                <w:sz w:val="17"/>
                <w:szCs w:val="17"/>
                <w:color w:val="auto"/>
              </w:rPr>
              <w:t>2012</w:t>
            </w: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vMerge w:val="continue"/>
          </w:tcPr>
          <w:p>
            <w:pPr>
              <w:spacing w:after="0"/>
              <w:rPr>
                <w:sz w:val="16"/>
                <w:szCs w:val="16"/>
                <w:color w:val="auto"/>
              </w:rPr>
            </w:pPr>
          </w:p>
        </w:tc>
        <w:tc>
          <w:tcPr>
            <w:tcW w:w="5460" w:type="dxa"/>
            <w:vAlign w:val="bottom"/>
          </w:tcPr>
          <w:p>
            <w:pPr>
              <w:spacing w:after="0"/>
              <w:rPr>
                <w:sz w:val="16"/>
                <w:szCs w:val="16"/>
                <w:color w:val="auto"/>
              </w:rPr>
            </w:pPr>
          </w:p>
        </w:tc>
        <w:tc>
          <w:tcPr>
            <w:tcW w:w="16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344</w:t>
            </w:r>
          </w:p>
        </w:tc>
        <w:tc>
          <w:tcPr>
            <w:tcW w:w="6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40"/>
              <w:spacing w:after="0" w:line="194" w:lineRule="exact"/>
              <w:rPr>
                <w:sz w:val="20"/>
                <w:szCs w:val="20"/>
                <w:color w:val="auto"/>
              </w:rPr>
            </w:pPr>
            <w:r>
              <w:rPr>
                <w:rFonts w:ascii="Arial" w:cs="Arial" w:eastAsia="Arial" w:hAnsi="Arial"/>
                <w:sz w:val="17"/>
                <w:szCs w:val="17"/>
                <w:color w:val="auto"/>
              </w:rPr>
              <w:t>—</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71</w:t>
            </w:r>
          </w:p>
        </w:tc>
        <w:tc>
          <w:tcPr>
            <w:tcW w:w="46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8"/>
        <w:spacing w:after="0"/>
        <w:tabs>
          <w:tab w:leader="none" w:pos="4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Deducted in the consolidated balance sheet from the related assets to which the reserve applies.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Other valuation and qualifying accounts are detailed in our notes to consolidated financial statements.</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1420"/>
          </w:cols>
          <w:pgMar w:left="240" w:top="44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160655</wp:posOffset>
            </wp:positionV>
            <wp:extent cx="831215" cy="556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3121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16 SOUTH PENNSYLVANIA  •  POST OFFICE BOX 754  •  OKLAHOMA CITY, OK U.S.A. 73101  •  PHONE 405-235-4546  •  FAX 405-236-1209</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Dear Jack:</w:t>
      </w:r>
    </w:p>
    <w:p>
      <w:pPr>
        <w:spacing w:after="0" w:line="211"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The Board of Directors of LSB Industries, Inc. (“LSB” or “the Company”) has considered and recognizes the long standing contribution that you have made to LSB and its subsidiaries as LSB’s founder, president and Chairman of the Board. We have considered and reviewed your invaluable contributions to the Company in these various roles and your future value to LSB. In recognition of your contributions and importance to the Company, it is our purpose and goal to encourage you to always make your services available to LSB. To that end, we have met and agree to the following Agreement (“Agreement”). If you accept these terms and agree to the following, please sign and return the enclosed copy of this letter.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services, knowledge and contributions of Jack E. Golsen are considered of utmost value to LSB; and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Board of Directors desires to induce Jack E. Golsen to continue to make his services and knowledge available to LSB.</w:t>
      </w:r>
    </w:p>
    <w:p>
      <w:pPr>
        <w:spacing w:after="0" w:line="211"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NOW, THEREFORE, LSB Industries, Inc. hereby agrees to provide the following compensation and benefits to Jack E. Golsen (“Golsen”) for the term set forth below:</w:t>
      </w:r>
    </w:p>
    <w:p>
      <w:pPr>
        <w:spacing w:after="0" w:line="76" w:lineRule="exact"/>
        <w:rPr>
          <w:sz w:val="20"/>
          <w:szCs w:val="20"/>
          <w:color w:val="auto"/>
        </w:rPr>
      </w:pPr>
    </w:p>
    <w:p>
      <w:pPr>
        <w:ind w:left="440" w:right="60" w:hanging="438"/>
        <w:spacing w:after="0" w:line="261" w:lineRule="auto"/>
        <w:tabs>
          <w:tab w:leader="none" w:pos="44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commence immediately and shall continue for three years (“the Initial Three Year Term”). At the end of the Initial Three Year Term, this Agreement shall automatically extend for an additional three year period (the “Second Three Year Term”) unless terminated by either party by the giving of written notice at least one (1) year prior to the</w:t>
      </w:r>
    </w:p>
    <w:p>
      <w:pPr>
        <w:sectPr>
          <w:pgSz w:w="11900" w:h="16838" w:orient="portrait"/>
          <w:cols w:equalWidth="0" w:num="1">
            <w:col w:w="11420"/>
          </w:cols>
          <w:pgMar w:left="240" w:top="123"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36" w:lineRule="exact"/>
        <w:rPr>
          <w:sz w:val="20"/>
          <w:szCs w:val="20"/>
          <w:color w:val="auto"/>
        </w:rPr>
      </w:pPr>
    </w:p>
    <w:p>
      <w:pPr>
        <w:ind w:left="440" w:right="60"/>
        <w:spacing w:after="0" w:line="312" w:lineRule="auto"/>
        <w:rPr>
          <w:sz w:val="20"/>
          <w:szCs w:val="20"/>
          <w:color w:val="auto"/>
        </w:rPr>
      </w:pPr>
      <w:r>
        <w:rPr>
          <w:rFonts w:ascii="Arial" w:cs="Arial" w:eastAsia="Arial" w:hAnsi="Arial"/>
          <w:sz w:val="15"/>
          <w:szCs w:val="15"/>
          <w:color w:val="auto"/>
        </w:rPr>
        <w:t>termination of the Initial Three Year Term. At the end of the Second Three Year Term, this Agreement shall automatically extend for an additional three year period unless terminated by either party by the giving of written notice at least one (1) year prior to the termination of the Second Three Year Term (the “Third Three Year Term”). The Initial Three Year Term, Second Three Year Term, and Third Three Year Term shall collectively be referred to as the “Term”.</w:t>
      </w:r>
    </w:p>
    <w:p>
      <w:pPr>
        <w:spacing w:after="0" w:line="280" w:lineRule="exact"/>
        <w:rPr>
          <w:sz w:val="20"/>
          <w:szCs w:val="20"/>
          <w:color w:val="auto"/>
        </w:rPr>
      </w:pPr>
    </w:p>
    <w:p>
      <w:pPr>
        <w:ind w:left="440" w:hanging="438"/>
        <w:spacing w:after="0"/>
        <w:tabs>
          <w:tab w:leader="none" w:pos="44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900" w:right="120" w:hanging="454"/>
        <w:spacing w:after="0" w:line="297" w:lineRule="auto"/>
        <w:tabs>
          <w:tab w:leader="none" w:pos="900" w:val="left"/>
        </w:tabs>
        <w:numPr>
          <w:ilvl w:val="1"/>
          <w:numId w:val="66"/>
        </w:numPr>
        <w:rPr>
          <w:rFonts w:ascii="Arial" w:cs="Arial" w:eastAsia="Arial" w:hAnsi="Arial"/>
          <w:sz w:val="15"/>
          <w:szCs w:val="15"/>
          <w:color w:val="auto"/>
        </w:rPr>
      </w:pPr>
      <w:r>
        <w:rPr>
          <w:rFonts w:ascii="Arial" w:cs="Arial" w:eastAsia="Arial" w:hAnsi="Arial"/>
          <w:sz w:val="15"/>
          <w:szCs w:val="15"/>
          <w:color w:val="auto"/>
        </w:rPr>
        <w:t>The Company agrees to employ Golsen, and Golsen agrees to such employment, as an Executive Officer of the Company or such other position as is acceptable to Golsen in writing. For purposes of this Agreement, “Board Chairman” or “Chairman of the Executive Committee” shall be considered an Executive Officer. Golsen’s authority and duties shall be at least commensurate in all material respects with the most significant of those exercised by Golsen during the 12-month period immediately preceding the date of this Agreement. Golsen’s duties and services shall be performed at the location where he was employed by the Company immediately preceding the date of this Agreement or any other office or location satisfactory to Golsen.</w:t>
      </w:r>
    </w:p>
    <w:p>
      <w:pPr>
        <w:spacing w:after="0" w:line="63" w:lineRule="exact"/>
        <w:rPr>
          <w:rFonts w:ascii="Arial" w:cs="Arial" w:eastAsia="Arial" w:hAnsi="Arial"/>
          <w:sz w:val="15"/>
          <w:szCs w:val="15"/>
          <w:color w:val="auto"/>
        </w:rPr>
      </w:pPr>
    </w:p>
    <w:p>
      <w:pPr>
        <w:ind w:left="900" w:hanging="454"/>
        <w:spacing w:after="0" w:line="291" w:lineRule="auto"/>
        <w:tabs>
          <w:tab w:leader="none" w:pos="900" w:val="left"/>
        </w:tabs>
        <w:numPr>
          <w:ilvl w:val="1"/>
          <w:numId w:val="66"/>
        </w:numPr>
        <w:rPr>
          <w:rFonts w:ascii="Arial" w:cs="Arial" w:eastAsia="Arial" w:hAnsi="Arial"/>
          <w:sz w:val="15"/>
          <w:szCs w:val="15"/>
          <w:color w:val="auto"/>
        </w:rPr>
      </w:pPr>
      <w:r>
        <w:rPr>
          <w:rFonts w:ascii="Arial" w:cs="Arial" w:eastAsia="Arial" w:hAnsi="Arial"/>
          <w:sz w:val="15"/>
          <w:szCs w:val="15"/>
          <w:color w:val="auto"/>
        </w:rPr>
        <w:t>Excluding any periods of vacation and sick leave to which Golsen is entitled, Golsen agrees to devote reasonable attention and time to the business and affairs of the Company and, to the extent necessary and consistent with Section 2.a. above, to discharge the responsibilities assigned to him hereunder, to use reasonable efforts to perform faithfully and efficiently such responsibilities. It shall not be a violation of this Agreement for Golsen to (i) serve on corporate, civic or charitable boards or committees, (ii) deliver lectures, fulfill speaking engagements or teach at educational institutes, and (iii) manage personal investments, so long as such activities do not significantly interfere with the performance of Golsen’s responsibilities as an employee of the Company in accordance with this Agreement. It is expressly understood and agreed that, to the extent that any such activities have been conducted by Golsen prior to the date of this Agreement, the continued conduct of such activities (or the conduct of activities similar in nature and scope thereto) subsequent to the date of this Agreement shall not thereafter be deemed to interfere with the performance of Golsen’s responsibilities to the Company.</w:t>
      </w:r>
    </w:p>
    <w:p>
      <w:pPr>
        <w:sectPr>
          <w:pgSz w:w="11900" w:h="16838" w:orient="portrait"/>
          <w:cols w:equalWidth="0" w:num="1">
            <w:col w:w="11260"/>
          </w:cols>
          <w:pgMar w:left="240" w:top="267" w:right="39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36" w:lineRule="exact"/>
        <w:rPr>
          <w:sz w:val="20"/>
          <w:szCs w:val="20"/>
          <w:color w:val="auto"/>
        </w:rPr>
      </w:pPr>
    </w:p>
    <w:p>
      <w:pPr>
        <w:ind w:left="440" w:hanging="438"/>
        <w:spacing w:after="0"/>
        <w:tabs>
          <w:tab w:leader="none" w:pos="44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900" w:right="260" w:hanging="454"/>
        <w:spacing w:after="0" w:line="257" w:lineRule="auto"/>
        <w:tabs>
          <w:tab w:leader="none" w:pos="90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Golsen an annual base salary at his 1995 base rate of salary as such may be adjusted from time to time by the Compensation Committee of the Board of Directors of the Company, but such shall never be adjusted to an amount less than Golsen’s 1995 base salary (“Annual Base Salary”), payable in equal bi-weekly installments, less appropriate withholdings and deductions, in accordance with the Company’s customary payroll practices.</w:t>
      </w:r>
    </w:p>
    <w:p>
      <w:pPr>
        <w:spacing w:after="0" w:line="90" w:lineRule="exact"/>
        <w:rPr>
          <w:rFonts w:ascii="Arial" w:cs="Arial" w:eastAsia="Arial" w:hAnsi="Arial"/>
          <w:sz w:val="17"/>
          <w:szCs w:val="17"/>
          <w:color w:val="auto"/>
        </w:rPr>
      </w:pPr>
    </w:p>
    <w:p>
      <w:pPr>
        <w:ind w:left="900" w:right="20" w:hanging="454"/>
        <w:spacing w:after="0" w:line="273" w:lineRule="auto"/>
        <w:tabs>
          <w:tab w:leader="none" w:pos="90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In addition to the Golsen’s Annual Base Salary, as adjusted, the Company shall pay to Golsen an annual bonus (“Bonus”) as may be determined by the Compensation Committee of the Board of Directors of LSB from time to time.</w:t>
      </w:r>
    </w:p>
    <w:p>
      <w:pPr>
        <w:spacing w:after="0" w:line="76" w:lineRule="exact"/>
        <w:rPr>
          <w:rFonts w:ascii="Arial" w:cs="Arial" w:eastAsia="Arial" w:hAnsi="Arial"/>
          <w:sz w:val="17"/>
          <w:szCs w:val="17"/>
          <w:color w:val="auto"/>
        </w:rPr>
      </w:pPr>
    </w:p>
    <w:p>
      <w:pPr>
        <w:ind w:left="900" w:hanging="454"/>
        <w:spacing w:after="0"/>
        <w:tabs>
          <w:tab w:leader="none" w:pos="90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1460" w:hanging="556"/>
        <w:spacing w:after="0" w:line="285" w:lineRule="auto"/>
        <w:tabs>
          <w:tab w:leader="none" w:pos="1460" w:val="left"/>
        </w:tabs>
        <w:numPr>
          <w:ilvl w:val="2"/>
          <w:numId w:val="67"/>
        </w:numPr>
        <w:rPr>
          <w:rFonts w:ascii="Arial" w:cs="Arial" w:eastAsia="Arial" w:hAnsi="Arial"/>
          <w:sz w:val="16"/>
          <w:szCs w:val="16"/>
          <w:color w:val="auto"/>
        </w:rPr>
      </w:pPr>
      <w:r>
        <w:rPr>
          <w:rFonts w:ascii="Arial" w:cs="Arial" w:eastAsia="Arial" w:hAnsi="Arial"/>
          <w:sz w:val="16"/>
          <w:szCs w:val="16"/>
          <w:color w:val="auto"/>
        </w:rPr>
        <w:t>Golsen shall be eligible for such employee benefits and participation in employee benefit plans as are generally made available to other employees of the Company, subject to the terms and conditions of such benefits and plans and as such benefits and plans may be changed by the Company from time to time in its sole discretion. Such benefits in existence as of the date hereof are as follows:</w:t>
      </w:r>
    </w:p>
    <w:p>
      <w:pPr>
        <w:spacing w:after="0" w:line="68" w:lineRule="exact"/>
        <w:rPr>
          <w:rFonts w:ascii="Arial" w:cs="Arial" w:eastAsia="Arial" w:hAnsi="Arial"/>
          <w:sz w:val="16"/>
          <w:szCs w:val="16"/>
          <w:color w:val="auto"/>
        </w:rPr>
      </w:pPr>
    </w:p>
    <w:p>
      <w:pPr>
        <w:ind w:left="1920" w:hanging="444"/>
        <w:spacing w:after="0"/>
        <w:tabs>
          <w:tab w:leader="none" w:pos="1920" w:val="left"/>
        </w:tabs>
        <w:numPr>
          <w:ilvl w:val="3"/>
          <w:numId w:val="67"/>
        </w:numPr>
        <w:rPr>
          <w:rFonts w:ascii="Arial" w:cs="Arial" w:eastAsia="Arial" w:hAnsi="Arial"/>
          <w:sz w:val="17"/>
          <w:szCs w:val="17"/>
          <w:color w:val="auto"/>
        </w:rPr>
      </w:pPr>
      <w:r>
        <w:rPr>
          <w:rFonts w:ascii="Arial" w:cs="Arial" w:eastAsia="Arial" w:hAnsi="Arial"/>
          <w:sz w:val="17"/>
          <w:szCs w:val="17"/>
          <w:color w:val="auto"/>
        </w:rPr>
        <w:t>Group medical insurance coverage.</w:t>
      </w:r>
    </w:p>
    <w:p>
      <w:pPr>
        <w:spacing w:after="0" w:line="122" w:lineRule="exact"/>
        <w:rPr>
          <w:rFonts w:ascii="Arial" w:cs="Arial" w:eastAsia="Arial" w:hAnsi="Arial"/>
          <w:sz w:val="17"/>
          <w:szCs w:val="17"/>
          <w:color w:val="auto"/>
        </w:rPr>
      </w:pPr>
    </w:p>
    <w:p>
      <w:pPr>
        <w:ind w:left="1920" w:hanging="444"/>
        <w:spacing w:after="0"/>
        <w:tabs>
          <w:tab w:leader="none" w:pos="1920" w:val="left"/>
        </w:tabs>
        <w:numPr>
          <w:ilvl w:val="3"/>
          <w:numId w:val="67"/>
        </w:numPr>
        <w:rPr>
          <w:rFonts w:ascii="Arial" w:cs="Arial" w:eastAsia="Arial" w:hAnsi="Arial"/>
          <w:sz w:val="17"/>
          <w:szCs w:val="17"/>
          <w:color w:val="auto"/>
        </w:rPr>
      </w:pPr>
      <w:r>
        <w:rPr>
          <w:rFonts w:ascii="Arial" w:cs="Arial" w:eastAsia="Arial" w:hAnsi="Arial"/>
          <w:sz w:val="17"/>
          <w:szCs w:val="17"/>
          <w:color w:val="auto"/>
        </w:rPr>
        <w:t>Group life insurance coverage.</w:t>
      </w:r>
    </w:p>
    <w:p>
      <w:pPr>
        <w:spacing w:after="0" w:line="122" w:lineRule="exact"/>
        <w:rPr>
          <w:rFonts w:ascii="Arial" w:cs="Arial" w:eastAsia="Arial" w:hAnsi="Arial"/>
          <w:sz w:val="17"/>
          <w:szCs w:val="17"/>
          <w:color w:val="auto"/>
        </w:rPr>
      </w:pPr>
    </w:p>
    <w:p>
      <w:pPr>
        <w:ind w:left="1460" w:hanging="556"/>
        <w:spacing w:after="0"/>
        <w:tabs>
          <w:tab w:leader="none" w:pos="1460" w:val="left"/>
        </w:tabs>
        <w:numPr>
          <w:ilvl w:val="2"/>
          <w:numId w:val="67"/>
        </w:numPr>
        <w:rPr>
          <w:rFonts w:ascii="Arial" w:cs="Arial" w:eastAsia="Arial" w:hAnsi="Arial"/>
          <w:sz w:val="17"/>
          <w:szCs w:val="17"/>
          <w:color w:val="auto"/>
        </w:rPr>
      </w:pPr>
      <w:r>
        <w:rPr>
          <w:rFonts w:ascii="Arial" w:cs="Arial" w:eastAsia="Arial" w:hAnsi="Arial"/>
          <w:sz w:val="17"/>
          <w:szCs w:val="17"/>
          <w:color w:val="auto"/>
        </w:rPr>
        <w:t>In addition, Golsen shall be eligible to participate in and be provided the following individual benefits at a minimum:</w:t>
      </w:r>
    </w:p>
    <w:p>
      <w:pPr>
        <w:spacing w:after="0" w:line="122" w:lineRule="exact"/>
        <w:rPr>
          <w:rFonts w:ascii="Arial" w:cs="Arial" w:eastAsia="Arial" w:hAnsi="Arial"/>
          <w:sz w:val="17"/>
          <w:szCs w:val="17"/>
          <w:color w:val="auto"/>
        </w:rPr>
      </w:pPr>
    </w:p>
    <w:p>
      <w:pPr>
        <w:ind w:left="1920" w:hanging="444"/>
        <w:spacing w:after="0"/>
        <w:tabs>
          <w:tab w:leader="none" w:pos="1920" w:val="left"/>
        </w:tabs>
        <w:numPr>
          <w:ilvl w:val="3"/>
          <w:numId w:val="67"/>
        </w:numPr>
        <w:rPr>
          <w:rFonts w:ascii="Arial" w:cs="Arial" w:eastAsia="Arial" w:hAnsi="Arial"/>
          <w:sz w:val="15"/>
          <w:szCs w:val="15"/>
          <w:color w:val="auto"/>
        </w:rPr>
      </w:pPr>
      <w:r>
        <w:rPr>
          <w:rFonts w:ascii="Arial" w:cs="Arial" w:eastAsia="Arial" w:hAnsi="Arial"/>
          <w:sz w:val="15"/>
          <w:szCs w:val="15"/>
          <w:color w:val="auto"/>
        </w:rPr>
        <w:t>Stock options as granted from time to time by the Company’s Board of Directors or the Stock Option Committee of the Board of Directors.</w:t>
      </w:r>
    </w:p>
    <w:p>
      <w:pPr>
        <w:spacing w:after="0" w:line="145" w:lineRule="exact"/>
        <w:rPr>
          <w:rFonts w:ascii="Arial" w:cs="Arial" w:eastAsia="Arial" w:hAnsi="Arial"/>
          <w:sz w:val="15"/>
          <w:szCs w:val="15"/>
          <w:color w:val="auto"/>
        </w:rPr>
      </w:pPr>
    </w:p>
    <w:p>
      <w:pPr>
        <w:ind w:left="1920" w:right="80" w:hanging="444"/>
        <w:spacing w:after="0" w:line="273" w:lineRule="auto"/>
        <w:tabs>
          <w:tab w:leader="none" w:pos="1920" w:val="left"/>
        </w:tabs>
        <w:numPr>
          <w:ilvl w:val="3"/>
          <w:numId w:val="67"/>
        </w:numPr>
        <w:rPr>
          <w:rFonts w:ascii="Arial" w:cs="Arial" w:eastAsia="Arial" w:hAnsi="Arial"/>
          <w:sz w:val="17"/>
          <w:szCs w:val="17"/>
          <w:color w:val="auto"/>
        </w:rPr>
      </w:pPr>
      <w:r>
        <w:rPr>
          <w:rFonts w:ascii="Arial" w:cs="Arial" w:eastAsia="Arial" w:hAnsi="Arial"/>
          <w:sz w:val="17"/>
          <w:szCs w:val="17"/>
          <w:color w:val="auto"/>
        </w:rPr>
        <w:t>Death benefit package as set forth in the agreement between Golsen and the Company dated April 1, 1981 and amended March 1, 1993, as hereafter amended, modified or renewed.</w:t>
      </w:r>
    </w:p>
    <w:p>
      <w:pPr>
        <w:sectPr>
          <w:pgSz w:w="11900" w:h="16838" w:orient="portrait"/>
          <w:cols w:equalWidth="0" w:num="1">
            <w:col w:w="11400"/>
          </w:cols>
          <w:pgMar w:left="240" w:top="267" w:right="2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36" w:lineRule="exact"/>
        <w:rPr>
          <w:sz w:val="20"/>
          <w:szCs w:val="20"/>
          <w:color w:val="auto"/>
        </w:rPr>
      </w:pPr>
    </w:p>
    <w:p>
      <w:pPr>
        <w:ind w:left="1920" w:right="360" w:hanging="444"/>
        <w:spacing w:after="0" w:line="273" w:lineRule="auto"/>
        <w:tabs>
          <w:tab w:leader="none" w:pos="1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Split dollar life insurance in an amount approved by the Compensation Committee of the Board of Directors of LSB, but no less than $3,000,000.</w:t>
      </w:r>
    </w:p>
    <w:p>
      <w:pPr>
        <w:spacing w:after="0" w:line="76" w:lineRule="exact"/>
        <w:rPr>
          <w:rFonts w:ascii="Arial" w:cs="Arial" w:eastAsia="Arial" w:hAnsi="Arial"/>
          <w:sz w:val="17"/>
          <w:szCs w:val="17"/>
          <w:color w:val="auto"/>
        </w:rPr>
      </w:pPr>
    </w:p>
    <w:p>
      <w:pPr>
        <w:ind w:left="1920" w:right="100" w:hanging="444"/>
        <w:spacing w:after="0" w:line="273" w:lineRule="auto"/>
        <w:tabs>
          <w:tab w:leader="none" w:pos="1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Severance Agreement, dated January 17, 1989, between Golsen and the Company, as amended, modified or renewed and attached hereto (the “Severance Agreement”), except that the Severance Agreement is hereby amended as follows:</w:t>
      </w:r>
    </w:p>
    <w:p>
      <w:pPr>
        <w:spacing w:after="0" w:line="76" w:lineRule="exact"/>
        <w:rPr>
          <w:rFonts w:ascii="Arial" w:cs="Arial" w:eastAsia="Arial" w:hAnsi="Arial"/>
          <w:sz w:val="17"/>
          <w:szCs w:val="17"/>
          <w:color w:val="auto"/>
        </w:rPr>
      </w:pPr>
    </w:p>
    <w:p>
      <w:pPr>
        <w:ind w:left="2380" w:hanging="447"/>
        <w:spacing w:after="0"/>
        <w:tabs>
          <w:tab w:leader="none" w:pos="23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Subsection 1.2 of the Severance Agreement is hereby amended to read, in its entirety, as follows:</w:t>
      </w:r>
    </w:p>
    <w:p>
      <w:pPr>
        <w:spacing w:after="0" w:line="122" w:lineRule="exact"/>
        <w:rPr>
          <w:sz w:val="20"/>
          <w:szCs w:val="20"/>
          <w:color w:val="auto"/>
        </w:rPr>
      </w:pPr>
    </w:p>
    <w:p>
      <w:pPr>
        <w:ind w:left="900" w:hanging="459"/>
        <w:spacing w:after="0" w:line="255" w:lineRule="auto"/>
        <w:tabs>
          <w:tab w:leader="none" w:pos="880" w:val="left"/>
        </w:tabs>
        <w:rPr>
          <w:sz w:val="20"/>
          <w:szCs w:val="20"/>
          <w:color w:val="auto"/>
        </w:rPr>
      </w:pPr>
      <w:r>
        <w:rPr>
          <w:rFonts w:ascii="Arial" w:cs="Arial" w:eastAsia="Arial" w:hAnsi="Arial"/>
          <w:sz w:val="17"/>
          <w:szCs w:val="17"/>
          <w:color w:val="auto"/>
        </w:rPr>
        <w:t>“1.2</w:t>
        <w:tab/>
        <w:t>The “Change of Control Period” is the period commencing on the date hereof and ending on the third anniversary of such; provided, however, that commencing on the date one year after the date hereof, and on each annual anniversary of such date (the date one year after the date hereof and each annual anniversary of such date, is hereinafter referred to as the “Renewal Date”), the Change of Control Period shall be automatically extended so as to terminate three (3) years from such Renewal Date, unless at least one (1) year prior to the Renewal Date the Company shall give notice that the change of Control Period shall not be so extended.”</w:t>
      </w:r>
    </w:p>
    <w:p>
      <w:pPr>
        <w:spacing w:after="0" w:line="93" w:lineRule="exact"/>
        <w:rPr>
          <w:sz w:val="20"/>
          <w:szCs w:val="20"/>
          <w:color w:val="auto"/>
        </w:rPr>
      </w:pPr>
    </w:p>
    <w:p>
      <w:pPr>
        <w:ind w:left="2380" w:hanging="447"/>
        <w:spacing w:after="0"/>
        <w:tabs>
          <w:tab w:leader="none" w:pos="2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Subsection 3.2 “</w:t>
      </w:r>
      <w:r>
        <w:rPr>
          <w:rFonts w:ascii="Arial" w:cs="Arial" w:eastAsia="Arial" w:hAnsi="Arial"/>
          <w:sz w:val="17"/>
          <w:szCs w:val="17"/>
          <w:u w:val="single" w:color="auto"/>
          <w:color w:val="auto"/>
        </w:rPr>
        <w:t>Cause</w:t>
      </w:r>
      <w:r>
        <w:rPr>
          <w:rFonts w:ascii="Arial" w:cs="Arial" w:eastAsia="Arial" w:hAnsi="Arial"/>
          <w:sz w:val="17"/>
          <w:szCs w:val="17"/>
          <w:color w:val="auto"/>
        </w:rPr>
        <w:t>” of the Severance Agreement is hereby amended to read, in its entirety, as follows:</w:t>
      </w:r>
    </w:p>
    <w:p>
      <w:pPr>
        <w:spacing w:after="0" w:line="122"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u w:val="single" w:color="auto"/>
          <w:color w:val="auto"/>
        </w:rPr>
        <w:t>Cause</w:t>
      </w:r>
      <w:r>
        <w:rPr>
          <w:rFonts w:ascii="Arial" w:cs="Arial" w:eastAsia="Arial" w:hAnsi="Arial"/>
          <w:sz w:val="15"/>
          <w:szCs w:val="15"/>
          <w:color w:val="auto"/>
        </w:rPr>
        <w:t>. The Company may terminate Golsen’s employment for “Cause”. For purposes of this Agreement, termination of Golsen’s employment by the</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Company for “Cause” shall mean termination for one of the following reasons:</w:t>
      </w:r>
    </w:p>
    <w:p>
      <w:pPr>
        <w:sectPr>
          <w:pgSz w:w="11900" w:h="16838" w:orient="portrait"/>
          <w:cols w:equalWidth="0" w:num="1">
            <w:col w:w="11300"/>
          </w:cols>
          <w:pgMar w:left="240" w:top="267" w:right="359" w:bottom="1440" w:gutter="0" w:footer="0" w:header="0"/>
        </w:sectPr>
      </w:pPr>
    </w:p>
    <w:p>
      <w:pPr>
        <w:spacing w:after="0" w:line="1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540"/>
        <w:spacing w:after="0" w:line="273" w:lineRule="auto"/>
        <w:rPr>
          <w:sz w:val="20"/>
          <w:szCs w:val="20"/>
          <w:color w:val="auto"/>
        </w:rPr>
      </w:pPr>
      <w:r>
        <w:rPr>
          <w:rFonts w:ascii="Arial" w:cs="Arial" w:eastAsia="Arial" w:hAnsi="Arial"/>
          <w:sz w:val="17"/>
          <w:szCs w:val="17"/>
          <w:color w:val="auto"/>
        </w:rPr>
        <w:t>the ultimate conviction (after all appeals have been decided) of Golsen of a felony involving moral turpitude by a federal or state court of competent jurisdiction; or</w:t>
      </w:r>
    </w:p>
    <w:p>
      <w:pPr>
        <w:spacing w:after="0" w:line="76" w:lineRule="exact"/>
        <w:rPr>
          <w:sz w:val="20"/>
          <w:szCs w:val="20"/>
          <w:color w:val="auto"/>
        </w:rPr>
      </w:pPr>
    </w:p>
    <w:p>
      <w:pPr>
        <w:sectPr>
          <w:pgSz w:w="11900" w:h="16838" w:orient="portrait"/>
          <w:cols w:equalWidth="0" w:num="2">
            <w:col w:w="1100" w:space="360"/>
            <w:col w:w="9840"/>
          </w:cols>
          <w:pgMar w:left="240" w:top="267" w:right="35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520"/>
        <w:spacing w:after="0" w:line="273" w:lineRule="auto"/>
        <w:rPr>
          <w:sz w:val="20"/>
          <w:szCs w:val="20"/>
          <w:color w:val="auto"/>
        </w:rPr>
      </w:pPr>
      <w:r>
        <w:rPr>
          <w:rFonts w:ascii="Arial" w:cs="Arial" w:eastAsia="Arial" w:hAnsi="Arial"/>
          <w:sz w:val="17"/>
          <w:szCs w:val="17"/>
          <w:color w:val="auto"/>
        </w:rPr>
        <w:t>if Golsen’s serious willful gross misconduct or willful gross neglect of his duties as set forth herein has resulted in material damage to the Company and its subsidiaries, taken as a whole;</w:t>
      </w:r>
    </w:p>
    <w:p>
      <w:pPr>
        <w:sectPr>
          <w:pgSz w:w="11900" w:h="16838" w:orient="portrait"/>
          <w:cols w:equalWidth="0" w:num="2">
            <w:col w:w="1100" w:space="360"/>
            <w:col w:w="9840"/>
          </w:cols>
          <w:pgMar w:left="240" w:top="267" w:right="35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5</w:t>
      </w:r>
    </w:p>
    <w:p>
      <w:pPr>
        <w:spacing w:after="0" w:line="136" w:lineRule="exact"/>
        <w:rPr>
          <w:sz w:val="20"/>
          <w:szCs w:val="20"/>
          <w:color w:val="auto"/>
        </w:rPr>
      </w:pPr>
    </w:p>
    <w:p>
      <w:pPr>
        <w:ind w:left="1480" w:right="200"/>
        <w:spacing w:after="0" w:line="261" w:lineRule="auto"/>
        <w:rPr>
          <w:sz w:val="20"/>
          <w:szCs w:val="20"/>
          <w:color w:val="auto"/>
        </w:rPr>
      </w:pPr>
      <w:r>
        <w:rPr>
          <w:rFonts w:ascii="Arial" w:cs="Arial" w:eastAsia="Arial" w:hAnsi="Arial"/>
          <w:sz w:val="17"/>
          <w:szCs w:val="17"/>
          <w:color w:val="auto"/>
        </w:rPr>
        <w:t>provided that (i) no action or failure to act by Golsen will constitute a reason for termination if Golsen believed in good faith that such action or failure to act was in the Company’s or its subsidiaries’ best interest, and (ii) failure of Golsen to perform his duties hereunder due to Disability shall not be considered willful gross misconduct or willful gross negligence of duties for any purpose.”</w:t>
      </w:r>
    </w:p>
    <w:p>
      <w:pPr>
        <w:spacing w:after="0" w:line="87" w:lineRule="exact"/>
        <w:rPr>
          <w:sz w:val="20"/>
          <w:szCs w:val="20"/>
          <w:color w:val="auto"/>
        </w:rPr>
      </w:pPr>
    </w:p>
    <w:p>
      <w:pPr>
        <w:ind w:left="2380" w:hanging="447"/>
        <w:spacing w:after="0"/>
        <w:tabs>
          <w:tab w:leader="none" w:pos="2380" w:val="left"/>
        </w:tabs>
        <w:numPr>
          <w:ilvl w:val="2"/>
          <w:numId w:val="70"/>
        </w:numPr>
        <w:rPr>
          <w:rFonts w:ascii="Arial" w:cs="Arial" w:eastAsia="Arial" w:hAnsi="Arial"/>
          <w:sz w:val="17"/>
          <w:szCs w:val="17"/>
          <w:color w:val="auto"/>
        </w:rPr>
      </w:pPr>
      <w:r>
        <w:rPr>
          <w:rFonts w:ascii="Arial" w:cs="Arial" w:eastAsia="Arial" w:hAnsi="Arial"/>
          <w:sz w:val="17"/>
          <w:szCs w:val="17"/>
          <w:color w:val="auto"/>
        </w:rPr>
        <w:t>The Severance Agreement, as amended by this Section 3c(2)(d), shall remain in full force and effect.</w:t>
      </w:r>
    </w:p>
    <w:p>
      <w:pPr>
        <w:spacing w:after="0" w:line="122" w:lineRule="exact"/>
        <w:rPr>
          <w:rFonts w:ascii="Arial" w:cs="Arial" w:eastAsia="Arial" w:hAnsi="Arial"/>
          <w:sz w:val="17"/>
          <w:szCs w:val="17"/>
          <w:color w:val="auto"/>
        </w:rPr>
      </w:pPr>
    </w:p>
    <w:p>
      <w:pPr>
        <w:ind w:left="1920" w:right="100" w:hanging="444"/>
        <w:spacing w:after="0" w:line="305" w:lineRule="auto"/>
        <w:tabs>
          <w:tab w:leader="none" w:pos="19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Board hereby agrees that Golsen may, at his option, purchase any life insurance policies in effect on his life for an amount equal to the net cash value of such insurance. The policy funding the benefit of 3c(2)(b) of this letter shall be excepted from this option.</w:t>
      </w:r>
    </w:p>
    <w:p>
      <w:pPr>
        <w:spacing w:after="0" w:line="53" w:lineRule="exact"/>
        <w:rPr>
          <w:rFonts w:ascii="Arial" w:cs="Arial" w:eastAsia="Arial" w:hAnsi="Arial"/>
          <w:sz w:val="16"/>
          <w:szCs w:val="16"/>
          <w:color w:val="auto"/>
        </w:rPr>
      </w:pPr>
    </w:p>
    <w:p>
      <w:pPr>
        <w:ind w:left="900" w:hanging="454"/>
        <w:spacing w:after="0" w:line="278"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shall pay directly, or reimburse Golsen, for any reasonable and necessary expenses and costs incurred by Golsen in connection with or arising out of the performance of Golsen’s duties hereunder, provided that such expenses and costs shall be paid or reimbursed subject to such rules, regulations, and policies of the Company as established from time to time by the Company. In the event that Golsen incurs legal fees and expenses to enforce this Agreement, the Company shall reimburse Golsen such fees and expenses in full.</w:t>
      </w:r>
    </w:p>
    <w:p>
      <w:pPr>
        <w:spacing w:after="0" w:line="75" w:lineRule="exact"/>
        <w:rPr>
          <w:rFonts w:ascii="Arial" w:cs="Arial" w:eastAsia="Arial" w:hAnsi="Arial"/>
          <w:sz w:val="16"/>
          <w:szCs w:val="16"/>
          <w:color w:val="auto"/>
        </w:rPr>
      </w:pPr>
    </w:p>
    <w:p>
      <w:pPr>
        <w:ind w:left="900" w:right="40" w:hanging="454"/>
        <w:spacing w:after="0" w:line="261"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Fringe Benefits</w:t>
      </w:r>
      <w:r>
        <w:rPr>
          <w:rFonts w:ascii="Arial" w:cs="Arial" w:eastAsia="Arial" w:hAnsi="Arial"/>
          <w:sz w:val="17"/>
          <w:szCs w:val="17"/>
          <w:color w:val="auto"/>
        </w:rPr>
        <w:t>. Golsen shall be entitled to all fringe benefits, including but not limited to vacation, in accordance with the most favorable plans, practices, programs and policies of the Company during the 12-month period immediately preceding the date of this Agreement, or, if more favorable to Golsen, as in effect at any time thereafter with respect to other key management employees of the Company.</w:t>
      </w:r>
    </w:p>
    <w:p>
      <w:pPr>
        <w:spacing w:after="0" w:line="86" w:lineRule="exact"/>
        <w:rPr>
          <w:rFonts w:ascii="Arial" w:cs="Arial" w:eastAsia="Arial" w:hAnsi="Arial"/>
          <w:sz w:val="17"/>
          <w:szCs w:val="17"/>
          <w:color w:val="auto"/>
        </w:rPr>
      </w:pPr>
    </w:p>
    <w:p>
      <w:pPr>
        <w:ind w:left="900" w:right="20" w:hanging="454"/>
        <w:spacing w:after="0" w:line="273"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Effect of Increases</w:t>
      </w:r>
      <w:r>
        <w:rPr>
          <w:rFonts w:ascii="Arial" w:cs="Arial" w:eastAsia="Arial" w:hAnsi="Arial"/>
          <w:sz w:val="17"/>
          <w:szCs w:val="17"/>
          <w:color w:val="auto"/>
        </w:rPr>
        <w:t>. Any increase in Annual Base Salary, Bonus or any other benefit or perquisite described in this Agreement shall in no way diminish any obligation of the Company under this Agreement.</w:t>
      </w:r>
    </w:p>
    <w:p>
      <w:pPr>
        <w:sectPr>
          <w:pgSz w:w="11900" w:h="16838" w:orient="portrait"/>
          <w:cols w:equalWidth="0" w:num="1">
            <w:col w:w="11420"/>
          </w:cols>
          <w:pgMar w:left="240" w:top="267"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6</w:t>
      </w:r>
    </w:p>
    <w:p>
      <w:pPr>
        <w:spacing w:after="0" w:line="136" w:lineRule="exact"/>
        <w:rPr>
          <w:sz w:val="20"/>
          <w:szCs w:val="20"/>
          <w:color w:val="auto"/>
        </w:rPr>
      </w:pPr>
    </w:p>
    <w:p>
      <w:pPr>
        <w:ind w:left="460"/>
        <w:spacing w:after="0" w:line="261" w:lineRule="auto"/>
        <w:rPr>
          <w:sz w:val="20"/>
          <w:szCs w:val="20"/>
          <w:color w:val="auto"/>
        </w:rPr>
      </w:pPr>
      <w:r>
        <w:rPr>
          <w:rFonts w:ascii="Arial" w:cs="Arial" w:eastAsia="Arial" w:hAnsi="Arial"/>
          <w:sz w:val="17"/>
          <w:szCs w:val="17"/>
          <w:color w:val="auto"/>
        </w:rPr>
        <w:t>Nothing in this Agreement shall prevent or limit Golsen’s continuing or future participation in any benefit, bonus, incentive or other plan or program provided by LSB or any of its affiliated companies and for which Golsen may qualify, nor shall anything herein limit or otherwise affect such rights as Golsen may have under any stock option or other agreement with LSB or any of its affiliated companies.</w:t>
      </w:r>
    </w:p>
    <w:p>
      <w:pPr>
        <w:spacing w:after="0" w:line="87" w:lineRule="exact"/>
        <w:rPr>
          <w:sz w:val="20"/>
          <w:szCs w:val="20"/>
          <w:color w:val="auto"/>
        </w:rPr>
      </w:pPr>
    </w:p>
    <w:p>
      <w:pPr>
        <w:ind w:left="440" w:hanging="438"/>
        <w:spacing w:after="0"/>
        <w:tabs>
          <w:tab w:leader="none" w:pos="44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During the term of this Agreement, the Company may terminate Golsen’s employment only for one of the following reasons:</w:t>
      </w:r>
    </w:p>
    <w:p>
      <w:pPr>
        <w:spacing w:after="0" w:line="122" w:lineRule="exact"/>
        <w:rPr>
          <w:rFonts w:ascii="Arial" w:cs="Arial" w:eastAsia="Arial" w:hAnsi="Arial"/>
          <w:sz w:val="17"/>
          <w:szCs w:val="17"/>
          <w:color w:val="auto"/>
        </w:rPr>
      </w:pPr>
    </w:p>
    <w:p>
      <w:pPr>
        <w:ind w:left="900" w:right="460" w:hanging="454"/>
        <w:spacing w:after="0" w:line="273" w:lineRule="auto"/>
        <w:tabs>
          <w:tab w:leader="none" w:pos="9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ultimate conviction (after all appeals have been decided) of Golsen of a felony involving moral turpitude by a federal or state court of competent jurisdiction; or</w:t>
      </w:r>
    </w:p>
    <w:p>
      <w:pPr>
        <w:spacing w:after="0" w:line="76" w:lineRule="exact"/>
        <w:rPr>
          <w:rFonts w:ascii="Arial" w:cs="Arial" w:eastAsia="Arial" w:hAnsi="Arial"/>
          <w:sz w:val="17"/>
          <w:szCs w:val="17"/>
          <w:color w:val="auto"/>
        </w:rPr>
      </w:pPr>
    </w:p>
    <w:p>
      <w:pPr>
        <w:ind w:left="900" w:hanging="454"/>
        <w:spacing w:after="0" w:line="278"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Golsen’s serious willful gross misconduct or willful gross neglect of duties has resulted in material damage to the Company and its subsidiaries taken as a whole; provided that (i) no action or failure to act by Golsen will constitute a reason for termination if Golsen believed in good faith that such action or failure to act was in the Company’s or its subsidiaries’ best interest and (ii) failure of Golsen to perform his duties hereunder due to a disability shall not be considered willful gross misconduct or willful gross neglect of duties for any purpose; or</w:t>
      </w:r>
    </w:p>
    <w:p>
      <w:pPr>
        <w:spacing w:after="0" w:line="75" w:lineRule="exact"/>
        <w:rPr>
          <w:rFonts w:ascii="Arial" w:cs="Arial" w:eastAsia="Arial" w:hAnsi="Arial"/>
          <w:sz w:val="16"/>
          <w:szCs w:val="16"/>
          <w:color w:val="auto"/>
        </w:rPr>
      </w:pPr>
    </w:p>
    <w:p>
      <w:pPr>
        <w:ind w:left="900" w:hanging="454"/>
        <w:spacing w:after="0"/>
        <w:tabs>
          <w:tab w:leader="none" w:pos="9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Golsen’s death.</w:t>
      </w:r>
    </w:p>
    <w:p>
      <w:pPr>
        <w:spacing w:after="0" w:line="110" w:lineRule="exact"/>
        <w:rPr>
          <w:sz w:val="20"/>
          <w:szCs w:val="20"/>
          <w:color w:val="auto"/>
        </w:rPr>
      </w:pPr>
    </w:p>
    <w:p>
      <w:pPr>
        <w:ind w:left="460" w:right="40"/>
        <w:spacing w:after="0" w:line="273" w:lineRule="auto"/>
        <w:rPr>
          <w:sz w:val="20"/>
          <w:szCs w:val="20"/>
          <w:color w:val="auto"/>
        </w:rPr>
      </w:pPr>
      <w:r>
        <w:rPr>
          <w:rFonts w:ascii="Arial" w:cs="Arial" w:eastAsia="Arial" w:hAnsi="Arial"/>
          <w:sz w:val="17"/>
          <w:szCs w:val="17"/>
          <w:color w:val="auto"/>
        </w:rPr>
        <w:t>Without in any way limiting any of Golsen’s other rights or remedies, at law or in equity, which rights and remedies shall be cumulative, and subject to Section 7 hereof, in the event that Golsen’s employment under this Agreement is terminated for any reason:</w:t>
      </w:r>
    </w:p>
    <w:p>
      <w:pPr>
        <w:spacing w:after="0" w:line="76" w:lineRule="exact"/>
        <w:rPr>
          <w:sz w:val="20"/>
          <w:szCs w:val="20"/>
          <w:color w:val="auto"/>
        </w:rPr>
      </w:pPr>
    </w:p>
    <w:p>
      <w:pPr>
        <w:ind w:left="900" w:hanging="454"/>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shall pay to Golsen:</w:t>
      </w:r>
    </w:p>
    <w:p>
      <w:pPr>
        <w:spacing w:after="0" w:line="122" w:lineRule="exact"/>
        <w:rPr>
          <w:rFonts w:ascii="Arial" w:cs="Arial" w:eastAsia="Arial" w:hAnsi="Arial"/>
          <w:sz w:val="17"/>
          <w:szCs w:val="17"/>
          <w:color w:val="auto"/>
        </w:rPr>
      </w:pPr>
    </w:p>
    <w:p>
      <w:pPr>
        <w:ind w:left="1460" w:right="200" w:hanging="556"/>
        <w:spacing w:after="0" w:line="273" w:lineRule="auto"/>
        <w:tabs>
          <w:tab w:leader="none" w:pos="14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in a lump sum cash payment on the date of Golsen’s termination of employment, to the extent not therefor paid, the balance of Golsen’s Annual Base Salary through the date of termination; and</w:t>
      </w:r>
    </w:p>
    <w:p>
      <w:pPr>
        <w:spacing w:after="0" w:line="76" w:lineRule="exact"/>
        <w:rPr>
          <w:rFonts w:ascii="Arial" w:cs="Arial" w:eastAsia="Arial" w:hAnsi="Arial"/>
          <w:sz w:val="17"/>
          <w:szCs w:val="17"/>
          <w:color w:val="auto"/>
        </w:rPr>
      </w:pPr>
    </w:p>
    <w:p>
      <w:pPr>
        <w:ind w:left="1460" w:right="380" w:hanging="556"/>
        <w:spacing w:after="0" w:line="273" w:lineRule="auto"/>
        <w:tabs>
          <w:tab w:leader="none" w:pos="14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in the event that Golsen’s employment is terminated for any reason, other than under subparagraphs a or b of paragraph 1 of this Section 4 or Disability under Section 5 hereof,</w:t>
      </w:r>
    </w:p>
    <w:p>
      <w:pPr>
        <w:sectPr>
          <w:pgSz w:w="11900" w:h="16838" w:orient="portrait"/>
          <w:cols w:equalWidth="0" w:num="1">
            <w:col w:w="11400"/>
          </w:cols>
          <w:pgMar w:left="240" w:top="267" w:right="25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7</w:t>
      </w:r>
    </w:p>
    <w:p>
      <w:pPr>
        <w:spacing w:after="0" w:line="136" w:lineRule="exact"/>
        <w:rPr>
          <w:sz w:val="20"/>
          <w:szCs w:val="20"/>
          <w:color w:val="auto"/>
        </w:rPr>
      </w:pPr>
    </w:p>
    <w:p>
      <w:pPr>
        <w:ind w:left="1480" w:right="80"/>
        <w:spacing w:after="0" w:line="288" w:lineRule="auto"/>
        <w:rPr>
          <w:sz w:val="20"/>
          <w:szCs w:val="20"/>
          <w:color w:val="auto"/>
        </w:rPr>
      </w:pPr>
      <w:r>
        <w:rPr>
          <w:rFonts w:ascii="Arial" w:cs="Arial" w:eastAsia="Arial" w:hAnsi="Arial"/>
          <w:sz w:val="15"/>
          <w:szCs w:val="15"/>
          <w:color w:val="auto"/>
        </w:rPr>
        <w:t>the Company shall provide, at the Company’s sole cost and expense, to Golsen and/or Golsen’s family or estate, in a lump sum cash payment on the date of Golsen’s termination of employment, a sum equal to the amount of the Annual Base Salary being paid to Golsen at the time of such termination and the amount of the Bonus paid to Golsen for the last fiscal year prior to such termination in which Golsen received a Bonus times</w:t>
      </w:r>
    </w:p>
    <w:p>
      <w:pPr>
        <w:spacing w:after="0" w:line="1" w:lineRule="exact"/>
        <w:rPr>
          <w:sz w:val="20"/>
          <w:szCs w:val="20"/>
          <w:color w:val="auto"/>
        </w:rPr>
      </w:pPr>
    </w:p>
    <w:p>
      <w:pPr>
        <w:ind w:left="1480" w:right="40" w:hanging="4"/>
        <w:spacing w:after="0" w:line="297" w:lineRule="auto"/>
        <w:tabs>
          <w:tab w:leader="none" w:pos="1682"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number of years remaining in the Initial Three Year Term or the Second Three Year Term or the Third Three Year Term, whichever is applicable at the time of termination, or (ii) four (4) if the termination occurs during the last twelve (12) months of the Initial Three Year Term or the Second Three Year Term, whichever is applicable at the time of termination. For this purposes of this subparagraph (2), a partial year shall be considered a full year. In the event that Golsen becomes disabled, the Company agrees to pay him pursuant to Section 5 hereof.</w:t>
      </w:r>
    </w:p>
    <w:p>
      <w:pPr>
        <w:spacing w:after="0" w:line="62" w:lineRule="exact"/>
        <w:rPr>
          <w:rFonts w:ascii="Arial" w:cs="Arial" w:eastAsia="Arial" w:hAnsi="Arial"/>
          <w:sz w:val="15"/>
          <w:szCs w:val="15"/>
          <w:color w:val="auto"/>
        </w:rPr>
      </w:pPr>
    </w:p>
    <w:p>
      <w:pPr>
        <w:ind w:left="900" w:hanging="454"/>
        <w:spacing w:after="0" w:line="291" w:lineRule="auto"/>
        <w:tabs>
          <w:tab w:leader="none" w:pos="9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 the event that Golsen’s employment is terminated for any reason, other than under subparagraphs a or b of paragraph 1 of this Section 4 or Disability under Section 5, the Company shall provide at the Company’s sole cost and expense, to Golsen and/or Golsen’s family or estate all of the fringe benefits, benefits, and individual benefits described in Section 3 hereof as though Golsen’s employment had not been terminated, including, but not limited to, health, disability and life insurance, in accordance with the most favorable plans, practices, programs or policies of the Company during the remainder of the Initial Three Year Term or the Second Three Year Term or the Third Three Year Term, whichever is applicable at the time of such termination (unless such termination occurred during the last twelve (12) months of the Initial Three Year Term or the Second Three Year Term, whichever is applicable at the time of such termination, then for the remainder of the term in which such termination occurred and for the full extension period that follows such termination. In the event that Golsen becomes disabled, the Company agrees to pay him pursuant to Section 5 hereof.</w:t>
      </w:r>
    </w:p>
    <w:p>
      <w:pPr>
        <w:spacing w:after="0" w:line="67" w:lineRule="exact"/>
        <w:rPr>
          <w:rFonts w:ascii="Arial" w:cs="Arial" w:eastAsia="Arial" w:hAnsi="Arial"/>
          <w:sz w:val="15"/>
          <w:szCs w:val="15"/>
          <w:color w:val="auto"/>
        </w:rPr>
      </w:pPr>
    </w:p>
    <w:p>
      <w:pPr>
        <w:ind w:left="900" w:hanging="454"/>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Golsen shall not be deemed to have been terminated by the Company pursuant to the terms of Section 4 hereof</w:t>
      </w:r>
    </w:p>
    <w:p>
      <w:pPr>
        <w:sectPr>
          <w:pgSz w:w="11900" w:h="16838" w:orient="portrait"/>
          <w:cols w:equalWidth="0" w:num="1">
            <w:col w:w="11360"/>
          </w:cols>
          <w:pgMar w:left="240" w:top="267" w:right="29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8</w:t>
      </w:r>
    </w:p>
    <w:p>
      <w:pPr>
        <w:spacing w:after="0" w:line="136" w:lineRule="exact"/>
        <w:rPr>
          <w:sz w:val="20"/>
          <w:szCs w:val="20"/>
          <w:color w:val="auto"/>
        </w:rPr>
      </w:pPr>
    </w:p>
    <w:p>
      <w:pPr>
        <w:ind w:left="900" w:right="300"/>
        <w:spacing w:after="0" w:line="278" w:lineRule="auto"/>
        <w:rPr>
          <w:sz w:val="20"/>
          <w:szCs w:val="20"/>
          <w:color w:val="auto"/>
        </w:rPr>
      </w:pPr>
      <w:r>
        <w:rPr>
          <w:rFonts w:ascii="Arial" w:cs="Arial" w:eastAsia="Arial" w:hAnsi="Arial"/>
          <w:sz w:val="16"/>
          <w:szCs w:val="16"/>
          <w:color w:val="auto"/>
        </w:rPr>
        <w:t>unless and until there shall have been delivered to Golsen a copy of a resolution duly adopted by the affirmative vote of not less than three-fourths (3/4ths) of the entire membership of the Board at a meeting of the Board called and held for such purpose (after reasonable notice to Golsen and an opportunity for Golsen, together with Golsen’s counsel, to be heard before the Board ), finding that in the good faith opinion of the Board, Golsen was guilty of conduct set forth in Section 4a or 4b above and specifying the particulars thereof in detail.</w:t>
      </w:r>
    </w:p>
    <w:p>
      <w:pPr>
        <w:spacing w:after="0" w:line="75" w:lineRule="exact"/>
        <w:rPr>
          <w:sz w:val="20"/>
          <w:szCs w:val="20"/>
          <w:color w:val="auto"/>
        </w:rPr>
      </w:pPr>
    </w:p>
    <w:p>
      <w:pPr>
        <w:ind w:left="440" w:right="100" w:hanging="438"/>
        <w:spacing w:after="0" w:line="275" w:lineRule="auto"/>
        <w:tabs>
          <w:tab w:leader="none" w:pos="44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Golsen shall be mentally or physically disabled from properly performing his duties and responsibilities hereunder for a period of twelve consecutive months within any two-year period, all as determined by the Board in good faith and supported by medical evidence, the Company shall pay and provide Golsen any salary bonus or benefits remaining under the Initial Three Year Term of this Agreement or any extension thereof. In addition, in the event of disability, after such payments, the Company shall pay to Golsen annually 60% of his Present Base Salary until his death. This provision shall be deemed to survive the termination of this Agreement and the termination of Golsen’s employment under this Agreement.</w:t>
      </w:r>
    </w:p>
    <w:p>
      <w:pPr>
        <w:spacing w:after="0" w:line="76" w:lineRule="exact"/>
        <w:rPr>
          <w:rFonts w:ascii="Arial" w:cs="Arial" w:eastAsia="Arial" w:hAnsi="Arial"/>
          <w:sz w:val="16"/>
          <w:szCs w:val="16"/>
          <w:color w:val="auto"/>
        </w:rPr>
      </w:pPr>
    </w:p>
    <w:p>
      <w:pPr>
        <w:ind w:left="440" w:hanging="438"/>
        <w:spacing w:after="0" w:line="273" w:lineRule="auto"/>
        <w:tabs>
          <w:tab w:leader="none" w:pos="44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inure to the benefit of Golsen and Golsen’s heirs and assigns. This Agreement shall inure to the benefit of and be binding upon the Company and its successors (including any purchaser of the assets of the Company). In the event of a Change of Control (as defined in the Severance Agreement) of the Company, any parent company or successor shall, in the case of a successor, by an agreement in form and substance satisfactory to Golsen, expressly assume and agree to perform this Agreement in writing prior to such change in control and, in the case of a parent company, by an agreement in form and substance satisfactory to Golsen, guarantee and agree to cause the performance of this Agreement, in each case, in the same manner and to the same extent as the Company would be required to perform if no Change of Control had taken place.</w:t>
      </w:r>
    </w:p>
    <w:p>
      <w:pPr>
        <w:spacing w:after="0" w:line="78" w:lineRule="exact"/>
        <w:rPr>
          <w:rFonts w:ascii="Arial" w:cs="Arial" w:eastAsia="Arial" w:hAnsi="Arial"/>
          <w:sz w:val="16"/>
          <w:szCs w:val="16"/>
          <w:color w:val="auto"/>
        </w:rPr>
      </w:pPr>
    </w:p>
    <w:p>
      <w:pPr>
        <w:ind w:left="440" w:right="280" w:hanging="438"/>
        <w:spacing w:after="0" w:line="273" w:lineRule="auto"/>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Coordination with other Agreements</w:t>
      </w:r>
      <w:r>
        <w:rPr>
          <w:rFonts w:ascii="Arial" w:cs="Arial" w:eastAsia="Arial" w:hAnsi="Arial"/>
          <w:sz w:val="17"/>
          <w:szCs w:val="17"/>
          <w:color w:val="auto"/>
        </w:rPr>
        <w:t>. In the event that the Severance Agreement and this Agreement are both in effect, the provisions of this Agreement shall apply and be controlling in all respects; except, in the event that there is a Change in Control (as defined in the Severance</w:t>
      </w:r>
    </w:p>
    <w:p>
      <w:pPr>
        <w:sectPr>
          <w:pgSz w:w="11900" w:h="16838" w:orient="portrait"/>
          <w:cols w:equalWidth="0" w:num="1">
            <w:col w:w="11400"/>
          </w:cols>
          <w:pgMar w:left="240" w:top="267" w:right="25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9</w:t>
      </w:r>
    </w:p>
    <w:p>
      <w:pPr>
        <w:spacing w:after="0" w:line="136" w:lineRule="exact"/>
        <w:rPr>
          <w:sz w:val="20"/>
          <w:szCs w:val="20"/>
          <w:color w:val="auto"/>
        </w:rPr>
      </w:pPr>
    </w:p>
    <w:p>
      <w:pPr>
        <w:ind w:left="440"/>
        <w:spacing w:after="0" w:line="255" w:lineRule="auto"/>
        <w:rPr>
          <w:sz w:val="20"/>
          <w:szCs w:val="20"/>
          <w:color w:val="auto"/>
        </w:rPr>
      </w:pPr>
      <w:r>
        <w:rPr>
          <w:rFonts w:ascii="Arial" w:cs="Arial" w:eastAsia="Arial" w:hAnsi="Arial"/>
          <w:sz w:val="17"/>
          <w:szCs w:val="17"/>
          <w:color w:val="auto"/>
        </w:rPr>
        <w:t>Agreement) and if (i) within 24 months after the Control Date (as defined in the Severance Agreement), the Company shall terminate Golsen’s employment, other than for Cause (as defined in the Severance Agreement) or (ii) within 24 months after the Control Date (as defined in the Severance Agreement), Golsen shall terminate his employment with the Company for Good Reason (as defined in the Severance Agreement), then, in such event, the Severance Agreement shall apply and be controlling in all respects and this Agreement shall terminate. Notwithstanding the foregoing, the Disability provisions of this Agreement shall apply in all cases.</w:t>
      </w:r>
    </w:p>
    <w:p>
      <w:pPr>
        <w:spacing w:after="0" w:line="93" w:lineRule="exact"/>
        <w:rPr>
          <w:sz w:val="20"/>
          <w:szCs w:val="20"/>
          <w:color w:val="auto"/>
        </w:rPr>
      </w:pPr>
    </w:p>
    <w:p>
      <w:pPr>
        <w:ind w:left="440" w:right="20" w:hanging="438"/>
        <w:spacing w:after="0" w:line="257" w:lineRule="auto"/>
        <w:tabs>
          <w:tab w:leader="none" w:pos="44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This Agreement shall be governed by the laws of Oklahoma. It constitutes the entire agreement among the parties. Should any provision of this Agreement be unenforceable or prohibited by an applicable law, this Agreement shall be considered divisible as to such provision which shall be inoperative, and the remainder of this Agreement shall be valid and binding as though such provision were not included herein. All amendments hereto shall be in writing and be valid only if executed by both parties.</w:t>
      </w:r>
    </w:p>
    <w:p>
      <w:pPr>
        <w:spacing w:after="0" w:line="90" w:lineRule="exact"/>
        <w:rPr>
          <w:rFonts w:ascii="Arial" w:cs="Arial" w:eastAsia="Arial" w:hAnsi="Arial"/>
          <w:sz w:val="17"/>
          <w:szCs w:val="17"/>
          <w:color w:val="auto"/>
        </w:rPr>
      </w:pPr>
    </w:p>
    <w:p>
      <w:pPr>
        <w:ind w:left="440" w:hanging="438"/>
        <w:spacing w:after="0" w:line="273" w:lineRule="auto"/>
        <w:tabs>
          <w:tab w:leader="none" w:pos="44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and all notices to be required or permitted to be in writing and shall be delivered to the party to receive the same by U.S. certified mail, return receipt requested, addressed to the following:</w:t>
      </w:r>
    </w:p>
    <w:p>
      <w:pPr>
        <w:sectPr>
          <w:pgSz w:w="11900" w:h="16838" w:orient="portrait"/>
          <w:cols w:equalWidth="0" w:num="1">
            <w:col w:w="11420"/>
          </w:cols>
          <w:pgMar w:left="240" w:top="267" w:right="239" w:bottom="1440" w:gutter="0" w:footer="0" w:header="0"/>
        </w:sectPr>
      </w:pPr>
    </w:p>
    <w:p>
      <w:pPr>
        <w:spacing w:after="0" w:line="191" w:lineRule="exact"/>
        <w:rPr>
          <w:sz w:val="20"/>
          <w:szCs w:val="20"/>
          <w:color w:val="auto"/>
        </w:rPr>
      </w:pPr>
    </w:p>
    <w:p>
      <w:pPr>
        <w:jc w:val="center"/>
        <w:ind w:left="700"/>
        <w:spacing w:after="0"/>
        <w:rPr>
          <w:sz w:val="20"/>
          <w:szCs w:val="20"/>
          <w:color w:val="auto"/>
        </w:rPr>
      </w:pPr>
      <w:r>
        <w:rPr>
          <w:rFonts w:ascii="Arial" w:cs="Arial" w:eastAsia="Arial" w:hAnsi="Arial"/>
          <w:sz w:val="15"/>
          <w:szCs w:val="15"/>
          <w:color w:val="auto"/>
        </w:rPr>
        <w:t>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LSB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P.O. Box 754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Oklahoma City, OK 73101</w:t>
      </w:r>
    </w:p>
    <w:p>
      <w:pPr>
        <w:spacing w:after="0" w:line="200" w:lineRule="exact"/>
        <w:rPr>
          <w:sz w:val="20"/>
          <w:szCs w:val="20"/>
          <w:color w:val="auto"/>
        </w:rPr>
      </w:pPr>
    </w:p>
    <w:p>
      <w:pPr>
        <w:sectPr>
          <w:pgSz w:w="11900" w:h="16838" w:orient="portrait"/>
          <w:cols w:equalWidth="0" w:num="2">
            <w:col w:w="1840" w:space="720"/>
            <w:col w:w="8860"/>
          </w:cols>
          <w:pgMar w:left="240" w:top="267" w:right="239" w:bottom="1440" w:gutter="0" w:footer="0" w:header="0"/>
          <w:type w:val="continuous"/>
        </w:sectPr>
      </w:pPr>
    </w:p>
    <w:p>
      <w:pPr>
        <w:spacing w:after="0" w:line="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Golsen:</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1299 Glenbrook Terrace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Oklahoma City, OK 73116</w:t>
      </w:r>
    </w:p>
    <w:p>
      <w:pPr>
        <w:spacing w:after="0" w:line="200" w:lineRule="exact"/>
        <w:rPr>
          <w:sz w:val="20"/>
          <w:szCs w:val="20"/>
          <w:color w:val="auto"/>
        </w:rPr>
      </w:pPr>
    </w:p>
    <w:p>
      <w:pPr>
        <w:sectPr>
          <w:pgSz w:w="11900" w:h="16838" w:orient="portrait"/>
          <w:cols w:equalWidth="0" w:num="2">
            <w:col w:w="1840" w:space="720"/>
            <w:col w:w="8860"/>
          </w:cols>
          <w:pgMar w:left="240" w:top="267" w:right="239" w:bottom="1440" w:gutter="0" w:footer="0" w:header="0"/>
          <w:type w:val="continuous"/>
        </w:sectPr>
      </w:pP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to such other address as a party shall from time to time advise the other party. Any notice given under this Agreement shall be effective, if sent by mail, on the date of placing the same in the United States mail, the date of such delivery.</w:t>
      </w:r>
    </w:p>
    <w:p>
      <w:pPr>
        <w:spacing w:after="0" w:line="165" w:lineRule="exact"/>
        <w:rPr>
          <w:sz w:val="20"/>
          <w:szCs w:val="20"/>
          <w:color w:val="auto"/>
        </w:rPr>
      </w:pPr>
    </w:p>
    <w:p>
      <w:pPr>
        <w:ind w:right="180" w:firstLine="457"/>
        <w:spacing w:after="0" w:line="305" w:lineRule="auto"/>
        <w:rPr>
          <w:sz w:val="20"/>
          <w:szCs w:val="20"/>
          <w:color w:val="auto"/>
        </w:rPr>
      </w:pPr>
      <w:r>
        <w:rPr>
          <w:rFonts w:ascii="Arial" w:cs="Arial" w:eastAsia="Arial" w:hAnsi="Arial"/>
          <w:sz w:val="16"/>
          <w:szCs w:val="16"/>
          <w:color w:val="auto"/>
        </w:rPr>
        <w:t>On behalf of LSB Industries, Inc., the Compensation Committee of the Board of Directors of the Company approved this Agreement on the 21st day of March, 1996, and the Board of Directors of the Company approved this Agreement and the execution, delivery and performance of this Agreement by the</w:t>
      </w:r>
    </w:p>
    <w:p>
      <w:pPr>
        <w:sectPr>
          <w:pgSz w:w="11900" w:h="16838" w:orient="portrait"/>
          <w:cols w:equalWidth="0" w:num="1">
            <w:col w:w="11420"/>
          </w:cols>
          <w:pgMar w:left="240" w:top="267"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6150" cy="36830"/>
                    </a:xfrm>
                    <a:prstGeom prst="rect">
                      <a:avLst/>
                    </a:prstGeom>
                    <a:noFill/>
                  </pic:spPr>
                </pic:pic>
              </a:graphicData>
            </a:graphic>
          </wp:anchor>
        </w:drawing>
        <w:t>Jack E.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21, 1996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Page 10</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Company on the 21st day of March, 1996. This Agreement is executed and effective on this 21st day of March, 1996.</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4713605</wp:posOffset>
            </wp:positionH>
            <wp:positionV relativeFrom="paragraph">
              <wp:posOffset>12700</wp:posOffset>
            </wp:positionV>
            <wp:extent cx="25419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1905" cy="8255"/>
                    </a:xfrm>
                    <a:prstGeom prst="rect">
                      <a:avLst/>
                    </a:prstGeom>
                    <a:noFill/>
                  </pic:spPr>
                </pic:pic>
              </a:graphicData>
            </a:graphic>
          </wp:anchor>
        </w:drawing>
      </w:r>
    </w:p>
    <w:p>
      <w:pPr>
        <w:spacing w:after="0" w:line="1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5"/>
          <w:szCs w:val="15"/>
          <w:color w:val="auto"/>
        </w:rPr>
        <w:t>Title:</w:t>
        <w:tab/>
        <w:t>Senior Vice President</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hereby agree to this Agreement effective this 25th day of March, 1996.</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2896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Jack E. Golsen</w:t>
      </w:r>
    </w:p>
    <w:p>
      <w:pPr>
        <w:sectPr>
          <w:pgSz w:w="11900" w:h="16838" w:orient="portrait"/>
          <w:cols w:equalWidth="0" w:num="1">
            <w:col w:w="10219"/>
          </w:cols>
          <w:pgMar w:left="240" w:top="267" w:right="1440"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6150" cy="36830"/>
                    </a:xfrm>
                    <a:prstGeom prst="rect">
                      <a:avLst/>
                    </a:prstGeom>
                    <a:noFill/>
                  </pic:spPr>
                </pic:pic>
              </a:graphicData>
            </a:graphic>
          </wp:anchor>
        </w:drawing>
        <w:t>SEVERANCE AGREEMENT</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AGREEMENT between LSB Industries, Inc., a Delaware corporation (the “Company”), and Jack E. Golsen (the “Executive”), dated this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17th day of January, 1989.</w:t>
      </w:r>
    </w:p>
    <w:p>
      <w:pPr>
        <w:spacing w:after="0" w:line="200" w:lineRule="exact"/>
        <w:rPr>
          <w:sz w:val="20"/>
          <w:szCs w:val="20"/>
          <w:color w:val="auto"/>
        </w:rPr>
      </w:pPr>
    </w:p>
    <w:p>
      <w:pPr>
        <w:jc w:val="both"/>
        <w:ind w:right="420" w:firstLine="1828"/>
        <w:spacing w:after="0" w:line="261" w:lineRule="auto"/>
        <w:rPr>
          <w:sz w:val="20"/>
          <w:szCs w:val="20"/>
          <w:color w:val="auto"/>
        </w:rPr>
      </w:pPr>
      <w:r>
        <w:rPr>
          <w:rFonts w:ascii="Arial" w:cs="Arial" w:eastAsia="Arial" w:hAnsi="Arial"/>
          <w:sz w:val="17"/>
          <w:szCs w:val="17"/>
          <w:color w:val="auto"/>
        </w:rPr>
        <w:t>WHEREAS, the Company deems the services of the Executive to be of great and unique value to the business of the Company and the Company desires to assure both itself of continuity of management and the Executive of continued employment in the event of an actual or threatened Change of Control (as defined in Section 2 of this Agreement) of the Company;</w:t>
      </w:r>
    </w:p>
    <w:p>
      <w:pPr>
        <w:spacing w:after="0" w:line="17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IT IS, THEREFORE, AGREED:</w:t>
      </w:r>
    </w:p>
    <w:p>
      <w:pPr>
        <w:spacing w:after="0" w:line="122" w:lineRule="exact"/>
        <w:rPr>
          <w:sz w:val="20"/>
          <w:szCs w:val="20"/>
          <w:color w:val="auto"/>
        </w:rPr>
      </w:pPr>
    </w:p>
    <w:p>
      <w:pPr>
        <w:ind w:left="560" w:hanging="558"/>
        <w:spacing w:after="0"/>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Operation of Agreement</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1120" w:right="240" w:hanging="559"/>
        <w:spacing w:after="0" w:line="273" w:lineRule="auto"/>
        <w:rPr>
          <w:rFonts w:ascii="Arial" w:cs="Arial" w:eastAsia="Arial" w:hAnsi="Arial"/>
          <w:sz w:val="17"/>
          <w:szCs w:val="17"/>
          <w:color w:val="auto"/>
        </w:rPr>
      </w:pPr>
      <w:r>
        <w:rPr>
          <w:rFonts w:ascii="Arial" w:cs="Arial" w:eastAsia="Arial" w:hAnsi="Arial"/>
          <w:sz w:val="17"/>
          <w:szCs w:val="17"/>
          <w:color w:val="auto"/>
        </w:rPr>
        <w:t>1.1The “Control Date” shall be the date during the “Change of Control Period” (as defined in Section 1.2) on which a Change of Control (as defined in Section 2) of the Company occurs.</w:t>
      </w:r>
    </w:p>
    <w:p>
      <w:pPr>
        <w:spacing w:after="0" w:line="76" w:lineRule="exact"/>
        <w:rPr>
          <w:rFonts w:ascii="Arial" w:cs="Arial" w:eastAsia="Arial" w:hAnsi="Arial"/>
          <w:sz w:val="17"/>
          <w:szCs w:val="17"/>
          <w:color w:val="auto"/>
        </w:rPr>
      </w:pPr>
    </w:p>
    <w:p>
      <w:pPr>
        <w:ind w:left="1120" w:right="80" w:hanging="559"/>
        <w:spacing w:after="0" w:line="271" w:lineRule="auto"/>
        <w:rPr>
          <w:rFonts w:ascii="Arial" w:cs="Arial" w:eastAsia="Arial" w:hAnsi="Arial"/>
          <w:sz w:val="17"/>
          <w:szCs w:val="17"/>
          <w:color w:val="auto"/>
        </w:rPr>
      </w:pPr>
      <w:r>
        <w:rPr>
          <w:rFonts w:ascii="Arial" w:cs="Arial" w:eastAsia="Arial" w:hAnsi="Arial"/>
          <w:sz w:val="17"/>
          <w:szCs w:val="17"/>
          <w:color w:val="auto"/>
        </w:rPr>
        <w:t>1.2</w:t>
      </w:r>
      <w:r>
        <w:rPr>
          <w:rFonts w:ascii="Arial" w:cs="Arial" w:eastAsia="Arial" w:hAnsi="Arial"/>
          <w:sz w:val="16"/>
          <w:szCs w:val="16"/>
          <w:color w:val="auto"/>
        </w:rPr>
        <w:t>The “Change of Control Period” is the period commencing on the date hereof and ending on the earlier to occur of (i) the third anniversary of such date, or (ii) the first day of the month coinciding with or next following the Executive’s normal retirement date (“Normal Retirement Date”) from the Company; provided, however, that commencing on the date one year after the date hereof, and on each annual anniversary of such date (the date one year after the date hereof and each annual anniversary of such date, is hereinafter referred to as the “Renewal Date”), the Change of Control Period shall be automatically extended so as to terminate on the earlier of (x) three years from such Renewal Date or (y) the first day of the month coinciding with or next following the Executive’s Normal Retirement Date from the Company, unless at least sixty (60) days prior to the Renewal Date the Company shall give notice that the Change of Control Period shall not be so extended.</w:t>
      </w:r>
    </w:p>
    <w:p>
      <w:pPr>
        <w:spacing w:after="0" w:line="83"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1.3</w:t>
      </w:r>
      <w:r>
        <w:rPr>
          <w:rFonts w:ascii="Arial" w:cs="Arial" w:eastAsia="Arial" w:hAnsi="Arial"/>
          <w:sz w:val="15"/>
          <w:szCs w:val="15"/>
          <w:color w:val="auto"/>
        </w:rPr>
        <w:t>For the purposes of this Agreement, the terms:</w:t>
      </w:r>
    </w:p>
    <w:p>
      <w:pPr>
        <w:spacing w:after="0" w:line="122"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“Person” shall mean any individual, firm, corporation or other entity, and shall include any successor (by merger or otherwise) of such entity;</w:t>
      </w:r>
    </w:p>
    <w:p>
      <w:pPr>
        <w:sectPr>
          <w:pgSz w:w="11900" w:h="16838" w:orient="portrait"/>
          <w:cols w:equalWidth="0" w:num="1">
            <w:col w:w="11380"/>
          </w:cols>
          <w:pgMar w:left="240" w:top="267" w:right="279" w:bottom="1440" w:gutter="0" w:footer="0" w:header="0"/>
        </w:sectPr>
      </w:pPr>
    </w:p>
    <w:bookmarkStart w:id="122" w:name="page123"/>
    <w:bookmarkEnd w:id="122"/>
    <w:p>
      <w:pPr>
        <w:ind w:left="1798" w:right="260" w:hanging="673"/>
        <w:spacing w:after="0" w:line="273" w:lineRule="auto"/>
        <w:tabs>
          <w:tab w:leader="none" w:pos="1778"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150" cy="36830"/>
                    </a:xfrm>
                    <a:prstGeom prst="rect">
                      <a:avLst/>
                    </a:prstGeom>
                    <a:noFill/>
                  </pic:spPr>
                </pic:pic>
              </a:graphicData>
            </a:graphic>
          </wp:anchor>
        </w:drawing>
        <w:t>1.3.2</w:t>
      </w:r>
      <w:r>
        <w:rPr>
          <w:sz w:val="20"/>
          <w:szCs w:val="20"/>
          <w:color w:val="auto"/>
        </w:rPr>
        <w:tab/>
      </w:r>
      <w:r>
        <w:rPr>
          <w:rFonts w:ascii="Arial" w:cs="Arial" w:eastAsia="Arial" w:hAnsi="Arial"/>
          <w:sz w:val="17"/>
          <w:szCs w:val="17"/>
          <w:color w:val="auto"/>
        </w:rPr>
        <w:t>“Affiliate” and “Associate” shall have the respective meanings ascribed to such terms in Rule 12b-2 of the General Rules and Regulations under the Securities Exchange Act of 1934, as amended, as in effect on the date of this Agreement.</w:t>
      </w:r>
    </w:p>
    <w:p>
      <w:pPr>
        <w:spacing w:after="0" w:line="165" w:lineRule="exact"/>
        <w:rPr>
          <w:sz w:val="20"/>
          <w:szCs w:val="20"/>
          <w:color w:val="auto"/>
        </w:rPr>
      </w:pPr>
    </w:p>
    <w:p>
      <w:pPr>
        <w:ind w:left="-2" w:firstLine="2"/>
        <w:spacing w:after="0" w:line="312" w:lineRule="auto"/>
        <w:tabs>
          <w:tab w:leader="none" w:pos="168"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Change of Control</w:t>
      </w:r>
      <w:r>
        <w:rPr>
          <w:rFonts w:ascii="Arial" w:cs="Arial" w:eastAsia="Arial" w:hAnsi="Arial"/>
          <w:sz w:val="15"/>
          <w:szCs w:val="15"/>
          <w:color w:val="auto"/>
        </w:rPr>
        <w:t>. For the purpose of this Agreement, a “Change of Control” shall mean a change of control of the Company during the Change of Control Period of a nature that would be required to be reported in response to Item 1(a) of the Current Report on Form 8-K, as in effect on the date hereof, pursuant to Section 13 or 15(d) of the Securities Exchange Act of 1934 (the “Exchange Act”); provided that, without limitation, such a “Change of Control” shall be deemed to have occurred if:</w:t>
      </w:r>
    </w:p>
    <w:p>
      <w:pPr>
        <w:spacing w:after="0" w:line="52" w:lineRule="exact"/>
        <w:rPr>
          <w:sz w:val="20"/>
          <w:szCs w:val="20"/>
          <w:color w:val="auto"/>
        </w:rPr>
      </w:pPr>
    </w:p>
    <w:p>
      <w:pPr>
        <w:ind w:left="1118" w:right="20" w:hanging="558"/>
        <w:spacing w:after="0" w:line="285" w:lineRule="auto"/>
        <w:tabs>
          <w:tab w:leader="none" w:pos="1098"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color w:val="auto"/>
        </w:rPr>
        <w:t>any Person or “group” (as such term “group” is used in Section 13(d)(3) of the Exchange Act, as in effect on the date of this Agreement), becomes the beneficial owner, directly or indirectly, of 30% or more of the combined voting power of the Company’s outstanding voting securities ordinarily having the right to vote for the election of directors of the Company (the “Company’s Voting Stock”) other than acquisitions by</w:t>
      </w:r>
    </w:p>
    <w:p>
      <w:pPr>
        <w:spacing w:after="0" w:line="69" w:lineRule="exact"/>
        <w:rPr>
          <w:sz w:val="20"/>
          <w:szCs w:val="20"/>
          <w:color w:val="auto"/>
        </w:rPr>
      </w:pPr>
    </w:p>
    <w:p>
      <w:pPr>
        <w:ind w:left="1798" w:right="320" w:hanging="673"/>
        <w:spacing w:after="0" w:line="273" w:lineRule="auto"/>
        <w:tabs>
          <w:tab w:leader="none" w:pos="1778"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any Person or “group” (as such term “group” is used in Section 13(d)(3) of the Exchange Act, as in effect on the date of this Agreement), which as of the date hereof has such ownership; or</w:t>
      </w:r>
    </w:p>
    <w:p>
      <w:pPr>
        <w:spacing w:after="0" w:line="76" w:lineRule="exact"/>
        <w:rPr>
          <w:sz w:val="20"/>
          <w:szCs w:val="20"/>
          <w:color w:val="auto"/>
        </w:rPr>
      </w:pPr>
    </w:p>
    <w:p>
      <w:pPr>
        <w:ind w:left="1138"/>
        <w:spacing w:after="0"/>
        <w:tabs>
          <w:tab w:leader="none" w:pos="1778"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color w:val="auto"/>
        </w:rPr>
        <w:t>any of the Golsen Group (as defined below). For the purposes of this Agreement, the term “Golsen Group” shall mean:</w:t>
      </w:r>
    </w:p>
    <w:p>
      <w:pPr>
        <w:spacing w:after="0" w:line="110" w:lineRule="exact"/>
        <w:rPr>
          <w:sz w:val="20"/>
          <w:szCs w:val="20"/>
          <w:color w:val="auto"/>
        </w:rPr>
      </w:pPr>
    </w:p>
    <w:p>
      <w:pPr>
        <w:ind w:left="2038" w:hanging="211"/>
        <w:spacing w:after="0"/>
        <w:tabs>
          <w:tab w:leader="none" w:pos="2038" w:val="left"/>
        </w:tabs>
        <w:numPr>
          <w:ilvl w:val="0"/>
          <w:numId w:val="81"/>
        </w:numPr>
        <w:rPr>
          <w:rFonts w:ascii="Arial" w:cs="Arial" w:eastAsia="Arial" w:hAnsi="Arial"/>
          <w:sz w:val="17"/>
          <w:szCs w:val="17"/>
          <w:color w:val="auto"/>
        </w:rPr>
      </w:pPr>
      <w:r>
        <w:rPr>
          <w:rFonts w:ascii="Arial" w:cs="Arial" w:eastAsia="Arial" w:hAnsi="Arial"/>
          <w:sz w:val="17"/>
          <w:szCs w:val="17"/>
          <w:color w:val="auto"/>
        </w:rPr>
        <w:t>Jack E. Golsen;</w:t>
      </w:r>
    </w:p>
    <w:p>
      <w:pPr>
        <w:spacing w:after="0" w:line="109" w:lineRule="exact"/>
        <w:rPr>
          <w:rFonts w:ascii="Arial" w:cs="Arial" w:eastAsia="Arial" w:hAnsi="Arial"/>
          <w:sz w:val="17"/>
          <w:szCs w:val="17"/>
          <w:color w:val="auto"/>
        </w:rPr>
      </w:pPr>
    </w:p>
    <w:p>
      <w:pPr>
        <w:ind w:left="2078" w:hanging="251"/>
        <w:spacing w:after="0"/>
        <w:tabs>
          <w:tab w:leader="none" w:pos="207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spouse of Jack E. Golsen;</w:t>
      </w:r>
    </w:p>
    <w:p>
      <w:pPr>
        <w:spacing w:after="0" w:line="109" w:lineRule="exact"/>
        <w:rPr>
          <w:rFonts w:ascii="Arial" w:cs="Arial" w:eastAsia="Arial" w:hAnsi="Arial"/>
          <w:sz w:val="17"/>
          <w:szCs w:val="17"/>
          <w:color w:val="auto"/>
        </w:rPr>
      </w:pPr>
    </w:p>
    <w:p>
      <w:pPr>
        <w:ind w:left="2118" w:hanging="291"/>
        <w:spacing w:after="0"/>
        <w:tabs>
          <w:tab w:leader="none" w:pos="2118"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Barry H. Golsen, Steven J. Golsen and Linda Golsen Rappaport, who are the children of Jack E. Golsen;</w:t>
      </w:r>
    </w:p>
    <w:p>
      <w:pPr>
        <w:spacing w:after="0" w:line="109" w:lineRule="exact"/>
        <w:rPr>
          <w:rFonts w:ascii="Arial" w:cs="Arial" w:eastAsia="Arial" w:hAnsi="Arial"/>
          <w:sz w:val="17"/>
          <w:szCs w:val="17"/>
          <w:color w:val="auto"/>
        </w:rPr>
      </w:pPr>
    </w:p>
    <w:p>
      <w:pPr>
        <w:ind w:left="2118" w:hanging="291"/>
        <w:spacing w:after="0"/>
        <w:tabs>
          <w:tab w:leader="none" w:pos="2118"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spouse of any Person described in subparagraph (iii) of this Section 2.1.2;</w:t>
      </w:r>
    </w:p>
    <w:p>
      <w:pPr>
        <w:spacing w:after="0" w:line="147" w:lineRule="exact"/>
        <w:rPr>
          <w:rFonts w:ascii="Arial" w:cs="Arial" w:eastAsia="Arial" w:hAnsi="Arial"/>
          <w:sz w:val="17"/>
          <w:szCs w:val="17"/>
          <w:color w:val="auto"/>
        </w:rPr>
      </w:pPr>
    </w:p>
    <w:p>
      <w:pPr>
        <w:ind w:left="5678" w:hanging="107"/>
        <w:spacing w:after="0"/>
        <w:tabs>
          <w:tab w:leader="none" w:pos="5678" w:val="left"/>
        </w:tabs>
        <w:numPr>
          <w:ilvl w:val="1"/>
          <w:numId w:val="81"/>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1418"/>
          </w:cols>
          <w:pgMar w:left="242" w:top="267" w:right="239" w:bottom="1440" w:gutter="0" w:footer="0" w:header="0"/>
        </w:sectPr>
      </w:pPr>
    </w:p>
    <w:bookmarkStart w:id="123" w:name="page124"/>
    <w:bookmarkEnd w:id="123"/>
    <w:p>
      <w:pPr>
        <w:ind w:left="620" w:firstLine="9"/>
        <w:spacing w:after="0" w:line="261" w:lineRule="auto"/>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6150" cy="36830"/>
                    </a:xfrm>
                    <a:prstGeom prst="rect">
                      <a:avLst/>
                    </a:prstGeom>
                    <a:noFill/>
                  </pic:spPr>
                </pic:pic>
              </a:graphicData>
            </a:graphic>
          </wp:anchor>
        </w:drawing>
        <w:t>any estate of, or the executor or administrator of any estate of, or any guardian or custodian for, any Person described in subparagraphs (i), (ii), (iii) or (iv) of this Section 2.1.2, so long as such executor, administrator, guardian or custodian is acting only in his, her or its capacity as such;</w:t>
      </w:r>
    </w:p>
    <w:p>
      <w:pPr>
        <w:spacing w:after="0" w:line="73" w:lineRule="exact"/>
        <w:rPr>
          <w:rFonts w:ascii="Arial" w:cs="Arial" w:eastAsia="Arial" w:hAnsi="Arial"/>
          <w:sz w:val="17"/>
          <w:szCs w:val="17"/>
          <w:color w:val="auto"/>
        </w:rPr>
      </w:pPr>
    </w:p>
    <w:p>
      <w:pPr>
        <w:ind w:left="620" w:right="20" w:firstLine="9"/>
        <w:spacing w:after="0" w:line="268" w:lineRule="auto"/>
        <w:tabs>
          <w:tab w:leader="none" w:pos="90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corporation (including, but not limited to, Golsen Petroleum Corporation, an Oklahoma corporation, and First Industries Capital Corporation, an Oklahoma corporation), trust (including any voting trust), general partnership, limited partnership, organization or other entity (whether now existing or hereafter formed) of which at least 80% of the outstanding beneficial voting or equity interest are beneficially owned, directly or indirectly, either (a) by one or more of the Persons described in subparagraphs (i), (ii), (iii), (iv) and (v) of this Section 2.1.2 or (b) by any combination of one or more of the Persons described in subparagraphs (i), (ii), (iii), (iv) and (v) of this</w:t>
      </w:r>
    </w:p>
    <w:p>
      <w:pPr>
        <w:spacing w:after="0" w:line="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color w:val="auto"/>
        </w:rPr>
        <w:t>Section 2.1.2; and,</w:t>
      </w:r>
    </w:p>
    <w:p>
      <w:pPr>
        <w:spacing w:after="0" w:line="97" w:lineRule="exact"/>
        <w:rPr>
          <w:rFonts w:ascii="Arial" w:cs="Arial" w:eastAsia="Arial" w:hAnsi="Arial"/>
          <w:sz w:val="16"/>
          <w:szCs w:val="16"/>
          <w:color w:val="auto"/>
        </w:rPr>
      </w:pPr>
    </w:p>
    <w:p>
      <w:pPr>
        <w:ind w:left="960" w:hanging="331"/>
        <w:spacing w:after="0"/>
        <w:tabs>
          <w:tab w:leader="none" w:pos="9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other Person (a) who or which is or becomes an Affiliate or Associate of any Person described in subparagraph (i), (ii), (iii), (iv),</w:t>
      </w:r>
    </w:p>
    <w:p>
      <w:pPr>
        <w:spacing w:after="0" w:line="42" w:lineRule="exact"/>
        <w:rPr>
          <w:rFonts w:ascii="Arial" w:cs="Arial" w:eastAsia="Arial" w:hAnsi="Arial"/>
          <w:sz w:val="15"/>
          <w:szCs w:val="15"/>
          <w:color w:val="auto"/>
        </w:rPr>
      </w:pPr>
    </w:p>
    <w:p>
      <w:pPr>
        <w:ind w:left="620" w:right="80" w:firstLine="9"/>
        <w:spacing w:after="0" w:line="251"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or (vi) of this Section 2.1.2 or (b) of which any Person described in subparagraph (i), (ii), (iii), (iv), (v) or (vi) of this Section 2.1.2 is or becomes an Affiliate or Associate; provided, however, in either case (a) or case (b) of this subparagraph (vii), such other Person is not the Beneficial Owner of 5% or more of the shares of Common Stock of the Company then outstanding (for the purposes of determining the number of shares of Common Stock of the Company of which such other Person is the Beneficial Owner under this subparagraph (vii), such other Person shall not be deemed to beneficially own shares of any Person described in subparagraph (i), (ii), (iii), (iv), (v) or (vi) of this Section 2.1.2 solely by reason of an</w:t>
      </w:r>
    </w:p>
    <w:p>
      <w:pPr>
        <w:spacing w:after="0" w:line="121" w:lineRule="exact"/>
        <w:rPr>
          <w:rFonts w:ascii="Arial" w:cs="Arial" w:eastAsia="Arial" w:hAnsi="Arial"/>
          <w:sz w:val="17"/>
          <w:szCs w:val="17"/>
          <w:color w:val="auto"/>
        </w:rPr>
      </w:pPr>
    </w:p>
    <w:p>
      <w:pPr>
        <w:ind w:left="4480" w:hanging="107"/>
        <w:spacing w:after="0"/>
        <w:tabs>
          <w:tab w:leader="none" w:pos="44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0220"/>
          </w:cols>
          <w:pgMar w:left="1440" w:top="267" w:right="239" w:bottom="1440" w:gutter="0" w:footer="0" w:header="0"/>
        </w:sectPr>
      </w:pPr>
    </w:p>
    <w:bookmarkStart w:id="124" w:name="page125"/>
    <w:bookmarkEnd w:id="124"/>
    <w:p>
      <w:pPr>
        <w:ind w:left="1818"/>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6150" cy="36830"/>
                    </a:xfrm>
                    <a:prstGeom prst="rect">
                      <a:avLst/>
                    </a:prstGeom>
                    <a:noFill/>
                  </pic:spPr>
                </pic:pic>
              </a:graphicData>
            </a:graphic>
          </wp:anchor>
        </w:drawing>
        <w:t>Affiliate or Associate relationship of the kind described in (a) or (b) above in this subparagraph (vii)).</w:t>
      </w:r>
    </w:p>
    <w:p>
      <w:pPr>
        <w:spacing w:after="0" w:line="122" w:lineRule="exact"/>
        <w:rPr>
          <w:sz w:val="20"/>
          <w:szCs w:val="20"/>
          <w:color w:val="auto"/>
        </w:rPr>
      </w:pPr>
    </w:p>
    <w:p>
      <w:pPr>
        <w:ind w:left="1118" w:right="60" w:hanging="558"/>
        <w:spacing w:after="0" w:line="294" w:lineRule="auto"/>
        <w:tabs>
          <w:tab w:leader="none" w:pos="1098"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individuals who, as of the date hereof, constitute the Board of Directors of the Company (the “Board” generally and as of the date hereof the “Incumbent Board”) cease for any reason to constitute at least a majority of the Board; provided, however, that any person becoming a director subsequent to the date hereof whose election, or nomination for election by the Company’s shareholders, was approved by a vote of at least a majority of the directors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promulgated under the Exchange Act) shall be deemed to be, for purposes of this Agreement, a member of the Incumbent Board; or</w:t>
      </w:r>
    </w:p>
    <w:p>
      <w:pPr>
        <w:spacing w:after="0" w:line="67" w:lineRule="exact"/>
        <w:rPr>
          <w:sz w:val="20"/>
          <w:szCs w:val="20"/>
          <w:color w:val="auto"/>
        </w:rPr>
      </w:pPr>
    </w:p>
    <w:p>
      <w:pPr>
        <w:ind w:left="558"/>
        <w:spacing w:after="0"/>
        <w:tabs>
          <w:tab w:leader="none" w:pos="1098"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a sale by the Company of all or substantially all of its assets.</w:t>
      </w:r>
    </w:p>
    <w:p>
      <w:pPr>
        <w:spacing w:after="0" w:line="351" w:lineRule="exact"/>
        <w:rPr>
          <w:sz w:val="20"/>
          <w:szCs w:val="20"/>
          <w:color w:val="auto"/>
        </w:rPr>
      </w:pPr>
    </w:p>
    <w:p>
      <w:pPr>
        <w:ind w:left="558" w:hanging="558"/>
        <w:spacing w:after="0"/>
        <w:tabs>
          <w:tab w:leader="none" w:pos="558"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558"/>
        <w:spacing w:after="0"/>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5"/>
          <w:szCs w:val="15"/>
          <w:u w:val="single" w:color="auto"/>
          <w:color w:val="auto"/>
        </w:rPr>
        <w:t>Death</w:t>
      </w:r>
      <w:r>
        <w:rPr>
          <w:rFonts w:ascii="Arial" w:cs="Arial" w:eastAsia="Arial" w:hAnsi="Arial"/>
          <w:sz w:val="15"/>
          <w:szCs w:val="15"/>
          <w:color w:val="auto"/>
        </w:rPr>
        <w:t>. This Agreement shall terminate automatically upon the Executive’s death.</w:t>
      </w:r>
    </w:p>
    <w:p>
      <w:pPr>
        <w:spacing w:after="0" w:line="122" w:lineRule="exact"/>
        <w:rPr>
          <w:sz w:val="20"/>
          <w:szCs w:val="20"/>
          <w:color w:val="auto"/>
        </w:rPr>
      </w:pPr>
    </w:p>
    <w:p>
      <w:pPr>
        <w:ind w:left="1118" w:hanging="558"/>
        <w:spacing w:after="0" w:line="273" w:lineRule="auto"/>
        <w:tabs>
          <w:tab w:leader="none" w:pos="1098"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u w:val="single" w:color="auto"/>
          <w:color w:val="auto"/>
        </w:rPr>
        <w:t>Cause</w:t>
      </w:r>
      <w:r>
        <w:rPr>
          <w:rFonts w:ascii="Arial" w:cs="Arial" w:eastAsia="Arial" w:hAnsi="Arial"/>
          <w:sz w:val="17"/>
          <w:szCs w:val="17"/>
          <w:color w:val="auto"/>
        </w:rPr>
        <w:t>. The Company may terminate the Executive’s employment for “Cause.” For purposes of this Agreement, termination of Executive’s employment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by the Company for “Cause” shall mean termination for one of the following reasons:</w:t>
      </w:r>
    </w:p>
    <w:p>
      <w:pPr>
        <w:spacing w:after="0" w:line="76" w:lineRule="exact"/>
        <w:rPr>
          <w:sz w:val="20"/>
          <w:szCs w:val="20"/>
          <w:color w:val="auto"/>
        </w:rPr>
      </w:pPr>
    </w:p>
    <w:p>
      <w:pPr>
        <w:ind w:left="1798" w:right="260" w:hanging="673"/>
        <w:spacing w:after="0" w:line="285" w:lineRule="auto"/>
        <w:tabs>
          <w:tab w:leader="none" w:pos="1778"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if the Executive shall be mentally or physically disabled from properly and fully performing his duties and responsibilities hereunder for a period of one hundred twenty (120) consecutive days, or one hundred eighty (180) days, even though not consecutive, within any three hundred sixty (360) day period, all as determined by the Board in good faith and supported by medical evidence; or</w:t>
      </w:r>
    </w:p>
    <w:p>
      <w:pPr>
        <w:spacing w:after="0" w:line="94"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418"/>
          </w:cols>
          <w:pgMar w:left="242" w:top="267" w:right="239" w:bottom="1440" w:gutter="0" w:footer="0" w:header="0"/>
        </w:sectPr>
      </w:pPr>
    </w:p>
    <w:bookmarkStart w:id="125" w:name="page126"/>
    <w:bookmarkEnd w:id="125"/>
    <w:p>
      <w:pPr>
        <w:ind w:left="580"/>
        <w:spacing w:after="0"/>
        <w:tabs>
          <w:tab w:leader="none" w:pos="12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6150" cy="36830"/>
                    </a:xfrm>
                    <a:prstGeom prst="rect">
                      <a:avLst/>
                    </a:prstGeom>
                    <a:noFill/>
                  </pic:spPr>
                </pic:pic>
              </a:graphicData>
            </a:graphic>
          </wp:anchor>
        </w:drawing>
        <w:t>3.2.2</w:t>
      </w:r>
      <w:r>
        <w:rPr>
          <w:sz w:val="20"/>
          <w:szCs w:val="20"/>
          <w:color w:val="auto"/>
        </w:rPr>
        <w:tab/>
      </w:r>
      <w:r>
        <w:rPr>
          <w:rFonts w:ascii="Arial" w:cs="Arial" w:eastAsia="Arial" w:hAnsi="Arial"/>
          <w:sz w:val="15"/>
          <w:szCs w:val="15"/>
          <w:color w:val="auto"/>
        </w:rPr>
        <w:t>the conviction of the Executive of a felony by a federal or state court of competent jurisdiction; or</w:t>
      </w:r>
    </w:p>
    <w:p>
      <w:pPr>
        <w:spacing w:after="0" w:line="122" w:lineRule="exact"/>
        <w:rPr>
          <w:sz w:val="20"/>
          <w:szCs w:val="20"/>
          <w:color w:val="auto"/>
        </w:rPr>
      </w:pPr>
    </w:p>
    <w:p>
      <w:pPr>
        <w:ind w:left="1240" w:right="580" w:hanging="673"/>
        <w:spacing w:after="0" w:line="273" w:lineRule="auto"/>
        <w:tabs>
          <w:tab w:leader="none" w:pos="122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an act or acts of embezzlement of the Company’s assets taken by the Executive that resulted in substantial personal enrichment of the Executive at the expense of the Company; or</w:t>
      </w:r>
    </w:p>
    <w:p>
      <w:pPr>
        <w:spacing w:after="0" w:line="76" w:lineRule="exact"/>
        <w:rPr>
          <w:sz w:val="20"/>
          <w:szCs w:val="20"/>
          <w:color w:val="auto"/>
        </w:rPr>
      </w:pPr>
    </w:p>
    <w:p>
      <w:pPr>
        <w:ind w:left="1240" w:hanging="673"/>
        <w:spacing w:after="0" w:line="290" w:lineRule="auto"/>
        <w:tabs>
          <w:tab w:leader="none" w:pos="122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5"/>
          <w:szCs w:val="15"/>
          <w:color w:val="auto"/>
        </w:rPr>
        <w:t>the Executive’s willful failure during the period in which he is not mentally or physically disabled to follow a direct lawful written order from the Board that is within the reasonable scope of and consistent with the Executive’s duties that the Executive has performed during the sixty</w:t>
      </w:r>
    </w:p>
    <w:p>
      <w:pPr>
        <w:spacing w:after="0" w:line="1" w:lineRule="exact"/>
        <w:rPr>
          <w:sz w:val="20"/>
          <w:szCs w:val="20"/>
          <w:color w:val="auto"/>
        </w:rPr>
      </w:pPr>
    </w:p>
    <w:p>
      <w:pPr>
        <w:ind w:left="1240" w:right="40" w:firstLine="6"/>
        <w:spacing w:after="0" w:line="252" w:lineRule="auto"/>
        <w:tabs>
          <w:tab w:leader="none" w:pos="1565" w:val="left"/>
        </w:tabs>
        <w:numPr>
          <w:ilvl w:val="0"/>
          <w:numId w:val="85"/>
        </w:numPr>
        <w:rPr>
          <w:rFonts w:ascii="Arial" w:cs="Arial" w:eastAsia="Arial" w:hAnsi="Arial"/>
          <w:sz w:val="17"/>
          <w:szCs w:val="17"/>
          <w:color w:val="auto"/>
        </w:rPr>
      </w:pPr>
      <w:r>
        <w:rPr>
          <w:rFonts w:ascii="Arial" w:cs="Arial" w:eastAsia="Arial" w:hAnsi="Arial"/>
          <w:sz w:val="17"/>
          <w:szCs w:val="17"/>
          <w:color w:val="auto"/>
        </w:rPr>
        <w:t>day period immediately preceding the Control Date (or, if after the Control Date, the Executive and the Company have agreed in writing to a change in his duties, then such written order must be within the reasonable scope of and consistent with the new duties so agreed by the Executive), which failure is not cured by the Executive within thirty (30) days after receipt by the Executive of written notice from the Company to cure such failure.</w:t>
      </w:r>
    </w:p>
    <w:p>
      <w:pPr>
        <w:spacing w:after="0" w:line="95" w:lineRule="exact"/>
        <w:rPr>
          <w:sz w:val="20"/>
          <w:szCs w:val="20"/>
          <w:color w:val="auto"/>
        </w:rPr>
      </w:pPr>
    </w:p>
    <w:p>
      <w:pPr>
        <w:ind w:left="560" w:right="240" w:hanging="558"/>
        <w:spacing w:after="0" w:line="273" w:lineRule="auto"/>
        <w:tabs>
          <w:tab w:leader="none" w:pos="5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u w:val="single" w:color="auto"/>
          <w:color w:val="auto"/>
        </w:rPr>
        <w:t>Good Reason</w:t>
      </w:r>
      <w:r>
        <w:rPr>
          <w:rFonts w:ascii="Arial" w:cs="Arial" w:eastAsia="Arial" w:hAnsi="Arial"/>
          <w:sz w:val="17"/>
          <w:szCs w:val="17"/>
          <w:color w:val="auto"/>
        </w:rPr>
        <w:t>. The Executive’s employment may be terminated by the Executive for Good Reason. For purposes of this Agreement, “Good Reason”</w:t>
      </w:r>
      <w:r>
        <w:rPr>
          <w:rFonts w:ascii="Arial" w:cs="Arial" w:eastAsia="Arial" w:hAnsi="Arial"/>
          <w:sz w:val="17"/>
          <w:szCs w:val="17"/>
          <w:u w:val="single" w:color="auto"/>
          <w:color w:val="auto"/>
        </w:rPr>
        <w:t xml:space="preserve"> </w:t>
      </w:r>
      <w:r>
        <w:rPr>
          <w:rFonts w:ascii="Arial" w:cs="Arial" w:eastAsia="Arial" w:hAnsi="Arial"/>
          <w:sz w:val="17"/>
          <w:szCs w:val="17"/>
          <w:color w:val="auto"/>
        </w:rPr>
        <w:t>means:</w:t>
      </w:r>
    </w:p>
    <w:p>
      <w:pPr>
        <w:spacing w:after="0" w:line="76" w:lineRule="exact"/>
        <w:rPr>
          <w:sz w:val="20"/>
          <w:szCs w:val="20"/>
          <w:color w:val="auto"/>
        </w:rPr>
      </w:pPr>
    </w:p>
    <w:p>
      <w:pPr>
        <w:ind w:left="1240" w:right="240" w:hanging="673"/>
        <w:spacing w:after="0" w:line="312" w:lineRule="auto"/>
        <w:tabs>
          <w:tab w:leader="none" w:pos="122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5"/>
          <w:szCs w:val="15"/>
          <w:color w:val="auto"/>
        </w:rPr>
        <w:t>(A) the assignment to the Executive of any duties inconsistent with the Executive’s position (including status, offices, titles and reporting requirements), authority, duties or responsibilities that he has had during the sixty (60) day period immediately preceding the Control Date (or, if after the Control Date, the Executive and the Company have agreed in writing to a change in such position, authority,</w:t>
      </w:r>
    </w:p>
    <w:p>
      <w:pPr>
        <w:spacing w:after="0" w:line="77"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0860"/>
          </w:cols>
          <w:pgMar w:left="800" w:top="267" w:right="239" w:bottom="1440" w:gutter="0" w:footer="0" w:header="0"/>
        </w:sectPr>
      </w:pPr>
    </w:p>
    <w:bookmarkStart w:id="126" w:name="page127"/>
    <w:bookmarkEnd w:id="126"/>
    <w:p>
      <w:pPr>
        <w:ind w:left="12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6150" cy="36830"/>
                    </a:xfrm>
                    <a:prstGeom prst="rect">
                      <a:avLst/>
                    </a:prstGeom>
                    <a:noFill/>
                  </pic:spPr>
                </pic:pic>
              </a:graphicData>
            </a:graphic>
          </wp:anchor>
        </w:drawing>
        <w:t>duties or responsibilities, then such assignment shall not be consistent with the Executive’s new position, authority, duties or responsibilities), or (B) any other action by the Company which results in a diminishment in such position, authority, duties or responsibilities, other than an insubstantial and inadvertent action which is remedied by the Company promptly after receipt of notice thereof given by the Executive; or</w:t>
      </w:r>
    </w:p>
    <w:p>
      <w:pPr>
        <w:spacing w:after="0" w:line="52" w:lineRule="exact"/>
        <w:rPr>
          <w:sz w:val="20"/>
          <w:szCs w:val="20"/>
          <w:color w:val="auto"/>
        </w:rPr>
      </w:pPr>
    </w:p>
    <w:p>
      <w:pPr>
        <w:ind w:left="1240" w:right="340" w:hanging="673"/>
        <w:spacing w:after="0" w:line="273" w:lineRule="auto"/>
        <w:tabs>
          <w:tab w:leader="none" w:pos="122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7"/>
          <w:szCs w:val="17"/>
          <w:color w:val="auto"/>
        </w:rPr>
        <w:t>the Company’s requiring the Executive to be based at any office or location other than that at which the Executive is based at the Control Date, except for travel reasonably required in the performance of the Executive’s responsibilities; or</w:t>
      </w:r>
    </w:p>
    <w:p>
      <w:pPr>
        <w:spacing w:after="0" w:line="76" w:lineRule="exact"/>
        <w:rPr>
          <w:sz w:val="20"/>
          <w:szCs w:val="20"/>
          <w:color w:val="auto"/>
        </w:rPr>
      </w:pPr>
    </w:p>
    <w:p>
      <w:pPr>
        <w:ind w:left="1240" w:right="820" w:hanging="673"/>
        <w:spacing w:after="0" w:line="341" w:lineRule="auto"/>
        <w:tabs>
          <w:tab w:leader="none" w:pos="122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any purported termination by the Company of the Executive’s employment with the Company otherwise than as permitted by this Agreement, it being understood that any such purported termination shall not be effective for any purpose of this Agreement; or</w:t>
      </w:r>
    </w:p>
    <w:p>
      <w:pPr>
        <w:spacing w:after="0" w:line="31"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5"/>
          <w:szCs w:val="15"/>
          <w:color w:val="auto"/>
        </w:rPr>
        <w:t>any failure by the Company to comply with and satisfy Section 8.3 of this Agreement.</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 purposes of this Section 3.3, any good faith determination of “Good Reason” made by the Executive shall be conclusive.</w:t>
      </w:r>
    </w:p>
    <w:p>
      <w:pPr>
        <w:spacing w:after="0" w:line="122" w:lineRule="exact"/>
        <w:rPr>
          <w:sz w:val="20"/>
          <w:szCs w:val="20"/>
          <w:color w:val="auto"/>
        </w:rPr>
      </w:pPr>
    </w:p>
    <w:p>
      <w:pPr>
        <w:ind w:left="560" w:right="680" w:hanging="558"/>
        <w:spacing w:after="0" w:line="261" w:lineRule="auto"/>
        <w:tabs>
          <w:tab w:leader="none" w:pos="5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by the Company for Cause or by the Executive for Good Reason shall be communicated by Notice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Termination to the other party hereto given in accordance with Section 9.2 of this Agreement. For purposes of this Agreement, a “Notice of Termination” means a written notice which</w:t>
      </w:r>
    </w:p>
    <w:p>
      <w:pPr>
        <w:spacing w:after="0" w:line="87"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17"/>
          <w:szCs w:val="17"/>
          <w:color w:val="auto"/>
        </w:rPr>
        <w:t>3.4.1</w:t>
      </w:r>
      <w:r>
        <w:rPr>
          <w:sz w:val="20"/>
          <w:szCs w:val="20"/>
          <w:color w:val="auto"/>
        </w:rPr>
        <w:tab/>
      </w:r>
      <w:r>
        <w:rPr>
          <w:rFonts w:ascii="Arial" w:cs="Arial" w:eastAsia="Arial" w:hAnsi="Arial"/>
          <w:sz w:val="15"/>
          <w:szCs w:val="15"/>
          <w:color w:val="auto"/>
        </w:rPr>
        <w:t>indicates the specific termination provision in this Agreement relied upon,</w:t>
      </w:r>
    </w:p>
    <w:p>
      <w:pPr>
        <w:spacing w:after="0" w:line="122" w:lineRule="exact"/>
        <w:rPr>
          <w:sz w:val="20"/>
          <w:szCs w:val="20"/>
          <w:color w:val="auto"/>
        </w:rPr>
      </w:pPr>
    </w:p>
    <w:p>
      <w:pPr>
        <w:ind w:left="1240" w:right="20" w:hanging="673"/>
        <w:spacing w:after="0" w:line="273" w:lineRule="auto"/>
        <w:tabs>
          <w:tab w:leader="none" w:pos="1220" w:val="left"/>
        </w:tabs>
        <w:rPr>
          <w:sz w:val="20"/>
          <w:szCs w:val="20"/>
          <w:color w:val="auto"/>
        </w:rPr>
      </w:pPr>
      <w:r>
        <w:rPr>
          <w:rFonts w:ascii="Arial" w:cs="Arial" w:eastAsia="Arial" w:hAnsi="Arial"/>
          <w:sz w:val="17"/>
          <w:szCs w:val="17"/>
          <w:color w:val="auto"/>
        </w:rPr>
        <w:t>3.4.2</w:t>
      </w:r>
      <w:r>
        <w:rPr>
          <w:sz w:val="20"/>
          <w:szCs w:val="20"/>
          <w:color w:val="auto"/>
        </w:rPr>
        <w:tab/>
      </w:r>
      <w:r>
        <w:rPr>
          <w:rFonts w:ascii="Arial" w:cs="Arial" w:eastAsia="Arial" w:hAnsi="Arial"/>
          <w:sz w:val="17"/>
          <w:szCs w:val="17"/>
          <w:color w:val="auto"/>
        </w:rPr>
        <w:t>sets forth in reasonable detail the facts and circumstances claimed to provide a basis for termination of the Executive’s employment under the provision so indicated, and</w:t>
      </w:r>
    </w:p>
    <w:p>
      <w:pPr>
        <w:spacing w:after="0" w:line="76"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17"/>
          <w:szCs w:val="17"/>
          <w:color w:val="auto"/>
        </w:rPr>
        <w:t>3.4.3</w:t>
      </w:r>
      <w:r>
        <w:rPr>
          <w:sz w:val="20"/>
          <w:szCs w:val="20"/>
          <w:color w:val="auto"/>
        </w:rPr>
        <w:tab/>
      </w:r>
      <w:r>
        <w:rPr>
          <w:rFonts w:ascii="Arial" w:cs="Arial" w:eastAsia="Arial" w:hAnsi="Arial"/>
          <w:sz w:val="15"/>
          <w:szCs w:val="15"/>
          <w:color w:val="auto"/>
        </w:rPr>
        <w:t>if the termination date is other than the date of receipt of such notice, specifies the termination date (which date shall be not more than fifteen</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(15) days after the giving of such notice).</w:t>
      </w:r>
    </w:p>
    <w:p>
      <w:pPr>
        <w:spacing w:after="0" w:line="136"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0860"/>
          </w:cols>
          <w:pgMar w:left="800" w:top="267" w:right="239" w:bottom="1440" w:gutter="0" w:footer="0" w:header="0"/>
        </w:sectPr>
      </w:pPr>
    </w:p>
    <w:bookmarkStart w:id="127" w:name="page128"/>
    <w:bookmarkEnd w:id="127"/>
    <w:p>
      <w:pPr>
        <w:jc w:val="both"/>
        <w:ind w:left="1118" w:right="40" w:hanging="558"/>
        <w:spacing w:after="0" w:line="312" w:lineRule="auto"/>
        <w:tabs>
          <w:tab w:leader="none" w:pos="1098"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6150" cy="36830"/>
                    </a:xfrm>
                    <a:prstGeom prst="rect">
                      <a:avLst/>
                    </a:prstGeom>
                    <a:noFill/>
                  </pic:spPr>
                </pic:pic>
              </a:graphicData>
            </a:graphic>
          </wp:anchor>
        </w:drawing>
        <w:t>3.5</w:t>
      </w:r>
      <w:r>
        <w:rPr>
          <w:sz w:val="20"/>
          <w:szCs w:val="20"/>
          <w:color w:val="auto"/>
        </w:rPr>
        <w:tab/>
      </w:r>
      <w:r>
        <w:rPr>
          <w:rFonts w:ascii="Arial" w:cs="Arial" w:eastAsia="Arial" w:hAnsi="Arial"/>
          <w:sz w:val="15"/>
          <w:szCs w:val="15"/>
          <w:u w:val="single" w:color="auto"/>
          <w:color w:val="auto"/>
        </w:rPr>
        <w:t>Date of Termination</w:t>
      </w:r>
      <w:r>
        <w:rPr>
          <w:rFonts w:ascii="Arial" w:cs="Arial" w:eastAsia="Arial" w:hAnsi="Arial"/>
          <w:sz w:val="15"/>
          <w:szCs w:val="15"/>
          <w:color w:val="auto"/>
        </w:rPr>
        <w:t>. “Date of Termination” means the date of receipt of the Notice of Termination or any later date specified therein, (which date shall</w:t>
      </w:r>
      <w:r>
        <w:rPr>
          <w:rFonts w:ascii="Arial" w:cs="Arial" w:eastAsia="Arial" w:hAnsi="Arial"/>
          <w:sz w:val="15"/>
          <w:szCs w:val="15"/>
          <w:u w:val="single" w:color="auto"/>
          <w:color w:val="auto"/>
        </w:rPr>
        <w:t xml:space="preserve"> </w:t>
      </w:r>
      <w:r>
        <w:rPr>
          <w:rFonts w:ascii="Arial" w:cs="Arial" w:eastAsia="Arial" w:hAnsi="Arial"/>
          <w:sz w:val="15"/>
          <w:szCs w:val="15"/>
          <w:color w:val="auto"/>
        </w:rPr>
        <w:t>not be more than fifteen (15) days after the giving of such notice), as the case may be. If the Executive’s employment is terminated by the Company in breach of this Agreement, the Date of Termination shall be the date on which the Company notifies the Executive of such termination.</w:t>
      </w:r>
    </w:p>
    <w:p>
      <w:pPr>
        <w:spacing w:after="0" w:line="280" w:lineRule="exact"/>
        <w:rPr>
          <w:sz w:val="20"/>
          <w:szCs w:val="20"/>
          <w:color w:val="auto"/>
        </w:rPr>
      </w:pPr>
    </w:p>
    <w:p>
      <w:pPr>
        <w:ind w:left="558" w:hanging="558"/>
        <w:spacing w:after="0"/>
        <w:tabs>
          <w:tab w:leader="none" w:pos="558"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Obligations of the Company upon Termination</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558"/>
        <w:spacing w:after="0"/>
        <w:rPr>
          <w:rFonts w:ascii="Arial" w:cs="Arial" w:eastAsia="Arial" w:hAnsi="Arial"/>
          <w:sz w:val="17"/>
          <w:szCs w:val="17"/>
          <w:color w:val="auto"/>
        </w:rPr>
      </w:pPr>
      <w:r>
        <w:rPr>
          <w:rFonts w:ascii="Arial" w:cs="Arial" w:eastAsia="Arial" w:hAnsi="Arial"/>
          <w:sz w:val="17"/>
          <w:szCs w:val="17"/>
          <w:color w:val="auto"/>
        </w:rPr>
        <w:t>4.1</w:t>
      </w:r>
      <w:r>
        <w:rPr>
          <w:rFonts w:ascii="Arial" w:cs="Arial" w:eastAsia="Arial" w:hAnsi="Arial"/>
          <w:sz w:val="15"/>
          <w:szCs w:val="15"/>
          <w:u w:val="single" w:color="auto"/>
          <w:color w:val="auto"/>
        </w:rPr>
        <w:t>Amount of Payment</w:t>
      </w:r>
      <w:r>
        <w:rPr>
          <w:rFonts w:ascii="Arial" w:cs="Arial" w:eastAsia="Arial" w:hAnsi="Arial"/>
          <w:sz w:val="15"/>
          <w:szCs w:val="15"/>
          <w:color w:val="auto"/>
        </w:rPr>
        <w:t>. If</w:t>
      </w:r>
    </w:p>
    <w:p>
      <w:pPr>
        <w:spacing w:after="0" w:line="122" w:lineRule="exact"/>
        <w:rPr>
          <w:rFonts w:ascii="Arial" w:cs="Arial" w:eastAsia="Arial" w:hAnsi="Arial"/>
          <w:sz w:val="17"/>
          <w:szCs w:val="17"/>
          <w:color w:val="auto"/>
        </w:rPr>
      </w:pPr>
    </w:p>
    <w:p>
      <w:pPr>
        <w:ind w:left="1138"/>
        <w:spacing w:after="0"/>
        <w:rPr>
          <w:rFonts w:ascii="Arial" w:cs="Arial" w:eastAsia="Arial" w:hAnsi="Arial"/>
          <w:sz w:val="17"/>
          <w:szCs w:val="17"/>
          <w:color w:val="auto"/>
        </w:rPr>
      </w:pPr>
      <w:r>
        <w:rPr>
          <w:rFonts w:ascii="Arial" w:cs="Arial" w:eastAsia="Arial" w:hAnsi="Arial"/>
          <w:sz w:val="17"/>
          <w:szCs w:val="17"/>
          <w:color w:val="auto"/>
        </w:rPr>
        <w:t>4.1.1</w:t>
      </w:r>
      <w:r>
        <w:rPr>
          <w:rFonts w:ascii="Arial" w:cs="Arial" w:eastAsia="Arial" w:hAnsi="Arial"/>
          <w:sz w:val="15"/>
          <w:szCs w:val="15"/>
          <w:color w:val="auto"/>
        </w:rPr>
        <w:t>within twenty-four (24) months after the Control Date, the Company shall terminate the Executive’s employment other than for Cause, or</w:t>
      </w:r>
    </w:p>
    <w:p>
      <w:pPr>
        <w:spacing w:after="0" w:line="122" w:lineRule="exact"/>
        <w:rPr>
          <w:sz w:val="20"/>
          <w:szCs w:val="20"/>
          <w:color w:val="auto"/>
        </w:rPr>
      </w:pPr>
    </w:p>
    <w:p>
      <w:pPr>
        <w:ind w:left="1798" w:right="420" w:hanging="673"/>
        <w:spacing w:after="0" w:line="273" w:lineRule="auto"/>
        <w:tabs>
          <w:tab w:leader="none" w:pos="1778"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color w:val="auto"/>
        </w:rPr>
        <w:t>within twenty-four (24) months after the Control Date, the employment of the Executive shall be terminated by the Executive for Good Reason,</w:t>
      </w:r>
    </w:p>
    <w:p>
      <w:pPr>
        <w:spacing w:after="0" w:line="64" w:lineRule="exact"/>
        <w:rPr>
          <w:sz w:val="20"/>
          <w:szCs w:val="20"/>
          <w:color w:val="auto"/>
        </w:rPr>
      </w:pPr>
    </w:p>
    <w:p>
      <w:pPr>
        <w:ind w:left="1138"/>
        <w:spacing w:after="0" w:line="271" w:lineRule="auto"/>
        <w:rPr>
          <w:sz w:val="20"/>
          <w:szCs w:val="20"/>
          <w:color w:val="auto"/>
        </w:rPr>
      </w:pPr>
      <w:r>
        <w:rPr>
          <w:rFonts w:ascii="Arial" w:cs="Arial" w:eastAsia="Arial" w:hAnsi="Arial"/>
          <w:sz w:val="16"/>
          <w:szCs w:val="16"/>
          <w:color w:val="auto"/>
        </w:rPr>
        <w:t>the Company shall pay to the Executive in a lump sum in cash on the “Payment Date” (as defined below) an amount equal to 2.9 times the “Executive’s Base Amount” (as defined below). For the purpose of this Agreement, the “Executive’s Base Amount” shall mean the average annual gross compensation paid by the Company to the Executive and includible in the Executive’s gross income during the period consisting of the most recent five taxable years ending before the Control Date; provided, however, that if the Executive has been employed by the Company for less than such five year period immediately preceding the Control Date, then the “Executive’s Base Amount” shall be the average annual gross compensation paid by the Company to the Executive and includible in the Executive’s gross income during the most recent number of taxable years ending before the Control Date that the Executive was employed by the Company.</w:t>
      </w:r>
    </w:p>
    <w:p>
      <w:pPr>
        <w:spacing w:after="0" w:line="83" w:lineRule="exact"/>
        <w:rPr>
          <w:sz w:val="20"/>
          <w:szCs w:val="20"/>
          <w:color w:val="auto"/>
        </w:rPr>
      </w:pPr>
    </w:p>
    <w:p>
      <w:pPr>
        <w:ind w:left="558"/>
        <w:spacing w:after="0"/>
        <w:tabs>
          <w:tab w:leader="none" w:pos="1098"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u w:val="single" w:color="auto"/>
          <w:color w:val="auto"/>
        </w:rPr>
        <w:t>Payment Date</w:t>
      </w:r>
      <w:r>
        <w:rPr>
          <w:rFonts w:ascii="Arial" w:cs="Arial" w:eastAsia="Arial" w:hAnsi="Arial"/>
          <w:sz w:val="15"/>
          <w:szCs w:val="15"/>
          <w:color w:val="auto"/>
        </w:rPr>
        <w:t>. For purposes of Section 4.1 of this Agreement, the “Payment Date” is the Date of Termination.</w:t>
      </w:r>
    </w:p>
    <w:p>
      <w:pPr>
        <w:spacing w:after="0" w:line="148"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- 7 -</w:t>
      </w:r>
    </w:p>
    <w:p>
      <w:pPr>
        <w:sectPr>
          <w:pgSz w:w="11900" w:h="16838" w:orient="portrait"/>
          <w:cols w:equalWidth="0" w:num="1">
            <w:col w:w="11398"/>
          </w:cols>
          <w:pgMar w:left="242" w:top="267" w:right="259" w:bottom="1440" w:gutter="0" w:footer="0" w:header="0"/>
        </w:sectPr>
      </w:pPr>
    </w:p>
    <w:bookmarkStart w:id="128" w:name="page129"/>
    <w:bookmarkEnd w:id="128"/>
    <w:p>
      <w:pPr>
        <w:ind w:left="-2" w:firstLine="2"/>
        <w:spacing w:after="0" w:line="255" w:lineRule="auto"/>
        <w:tabs>
          <w:tab w:leader="none" w:pos="16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6150" cy="36830"/>
                    </a:xfrm>
                    <a:prstGeom prst="rect">
                      <a:avLst/>
                    </a:prstGeom>
                    <a:noFill/>
                  </pic:spPr>
                </pic:pic>
              </a:graphicData>
            </a:graphic>
          </wp:anchor>
        </w:drawing>
        <w:t>Non-Exclusivity of Rights</w:t>
      </w:r>
      <w:r>
        <w:rPr>
          <w:rFonts w:ascii="Arial" w:cs="Arial" w:eastAsia="Arial" w:hAnsi="Arial"/>
          <w:sz w:val="17"/>
          <w:szCs w:val="17"/>
          <w:color w:val="auto"/>
        </w:rPr>
        <w:t>. Nothing in this Agreement shall prevent or limit the Executive’s continuing or future participation in any benefit, bonus, incentive or other plan or program provided by the Company or any of its affiliated companies and for which the Executive may qualify, nor shall anything herein limit or otherwise affect such rights as the Executive may have under any stock option or other agreement with the Company or any of its affiliated companies. Amounts which are vested benefits or which the Executive is otherwise entitled to receive under any plan or program of the Company or any of its affiliated companies at or subsequent to the Date of Termination shall be payable in accordance with such plan or program.</w:t>
      </w:r>
    </w:p>
    <w:p>
      <w:pPr>
        <w:spacing w:after="0" w:line="181" w:lineRule="exact"/>
        <w:rPr>
          <w:rFonts w:ascii="Arial" w:cs="Arial" w:eastAsia="Arial" w:hAnsi="Arial"/>
          <w:sz w:val="17"/>
          <w:szCs w:val="17"/>
          <w:color w:val="auto"/>
        </w:rPr>
      </w:pPr>
    </w:p>
    <w:p>
      <w:pPr>
        <w:ind w:left="-2" w:firstLine="2"/>
        <w:spacing w:after="0" w:line="253" w:lineRule="auto"/>
        <w:tabs>
          <w:tab w:leader="none" w:pos="16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Full Settlement</w:t>
      </w:r>
      <w:r>
        <w:rPr>
          <w:rFonts w:ascii="Arial" w:cs="Arial" w:eastAsia="Arial" w:hAnsi="Arial"/>
          <w:sz w:val="17"/>
          <w:szCs w:val="17"/>
          <w:color w:val="auto"/>
        </w:rPr>
        <w: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 In no event shall the Executive be obligated to seek other employment by way of mitigation of the amounts payable to the Executive under any of the provisions of this Agreement. The Company agrees to pay, to the full extent permitted by law, all legal fees and expenses which the Executive may reasonably incur as a result of any contest (regardless of the outcome thereof) by the Company or others of the validity or enforceability of, or liability under, any provision of this Agreement, plus in each case interest, compounded quarterly, on the total unpaid amount determined to be payable under this Agreement, such interest to be calculated at a rate equal to the prime commercial lending rate announced by the Liberty National Bank and Trust Company of Oklahoma City in effect from time to time during the period of such nonpayment.</w:t>
      </w:r>
    </w:p>
    <w:p>
      <w:pPr>
        <w:spacing w:after="0" w:line="321" w:lineRule="exact"/>
        <w:rPr>
          <w:rFonts w:ascii="Arial" w:cs="Arial" w:eastAsia="Arial" w:hAnsi="Arial"/>
          <w:sz w:val="17"/>
          <w:szCs w:val="17"/>
          <w:color w:val="auto"/>
        </w:rPr>
      </w:pPr>
    </w:p>
    <w:p>
      <w:pPr>
        <w:ind w:left="558" w:hanging="558"/>
        <w:spacing w:after="0"/>
        <w:tabs>
          <w:tab w:leader="none" w:pos="55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1118" w:right="40" w:hanging="559"/>
        <w:spacing w:after="0" w:line="275" w:lineRule="auto"/>
        <w:rPr>
          <w:rFonts w:ascii="Arial" w:cs="Arial" w:eastAsia="Arial" w:hAnsi="Arial"/>
          <w:sz w:val="17"/>
          <w:szCs w:val="17"/>
          <w:color w:val="auto"/>
        </w:rPr>
      </w:pPr>
      <w:r>
        <w:rPr>
          <w:rFonts w:ascii="Arial" w:cs="Arial" w:eastAsia="Arial" w:hAnsi="Arial"/>
          <w:sz w:val="17"/>
          <w:szCs w:val="17"/>
          <w:color w:val="auto"/>
        </w:rPr>
        <w:t>7.1</w:t>
      </w:r>
      <w:r>
        <w:rPr>
          <w:rFonts w:ascii="Arial" w:cs="Arial" w:eastAsia="Arial" w:hAnsi="Arial"/>
          <w:sz w:val="16"/>
          <w:szCs w:val="16"/>
          <w:color w:val="auto"/>
        </w:rPr>
        <w:t>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public knowledge (other than by acts by the Executive or his representatives in violation of this Agreement). After termination of the Executive’s employment with the Company, the Executive shall not, without the prior written consent of the Company, communicate or divulge any such</w:t>
      </w:r>
    </w:p>
    <w:p>
      <w:pPr>
        <w:spacing w:after="0" w:line="102" w:lineRule="exact"/>
        <w:rPr>
          <w:rFonts w:ascii="Arial" w:cs="Arial" w:eastAsia="Arial" w:hAnsi="Arial"/>
          <w:sz w:val="17"/>
          <w:szCs w:val="17"/>
          <w:color w:val="auto"/>
        </w:rPr>
      </w:pPr>
    </w:p>
    <w:p>
      <w:pPr>
        <w:ind w:left="5678" w:hanging="107"/>
        <w:spacing w:after="0"/>
        <w:tabs>
          <w:tab w:leader="none" w:pos="5678" w:val="left"/>
        </w:tabs>
        <w:numPr>
          <w:ilvl w:val="1"/>
          <w:numId w:val="87"/>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1378"/>
          </w:cols>
          <w:pgMar w:left="242" w:top="267" w:right="279" w:bottom="1440" w:gutter="0" w:footer="0" w:header="0"/>
        </w:sectPr>
      </w:pPr>
    </w:p>
    <w:bookmarkStart w:id="129" w:name="page130"/>
    <w:bookmarkEnd w:id="129"/>
    <w:p>
      <w:pPr>
        <w:ind w:left="1138" w:right="60"/>
        <w:spacing w:after="0" w:line="34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6150" cy="36830"/>
                    </a:xfrm>
                    <a:prstGeom prst="rect">
                      <a:avLst/>
                    </a:prstGeom>
                    <a:noFill/>
                  </pic:spPr>
                </pic:pic>
              </a:graphicData>
            </a:graphic>
          </wp:anchor>
        </w:drawing>
        <w:t>information, knowledge or data to anyone other than the Company and those designated by it. In no event shall an asserted violation of the provisions of this Section 7 constitute a basis for deferring or withholding any amounts otherwise payable to the Executive under this Agreement.</w:t>
      </w:r>
    </w:p>
    <w:p>
      <w:pPr>
        <w:spacing w:after="0" w:line="31" w:lineRule="exact"/>
        <w:rPr>
          <w:sz w:val="20"/>
          <w:szCs w:val="20"/>
          <w:color w:val="auto"/>
        </w:rPr>
      </w:pPr>
    </w:p>
    <w:p>
      <w:pPr>
        <w:ind w:left="1118" w:right="60" w:hanging="558"/>
        <w:spacing w:after="0" w:line="261" w:lineRule="auto"/>
        <w:tabs>
          <w:tab w:leader="none" w:pos="1098"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Executive agrees that the remedy at law for any breach or threatened breach of any covenant contained in this Section 7 will be inadequate, and that the Company, in addition to such other remedies as may be available to it, in law or in equity, shall be entitled to injunctive relief without bond or other security.</w:t>
      </w:r>
    </w:p>
    <w:p>
      <w:pPr>
        <w:spacing w:after="0" w:line="315" w:lineRule="exact"/>
        <w:rPr>
          <w:sz w:val="20"/>
          <w:szCs w:val="20"/>
          <w:color w:val="auto"/>
        </w:rPr>
      </w:pPr>
    </w:p>
    <w:p>
      <w:pPr>
        <w:ind w:left="558" w:hanging="558"/>
        <w:spacing w:after="0"/>
        <w:tabs>
          <w:tab w:leader="none" w:pos="55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1118" w:right="80" w:hanging="559"/>
        <w:spacing w:after="0" w:line="261" w:lineRule="auto"/>
        <w:rPr>
          <w:rFonts w:ascii="Arial" w:cs="Arial" w:eastAsia="Arial" w:hAnsi="Arial"/>
          <w:sz w:val="17"/>
          <w:szCs w:val="17"/>
          <w:color w:val="auto"/>
        </w:rPr>
      </w:pPr>
      <w:r>
        <w:rPr>
          <w:rFonts w:ascii="Arial" w:cs="Arial" w:eastAsia="Arial" w:hAnsi="Arial"/>
          <w:sz w:val="17"/>
          <w:szCs w:val="17"/>
          <w:color w:val="auto"/>
        </w:rPr>
        <w:t>8.1This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 and the Executive’s legal representatives.</w:t>
      </w:r>
    </w:p>
    <w:p>
      <w:pPr>
        <w:spacing w:after="0" w:line="86" w:lineRule="exact"/>
        <w:rPr>
          <w:rFonts w:ascii="Arial" w:cs="Arial" w:eastAsia="Arial" w:hAnsi="Arial"/>
          <w:sz w:val="17"/>
          <w:szCs w:val="17"/>
          <w:color w:val="auto"/>
        </w:rPr>
      </w:pPr>
    </w:p>
    <w:p>
      <w:pPr>
        <w:ind w:left="558"/>
        <w:spacing w:after="0"/>
        <w:rPr>
          <w:rFonts w:ascii="Arial" w:cs="Arial" w:eastAsia="Arial" w:hAnsi="Arial"/>
          <w:sz w:val="17"/>
          <w:szCs w:val="17"/>
          <w:color w:val="auto"/>
        </w:rPr>
      </w:pPr>
      <w:r>
        <w:rPr>
          <w:rFonts w:ascii="Arial" w:cs="Arial" w:eastAsia="Arial" w:hAnsi="Arial"/>
          <w:sz w:val="17"/>
          <w:szCs w:val="17"/>
          <w:color w:val="auto"/>
        </w:rPr>
        <w:t>8.2</w:t>
      </w:r>
      <w:r>
        <w:rPr>
          <w:rFonts w:ascii="Arial" w:cs="Arial" w:eastAsia="Arial" w:hAnsi="Arial"/>
          <w:sz w:val="15"/>
          <w:szCs w:val="15"/>
          <w:color w:val="auto"/>
        </w:rPr>
        <w:t>This Agreement shall inure to the benefit of and be binding upon the Company and its successors.</w:t>
      </w:r>
    </w:p>
    <w:p>
      <w:pPr>
        <w:spacing w:after="0" w:line="122" w:lineRule="exact"/>
        <w:rPr>
          <w:rFonts w:ascii="Arial" w:cs="Arial" w:eastAsia="Arial" w:hAnsi="Arial"/>
          <w:sz w:val="17"/>
          <w:szCs w:val="17"/>
          <w:color w:val="auto"/>
        </w:rPr>
      </w:pPr>
    </w:p>
    <w:p>
      <w:pPr>
        <w:ind w:left="1118" w:hanging="559"/>
        <w:spacing w:after="0" w:line="278" w:lineRule="auto"/>
        <w:rPr>
          <w:rFonts w:ascii="Arial" w:cs="Arial" w:eastAsia="Arial" w:hAnsi="Arial"/>
          <w:sz w:val="17"/>
          <w:szCs w:val="17"/>
          <w:color w:val="auto"/>
        </w:rPr>
      </w:pPr>
      <w:r>
        <w:rPr>
          <w:rFonts w:ascii="Arial" w:cs="Arial" w:eastAsia="Arial" w:hAnsi="Arial"/>
          <w:sz w:val="17"/>
          <w:szCs w:val="17"/>
          <w:color w:val="auto"/>
        </w:rPr>
        <w:t>8.3</w:t>
      </w:r>
      <w:r>
        <w:rPr>
          <w:rFonts w:ascii="Arial" w:cs="Arial" w:eastAsia="Arial" w:hAnsi="Arial"/>
          <w:sz w:val="16"/>
          <w:szCs w:val="16"/>
          <w:color w:val="auto"/>
        </w:rPr>
        <w:t>In the event of a Change of Control of the Company, any parent company or successor shall, in the case of a successor, by an agreement in form and substance satisfactory to the Executive, expressly assume and agree to perform this Agreement and, in the case of a parent company, by an agreement in form and substance satisfactory to the Executive, guarantee and agree to cause the performance of this Agreement, in each case, in the same manner and to the same extent as the Company would be required to perform if no Change of Control had taken place.</w:t>
      </w:r>
    </w:p>
    <w:p>
      <w:pPr>
        <w:spacing w:after="0" w:line="303" w:lineRule="exact"/>
        <w:rPr>
          <w:rFonts w:ascii="Arial" w:cs="Arial" w:eastAsia="Arial" w:hAnsi="Arial"/>
          <w:sz w:val="17"/>
          <w:szCs w:val="17"/>
          <w:color w:val="auto"/>
        </w:rPr>
      </w:pPr>
    </w:p>
    <w:p>
      <w:pPr>
        <w:ind w:left="558" w:hanging="558"/>
        <w:spacing w:after="0"/>
        <w:tabs>
          <w:tab w:leader="none" w:pos="55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1118" w:hanging="559"/>
        <w:spacing w:after="0" w:line="261" w:lineRule="auto"/>
        <w:rPr>
          <w:rFonts w:ascii="Arial" w:cs="Arial" w:eastAsia="Arial" w:hAnsi="Arial"/>
          <w:sz w:val="17"/>
          <w:szCs w:val="17"/>
          <w:color w:val="auto"/>
        </w:rPr>
      </w:pPr>
      <w:r>
        <w:rPr>
          <w:rFonts w:ascii="Arial" w:cs="Arial" w:eastAsia="Arial" w:hAnsi="Arial"/>
          <w:sz w:val="17"/>
          <w:szCs w:val="17"/>
          <w:color w:val="auto"/>
        </w:rPr>
        <w:t>9.1This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w:t>
      </w:r>
    </w:p>
    <w:p>
      <w:pPr>
        <w:spacing w:after="0" w:line="112" w:lineRule="exact"/>
        <w:rPr>
          <w:rFonts w:ascii="Arial" w:cs="Arial" w:eastAsia="Arial" w:hAnsi="Arial"/>
          <w:sz w:val="17"/>
          <w:szCs w:val="17"/>
          <w:color w:val="auto"/>
        </w:rPr>
      </w:pPr>
    </w:p>
    <w:p>
      <w:pPr>
        <w:ind w:left="5678" w:hanging="107"/>
        <w:spacing w:after="0"/>
        <w:tabs>
          <w:tab w:leader="none" w:pos="5678" w:val="left"/>
        </w:tabs>
        <w:numPr>
          <w:ilvl w:val="1"/>
          <w:numId w:val="88"/>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1338"/>
          </w:cols>
          <w:pgMar w:left="242" w:top="267" w:right="319" w:bottom="1440" w:gutter="0" w:footer="0" w:header="0"/>
        </w:sectPr>
      </w:pPr>
    </w:p>
    <w:bookmarkStart w:id="130" w:name="page131"/>
    <w:bookmarkEnd w:id="130"/>
    <w:p>
      <w:pPr>
        <w:ind w:left="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150" cy="36830"/>
                    </a:xfrm>
                    <a:prstGeom prst="rect">
                      <a:avLst/>
                    </a:prstGeom>
                    <a:noFill/>
                  </pic:spPr>
                </pic:pic>
              </a:graphicData>
            </a:graphic>
          </wp:anchor>
        </w:drawing>
        <w:t>otherwise than by a written agreement executed by the parties hereto or their respective successors and legal representatives.</w:t>
      </w:r>
    </w:p>
    <w:p>
      <w:pPr>
        <w:spacing w:after="0" w:line="122" w:lineRule="exact"/>
        <w:rPr>
          <w:sz w:val="20"/>
          <w:szCs w:val="20"/>
          <w:color w:val="auto"/>
        </w:rPr>
      </w:pPr>
    </w:p>
    <w:p>
      <w:pPr>
        <w:ind w:left="560" w:hanging="558"/>
        <w:spacing w:after="0" w:line="273" w:lineRule="auto"/>
        <w:tabs>
          <w:tab w:leader="none" w:pos="5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If to the Executive</w:t>
      </w:r>
      <w:r>
        <w:rPr>
          <w:rFonts w:ascii="Arial" w:cs="Arial" w:eastAsia="Arial" w:hAnsi="Arial"/>
          <w:sz w:val="17"/>
          <w:szCs w:val="17"/>
          <w:color w:val="auto"/>
        </w:rPr>
        <w:t>:</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Jack E. Golsen</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1299 Glenbrook Terrace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Oklahoma City, Oklahoma 73116</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If to the Company</w:t>
      </w:r>
      <w:r>
        <w:rPr>
          <w:rFonts w:ascii="Arial" w:cs="Arial" w:eastAsia="Arial" w:hAnsi="Arial"/>
          <w:sz w:val="17"/>
          <w:szCs w:val="17"/>
          <w:color w:val="auto"/>
        </w:rPr>
        <w:t>:</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LSB Industries, Inc.</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16 South Pennsylvania</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Post Office Box 754</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Oklahoma City, Oklahoma 73101</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Attn: President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with a copy to:</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LSB Industries, Inc.</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16 South Pennsylvania</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Post Office Box 754</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Oklahoma City, Oklahoma 73101</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Attn: General Counsel</w:t>
      </w:r>
    </w:p>
    <w:p>
      <w:pPr>
        <w:spacing w:after="0" w:line="98" w:lineRule="exact"/>
        <w:rPr>
          <w:sz w:val="20"/>
          <w:szCs w:val="20"/>
          <w:color w:val="auto"/>
        </w:rPr>
      </w:pPr>
    </w:p>
    <w:p>
      <w:pPr>
        <w:ind w:left="580" w:right="400"/>
        <w:spacing w:after="0" w:line="273" w:lineRule="auto"/>
        <w:rPr>
          <w:sz w:val="20"/>
          <w:szCs w:val="20"/>
          <w:color w:val="auto"/>
        </w:rPr>
      </w:pPr>
      <w:r>
        <w:rPr>
          <w:rFonts w:ascii="Arial" w:cs="Arial" w:eastAsia="Arial" w:hAnsi="Arial"/>
          <w:sz w:val="17"/>
          <w:szCs w:val="17"/>
          <w:color w:val="auto"/>
        </w:rPr>
        <w:t>or to such other address as either party shall have furnished to the other in writing in accordance herewith. Notice and communications shall be effective when actually received by the addressee.</w:t>
      </w:r>
    </w:p>
    <w:p>
      <w:pPr>
        <w:spacing w:after="0" w:line="76" w:lineRule="exact"/>
        <w:rPr>
          <w:sz w:val="20"/>
          <w:szCs w:val="20"/>
          <w:color w:val="auto"/>
        </w:rPr>
      </w:pPr>
    </w:p>
    <w:p>
      <w:pPr>
        <w:ind w:left="560" w:right="380" w:hanging="558"/>
        <w:spacing w:after="0" w:line="273" w:lineRule="auto"/>
        <w:tabs>
          <w:tab w:leader="none" w:pos="5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The invalidity or unenforceability of any provision of this Agreement shall not affect the validity or enforceability of any other provision of this Agreement.</w:t>
      </w:r>
    </w:p>
    <w:p>
      <w:pPr>
        <w:spacing w:after="0" w:line="76" w:lineRule="exact"/>
        <w:rPr>
          <w:sz w:val="20"/>
          <w:szCs w:val="20"/>
          <w:color w:val="auto"/>
        </w:rPr>
      </w:pPr>
    </w:p>
    <w:p>
      <w:pPr>
        <w:ind w:left="560" w:right="220" w:hanging="558"/>
        <w:spacing w:after="0" w:line="273" w:lineRule="auto"/>
        <w:tabs>
          <w:tab w:leader="none" w:pos="5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color w:val="auto"/>
        </w:rPr>
        <w:t>The Company may withhold from any amounts payable under this Agreement such Federal, state or local taxes as shall be required to be withheld pursuant to any applicable law or regulation.</w:t>
      </w:r>
    </w:p>
    <w:p>
      <w:pPr>
        <w:spacing w:after="0" w:line="102"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- 10 -</w:t>
      </w:r>
    </w:p>
    <w:p>
      <w:pPr>
        <w:sectPr>
          <w:pgSz w:w="11900" w:h="16838" w:orient="portrait"/>
          <w:cols w:equalWidth="0" w:num="1">
            <w:col w:w="10680"/>
          </w:cols>
          <w:pgMar w:left="800" w:top="267" w:right="419" w:bottom="1440" w:gutter="0" w:footer="0" w:header="0"/>
        </w:sectPr>
      </w:pPr>
    </w:p>
    <w:bookmarkStart w:id="131" w:name="page132"/>
    <w:bookmarkEnd w:id="131"/>
    <w:p>
      <w:pPr>
        <w:ind w:left="560" w:hanging="558"/>
        <w:spacing w:after="0" w:line="253" w:lineRule="auto"/>
        <w:tabs>
          <w:tab w:leader="none" w:pos="5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6150" cy="36830"/>
                    </a:xfrm>
                    <a:prstGeom prst="rect">
                      <a:avLst/>
                    </a:prstGeom>
                    <a:noFill/>
                  </pic:spPr>
                </pic:pic>
              </a:graphicData>
            </a:graphic>
          </wp:anchor>
        </w:drawing>
        <w:t>9.5</w:t>
      </w:r>
      <w:r>
        <w:rPr>
          <w:sz w:val="20"/>
          <w:szCs w:val="20"/>
          <w:color w:val="auto"/>
        </w:rPr>
        <w:tab/>
      </w:r>
      <w:r>
        <w:rPr>
          <w:rFonts w:ascii="Arial" w:cs="Arial" w:eastAsia="Arial" w:hAnsi="Arial"/>
          <w:sz w:val="17"/>
          <w:szCs w:val="17"/>
          <w:color w:val="auto"/>
        </w:rPr>
        <w:t>This Agreement constitutes the entire agreement among the parties with respect to the subject matter hereof and supersedes any and all prior or contemporaneous oral and prior written agreements and understandings. There are no oral promises, conditions, representations, understandings, interpretations or terms of any kind as conditions or inducements to the executive hereof or in effect among the parties. This Agreement may not be amended, and no provision hereof shall be waived, except by a writing signed by all the parties to this Agreement, or, in the case of a waiver, by the party waiving compliance therewith, which states that it is intended to amend or waive a provision of this Agreement. Any waiver of any rights or failure to act in a specific instance shall relate only to such instance and shall not be construed as an agreement to waive any rights or failure to act in any other instance, whether or not similar.</w:t>
      </w:r>
    </w:p>
    <w:p>
      <w:pPr>
        <w:spacing w:after="0" w:line="95" w:lineRule="exact"/>
        <w:rPr>
          <w:sz w:val="20"/>
          <w:szCs w:val="20"/>
          <w:color w:val="auto"/>
        </w:rPr>
      </w:pPr>
    </w:p>
    <w:p>
      <w:pPr>
        <w:ind w:left="560" w:right="40" w:hanging="558"/>
        <w:spacing w:after="0" w:line="261" w:lineRule="auto"/>
        <w:tabs>
          <w:tab w:leader="none" w:pos="54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color w:val="auto"/>
        </w:rPr>
        <w:t>Should any provision of this Agreement be unenforceable or prohibited by an applicable law, this Agreement shall be considered divisible as to such provision which shall be inoperative, and the remainder of this Agreement shall be valid and binding as though such provision were not included herein.</w:t>
      </w:r>
    </w:p>
    <w:p>
      <w:pPr>
        <w:spacing w:after="0" w:line="87" w:lineRule="exact"/>
        <w:rPr>
          <w:sz w:val="20"/>
          <w:szCs w:val="20"/>
          <w:color w:val="auto"/>
        </w:rPr>
      </w:pPr>
    </w:p>
    <w:p>
      <w:pPr>
        <w:ind w:left="560" w:right="180" w:hanging="558"/>
        <w:spacing w:after="0" w:line="273" w:lineRule="auto"/>
        <w:tabs>
          <w:tab w:leader="none" w:pos="54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This Agreement may be executed in two or more counterparts with the same effect as if the signatures to all such counterparts were upon the same instrument, and all such counterparts shall constitute but one instrument.</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5"/>
          <w:szCs w:val="15"/>
          <w:color w:val="auto"/>
        </w:rPr>
        <w:t>All headings in this Agreement are for convenience only and are not intended to affect the meaning of any provision hereof.</w:t>
      </w:r>
    </w:p>
    <w:p>
      <w:pPr>
        <w:spacing w:after="0" w:line="148"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- 11 -</w:t>
      </w:r>
    </w:p>
    <w:p>
      <w:pPr>
        <w:sectPr>
          <w:pgSz w:w="11900" w:h="16838" w:orient="portrait"/>
          <w:cols w:equalWidth="0" w:num="1">
            <w:col w:w="10660"/>
          </w:cols>
          <w:pgMar w:left="800" w:top="267" w:right="439" w:bottom="1440" w:gutter="0" w:footer="0" w:header="0"/>
        </w:sectPr>
      </w:pPr>
    </w:p>
    <w:bookmarkStart w:id="132" w:name="page133"/>
    <w:bookmarkEnd w:id="132"/>
    <w:p>
      <w:pPr>
        <w:ind w:firstLine="182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150" cy="36830"/>
                    </a:xfrm>
                    <a:prstGeom prst="rect">
                      <a:avLst/>
                    </a:prstGeom>
                    <a:noFill/>
                  </pic:spPr>
                </pic:pic>
              </a:graphicData>
            </a:graphic>
          </wp:anchor>
        </w:drawing>
        <w:t>IN WITNESS WHEREOF, the Executive has hereunto set his hand and, pursuant to the authorization from its Board of Directors, the Company has caused these presents to be executed in its name on its behalf, all as of the day and year first above written.</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2896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Jack E. Golsen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12700</wp:posOffset>
            </wp:positionV>
            <wp:extent cx="257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3"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3"/>
          <w:szCs w:val="13"/>
          <w:color w:val="auto"/>
        </w:rPr>
        <w:t>Sr. V.P.</w:t>
      </w:r>
    </w:p>
    <w:p>
      <w:pPr>
        <w:spacing w:after="0" w:line="14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- 12 -</w:t>
      </w:r>
    </w:p>
    <w:p>
      <w:pPr>
        <w:sectPr>
          <w:pgSz w:w="11900" w:h="16838" w:orient="portrait"/>
          <w:cols w:equalWidth="0" w:num="1">
            <w:col w:w="10880"/>
          </w:cols>
          <w:pgMar w:left="240" w:top="267" w:right="779" w:bottom="1440" w:gutter="0" w:footer="0" w:header="0"/>
        </w:sectPr>
      </w:pPr>
    </w:p>
    <w:bookmarkStart w:id="133" w:name="page134"/>
    <w:bookmarkEnd w:id="133"/>
    <w:p>
      <w:pPr>
        <w:jc w:val="center"/>
        <w:ind w:right="-1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6150" cy="36830"/>
                    </a:xfrm>
                    <a:prstGeom prst="rect">
                      <a:avLst/>
                    </a:prstGeom>
                    <a:noFill/>
                  </pic:spPr>
                </pic:pic>
              </a:graphicData>
            </a:graphic>
          </wp:anchor>
        </w:drawing>
        <w:t>FIRST AMENDMENT</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TO</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EMPLOYMENT AGREEMENT</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BETWEEN</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JACK E. GOLSEN AND LSB INDUSTRIES, INC.</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DATED MARCH 21, 1996</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there is an Employment Agreement between Jack E. Golsen and LSB Industries, Inc., dated March 21, 1996 (the “Agreement”); and</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such Agreement originally contained an expiration date of March 21, 2005; and</w:t>
      </w:r>
    </w:p>
    <w:p>
      <w:pPr>
        <w:spacing w:after="0" w:line="211" w:lineRule="exact"/>
        <w:rPr>
          <w:sz w:val="20"/>
          <w:szCs w:val="20"/>
          <w:color w:val="auto"/>
        </w:rPr>
      </w:pPr>
    </w:p>
    <w:p>
      <w:pPr>
        <w:ind w:firstLine="457"/>
        <w:spacing w:after="0" w:line="341" w:lineRule="auto"/>
        <w:rPr>
          <w:sz w:val="20"/>
          <w:szCs w:val="20"/>
          <w:color w:val="auto"/>
        </w:rPr>
      </w:pPr>
      <w:r>
        <w:rPr>
          <w:rFonts w:ascii="Arial" w:cs="Arial" w:eastAsia="Arial" w:hAnsi="Arial"/>
          <w:sz w:val="15"/>
          <w:szCs w:val="15"/>
          <w:color w:val="auto"/>
        </w:rPr>
        <w:t>WHEREAS, on February 7, 2002, the Board of Directors of LSB Industries, Inc. determined and resolved that, upon expiration of the Agreement on March 21, 2005, there should be an extension of the Agreement for three additional three-year terms, pursuant to the terms and conditions set forth in the Agreement;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Jack E. Golsen and LSB Industries, Inc. have agreed to such extension of the Agreement.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LSB Industries, Inc. and Jack E. Golsen hereby agree to amend the Agreement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Amendment to Section 1</w:t>
      </w:r>
      <w:r>
        <w:rPr>
          <w:rFonts w:ascii="Arial" w:cs="Arial" w:eastAsia="Arial" w:hAnsi="Arial"/>
          <w:sz w:val="17"/>
          <w:szCs w:val="17"/>
          <w:color w:val="auto"/>
        </w:rPr>
        <w:t>. Section 1 of the Agreement is hereby amended and restated in its interests to read as follows:</w:t>
      </w:r>
    </w:p>
    <w:p>
      <w:pPr>
        <w:spacing w:after="0" w:line="110" w:lineRule="exact"/>
        <w:rPr>
          <w:sz w:val="20"/>
          <w:szCs w:val="20"/>
          <w:color w:val="auto"/>
        </w:rPr>
      </w:pPr>
    </w:p>
    <w:p>
      <w:pPr>
        <w:ind w:left="460" w:right="60"/>
        <w:spacing w:after="0" w:line="255" w:lineRule="auto"/>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commence immediately and shall continue for three years (the “Initial Three Year Term”). At the end of the Initial Three Year Term, this Agreement shall automatically extend for an additional three year period (the “Second Three Year Term”) unless terminated by either party by the giving of written notice at least one (1) year prior to the termination of the Initial Three Year Term. At the end of the Second Three Year Term, this Agreement shall automatically extend for an additional three year period unless terminated by either party by the giving of written notice at least one (1) year prior to the termination of the Second Three Year Term (the “Third Three Year Term”).</w:t>
      </w:r>
    </w:p>
    <w:p>
      <w:pPr>
        <w:spacing w:after="0" w:line="80" w:lineRule="exact"/>
        <w:rPr>
          <w:sz w:val="20"/>
          <w:szCs w:val="20"/>
          <w:color w:val="auto"/>
        </w:rPr>
      </w:pPr>
    </w:p>
    <w:p>
      <w:pPr>
        <w:ind w:left="460" w:right="140"/>
        <w:spacing w:after="0" w:line="257" w:lineRule="auto"/>
        <w:rPr>
          <w:sz w:val="20"/>
          <w:szCs w:val="20"/>
          <w:color w:val="auto"/>
        </w:rPr>
      </w:pPr>
      <w:r>
        <w:rPr>
          <w:rFonts w:ascii="Arial" w:cs="Arial" w:eastAsia="Arial" w:hAnsi="Arial"/>
          <w:sz w:val="17"/>
          <w:szCs w:val="17"/>
          <w:color w:val="auto"/>
        </w:rPr>
        <w:t>Upon the expiration of the term set forth above, this Agreement shall immediately renew and continue for three (3) additional three year terms. At the end of each such three year period, this Agreement shall automatically extend for an additional three year period, unless terminated by either party by giving written notice at least one year prior to the termination of such three year period. The Initial, Second and Third Three Year Terms and all extensions thereof shall collectively be referred to as the “Term”.”</w:t>
      </w:r>
    </w:p>
    <w:p>
      <w:pPr>
        <w:sectPr>
          <w:pgSz w:w="11900" w:h="16838" w:orient="portrait"/>
          <w:cols w:equalWidth="0" w:num="1">
            <w:col w:w="11260"/>
          </w:cols>
          <w:pgMar w:left="240" w:top="263" w:right="399" w:bottom="1440" w:gutter="0" w:footer="0" w:header="0"/>
        </w:sectPr>
      </w:pPr>
    </w:p>
    <w:bookmarkStart w:id="134" w:name="page135"/>
    <w:bookmarkEnd w:id="134"/>
    <w:p>
      <w:pPr>
        <w:ind w:left="438" w:right="2840" w:hanging="438"/>
        <w:spacing w:after="0" w:line="390" w:lineRule="auto"/>
        <w:tabs>
          <w:tab w:leader="none" w:pos="163"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150" cy="36830"/>
                    </a:xfrm>
                    <a:prstGeom prst="rect">
                      <a:avLst/>
                    </a:prstGeom>
                    <a:noFill/>
                  </pic:spPr>
                </pic:pic>
              </a:graphicData>
            </a:graphic>
          </wp:anchor>
        </w:drawing>
        <w:t>Amendment to Section 4.d</w:t>
      </w:r>
      <w:r>
        <w:rPr>
          <w:rFonts w:ascii="Arial" w:cs="Arial" w:eastAsia="Arial" w:hAnsi="Arial"/>
          <w:sz w:val="17"/>
          <w:szCs w:val="17"/>
          <w:color w:val="auto"/>
        </w:rPr>
        <w:t>. Section 4.d. of the Agreement is hereby amended and restated in its interests to read as follows: “d. the Company shall pay to Golsen:</w:t>
      </w:r>
    </w:p>
    <w:p>
      <w:pPr>
        <w:ind w:left="1458" w:right="100" w:hanging="556"/>
        <w:spacing w:after="0" w:line="273" w:lineRule="auto"/>
        <w:tabs>
          <w:tab w:leader="none" w:pos="1458"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 a lump sum cash payment on the date of Golsen’s termination of employment, to the extent not therefore paid, the balance of Golsen’s Annual Base Salary through the date of termination; and</w:t>
      </w:r>
    </w:p>
    <w:p>
      <w:pPr>
        <w:spacing w:after="0" w:line="76" w:lineRule="exact"/>
        <w:rPr>
          <w:rFonts w:ascii="Arial" w:cs="Arial" w:eastAsia="Arial" w:hAnsi="Arial"/>
          <w:sz w:val="17"/>
          <w:szCs w:val="17"/>
          <w:color w:val="auto"/>
        </w:rPr>
      </w:pPr>
    </w:p>
    <w:p>
      <w:pPr>
        <w:ind w:left="1458" w:hanging="556"/>
        <w:spacing w:after="0" w:line="253" w:lineRule="auto"/>
        <w:tabs>
          <w:tab w:leader="none" w:pos="1458"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 the event that Golsen’s employment is terminated for any reason, other than under subparagraphs a or b of paragraph 1 of this Section 4 or Disability under Section 5 hereof, the Company shall provide, at the Company’s sole cost and expense, to Golsen and/or Golsen’s family or estate, in a lump sum cash payment on the date of Golsen’s termination of employment, a sum equal to the amount of the Annual Base Salary being paid to Golsen at the time of such termination and the amount of the Bonus paid to Golsen for the last fiscal year prior to such termination in which Golsen received a Bonus times the number of years remaining in the then current three-year term. For the purposes of this subparagraph (2), a partial year shall be considered a full year. In the event that Golsen becomes disabled, the Company agrees to pay him pursuant to Section 5 hereof.”</w:t>
      </w:r>
    </w:p>
    <w:p>
      <w:pPr>
        <w:spacing w:after="0" w:line="184" w:lineRule="exact"/>
        <w:rPr>
          <w:rFonts w:ascii="Arial" w:cs="Arial" w:eastAsia="Arial" w:hAnsi="Arial"/>
          <w:sz w:val="17"/>
          <w:szCs w:val="17"/>
          <w:color w:val="auto"/>
        </w:rPr>
      </w:pPr>
    </w:p>
    <w:p>
      <w:pPr>
        <w:ind w:left="178" w:hanging="178"/>
        <w:spacing w:after="0"/>
        <w:tabs>
          <w:tab w:leader="none" w:pos="178"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Except to the extent amended by this First Amendment, the Agreement will all remain in full force and effect in all respects.</w:t>
      </w:r>
    </w:p>
    <w:p>
      <w:pPr>
        <w:spacing w:after="0" w:line="211" w:lineRule="exact"/>
        <w:rPr>
          <w:sz w:val="20"/>
          <w:szCs w:val="20"/>
          <w:color w:val="auto"/>
        </w:rPr>
      </w:pPr>
    </w:p>
    <w:p>
      <w:pPr>
        <w:ind w:left="458"/>
        <w:spacing w:after="0"/>
        <w:rPr>
          <w:sz w:val="20"/>
          <w:szCs w:val="20"/>
          <w:color w:val="auto"/>
        </w:rPr>
      </w:pPr>
      <w:r>
        <w:rPr>
          <w:rFonts w:ascii="Arial" w:cs="Arial" w:eastAsia="Arial" w:hAnsi="Arial"/>
          <w:sz w:val="17"/>
          <w:szCs w:val="17"/>
          <w:color w:val="auto"/>
        </w:rPr>
        <w:t>IN WITNESS WHEREOF, this Agreement is executed effective as of April 29 2003.</w:t>
      </w:r>
    </w:p>
    <w:p>
      <w:pPr>
        <w:spacing w:after="0" w:line="237" w:lineRule="exact"/>
        <w:rPr>
          <w:sz w:val="20"/>
          <w:szCs w:val="20"/>
          <w:color w:val="auto"/>
        </w:rPr>
      </w:pPr>
    </w:p>
    <w:p>
      <w:pPr>
        <w:ind w:left="6858"/>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6858"/>
        <w:spacing w:after="0"/>
        <w:tabs>
          <w:tab w:leader="none" w:pos="7498"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12700</wp:posOffset>
            </wp:positionV>
            <wp:extent cx="24853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85390" cy="8255"/>
                    </a:xfrm>
                    <a:prstGeom prst="rect">
                      <a:avLst/>
                    </a:prstGeom>
                    <a:noFill/>
                  </pic:spPr>
                </pic:pic>
              </a:graphicData>
            </a:graphic>
          </wp:anchor>
        </w:drawing>
      </w:r>
    </w:p>
    <w:p>
      <w:pPr>
        <w:spacing w:after="0" w:line="13" w:lineRule="exact"/>
        <w:rPr>
          <w:sz w:val="20"/>
          <w:szCs w:val="20"/>
          <w:color w:val="auto"/>
        </w:rPr>
      </w:pPr>
    </w:p>
    <w:p>
      <w:pPr>
        <w:ind w:left="6858"/>
        <w:spacing w:after="0"/>
        <w:tabs>
          <w:tab w:leader="none" w:pos="7498" w:val="left"/>
        </w:tabs>
        <w:rPr>
          <w:sz w:val="20"/>
          <w:szCs w:val="20"/>
          <w:color w:val="auto"/>
        </w:rPr>
      </w:pPr>
      <w:r>
        <w:rPr>
          <w:rFonts w:ascii="Arial" w:cs="Arial" w:eastAsia="Arial" w:hAnsi="Arial"/>
          <w:sz w:val="17"/>
          <w:szCs w:val="17"/>
          <w:color w:val="auto"/>
        </w:rPr>
        <w:t>Name:</w:t>
        <w:tab/>
        <w:t>Tony M. Shelby</w:t>
      </w:r>
    </w:p>
    <w:p>
      <w:pPr>
        <w:spacing w:after="0" w:line="19" w:lineRule="exact"/>
        <w:rPr>
          <w:sz w:val="20"/>
          <w:szCs w:val="20"/>
          <w:color w:val="auto"/>
        </w:rPr>
      </w:pPr>
    </w:p>
    <w:p>
      <w:pPr>
        <w:ind w:left="6858"/>
        <w:spacing w:after="0"/>
        <w:tabs>
          <w:tab w:leader="none" w:pos="7498"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V.P.</w:t>
      </w:r>
    </w:p>
    <w:p>
      <w:pPr>
        <w:spacing w:after="0" w:line="225" w:lineRule="exact"/>
        <w:rPr>
          <w:sz w:val="20"/>
          <w:szCs w:val="20"/>
          <w:color w:val="auto"/>
        </w:rPr>
      </w:pPr>
    </w:p>
    <w:p>
      <w:pPr>
        <w:ind w:left="6858"/>
        <w:spacing w:after="0"/>
        <w:rPr>
          <w:sz w:val="20"/>
          <w:szCs w:val="20"/>
          <w:color w:val="auto"/>
        </w:rPr>
      </w:pPr>
      <w:r>
        <w:rPr>
          <w:rFonts w:ascii="Arial" w:cs="Arial" w:eastAsia="Arial" w:hAnsi="Arial"/>
          <w:sz w:val="17"/>
          <w:szCs w:val="17"/>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12700</wp:posOffset>
            </wp:positionV>
            <wp:extent cx="2896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858"/>
        <w:spacing w:after="0"/>
        <w:rPr>
          <w:sz w:val="20"/>
          <w:szCs w:val="20"/>
          <w:color w:val="auto"/>
        </w:rPr>
      </w:pPr>
      <w:r>
        <w:rPr>
          <w:rFonts w:ascii="Arial" w:cs="Arial" w:eastAsia="Arial" w:hAnsi="Arial"/>
          <w:sz w:val="17"/>
          <w:szCs w:val="17"/>
          <w:color w:val="auto"/>
        </w:rPr>
        <w:t>JACK E. GOLSEN</w:t>
      </w:r>
    </w:p>
    <w:p>
      <w:pPr>
        <w:spacing w:after="0" w:line="148" w:lineRule="exact"/>
        <w:rPr>
          <w:sz w:val="20"/>
          <w:szCs w:val="20"/>
          <w:color w:val="auto"/>
        </w:rPr>
      </w:pPr>
    </w:p>
    <w:p>
      <w:pPr>
        <w:jc w:val="center"/>
        <w:ind w:right="-37"/>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78"/>
          </w:cols>
          <w:pgMar w:left="242" w:top="267" w:right="27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6150" cy="36830"/>
                    </a:xfrm>
                    <a:prstGeom prst="rect">
                      <a:avLst/>
                    </a:prstGeom>
                    <a:noFill/>
                  </pic:spPr>
                </pic:pic>
              </a:graphicData>
            </a:graphic>
          </wp:anchor>
        </w:drawing>
        <w:t>SECOND AMENDMENT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EMPLOYMENT AGREEMENT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BETWEEN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JACK E. GOLSEN AND LSB INDUSTRIES,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DATED MARCH 21, 1996</w:t>
      </w:r>
    </w:p>
    <w:p>
      <w:pPr>
        <w:spacing w:after="0" w:line="200"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WHEREAS, there is an Employment Agreement between Jack E. Golsen and LSB Industries, Inc., dated March 21, 1996 and amended effective April 29, 2003 (the “Agreement”); and</w:t>
      </w:r>
    </w:p>
    <w:p>
      <w:pPr>
        <w:spacing w:after="0" w:line="165" w:lineRule="exact"/>
        <w:rPr>
          <w:sz w:val="20"/>
          <w:szCs w:val="20"/>
          <w:color w:val="auto"/>
        </w:rPr>
      </w:pPr>
    </w:p>
    <w:p>
      <w:pPr>
        <w:ind w:firstLine="457"/>
        <w:spacing w:after="0" w:line="341" w:lineRule="auto"/>
        <w:rPr>
          <w:sz w:val="20"/>
          <w:szCs w:val="20"/>
          <w:color w:val="auto"/>
        </w:rPr>
      </w:pPr>
      <w:r>
        <w:rPr>
          <w:rFonts w:ascii="Arial" w:cs="Arial" w:eastAsia="Arial" w:hAnsi="Arial"/>
          <w:sz w:val="15"/>
          <w:szCs w:val="15"/>
          <w:color w:val="auto"/>
        </w:rPr>
        <w:t>WHEREAS, on May 12, 2005, the Board of Directors of LSB Industries, Inc. approved a death benefit agreement with Jack E. Golsen, the purpose of which was to replace certain insurance policies including a split dollar life insurance policy in the amount of $3,000,000 and other life insurance in the amount of $2,000,000; and</w:t>
      </w:r>
    </w:p>
    <w:p>
      <w:pPr>
        <w:spacing w:after="0" w:line="120" w:lineRule="exact"/>
        <w:rPr>
          <w:sz w:val="20"/>
          <w:szCs w:val="20"/>
          <w:color w:val="auto"/>
        </w:rPr>
      </w:pPr>
    </w:p>
    <w:p>
      <w:pPr>
        <w:ind w:right="540" w:firstLine="457"/>
        <w:spacing w:after="0" w:line="273" w:lineRule="auto"/>
        <w:rPr>
          <w:sz w:val="20"/>
          <w:szCs w:val="20"/>
          <w:color w:val="auto"/>
        </w:rPr>
      </w:pPr>
      <w:r>
        <w:rPr>
          <w:rFonts w:ascii="Arial" w:cs="Arial" w:eastAsia="Arial" w:hAnsi="Arial"/>
          <w:sz w:val="17"/>
          <w:szCs w:val="17"/>
          <w:color w:val="auto"/>
        </w:rPr>
        <w:t>WHEREAS, the Agreement makes specific reference to the split dollar policy and Golsen and the Company desire to amend the Agreement to reflect the changes to such policies;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LSB Industries, Inc. and Jack E. Golsen hereby agree to amend the Agreement as follows:</w:t>
      </w:r>
    </w:p>
    <w:p>
      <w:pPr>
        <w:spacing w:after="0" w:line="122" w:lineRule="exact"/>
        <w:rPr>
          <w:sz w:val="20"/>
          <w:szCs w:val="20"/>
          <w:color w:val="auto"/>
        </w:rPr>
      </w:pPr>
    </w:p>
    <w:p>
      <w:pPr>
        <w:ind w:left="460" w:right="6480" w:hanging="458"/>
        <w:spacing w:after="0" w:line="397" w:lineRule="auto"/>
        <w:tabs>
          <w:tab w:leader="none" w:pos="448"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Section 3(c) 2(c)</w:t>
      </w:r>
      <w:r>
        <w:rPr>
          <w:rFonts w:ascii="Arial" w:cs="Arial" w:eastAsia="Arial" w:hAnsi="Arial"/>
          <w:sz w:val="16"/>
          <w:szCs w:val="16"/>
          <w:color w:val="auto"/>
        </w:rPr>
        <w:t xml:space="preserve"> of the Agreement is hereby amended as follows: The existing language of such Section which reads:</w:t>
      </w:r>
    </w:p>
    <w:p>
      <w:pPr>
        <w:spacing w:after="0" w:line="1" w:lineRule="exact"/>
        <w:rPr>
          <w:rFonts w:ascii="Arial" w:cs="Arial" w:eastAsia="Arial" w:hAnsi="Arial"/>
          <w:sz w:val="16"/>
          <w:szCs w:val="16"/>
          <w:color w:val="auto"/>
        </w:rPr>
      </w:pPr>
    </w:p>
    <w:p>
      <w:pPr>
        <w:ind w:left="460" w:right="940"/>
        <w:spacing w:after="0" w:line="374" w:lineRule="auto"/>
        <w:rPr>
          <w:rFonts w:ascii="Arial" w:cs="Arial" w:eastAsia="Arial" w:hAnsi="Arial"/>
          <w:sz w:val="16"/>
          <w:szCs w:val="16"/>
          <w:color w:val="auto"/>
        </w:rPr>
      </w:pPr>
      <w:r>
        <w:rPr>
          <w:rFonts w:ascii="Arial" w:cs="Arial" w:eastAsia="Arial" w:hAnsi="Arial"/>
          <w:sz w:val="17"/>
          <w:szCs w:val="17"/>
          <w:color w:val="auto"/>
        </w:rPr>
        <w:t>“split dollar life insurance in an amount approved by the Compensation Committee of the Board of Directors of LSB, but not less than $3,000,000” is hereby deleted and replaced with the following language:</w:t>
      </w:r>
    </w:p>
    <w:p>
      <w:pPr>
        <w:ind w:left="460" w:right="80"/>
        <w:spacing w:after="0" w:line="273" w:lineRule="auto"/>
        <w:rPr>
          <w:rFonts w:ascii="Arial" w:cs="Arial" w:eastAsia="Arial" w:hAnsi="Arial"/>
          <w:sz w:val="16"/>
          <w:szCs w:val="16"/>
          <w:color w:val="auto"/>
        </w:rPr>
      </w:pPr>
      <w:r>
        <w:rPr>
          <w:rFonts w:ascii="Arial" w:cs="Arial" w:eastAsia="Arial" w:hAnsi="Arial"/>
          <w:sz w:val="17"/>
          <w:szCs w:val="17"/>
          <w:color w:val="auto"/>
        </w:rPr>
        <w:t>“A death benefit to be funded by life insurance in an amount no less than $2.5 million as such benefit is set forth in the Death Benefit Agreement dated May 12, 2005 between Golsen and the Company”.</w:t>
      </w:r>
    </w:p>
    <w:p>
      <w:pPr>
        <w:spacing w:after="0" w:line="165" w:lineRule="exact"/>
        <w:rPr>
          <w:sz w:val="20"/>
          <w:szCs w:val="20"/>
          <w:color w:val="auto"/>
        </w:rPr>
      </w:pPr>
    </w:p>
    <w:p>
      <w:pPr>
        <w:ind w:right="40" w:firstLine="2"/>
        <w:spacing w:after="0" w:line="273" w:lineRule="auto"/>
        <w:tabs>
          <w:tab w:leader="none" w:pos="169"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Except to the extent amended by this Second Amendment, the Agreement, and any amendments thereto, will all remain in full force and effect in all respects.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this Agreement is executed effective as of May 12, 2005.</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R. Goss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12700</wp:posOffset>
            </wp:positionV>
            <wp:extent cx="25177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spacing w:after="0" w:line="13"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David R. Goss</w:t>
      </w:r>
    </w:p>
    <w:p>
      <w:pPr>
        <w:spacing w:after="0" w:line="19"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Title:</w:t>
        <w:tab/>
        <w:t>V.P.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2896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Jack E. Golsen</w:t>
      </w:r>
    </w:p>
    <w:p>
      <w:pPr>
        <w:sectPr>
          <w:pgSz w:w="11900" w:h="16838" w:orient="portrait"/>
          <w:cols w:equalWidth="0" w:num="1">
            <w:col w:w="11380"/>
          </w:cols>
          <w:pgMar w:left="240" w:top="263" w:right="279" w:bottom="1440" w:gutter="0" w:footer="0" w:header="0"/>
        </w:sectPr>
      </w:pPr>
    </w:p>
    <w:bookmarkStart w:id="136" w:name="page137"/>
    <w:bookmarkEnd w:id="136"/>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6150" cy="36830"/>
                    </a:xfrm>
                    <a:prstGeom prst="rect">
                      <a:avLst/>
                    </a:prstGeom>
                    <a:noFill/>
                  </pic:spPr>
                </pic:pic>
              </a:graphicData>
            </a:graphic>
          </wp:anchor>
        </w:drawing>
        <w:t>THIRD AMENDMENT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00" w:lineRule="exact"/>
        <w:rPr>
          <w:sz w:val="20"/>
          <w:szCs w:val="20"/>
          <w:color w:val="auto"/>
        </w:rPr>
      </w:pPr>
    </w:p>
    <w:p>
      <w:pPr>
        <w:ind w:right="160" w:firstLine="457"/>
        <w:spacing w:after="0" w:line="257" w:lineRule="auto"/>
        <w:rPr>
          <w:sz w:val="20"/>
          <w:szCs w:val="20"/>
          <w:color w:val="auto"/>
        </w:rPr>
      </w:pPr>
      <w:r>
        <w:rPr>
          <w:rFonts w:ascii="Arial" w:cs="Arial" w:eastAsia="Arial" w:hAnsi="Arial"/>
          <w:sz w:val="17"/>
          <w:szCs w:val="17"/>
          <w:color w:val="auto"/>
        </w:rPr>
        <w:t>This THIRD AMENDMENT TO EMPLOYMENT AGREEMENT (the “Amendment”) is entered into this 17th day of December, 2008, by and between LSB INDUSTRIES, INC., a Delaware corporation (the “Company”), and JACK E. GOLSEN, an individual (“Golsen”), and amends that certain Employment Agreement, dated March 21, 1996, as amended by the First Amendment to Employment Agreement, dated April 29, 2003, and by the Second Amendment to Employment Agreement, dated May 12, 2005 (collectively, the “Agreement”).</w:t>
      </w:r>
    </w:p>
    <w:p>
      <w:pPr>
        <w:spacing w:after="0" w:line="179"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WHEREAS, Section 409A of the Internal Revenue Code of 1986, as amended (“the Code”), and the regulations promulgated thereunder (collectively, “Section 409A”) require that payments of “nonqualified deferred compensation” to “specified employees” be delayed for six months from “separation from service” (as those terms are defined under Section 409A);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Golsen is currently a “specified employee” as defined in Section 409A;</w:t>
      </w:r>
    </w:p>
    <w:p>
      <w:pPr>
        <w:spacing w:after="0" w:line="211"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WHEREAS, the Agreement provides for the payment of certain severance benefits upon termination of service, which may be considered nonqualified deferred compensation subject to Section 409A; 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and Golsen desire to amend the terms of the Agreement to comply with Section 409A.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the Company and Golsen hereby agree to amend the Agreement as follows:</w:t>
      </w:r>
    </w:p>
    <w:p>
      <w:pPr>
        <w:spacing w:after="0" w:line="122" w:lineRule="exact"/>
        <w:rPr>
          <w:sz w:val="20"/>
          <w:szCs w:val="20"/>
          <w:color w:val="auto"/>
        </w:rPr>
      </w:pPr>
    </w:p>
    <w:p>
      <w:pPr>
        <w:ind w:left="440" w:hanging="438"/>
        <w:spacing w:after="0"/>
        <w:tabs>
          <w:tab w:leader="none" w:pos="44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Amendments to Section 4</w:t>
      </w:r>
      <w:r>
        <w:rPr>
          <w:rFonts w:ascii="Arial" w:cs="Arial" w:eastAsia="Arial" w:hAnsi="Arial"/>
          <w:sz w:val="17"/>
          <w:szCs w:val="17"/>
          <w:color w:val="auto"/>
        </w:rPr>
        <w:t>. Section 4 of the Agreement is hereby amended as follows:</w:t>
      </w:r>
    </w:p>
    <w:p>
      <w:pPr>
        <w:spacing w:after="0" w:line="122" w:lineRule="exact"/>
        <w:rPr>
          <w:sz w:val="20"/>
          <w:szCs w:val="20"/>
          <w:color w:val="auto"/>
        </w:rPr>
      </w:pPr>
    </w:p>
    <w:p>
      <w:pPr>
        <w:ind w:left="900" w:hanging="444"/>
        <w:spacing w:after="0" w:line="273" w:lineRule="auto"/>
        <w:tabs>
          <w:tab w:leader="none" w:pos="8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u w:val="single" w:color="auto"/>
          <w:color w:val="auto"/>
        </w:rPr>
        <w:t>4.d</w:t>
      </w:r>
      <w:r>
        <w:rPr>
          <w:rFonts w:ascii="Arial" w:cs="Arial" w:eastAsia="Arial" w:hAnsi="Arial"/>
          <w:sz w:val="17"/>
          <w:szCs w:val="17"/>
          <w:color w:val="auto"/>
        </w:rPr>
        <w:t>. Paragraph d of Section 4 of the Agreement is hereby amended by striking the paragraph immediately following paragraph c of Section 4 and inserting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following language in lieu thereof:</w:t>
      </w:r>
    </w:p>
    <w:p>
      <w:pPr>
        <w:spacing w:after="0" w:line="64" w:lineRule="exact"/>
        <w:rPr>
          <w:sz w:val="20"/>
          <w:szCs w:val="20"/>
          <w:color w:val="auto"/>
        </w:rPr>
      </w:pPr>
    </w:p>
    <w:p>
      <w:pPr>
        <w:ind w:left="1480" w:right="340"/>
        <w:spacing w:after="0" w:line="273" w:lineRule="auto"/>
        <w:rPr>
          <w:sz w:val="20"/>
          <w:szCs w:val="20"/>
          <w:color w:val="auto"/>
        </w:rPr>
      </w:pPr>
      <w:r>
        <w:rPr>
          <w:rFonts w:ascii="Arial" w:cs="Arial" w:eastAsia="Arial" w:hAnsi="Arial"/>
          <w:sz w:val="17"/>
          <w:szCs w:val="17"/>
          <w:color w:val="auto"/>
        </w:rPr>
        <w:t>Without in any way limiting any of Golsen’s other rights or remedies, at law or in equity, which rights and remedies shall be cumulative, and subject to Section 7 hereof, in the event of Golsen’s separation from service with the Company for any reason:</w:t>
      </w:r>
    </w:p>
    <w:p>
      <w:pPr>
        <w:spacing w:after="0" w:line="76" w:lineRule="exact"/>
        <w:rPr>
          <w:sz w:val="20"/>
          <w:szCs w:val="20"/>
          <w:color w:val="auto"/>
        </w:rPr>
      </w:pPr>
    </w:p>
    <w:p>
      <w:pPr>
        <w:ind w:left="900" w:right="120" w:hanging="444"/>
        <w:spacing w:after="0" w:line="273" w:lineRule="auto"/>
        <w:tabs>
          <w:tab w:leader="none" w:pos="8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u w:val="single" w:color="auto"/>
          <w:color w:val="auto"/>
        </w:rPr>
        <w:t>4.d(1) and (2)</w:t>
      </w:r>
      <w:r>
        <w:rPr>
          <w:rFonts w:ascii="Arial" w:cs="Arial" w:eastAsia="Arial" w:hAnsi="Arial"/>
          <w:sz w:val="17"/>
          <w:szCs w:val="17"/>
          <w:color w:val="auto"/>
        </w:rPr>
        <w:t>. Paragraphs d(1) and d(2) of Section 4 are hereby amended by deleting each occurrence of the phrase “in a lump sum cash payment on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date of Golsen’s termination of employment” and inserting in lieu thereof the following:</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in a single lump sum payment within thirty days after the date of Golsen’s separation from service</w:t>
      </w:r>
    </w:p>
    <w:p>
      <w:pPr>
        <w:sectPr>
          <w:pgSz w:w="11900" w:h="16838" w:orient="portrait"/>
          <w:cols w:equalWidth="0" w:num="1">
            <w:col w:w="11360"/>
          </w:cols>
          <w:pgMar w:left="240" w:top="263" w:right="299" w:bottom="1440" w:gutter="0" w:footer="0" w:header="0"/>
        </w:sectPr>
      </w:pPr>
    </w:p>
    <w:bookmarkStart w:id="137" w:name="page138"/>
    <w:bookmarkEnd w:id="137"/>
    <w:p>
      <w:pPr>
        <w:ind w:left="440"/>
        <w:spacing w:after="0"/>
        <w:tabs>
          <w:tab w:leader="none" w:pos="8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6150" cy="36830"/>
                    </a:xfrm>
                    <a:prstGeom prst="rect">
                      <a:avLst/>
                    </a:prstGeom>
                    <a:noFill/>
                  </pic:spPr>
                </pic:pic>
              </a:graphicData>
            </a:graphic>
          </wp:anchor>
        </w:drawing>
        <w:t>1.3.</w:t>
      </w:r>
      <w:r>
        <w:rPr>
          <w:sz w:val="20"/>
          <w:szCs w:val="20"/>
          <w:color w:val="auto"/>
        </w:rPr>
        <w:tab/>
      </w:r>
      <w:r>
        <w:rPr>
          <w:rFonts w:ascii="Arial" w:cs="Arial" w:eastAsia="Arial" w:hAnsi="Arial"/>
          <w:sz w:val="15"/>
          <w:szCs w:val="15"/>
          <w:u w:val="single" w:color="auto"/>
          <w:color w:val="auto"/>
        </w:rPr>
        <w:t>4.e</w:t>
      </w:r>
      <w:r>
        <w:rPr>
          <w:rFonts w:ascii="Arial" w:cs="Arial" w:eastAsia="Arial" w:hAnsi="Arial"/>
          <w:sz w:val="15"/>
          <w:szCs w:val="15"/>
          <w:color w:val="auto"/>
        </w:rPr>
        <w:t>. Paragraph e of Section 4 is hereby deleted in its entirety and replaced with the following:</w:t>
      </w:r>
    </w:p>
    <w:p>
      <w:pPr>
        <w:spacing w:after="0" w:line="122" w:lineRule="exact"/>
        <w:rPr>
          <w:sz w:val="20"/>
          <w:szCs w:val="20"/>
          <w:color w:val="auto"/>
        </w:rPr>
      </w:pPr>
    </w:p>
    <w:p>
      <w:pPr>
        <w:ind w:left="1460" w:hanging="556"/>
        <w:spacing w:after="0" w:line="268" w:lineRule="auto"/>
        <w:tabs>
          <w:tab w:leader="none" w:pos="14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Subject to Section 10.1 of this Agreement, in the event of Golsen’s separation from service with the Company for any reason, other than under paragraphs a or b this Section 4 or disability under Section 5, the Company shall provide, to Golsen and/or Golsen’s family or estate, as applicable, the following: (i) during the period commencing on the date of separation from service and ending on the expiration of 18 months, medical, dental and vision coverage at least substantially equal to the coverage that would have been provided to them in accordance with Section 3 hereof, provided that Golsen agrees to elect COBRA coverage to the extent, and for the period, available under the Company’s health insurance plans, and the Company shall reimburse the cost of any premiums for such coverage on an after-tax basis on the last business day of each month, (ii) upon the expiration of the COBRA period or such earlier time as COBRA coverage may not be available under the Company’s health insurance plans, until the expiration of the Term, with such medical, dental and vision coverage being substantially equal to the coverage that would have been provided to them in accordance with Section 3, and will reimburse Golsen and or Golsen’s family or estate, as applicable, the cost of any premiums for such coverage on an after tax basis on the last business day of each month, and (iii) the unrestricted use of a vehicle, a cell phone, and the other benefits listed on Schedule 1 to this Agreement, and on the last day of each month the Company will reimburse Golsen for all out of pocket expenses incurred by Golsen in connection with such benefits. The benefits to be provided pursuant to this paragraph e of Section 4 and subject to Section 10.1 of this Agreement, will be provided in accordance with the most favorable plans, practices, programs or policies of the Company, as may be adopted and amended from time to time. In the event that Golsen suffers a disability, the Company agrees to pay him pursuant to Section 5 hereof.</w:t>
      </w:r>
    </w:p>
    <w:p>
      <w:pPr>
        <w:spacing w:after="0" w:line="171" w:lineRule="exact"/>
        <w:rPr>
          <w:rFonts w:ascii="Arial" w:cs="Arial" w:eastAsia="Arial" w:hAnsi="Arial"/>
          <w:sz w:val="16"/>
          <w:szCs w:val="16"/>
          <w:color w:val="auto"/>
        </w:rPr>
      </w:pPr>
    </w:p>
    <w:p>
      <w:pPr>
        <w:ind w:left="180" w:hanging="178"/>
        <w:spacing w:after="0"/>
        <w:tabs>
          <w:tab w:leader="none" w:pos="1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Amendments to Section 5</w:t>
      </w:r>
      <w:r>
        <w:rPr>
          <w:rFonts w:ascii="Arial" w:cs="Arial" w:eastAsia="Arial" w:hAnsi="Arial"/>
          <w:sz w:val="17"/>
          <w:szCs w:val="17"/>
          <w:color w:val="auto"/>
        </w:rPr>
        <w:t>. Section 5 is hereby deleted and a new Section 5 is inserted in lieu thereof:</w:t>
      </w:r>
    </w:p>
    <w:p>
      <w:pPr>
        <w:spacing w:after="0" w:line="122" w:lineRule="exact"/>
        <w:rPr>
          <w:rFonts w:ascii="Arial" w:cs="Arial" w:eastAsia="Arial" w:hAnsi="Arial"/>
          <w:sz w:val="17"/>
          <w:szCs w:val="17"/>
          <w:color w:val="auto"/>
        </w:rPr>
      </w:pPr>
    </w:p>
    <w:p>
      <w:pPr>
        <w:ind w:left="900" w:right="100" w:hanging="454"/>
        <w:spacing w:after="0" w:line="261"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In the event of Golsen’s separation from service from the Company as a result of a disability, (i) the Company shall pay and provide Golsen all salary, bonus and benefits remaining during the Term of this Agreement or any extension thereof, and (ii) thereafter, the Company shall pay to Golsen annual payments equal to 60% of his Present Base Salary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7" w:right="239" w:bottom="1440" w:gutter="0" w:footer="0" w:header="0"/>
        </w:sectPr>
      </w:pPr>
    </w:p>
    <w:bookmarkStart w:id="138" w:name="page139"/>
    <w:bookmarkEnd w:id="138"/>
    <w:p>
      <w:pPr>
        <w:ind w:left="900" w:right="14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6150" cy="36830"/>
                    </a:xfrm>
                    <a:prstGeom prst="rect">
                      <a:avLst/>
                    </a:prstGeom>
                    <a:noFill/>
                  </pic:spPr>
                </pic:pic>
              </a:graphicData>
            </a:graphic>
          </wp:anchor>
        </w:drawing>
        <w:t>until his death. All amounts payable pursuant to this Section 5 will be paid by the Company in accordance with the Company’s regular payroll and bonus practices. For purposes of this Agreement, the term “disability” means Golsen being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79" w:lineRule="exact"/>
        <w:rPr>
          <w:sz w:val="20"/>
          <w:szCs w:val="20"/>
          <w:color w:val="auto"/>
        </w:rPr>
      </w:pPr>
    </w:p>
    <w:p>
      <w:pPr>
        <w:ind w:left="180" w:hanging="178"/>
        <w:spacing w:after="0"/>
        <w:tabs>
          <w:tab w:leader="none" w:pos="18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New Section 10</w:t>
      </w:r>
      <w:r>
        <w:rPr>
          <w:rFonts w:ascii="Arial" w:cs="Arial" w:eastAsia="Arial" w:hAnsi="Arial"/>
          <w:sz w:val="17"/>
          <w:szCs w:val="17"/>
          <w:color w:val="auto"/>
        </w:rPr>
        <w:t>. The Agreement is hereby amended by inserting the following new Section 10 immediately following Section 9 of this Agreement:</w:t>
      </w:r>
    </w:p>
    <w:p>
      <w:pPr>
        <w:spacing w:after="0" w:line="122" w:lineRule="exact"/>
        <w:rPr>
          <w:rFonts w:ascii="Arial" w:cs="Arial" w:eastAsia="Arial" w:hAnsi="Arial"/>
          <w:sz w:val="17"/>
          <w:szCs w:val="17"/>
          <w:color w:val="auto"/>
        </w:rPr>
      </w:pPr>
    </w:p>
    <w:p>
      <w:pPr>
        <w:ind w:left="900" w:hanging="454"/>
        <w:spacing w:after="0"/>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1460" w:hanging="559"/>
        <w:spacing w:after="0" w:line="290" w:lineRule="auto"/>
        <w:rPr>
          <w:rFonts w:ascii="Arial" w:cs="Arial" w:eastAsia="Arial" w:hAnsi="Arial"/>
          <w:sz w:val="17"/>
          <w:szCs w:val="17"/>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6-Month Delay</w:t>
      </w:r>
      <w:r>
        <w:rPr>
          <w:rFonts w:ascii="Arial" w:cs="Arial" w:eastAsia="Arial" w:hAnsi="Arial"/>
          <w:sz w:val="15"/>
          <w:szCs w:val="15"/>
          <w:color w:val="auto"/>
        </w:rPr>
        <w:t>. If any amounts that become due under this Agreement constitute “nonqualified deferred compensation” within the meaning of Section 409A of the Code, payment of such amounts shall not commence until Golsen incurs a “separation from service,” except payments of amounts due pursuant to Section 5 will not commence unless and until Golsen suffers a disability. Notwithstanding anything herein to the contrary, if Golsen is a “specified employee,” for purposes of Section 409A of the Code, on the date on which he incurs a separation from service, any payment hereunder that provides for the “deferral of compensation” within the meaning of Section 409A of the Code shall not be paid prior to the first business day after the date that is six months following Golsen’s “separation from service;” provided, however, that a payment delayed pursuant to the preceding clause shall commence earlier in the event of Golsen’s death prior to the end of the six-month period. Within 10 business days after the end of such six months, Golsen shall be paid a lump sum payment in cash equal to any payments delayed because of the preceding sentence. Thereafter, Golsen shall receive any remaining benefits as if there had not been an earlier delay.</w:t>
      </w:r>
    </w:p>
    <w:p>
      <w:pPr>
        <w:spacing w:after="0" w:line="69" w:lineRule="exact"/>
        <w:rPr>
          <w:sz w:val="20"/>
          <w:szCs w:val="20"/>
          <w:color w:val="auto"/>
        </w:rPr>
      </w:pPr>
    </w:p>
    <w:p>
      <w:pPr>
        <w:ind w:left="900"/>
        <w:spacing w:after="0"/>
        <w:tabs>
          <w:tab w:leader="none" w:pos="14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Agreement, the term “separation from service” shall have the meaning set forth in Section 409A(a)(2)(i)</w:t>
      </w:r>
    </w:p>
    <w:p>
      <w:pPr>
        <w:spacing w:after="0" w:line="19" w:lineRule="exact"/>
        <w:rPr>
          <w:sz w:val="20"/>
          <w:szCs w:val="20"/>
          <w:color w:val="auto"/>
        </w:rPr>
      </w:pPr>
    </w:p>
    <w:p>
      <w:pPr>
        <w:ind w:left="1460" w:right="180" w:firstLine="3"/>
        <w:spacing w:after="0" w:line="254" w:lineRule="auto"/>
        <w:tabs>
          <w:tab w:leader="none" w:pos="1737" w:val="left"/>
        </w:tabs>
        <w:numPr>
          <w:ilvl w:val="0"/>
          <w:numId w:val="96"/>
        </w:numPr>
        <w:rPr>
          <w:rFonts w:ascii="Arial" w:cs="Arial" w:eastAsia="Arial" w:hAnsi="Arial"/>
          <w:sz w:val="17"/>
          <w:szCs w:val="17"/>
          <w:color w:val="auto"/>
        </w:rPr>
      </w:pPr>
      <w:r>
        <w:rPr>
          <w:rFonts w:ascii="Arial" w:cs="Arial" w:eastAsia="Arial" w:hAnsi="Arial"/>
          <w:sz w:val="17"/>
          <w:szCs w:val="17"/>
          <w:color w:val="auto"/>
        </w:rPr>
        <w:t>of the Code and determined in accordance with the default rules under Section 409A of the Code. The term “specified employee” shall have the meaning set forth in Section 409A(a)(2)(B)(1) of the Code, as determined in accordance with the uniform methodology and procedures adopted by the Employer and then in effect.</w:t>
      </w:r>
    </w:p>
    <w:p>
      <w:pPr>
        <w:spacing w:after="0" w:line="92" w:lineRule="exact"/>
        <w:rPr>
          <w:sz w:val="20"/>
          <w:szCs w:val="20"/>
          <w:color w:val="auto"/>
        </w:rPr>
      </w:pPr>
    </w:p>
    <w:p>
      <w:pPr>
        <w:ind w:left="1460" w:right="80" w:hanging="558"/>
        <w:spacing w:after="0" w:line="273" w:lineRule="auto"/>
        <w:tabs>
          <w:tab w:leader="none" w:pos="14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u w:val="single" w:color="auto"/>
          <w:color w:val="auto"/>
        </w:rPr>
        <w:t>Reimbursements</w:t>
      </w:r>
      <w:r>
        <w:rPr>
          <w:rFonts w:ascii="Arial" w:cs="Arial" w:eastAsia="Arial" w:hAnsi="Arial"/>
          <w:sz w:val="17"/>
          <w:szCs w:val="17"/>
          <w:color w:val="auto"/>
        </w:rPr>
        <w:t>. Anything in this Agreement to the contrary notwithstanding, no reimbursement payable to Golsen pursuant to any provisions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or pursuant to any plan or arrangement of the Company covered by this Agreement shall be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7" w:right="239" w:bottom="1440" w:gutter="0" w:footer="0" w:header="0"/>
        </w:sectPr>
      </w:pPr>
    </w:p>
    <w:bookmarkStart w:id="139" w:name="page140"/>
    <w:bookmarkEnd w:id="139"/>
    <w:p>
      <w:pPr>
        <w:jc w:val="both"/>
        <w:ind w:left="10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6150" cy="36830"/>
                    </a:xfrm>
                    <a:prstGeom prst="rect">
                      <a:avLst/>
                    </a:prstGeom>
                    <a:noFill/>
                  </pic:spPr>
                </pic:pic>
              </a:graphicData>
            </a:graphic>
          </wp:anchor>
        </w:drawing>
        <w:t>paid later than the last day of the calendar year following the calendar year in which the related expense was incurred, except to the extent that the right to reimbursement does not provide for a “deferral of compensation” within the meaning of Section 409A of the Code. No amount reimbursed during any calendar year shall affect the amounts eligible for reimbursement in any other calendar year.</w:t>
      </w:r>
    </w:p>
    <w:p>
      <w:pPr>
        <w:spacing w:after="0" w:line="69" w:lineRule="exact"/>
        <w:rPr>
          <w:sz w:val="20"/>
          <w:szCs w:val="20"/>
          <w:color w:val="auto"/>
        </w:rPr>
      </w:pPr>
    </w:p>
    <w:p>
      <w:pPr>
        <w:ind w:left="1000" w:right="460" w:hanging="558"/>
        <w:spacing w:after="0" w:line="273" w:lineRule="auto"/>
        <w:tabs>
          <w:tab w:leader="none" w:pos="9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u w:val="single" w:color="auto"/>
          <w:color w:val="auto"/>
        </w:rPr>
        <w:t>Separate Payments</w:t>
      </w:r>
      <w:r>
        <w:rPr>
          <w:rFonts w:ascii="Arial" w:cs="Arial" w:eastAsia="Arial" w:hAnsi="Arial"/>
          <w:sz w:val="17"/>
          <w:szCs w:val="17"/>
          <w:color w:val="auto"/>
        </w:rPr>
        <w:t>. Each amount payable to Golsen pursuant to paragraph e of Section 4 and pursuant to Section 5 will constitute a separate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payment for purposes of Section 409A of the Code.</w:t>
      </w:r>
    </w:p>
    <w:p>
      <w:pPr>
        <w:spacing w:after="0" w:line="76" w:lineRule="exact"/>
        <w:rPr>
          <w:sz w:val="20"/>
          <w:szCs w:val="20"/>
          <w:color w:val="auto"/>
        </w:rPr>
      </w:pPr>
    </w:p>
    <w:p>
      <w:pPr>
        <w:ind w:left="1000" w:right="120" w:hanging="558"/>
        <w:spacing w:after="0" w:line="297" w:lineRule="auto"/>
        <w:tabs>
          <w:tab w:leader="none" w:pos="9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5"/>
          <w:szCs w:val="15"/>
          <w:u w:val="single" w:color="auto"/>
          <w:color w:val="auto"/>
        </w:rPr>
        <w:t>Intent</w:t>
      </w:r>
      <w:r>
        <w:rPr>
          <w:rFonts w:ascii="Arial" w:cs="Arial" w:eastAsia="Arial" w:hAnsi="Arial"/>
          <w:sz w:val="15"/>
          <w:szCs w:val="15"/>
          <w:color w:val="auto"/>
        </w:rPr>
        <w:t>. The provisions of this Agreement are intended to satisfy the applicable requirements of Section 409A of the Code with respect to amounts</w:t>
      </w:r>
      <w:r>
        <w:rPr>
          <w:rFonts w:ascii="Arial" w:cs="Arial" w:eastAsia="Arial" w:hAnsi="Arial"/>
          <w:sz w:val="15"/>
          <w:szCs w:val="15"/>
          <w:u w:val="single" w:color="auto"/>
          <w:color w:val="auto"/>
        </w:rPr>
        <w:t xml:space="preserve"> </w:t>
      </w:r>
      <w:r>
        <w:rPr>
          <w:rFonts w:ascii="Arial" w:cs="Arial" w:eastAsia="Arial" w:hAnsi="Arial"/>
          <w:sz w:val="15"/>
          <w:szCs w:val="15"/>
          <w:color w:val="auto"/>
        </w:rPr>
        <w:t>subject thereto and shall be performed, interpreted and construed consistent with such intent. If any provision of this Agreement does not satisfy such requirements or could otherwise cause Golsen to recognize income under Section 409A of the Code, Golsen and the Company agree to negotiate in good faith an appropriate modification to maintain, to the maximum extent practicable, the original intent of the applicable provision without violating the requirements of Section 409A of the Code or otherwise causing the recognition of income thereunder.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is executed effective as of the 17th day of December, 2008.</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12700</wp:posOffset>
            </wp:positionV>
            <wp:extent cx="25177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spacing w:after="0" w:line="13"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Tony M. Shelby</w:t>
      </w:r>
    </w:p>
    <w:p>
      <w:pPr>
        <w:spacing w:after="0" w:line="19"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Title:</w:t>
        <w:tab/>
        <w:t>Vice President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12700</wp:posOffset>
            </wp:positionV>
            <wp:extent cx="2896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JACK E. GOLSEN, an individual</w:t>
      </w:r>
    </w:p>
    <w:p>
      <w:pPr>
        <w:spacing w:after="0" w:line="148"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60"/>
          </w:cols>
          <w:pgMar w:left="700" w:top="267"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150" cy="36830"/>
                    </a:xfrm>
                    <a:prstGeom prst="rect">
                      <a:avLst/>
                    </a:prstGeom>
                    <a:noFill/>
                  </pic:spPr>
                </pic:pic>
              </a:graphicData>
            </a:graphic>
          </wp:anchor>
        </w:drawing>
        <w:t>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SEVERANCE AGREEMENT</w:t>
      </w:r>
    </w:p>
    <w:p>
      <w:pPr>
        <w:spacing w:after="0" w:line="200" w:lineRule="exact"/>
        <w:rPr>
          <w:sz w:val="20"/>
          <w:szCs w:val="20"/>
          <w:color w:val="auto"/>
        </w:rPr>
      </w:pPr>
    </w:p>
    <w:p>
      <w:pPr>
        <w:ind w:right="800" w:firstLine="457"/>
        <w:spacing w:after="0" w:line="312" w:lineRule="auto"/>
        <w:rPr>
          <w:sz w:val="20"/>
          <w:szCs w:val="20"/>
          <w:color w:val="auto"/>
        </w:rPr>
      </w:pPr>
      <w:r>
        <w:rPr>
          <w:rFonts w:ascii="Arial" w:cs="Arial" w:eastAsia="Arial" w:hAnsi="Arial"/>
          <w:sz w:val="15"/>
          <w:szCs w:val="15"/>
          <w:color w:val="auto"/>
        </w:rPr>
        <w:t>This AMENDMENT TO SEVERANCE AGREEMENT (the “Amendment”) is entered into this 17th day of December, 2008, by and between LSB INDUSTRIES, INC., a Delaware corporation (the “Company”), and JACK E. GOLSEN, an individual (the “Executive”), and amends that certain Severance Agreement, dated January 17, 1989, as amended by the Amendment to Severance Agreement, dated March 21, 1996 (collectively, the “Agreement”).</w:t>
      </w:r>
    </w:p>
    <w:p>
      <w:pPr>
        <w:spacing w:after="0" w:line="141"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WHEREAS, Section 409A of the Internal Revenue Code of 1986, as amended (“the Code”), and the regulations promulgated thereunder (collectively, “Section 409A”) require that payments of “nonqualified deferred compensation” to “specified employees” be delayed for six months from “separation from service” (as those terms are defined under Section 409A);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Executive is currently a “specified employee” as defined in Section 409A;</w:t>
      </w:r>
    </w:p>
    <w:p>
      <w:pPr>
        <w:spacing w:after="0" w:line="211"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WHEREAS, the Agreement provides for the payment of certain benefits upon termination of service following certain changes in control of the Company, which may be considered nonqualified deferred compensation subject to Section 409A; 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and the Executive desire to amend the terms of the Agreement to comply with Section 409A.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the Company and the Executive hereby agree to amend the Agreement as follows:</w:t>
      </w:r>
    </w:p>
    <w:p>
      <w:pPr>
        <w:spacing w:after="0" w:line="211" w:lineRule="exact"/>
        <w:rPr>
          <w:sz w:val="20"/>
          <w:szCs w:val="20"/>
          <w:color w:val="auto"/>
        </w:rPr>
      </w:pPr>
    </w:p>
    <w:p>
      <w:pPr>
        <w:ind w:left="180" w:hanging="178"/>
        <w:spacing w:after="0"/>
        <w:tabs>
          <w:tab w:leader="none" w:pos="18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Amendment to Section 2</w:t>
      </w:r>
      <w:r>
        <w:rPr>
          <w:rFonts w:ascii="Arial" w:cs="Arial" w:eastAsia="Arial" w:hAnsi="Arial"/>
          <w:sz w:val="17"/>
          <w:szCs w:val="17"/>
          <w:color w:val="auto"/>
        </w:rPr>
        <w:t>. Section 2 of the Agreement is hereby amended and restated to read as follows:</w:t>
      </w:r>
    </w:p>
    <w:p>
      <w:pPr>
        <w:spacing w:after="0" w:line="122" w:lineRule="exact"/>
        <w:rPr>
          <w:rFonts w:ascii="Arial" w:cs="Arial" w:eastAsia="Arial" w:hAnsi="Arial"/>
          <w:sz w:val="17"/>
          <w:szCs w:val="17"/>
          <w:color w:val="auto"/>
        </w:rPr>
      </w:pPr>
    </w:p>
    <w:p>
      <w:pPr>
        <w:ind w:left="900" w:hanging="454"/>
        <w:spacing w:after="0" w:line="285"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For purposes of this Agreement, a “Change of Control” means any of the following events occurring during the Change of Control Period, provided, however, that vesting and payment of the benefit described in Section 4 will only be made if the occurrence of such event also constitutes a “change in ownership” or “change of effective control” of the Company as those terms are defined in Treas. Regs. Section 1.409A-3:</w:t>
      </w:r>
    </w:p>
    <w:p>
      <w:pPr>
        <w:spacing w:after="0" w:line="68" w:lineRule="exact"/>
        <w:rPr>
          <w:rFonts w:ascii="Arial" w:cs="Arial" w:eastAsia="Arial" w:hAnsi="Arial"/>
          <w:sz w:val="16"/>
          <w:szCs w:val="16"/>
          <w:color w:val="auto"/>
        </w:rPr>
      </w:pPr>
    </w:p>
    <w:p>
      <w:pPr>
        <w:ind w:left="1460" w:right="20" w:hanging="556"/>
        <w:spacing w:after="0" w:line="302" w:lineRule="auto"/>
        <w:tabs>
          <w:tab w:leader="none" w:pos="1460" w:val="left"/>
        </w:tabs>
        <w:numPr>
          <w:ilvl w:val="2"/>
          <w:numId w:val="97"/>
        </w:numPr>
        <w:rPr>
          <w:rFonts w:ascii="Arial" w:cs="Arial" w:eastAsia="Arial" w:hAnsi="Arial"/>
          <w:sz w:val="15"/>
          <w:szCs w:val="15"/>
          <w:color w:val="auto"/>
        </w:rPr>
      </w:pPr>
      <w:r>
        <w:rPr>
          <w:rFonts w:ascii="Arial" w:cs="Arial" w:eastAsia="Arial" w:hAnsi="Arial"/>
          <w:sz w:val="15"/>
          <w:szCs w:val="15"/>
          <w:color w:val="auto"/>
        </w:rPr>
        <w:t>individuals who, as of the date hereof, constitute the Board of Directors of the Company (the “Board” generally and as of the date hereof the “Incumbent Board”) cease for any reason to constitute at least a majority of the Board; provided, however, that any person becoming a director subsequent to the date hereof whose election, or nomination for election by the Company’s shareholders, was approved by a vote of at least a majority of the directors comprising the Incumbent Board (other than an election or nomination of an individual whose initial assumption of office</w:t>
      </w:r>
    </w:p>
    <w:p>
      <w:pPr>
        <w:sectPr>
          <w:pgSz w:w="11900" w:h="16838" w:orient="portrait"/>
          <w:cols w:equalWidth="0" w:num="1">
            <w:col w:w="11420"/>
          </w:cols>
          <w:pgMar w:left="240" w:top="263" w:right="239" w:bottom="1440" w:gutter="0" w:footer="0" w:header="0"/>
        </w:sectPr>
      </w:pPr>
    </w:p>
    <w:bookmarkStart w:id="141" w:name="page142"/>
    <w:bookmarkEnd w:id="141"/>
    <w:p>
      <w:pPr>
        <w:jc w:val="both"/>
        <w:ind w:left="576" w:right="30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6150" cy="36830"/>
                    </a:xfrm>
                    <a:prstGeom prst="rect">
                      <a:avLst/>
                    </a:prstGeom>
                    <a:noFill/>
                  </pic:spPr>
                </pic:pic>
              </a:graphicData>
            </a:graphic>
          </wp:anchor>
        </w:drawing>
        <w:t>is in connection with an actual or threatened election contest relating to the election of the directors of the Company, as such terms are used in Rule 14a-ll of Regulation 14A promulgated under the Exchange Act) shall be deemed to be, for purposes of this Agreement, a member of the Incumbent Board; or</w:t>
      </w:r>
    </w:p>
    <w:p>
      <w:pPr>
        <w:spacing w:after="0" w:line="87" w:lineRule="exact"/>
        <w:rPr>
          <w:sz w:val="20"/>
          <w:szCs w:val="20"/>
          <w:color w:val="auto"/>
        </w:rPr>
      </w:pPr>
    </w:p>
    <w:p>
      <w:pPr>
        <w:ind w:left="556" w:hanging="556"/>
        <w:spacing w:after="0" w:line="261" w:lineRule="auto"/>
        <w:tabs>
          <w:tab w:leader="none" w:pos="55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date that any one person, or more than one person acting as a group (as defined in Treas. Regs. Section 1.409A-3), acquires ownership of stock of the Company that, together with stock held by such person or group, constitutes more than fifty percent (50%) of the total fair market value or total voting power of the stock of the Company; or</w:t>
      </w:r>
    </w:p>
    <w:p>
      <w:pPr>
        <w:spacing w:after="0" w:line="86" w:lineRule="exact"/>
        <w:rPr>
          <w:rFonts w:ascii="Arial" w:cs="Arial" w:eastAsia="Arial" w:hAnsi="Arial"/>
          <w:sz w:val="17"/>
          <w:szCs w:val="17"/>
          <w:color w:val="auto"/>
        </w:rPr>
      </w:pPr>
    </w:p>
    <w:p>
      <w:pPr>
        <w:ind w:left="556" w:hanging="556"/>
        <w:spacing w:after="0" w:line="285" w:lineRule="auto"/>
        <w:tabs>
          <w:tab w:leader="none" w:pos="55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date any one person, or more than one person acting as a group (as defined in Treas. Regs. Section 1.409A-3), acquires (or has acquired during the 12-month period ending on the date of the most recent acquisition by such person or persons) ownership of stock of the Company possessing thirty percent (30%) or more of the total voting power of the stock of the Company, other than the acquisition by</w:t>
      </w:r>
    </w:p>
    <w:p>
      <w:pPr>
        <w:spacing w:after="0" w:line="68" w:lineRule="exact"/>
        <w:rPr>
          <w:rFonts w:ascii="Arial" w:cs="Arial" w:eastAsia="Arial" w:hAnsi="Arial"/>
          <w:sz w:val="16"/>
          <w:szCs w:val="16"/>
          <w:color w:val="auto"/>
        </w:rPr>
      </w:pPr>
    </w:p>
    <w:p>
      <w:pPr>
        <w:ind w:left="1016" w:hanging="444"/>
        <w:spacing w:after="0"/>
        <w:tabs>
          <w:tab w:leader="none" w:pos="1016" w:val="left"/>
        </w:tabs>
        <w:numPr>
          <w:ilvl w:val="1"/>
          <w:numId w:val="98"/>
        </w:numPr>
        <w:rPr>
          <w:rFonts w:ascii="Arial" w:cs="Arial" w:eastAsia="Arial" w:hAnsi="Arial"/>
          <w:sz w:val="17"/>
          <w:szCs w:val="17"/>
          <w:color w:val="auto"/>
        </w:rPr>
      </w:pPr>
      <w:r>
        <w:rPr>
          <w:rFonts w:ascii="Arial" w:cs="Arial" w:eastAsia="Arial" w:hAnsi="Arial"/>
          <w:sz w:val="17"/>
          <w:szCs w:val="17"/>
          <w:color w:val="auto"/>
        </w:rPr>
        <w:t>any Person or group, which as of the date hereof has such ownership; or</w:t>
      </w:r>
    </w:p>
    <w:p>
      <w:pPr>
        <w:spacing w:after="0" w:line="122" w:lineRule="exact"/>
        <w:rPr>
          <w:rFonts w:ascii="Arial" w:cs="Arial" w:eastAsia="Arial" w:hAnsi="Arial"/>
          <w:sz w:val="17"/>
          <w:szCs w:val="17"/>
          <w:color w:val="auto"/>
        </w:rPr>
      </w:pPr>
    </w:p>
    <w:p>
      <w:pPr>
        <w:ind w:left="1016" w:hanging="444"/>
        <w:spacing w:after="0"/>
        <w:tabs>
          <w:tab w:leader="none" w:pos="1016" w:val="left"/>
        </w:tabs>
        <w:numPr>
          <w:ilvl w:val="1"/>
          <w:numId w:val="98"/>
        </w:numPr>
        <w:rPr>
          <w:rFonts w:ascii="Arial" w:cs="Arial" w:eastAsia="Arial" w:hAnsi="Arial"/>
          <w:sz w:val="17"/>
          <w:szCs w:val="17"/>
          <w:color w:val="auto"/>
        </w:rPr>
      </w:pPr>
      <w:r>
        <w:rPr>
          <w:rFonts w:ascii="Arial" w:cs="Arial" w:eastAsia="Arial" w:hAnsi="Arial"/>
          <w:sz w:val="17"/>
          <w:szCs w:val="17"/>
          <w:color w:val="auto"/>
        </w:rPr>
        <w:t>any of the Golsen Group (as defined below).</w:t>
      </w:r>
    </w:p>
    <w:p>
      <w:pPr>
        <w:spacing w:after="0" w:line="110" w:lineRule="exact"/>
        <w:rPr>
          <w:sz w:val="20"/>
          <w:szCs w:val="20"/>
          <w:color w:val="auto"/>
        </w:rPr>
      </w:pPr>
    </w:p>
    <w:p>
      <w:pPr>
        <w:ind w:left="576"/>
        <w:spacing w:after="0"/>
        <w:rPr>
          <w:sz w:val="20"/>
          <w:szCs w:val="20"/>
          <w:color w:val="auto"/>
        </w:rPr>
      </w:pPr>
      <w:r>
        <w:rPr>
          <w:rFonts w:ascii="Arial" w:cs="Arial" w:eastAsia="Arial" w:hAnsi="Arial"/>
          <w:sz w:val="17"/>
          <w:szCs w:val="17"/>
          <w:color w:val="auto"/>
        </w:rPr>
        <w:t>For the purposes of this Agreement, the term “Golsen Group” shall mean:</w:t>
      </w:r>
    </w:p>
    <w:p>
      <w:pPr>
        <w:spacing w:after="0" w:line="122" w:lineRule="exact"/>
        <w:rPr>
          <w:sz w:val="20"/>
          <w:szCs w:val="20"/>
          <w:color w:val="auto"/>
        </w:rPr>
      </w:pPr>
    </w:p>
    <w:p>
      <w:pPr>
        <w:ind w:left="1016" w:hanging="444"/>
        <w:spacing w:after="0"/>
        <w:tabs>
          <w:tab w:leader="none" w:pos="1016" w:val="left"/>
        </w:tabs>
        <w:numPr>
          <w:ilvl w:val="0"/>
          <w:numId w:val="99"/>
        </w:numPr>
        <w:rPr>
          <w:rFonts w:ascii="Arial" w:cs="Arial" w:eastAsia="Arial" w:hAnsi="Arial"/>
          <w:sz w:val="17"/>
          <w:szCs w:val="17"/>
          <w:color w:val="auto"/>
        </w:rPr>
      </w:pPr>
      <w:r>
        <w:rPr>
          <w:rFonts w:ascii="Arial" w:cs="Arial" w:eastAsia="Arial" w:hAnsi="Arial"/>
          <w:sz w:val="17"/>
          <w:szCs w:val="17"/>
          <w:color w:val="auto"/>
        </w:rPr>
        <w:t>Jack E. Golsen;</w:t>
      </w:r>
    </w:p>
    <w:p>
      <w:pPr>
        <w:spacing w:after="0" w:line="122" w:lineRule="exact"/>
        <w:rPr>
          <w:rFonts w:ascii="Arial" w:cs="Arial" w:eastAsia="Arial" w:hAnsi="Arial"/>
          <w:sz w:val="17"/>
          <w:szCs w:val="17"/>
          <w:color w:val="auto"/>
        </w:rPr>
      </w:pPr>
    </w:p>
    <w:p>
      <w:pPr>
        <w:ind w:left="1016" w:hanging="444"/>
        <w:spacing w:after="0"/>
        <w:tabs>
          <w:tab w:leader="none" w:pos="1016"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spouse of Jack E. Golsen;</w:t>
      </w:r>
    </w:p>
    <w:p>
      <w:pPr>
        <w:spacing w:after="0" w:line="122" w:lineRule="exact"/>
        <w:rPr>
          <w:rFonts w:ascii="Arial" w:cs="Arial" w:eastAsia="Arial" w:hAnsi="Arial"/>
          <w:sz w:val="17"/>
          <w:szCs w:val="17"/>
          <w:color w:val="auto"/>
        </w:rPr>
      </w:pPr>
    </w:p>
    <w:p>
      <w:pPr>
        <w:ind w:left="1016" w:hanging="444"/>
        <w:spacing w:after="0"/>
        <w:tabs>
          <w:tab w:leader="none" w:pos="1016" w:val="left"/>
        </w:tabs>
        <w:numPr>
          <w:ilvl w:val="0"/>
          <w:numId w:val="99"/>
        </w:numPr>
        <w:rPr>
          <w:rFonts w:ascii="Arial" w:cs="Arial" w:eastAsia="Arial" w:hAnsi="Arial"/>
          <w:sz w:val="15"/>
          <w:szCs w:val="15"/>
          <w:color w:val="auto"/>
        </w:rPr>
      </w:pPr>
      <w:r>
        <w:rPr>
          <w:rFonts w:ascii="Arial" w:cs="Arial" w:eastAsia="Arial" w:hAnsi="Arial"/>
          <w:sz w:val="15"/>
          <w:szCs w:val="15"/>
          <w:color w:val="auto"/>
        </w:rPr>
        <w:t>Barry H. Golsen, Steven J. Golsen and Linda Golsen Rappaport, who are the children of Jack E. Golsen, or any spouse of such children;</w:t>
      </w:r>
    </w:p>
    <w:p>
      <w:pPr>
        <w:spacing w:after="0" w:line="145" w:lineRule="exact"/>
        <w:rPr>
          <w:rFonts w:ascii="Arial" w:cs="Arial" w:eastAsia="Arial" w:hAnsi="Arial"/>
          <w:sz w:val="15"/>
          <w:szCs w:val="15"/>
          <w:color w:val="auto"/>
        </w:rPr>
      </w:pPr>
    </w:p>
    <w:p>
      <w:pPr>
        <w:ind w:left="1016" w:right="20" w:hanging="444"/>
        <w:spacing w:after="0" w:line="341" w:lineRule="auto"/>
        <w:tabs>
          <w:tab w:leader="none" w:pos="1016" w:val="left"/>
        </w:tabs>
        <w:numPr>
          <w:ilvl w:val="0"/>
          <w:numId w:val="99"/>
        </w:numPr>
        <w:rPr>
          <w:rFonts w:ascii="Arial" w:cs="Arial" w:eastAsia="Arial" w:hAnsi="Arial"/>
          <w:sz w:val="15"/>
          <w:szCs w:val="15"/>
          <w:color w:val="auto"/>
        </w:rPr>
      </w:pPr>
      <w:r>
        <w:rPr>
          <w:rFonts w:ascii="Arial" w:cs="Arial" w:eastAsia="Arial" w:hAnsi="Arial"/>
          <w:sz w:val="15"/>
          <w:szCs w:val="15"/>
          <w:color w:val="auto"/>
        </w:rPr>
        <w:t>any estate of, or the executor or administrator of any estate of, or any guardian or custodian for, any Person described in subparagraphs (A), (B), or (C), above, so long as such executor, administrator, guardian or custodian is acting only in his, her or its capacity as such;</w:t>
      </w:r>
    </w:p>
    <w:p>
      <w:pPr>
        <w:spacing w:after="0" w:line="30" w:lineRule="exact"/>
        <w:rPr>
          <w:rFonts w:ascii="Arial" w:cs="Arial" w:eastAsia="Arial" w:hAnsi="Arial"/>
          <w:sz w:val="15"/>
          <w:szCs w:val="15"/>
          <w:color w:val="auto"/>
        </w:rPr>
      </w:pPr>
    </w:p>
    <w:p>
      <w:pPr>
        <w:ind w:left="1016" w:right="80" w:hanging="444"/>
        <w:spacing w:after="0" w:line="261" w:lineRule="auto"/>
        <w:tabs>
          <w:tab w:leader="none" w:pos="1016"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corporation, trust (including any voting trust), general partnership, limited partnership, limited liability company, organization or other entity (whether now existing or hereafter formed) of which at least 80% of the outstanding beneficial voting or equity interest are beneficially owned, directly or indirectly,</w:t>
      </w:r>
    </w:p>
    <w:p>
      <w:pPr>
        <w:spacing w:after="0" w:line="112" w:lineRule="exact"/>
        <w:rPr>
          <w:sz w:val="20"/>
          <w:szCs w:val="20"/>
          <w:color w:val="auto"/>
        </w:rPr>
      </w:pPr>
    </w:p>
    <w:p>
      <w:pPr>
        <w:ind w:left="477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96"/>
          </w:cols>
          <w:pgMar w:left="1144" w:top="267" w:right="259" w:bottom="1440" w:gutter="0" w:footer="0" w:header="0"/>
        </w:sectPr>
      </w:pPr>
    </w:p>
    <w:bookmarkStart w:id="142" w:name="page143"/>
    <w:bookmarkEnd w:id="142"/>
    <w:p>
      <w:pPr>
        <w:ind w:left="1938"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6150" cy="36830"/>
                    </a:xfrm>
                    <a:prstGeom prst="rect">
                      <a:avLst/>
                    </a:prstGeom>
                    <a:noFill/>
                  </pic:spPr>
                </pic:pic>
              </a:graphicData>
            </a:graphic>
          </wp:anchor>
        </w:drawing>
        <w:t>either (i) by one or more of the Persons described in subparagraphs (A), (B), (C), and (D), above, or (ii) by any combination of one or more of the Persons described in subparagraphs (A), (B), (C), and (D), above; and,</w:t>
      </w:r>
    </w:p>
    <w:p>
      <w:pPr>
        <w:spacing w:after="0" w:line="76" w:lineRule="exact"/>
        <w:rPr>
          <w:sz w:val="20"/>
          <w:szCs w:val="20"/>
          <w:color w:val="auto"/>
        </w:rPr>
      </w:pPr>
    </w:p>
    <w:p>
      <w:pPr>
        <w:ind w:left="1918" w:right="60" w:hanging="444"/>
        <w:spacing w:after="0" w:line="271" w:lineRule="auto"/>
        <w:tabs>
          <w:tab w:leader="none" w:pos="191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any other Person (i) who or which is or becomes an Affiliate or Associate of any Person described in subparagraph (A), (B), (C), (D), or (E), above, or (ii) of which any Person described in subparagraph (A), (B), (C), (D), or (E), above, is or becomes an Affiliate or Associate; provided, however, in either case (i) or case (ii) of this subparagraph (F), such other Person is not the Beneficial Owner of 5% or more of the shares of Common Stock of the Company then outstanding (for purposes of determining the number of shares of Common Stock of the Company of which such other Person is the Beneficial Owner under this subparagraph (vii), such other Person shall not be deemed to beneficially own shares of any Person described in subparagraphs (A), (B), (C), (D), or (E), above, solely by reason of an Affiliate or Associate relationship of the kind described in (i) or (ii) above in this subparagraph (F)).</w:t>
      </w:r>
    </w:p>
    <w:p>
      <w:pPr>
        <w:spacing w:after="0" w:line="312" w:lineRule="exact"/>
        <w:rPr>
          <w:rFonts w:ascii="Arial" w:cs="Arial" w:eastAsia="Arial" w:hAnsi="Arial"/>
          <w:sz w:val="16"/>
          <w:szCs w:val="16"/>
          <w:color w:val="auto"/>
        </w:rPr>
      </w:pPr>
    </w:p>
    <w:p>
      <w:pPr>
        <w:ind w:left="438" w:hanging="438"/>
        <w:spacing w:after="0"/>
        <w:tabs>
          <w:tab w:leader="none" w:pos="438"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Amendments to Section 3</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438"/>
        <w:spacing w:after="0"/>
        <w:rPr>
          <w:rFonts w:ascii="Arial" w:cs="Arial" w:eastAsia="Arial" w:hAnsi="Arial"/>
          <w:sz w:val="17"/>
          <w:szCs w:val="17"/>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3.5</w:t>
      </w:r>
      <w:r>
        <w:rPr>
          <w:rFonts w:ascii="Arial" w:cs="Arial" w:eastAsia="Arial" w:hAnsi="Arial"/>
          <w:sz w:val="17"/>
          <w:szCs w:val="17"/>
          <w:color w:val="auto"/>
        </w:rPr>
        <w:t>. Section 3.5 is deleted in its entirety and replaced with the following:</w:t>
      </w:r>
    </w:p>
    <w:p>
      <w:pPr>
        <w:spacing w:after="0" w:line="110" w:lineRule="exact"/>
        <w:rPr>
          <w:sz w:val="20"/>
          <w:szCs w:val="20"/>
          <w:color w:val="auto"/>
        </w:rPr>
      </w:pPr>
    </w:p>
    <w:p>
      <w:pPr>
        <w:ind w:left="918"/>
        <w:spacing w:after="0" w:line="255"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means, (a) if the termination is for Cause, the date of receipt of the Notice of Termination or any later date specified therein, (which date shall not be more than fifteen (15) days after the giving of such notice), as the case may be, and (b) if the termination is for Good Reason and the Company has not cured the default prior to the expiration of the Cure Period, the day immediately following the expiration date of the Cure Period. If the Executive’s employment is terminated by the Company in breach of this Agreement, the Date of Termination shall be the date on which the Company notifies the Executive of such termination.”</w:t>
      </w:r>
    </w:p>
    <w:p>
      <w:pPr>
        <w:spacing w:after="0" w:line="93" w:lineRule="exact"/>
        <w:rPr>
          <w:sz w:val="20"/>
          <w:szCs w:val="20"/>
          <w:color w:val="auto"/>
        </w:rPr>
      </w:pPr>
    </w:p>
    <w:p>
      <w:pPr>
        <w:ind w:left="438"/>
        <w:spacing w:after="0"/>
        <w:tabs>
          <w:tab w:leader="none" w:pos="878"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New 3.6</w:t>
      </w:r>
      <w:r>
        <w:rPr>
          <w:rFonts w:ascii="Arial" w:cs="Arial" w:eastAsia="Arial" w:hAnsi="Arial"/>
          <w:sz w:val="15"/>
          <w:szCs w:val="15"/>
          <w:color w:val="auto"/>
        </w:rPr>
        <w:t>. The following new Section 3.6 is inserted immediately following Section 3.5:</w:t>
      </w:r>
    </w:p>
    <w:p>
      <w:pPr>
        <w:spacing w:after="0" w:line="110" w:lineRule="exact"/>
        <w:rPr>
          <w:sz w:val="20"/>
          <w:szCs w:val="20"/>
          <w:color w:val="auto"/>
        </w:rPr>
      </w:pPr>
    </w:p>
    <w:p>
      <w:pPr>
        <w:ind w:left="918" w:right="40"/>
        <w:spacing w:after="0" w:line="25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Notice Upon Termination for Good Reason</w:t>
      </w:r>
      <w:r>
        <w:rPr>
          <w:rFonts w:ascii="Arial" w:cs="Arial" w:eastAsia="Arial" w:hAnsi="Arial"/>
          <w:sz w:val="17"/>
          <w:szCs w:val="17"/>
          <w:color w:val="auto"/>
        </w:rPr>
        <w:t>. Notwithstanding any other provision of this Agreement, if the Executive intends to terminate the Executive’s employment with the Company for Good Reason, the Executive must provide a Notice of Termination within ninety (90) days after the initial existence of the event that constitutes Good Reason. The Company will have thirty-five (35) days after receipt of such written notice to cure the default that constitutes Good Reason (the “Cure Period”).”</w:t>
      </w:r>
    </w:p>
    <w:p>
      <w:pPr>
        <w:spacing w:after="0" w:line="116"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98"/>
          </w:cols>
          <w:pgMar w:left="242" w:top="267" w:right="259" w:bottom="1440" w:gutter="0" w:footer="0" w:header="0"/>
        </w:sectPr>
      </w:pPr>
    </w:p>
    <w:bookmarkStart w:id="143" w:name="page144"/>
    <w:bookmarkEnd w:id="143"/>
    <w:p>
      <w:pPr>
        <w:ind w:left="440" w:right="1240" w:hanging="438"/>
        <w:spacing w:after="0" w:line="390" w:lineRule="auto"/>
        <w:tabs>
          <w:tab w:leader="none" w:pos="16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6150" cy="36830"/>
                    </a:xfrm>
                    <a:prstGeom prst="rect">
                      <a:avLst/>
                    </a:prstGeom>
                    <a:noFill/>
                  </pic:spPr>
                </pic:pic>
              </a:graphicData>
            </a:graphic>
          </wp:anchor>
        </w:drawing>
        <w:t>New Section 10</w:t>
      </w:r>
      <w:r>
        <w:rPr>
          <w:rFonts w:ascii="Arial" w:cs="Arial" w:eastAsia="Arial" w:hAnsi="Arial"/>
          <w:sz w:val="17"/>
          <w:szCs w:val="17"/>
          <w:color w:val="auto"/>
        </w:rPr>
        <w:t xml:space="preserve">. The Agreement is hereby amended by inserting the following new Section 10 immediately following Section 9 of this Agreement: “10. </w:t>
      </w: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ind w:left="1460" w:hanging="558"/>
        <w:spacing w:after="0" w:line="290" w:lineRule="auto"/>
        <w:tabs>
          <w:tab w:leader="none" w:pos="14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u w:val="single" w:color="auto"/>
          <w:color w:val="auto"/>
        </w:rPr>
        <w:t>6-Month Delay</w:t>
      </w:r>
      <w:r>
        <w:rPr>
          <w:rFonts w:ascii="Arial" w:cs="Arial" w:eastAsia="Arial" w:hAnsi="Arial"/>
          <w:sz w:val="15"/>
          <w:szCs w:val="15"/>
          <w:color w:val="auto"/>
        </w:rPr>
        <w:t>. If any amounts that become due under this Agreement constitute “nonqualified deferred compensation” within the meaning of</w:t>
      </w:r>
      <w:r>
        <w:rPr>
          <w:rFonts w:ascii="Arial" w:cs="Arial" w:eastAsia="Arial" w:hAnsi="Arial"/>
          <w:sz w:val="15"/>
          <w:szCs w:val="15"/>
          <w:u w:val="single" w:color="auto"/>
          <w:color w:val="auto"/>
        </w:rPr>
        <w:t xml:space="preserve"> </w:t>
      </w:r>
      <w:r>
        <w:rPr>
          <w:rFonts w:ascii="Arial" w:cs="Arial" w:eastAsia="Arial" w:hAnsi="Arial"/>
          <w:sz w:val="15"/>
          <w:szCs w:val="15"/>
          <w:color w:val="auto"/>
        </w:rPr>
        <w:t>Section 409A of the Internal Revenue Code of 1986, as amended, and the treasury regulations promulgated thereunder (“Section 409A”), payment of such amounts shall not commence until the Executive incurs a “separation from service.” Notwithstanding anything herein to the contrary, if the Executive is a “specified employee,” for purposes of Section 409A of the Code, on the date on which he incurs a separation from service, any payment hereunder that provides for the “deferral of compensation” within the meaning of Section 409A of the Code shall not be paid prior to the first business day after the date that is six months following the Executive’s “separation from service;” provided, however, that a payment delayed pursuant to the preceding clause shall commence earlier in the event of the Executive’s death prior to the end of the six-month period. Within 10 business days after the end of such six months, the Executive shall be paid a lump sum payment in cash equal to any payments delayed because of the preceding sentence. Thereafter, the Executive shall receive any remaining benefits as if there had not been an earlier delay.</w:t>
      </w:r>
    </w:p>
    <w:p>
      <w:pPr>
        <w:spacing w:after="0" w:line="69" w:lineRule="exact"/>
        <w:rPr>
          <w:sz w:val="20"/>
          <w:szCs w:val="20"/>
          <w:color w:val="auto"/>
        </w:rPr>
      </w:pPr>
    </w:p>
    <w:p>
      <w:pPr>
        <w:ind w:left="900"/>
        <w:spacing w:after="0"/>
        <w:tabs>
          <w:tab w:leader="none" w:pos="14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Agreement, the term “separation from service” shall have the meaning set forth in Section 409A(a)(2)(i)</w:t>
      </w:r>
    </w:p>
    <w:p>
      <w:pPr>
        <w:spacing w:after="0" w:line="19" w:lineRule="exact"/>
        <w:rPr>
          <w:sz w:val="20"/>
          <w:szCs w:val="20"/>
          <w:color w:val="auto"/>
        </w:rPr>
      </w:pPr>
    </w:p>
    <w:p>
      <w:pPr>
        <w:ind w:left="1460" w:right="140" w:firstLine="3"/>
        <w:spacing w:after="0" w:line="254" w:lineRule="auto"/>
        <w:tabs>
          <w:tab w:leader="none" w:pos="173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of the Code and determined in accordance with the default rules under Section 409A. The term “specified employee” shall have the meaning set forth in Section 409A(a)(2)(B)(1) of the Code, as determined in accordance with the uniform methodology and procedures adopted by the Employer and then in effect.</w:t>
      </w:r>
    </w:p>
    <w:p>
      <w:pPr>
        <w:spacing w:after="0" w:line="92" w:lineRule="exact"/>
        <w:rPr>
          <w:sz w:val="20"/>
          <w:szCs w:val="20"/>
          <w:color w:val="auto"/>
        </w:rPr>
      </w:pPr>
    </w:p>
    <w:p>
      <w:pPr>
        <w:jc w:val="both"/>
        <w:ind w:left="1460" w:right="120" w:hanging="558"/>
        <w:spacing w:after="0" w:line="257" w:lineRule="auto"/>
        <w:tabs>
          <w:tab w:leader="none" w:pos="14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u w:val="single" w:color="auto"/>
          <w:color w:val="auto"/>
        </w:rPr>
        <w:t>Intent</w:t>
      </w:r>
      <w:r>
        <w:rPr>
          <w:rFonts w:ascii="Arial" w:cs="Arial" w:eastAsia="Arial" w:hAnsi="Arial"/>
          <w:sz w:val="17"/>
          <w:szCs w:val="17"/>
          <w:color w:val="auto"/>
        </w:rPr>
        <w:t>. The provisions of this Agreement are intended to satisfy the applicable requirements of Section 409A of the Code with respect to amounts</w:t>
      </w:r>
      <w:r>
        <w:rPr>
          <w:rFonts w:ascii="Arial" w:cs="Arial" w:eastAsia="Arial" w:hAnsi="Arial"/>
          <w:sz w:val="17"/>
          <w:szCs w:val="17"/>
          <w:u w:val="single" w:color="auto"/>
          <w:color w:val="auto"/>
        </w:rPr>
        <w:t xml:space="preserve"> </w:t>
      </w:r>
      <w:r>
        <w:rPr>
          <w:rFonts w:ascii="Arial" w:cs="Arial" w:eastAsia="Arial" w:hAnsi="Arial"/>
          <w:sz w:val="17"/>
          <w:szCs w:val="17"/>
          <w:color w:val="auto"/>
        </w:rPr>
        <w:t>subject thereto and shall be performed, interpreted and construed consistent with such intent. If any provision of this Agreement does not satisfy such requirements or could otherwise cause the Executive to recognize income under Section 409A of the Code, the Executive and the Company agree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7" w:right="239" w:bottom="1440" w:gutter="0" w:footer="0" w:header="0"/>
        </w:sectPr>
      </w:pPr>
    </w:p>
    <w:bookmarkStart w:id="144" w:name="page145"/>
    <w:bookmarkEnd w:id="144"/>
    <w:p>
      <w:pPr>
        <w:ind w:left="1020"/>
        <w:spacing w:after="0" w:line="34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150" cy="36830"/>
                    </a:xfrm>
                    <a:prstGeom prst="rect">
                      <a:avLst/>
                    </a:prstGeom>
                    <a:noFill/>
                  </pic:spPr>
                </pic:pic>
              </a:graphicData>
            </a:graphic>
          </wp:anchor>
        </w:drawing>
        <w:t>to negotiate in good faith an appropriate modification to maintain, to the maximum extent practicable, the original intent of the applicable provision without violating the requirements of Section 409A of the Code or otherwise causing the recognition of income thereunder.”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is executed effective as of the 17th day of December, 2008.</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p>
      <w:pPr>
        <w:ind w:left="6400"/>
        <w:spacing w:after="0"/>
        <w:tabs>
          <w:tab w:leader="none" w:pos="7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12700</wp:posOffset>
            </wp:positionV>
            <wp:extent cx="24853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85390" cy="8255"/>
                    </a:xfrm>
                    <a:prstGeom prst="rect">
                      <a:avLst/>
                    </a:prstGeom>
                    <a:noFill/>
                  </pic:spPr>
                </pic:pic>
              </a:graphicData>
            </a:graphic>
          </wp:anchor>
        </w:drawing>
      </w:r>
    </w:p>
    <w:p>
      <w:pPr>
        <w:spacing w:after="0" w:line="13" w:lineRule="exact"/>
        <w:rPr>
          <w:sz w:val="20"/>
          <w:szCs w:val="20"/>
          <w:color w:val="auto"/>
        </w:rPr>
      </w:pPr>
    </w:p>
    <w:p>
      <w:pPr>
        <w:ind w:left="6400"/>
        <w:spacing w:after="0"/>
        <w:tabs>
          <w:tab w:leader="none" w:pos="7040" w:val="left"/>
        </w:tabs>
        <w:rPr>
          <w:sz w:val="20"/>
          <w:szCs w:val="20"/>
          <w:color w:val="auto"/>
        </w:rPr>
      </w:pPr>
      <w:r>
        <w:rPr>
          <w:rFonts w:ascii="Arial" w:cs="Arial" w:eastAsia="Arial" w:hAnsi="Arial"/>
          <w:sz w:val="17"/>
          <w:szCs w:val="17"/>
          <w:color w:val="auto"/>
        </w:rPr>
        <w:t>Name:</w:t>
        <w:tab/>
        <w:t>Tony M. Shelby</w:t>
      </w:r>
    </w:p>
    <w:p>
      <w:pPr>
        <w:spacing w:after="0" w:line="19" w:lineRule="exact"/>
        <w:rPr>
          <w:sz w:val="20"/>
          <w:szCs w:val="20"/>
          <w:color w:val="auto"/>
        </w:rPr>
      </w:pPr>
    </w:p>
    <w:p>
      <w:pPr>
        <w:ind w:left="6400"/>
        <w:spacing w:after="0"/>
        <w:tabs>
          <w:tab w:leader="none" w:pos="70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V.P.</w:t>
      </w:r>
    </w:p>
    <w:p>
      <w:pPr>
        <w:spacing w:after="0" w:line="20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(the “Company”)</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12700</wp:posOffset>
            </wp:positionV>
            <wp:extent cx="2896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JACK E. GOLSEN, an individual</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(the “Executive”)</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40"/>
          </w:cols>
          <w:pgMar w:left="700" w:top="267" w:right="859" w:bottom="1440" w:gutter="0" w:footer="0" w:header="0"/>
        </w:sectPr>
      </w:pPr>
    </w:p>
    <w:bookmarkStart w:id="145" w:name="page146"/>
    <w:bookmarkEnd w:id="145"/>
    <w:p>
      <w:pPr>
        <w:jc w:val="center"/>
        <w:ind w:right="-1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6150" cy="36830"/>
                    </a:xfrm>
                    <a:prstGeom prst="rect">
                      <a:avLst/>
                    </a:prstGeom>
                    <a:noFill/>
                  </pic:spPr>
                </pic:pic>
              </a:graphicData>
            </a:graphic>
          </wp:anchor>
        </w:drawing>
        <w:t>FOURTH AMENDMENT</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TO</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00" w:lineRule="exact"/>
        <w:rPr>
          <w:sz w:val="20"/>
          <w:szCs w:val="20"/>
          <w:color w:val="auto"/>
        </w:rPr>
      </w:pPr>
    </w:p>
    <w:p>
      <w:pPr>
        <w:ind w:right="80" w:firstLine="457"/>
        <w:spacing w:after="0" w:line="302" w:lineRule="auto"/>
        <w:rPr>
          <w:sz w:val="20"/>
          <w:szCs w:val="20"/>
          <w:color w:val="auto"/>
        </w:rPr>
      </w:pPr>
      <w:r>
        <w:rPr>
          <w:rFonts w:ascii="Arial" w:cs="Arial" w:eastAsia="Arial" w:hAnsi="Arial"/>
          <w:sz w:val="15"/>
          <w:szCs w:val="15"/>
          <w:color w:val="auto"/>
        </w:rPr>
        <w:t>This FOURTH AMENDMENT TO EMPLOYMENT AGREEMENT (the “Amendment”) is entered into effective January 1, 2015, by and between LSB INDUSTRIES, INC., a Delaware corporation (the “Company”), and JACK E. GOLSEN, an individual (“Golsen”), and amends that certain Employment Agreement, dated March 21, 1996, as amended by the First Amendment to Employment Agreement, dated April 29, 2003, and by the Second Amendment to Employment Agreement, dated May 12, 2005 and the Third Amendment to the Employment Agreement dated December 17, 2008 (collectively, the “Agreement”).</w:t>
      </w:r>
    </w:p>
    <w:p>
      <w:pPr>
        <w:spacing w:after="0" w:line="148" w:lineRule="exact"/>
        <w:rPr>
          <w:sz w:val="20"/>
          <w:szCs w:val="20"/>
          <w:color w:val="auto"/>
        </w:rPr>
      </w:pPr>
    </w:p>
    <w:p>
      <w:pPr>
        <w:jc w:val="both"/>
        <w:ind w:firstLine="457"/>
        <w:spacing w:after="0" w:line="261" w:lineRule="auto"/>
        <w:rPr>
          <w:sz w:val="20"/>
          <w:szCs w:val="20"/>
          <w:color w:val="auto"/>
        </w:rPr>
      </w:pPr>
      <w:r>
        <w:rPr>
          <w:rFonts w:ascii="Arial" w:cs="Arial" w:eastAsia="Arial" w:hAnsi="Arial"/>
          <w:sz w:val="17"/>
          <w:szCs w:val="17"/>
          <w:color w:val="auto"/>
        </w:rPr>
        <w:t>WHEREAS, effective January 1, 2015, the Board of Directors of the Company has determined that Golsen is appointed to the positions of Executive Chairman of the Board and Chairman of the Executive Committee (collectively referred to as the “Executive Chairman”) and shall have the duties and responsibilities consistent with such positions; and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Golsen is in agreement with and desirous of assuming the role of Executive Chairman effective January 1, 2015; and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Sections 1 and 2 of the Agreement provide for a certain term of agreement and certain position and duties for Golsen; and</w:t>
      </w:r>
    </w:p>
    <w:p>
      <w:pPr>
        <w:spacing w:after="0" w:line="211" w:lineRule="exact"/>
        <w:rPr>
          <w:sz w:val="20"/>
          <w:szCs w:val="20"/>
          <w:color w:val="auto"/>
        </w:rPr>
      </w:pPr>
    </w:p>
    <w:p>
      <w:pPr>
        <w:ind w:right="460" w:firstLine="457"/>
        <w:spacing w:after="0" w:line="273" w:lineRule="auto"/>
        <w:rPr>
          <w:sz w:val="20"/>
          <w:szCs w:val="20"/>
          <w:color w:val="auto"/>
        </w:rPr>
      </w:pPr>
      <w:r>
        <w:rPr>
          <w:rFonts w:ascii="Arial" w:cs="Arial" w:eastAsia="Arial" w:hAnsi="Arial"/>
          <w:sz w:val="17"/>
          <w:szCs w:val="17"/>
          <w:color w:val="auto"/>
        </w:rPr>
        <w:t>WHEREAS, the Company and Golsen desire to amend the terms of the Agreement to reflect the appointment of Golsen as Executive Chairman effective January 1, 2015.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the Company and Golsen agree to amend the Agreement as follows:</w:t>
      </w:r>
    </w:p>
    <w:p>
      <w:pPr>
        <w:spacing w:after="0" w:line="122" w:lineRule="exact"/>
        <w:rPr>
          <w:sz w:val="20"/>
          <w:szCs w:val="20"/>
          <w:color w:val="auto"/>
        </w:rPr>
      </w:pPr>
    </w:p>
    <w:p>
      <w:pPr>
        <w:ind w:left="440" w:right="20" w:hanging="438"/>
        <w:spacing w:after="0" w:line="305" w:lineRule="auto"/>
        <w:tabs>
          <w:tab w:leader="none" w:pos="44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Amendment to Section 1 of the Agreement (as such was amended by the First Amendment to Employment Agreement Dated March 21, 1996)</w:t>
      </w:r>
      <w:r>
        <w:rPr>
          <w:rFonts w:ascii="Arial" w:cs="Arial" w:eastAsia="Arial" w:hAnsi="Arial"/>
          <w:sz w:val="16"/>
          <w:szCs w:val="16"/>
          <w:color w:val="auto"/>
        </w:rPr>
        <w:t>. Section 1 of the Agreement is hereby amended by deleting the existing language of Section 1 and inserting the following language in lieu thereof:</w:t>
      </w:r>
    </w:p>
    <w:p>
      <w:pPr>
        <w:spacing w:after="0" w:line="53" w:lineRule="exact"/>
        <w:rPr>
          <w:sz w:val="20"/>
          <w:szCs w:val="20"/>
          <w:color w:val="auto"/>
        </w:rPr>
      </w:pPr>
    </w:p>
    <w:p>
      <w:pPr>
        <w:ind w:left="900" w:right="180" w:hanging="454"/>
        <w:spacing w:after="0" w:line="273"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Agreement, as amended, shall continue for an additional three years from the effective date of this Fourth Amendment (the “Initial Term”), except as extended pursuant to the below paragraph or sooner terminated pursuant to the terms of this Agreement.</w:t>
      </w:r>
    </w:p>
    <w:p>
      <w:pPr>
        <w:spacing w:after="0" w:line="64" w:lineRule="exact"/>
        <w:rPr>
          <w:sz w:val="20"/>
          <w:szCs w:val="20"/>
          <w:color w:val="auto"/>
        </w:rPr>
      </w:pPr>
    </w:p>
    <w:p>
      <w:pPr>
        <w:ind w:left="920" w:right="140"/>
        <w:spacing w:after="0" w:line="261" w:lineRule="auto"/>
        <w:rPr>
          <w:sz w:val="20"/>
          <w:szCs w:val="20"/>
          <w:color w:val="auto"/>
        </w:rPr>
      </w:pPr>
      <w:r>
        <w:rPr>
          <w:rFonts w:ascii="Arial" w:cs="Arial" w:eastAsia="Arial" w:hAnsi="Arial"/>
          <w:sz w:val="17"/>
          <w:szCs w:val="17"/>
          <w:color w:val="auto"/>
        </w:rPr>
        <w:t>Upon the expiration of the Initial Term, this Agreement shall automatically extend, renew and continue for an additional one (1) year term unless terminated by either party by giving written notice to the other party at least six (6) months prior to the termination of the Initial Term (“First Extended Term”). At the end of the First Extended Term, this Agreement shall automatically extend for an</w:t>
      </w:r>
    </w:p>
    <w:p>
      <w:pPr>
        <w:sectPr>
          <w:pgSz w:w="11900" w:h="16838" w:orient="portrait"/>
          <w:cols w:equalWidth="0" w:num="1">
            <w:col w:w="11280"/>
          </w:cols>
          <w:pgMar w:left="240" w:top="263" w:right="379" w:bottom="1440" w:gutter="0" w:footer="0" w:header="0"/>
        </w:sectPr>
      </w:pPr>
    </w:p>
    <w:bookmarkStart w:id="146" w:name="page147"/>
    <w:bookmarkEnd w:id="146"/>
    <w:p>
      <w:pPr>
        <w:ind w:left="920" w:right="38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6150" cy="36830"/>
                    </a:xfrm>
                    <a:prstGeom prst="rect">
                      <a:avLst/>
                    </a:prstGeom>
                    <a:noFill/>
                  </pic:spPr>
                </pic:pic>
              </a:graphicData>
            </a:graphic>
          </wp:anchor>
        </w:drawing>
        <w:t>additional one (1) year period, unless terminated by either party by giving written notice at least six (6) months prior to the termination of such First Extended Term (“Second Extended Term”). The Initial Term, First Extended Term, and Second Extended Term shall collectively be referred to as the “Term.”</w:t>
      </w:r>
    </w:p>
    <w:p>
      <w:pPr>
        <w:spacing w:after="0" w:line="74" w:lineRule="exact"/>
        <w:rPr>
          <w:sz w:val="20"/>
          <w:szCs w:val="20"/>
          <w:color w:val="auto"/>
        </w:rPr>
      </w:pPr>
    </w:p>
    <w:p>
      <w:pPr>
        <w:ind w:left="920" w:right="200"/>
        <w:spacing w:after="0" w:line="341" w:lineRule="auto"/>
        <w:rPr>
          <w:sz w:val="20"/>
          <w:szCs w:val="20"/>
          <w:color w:val="auto"/>
        </w:rPr>
      </w:pPr>
      <w:r>
        <w:rPr>
          <w:rFonts w:ascii="Arial" w:cs="Arial" w:eastAsia="Arial" w:hAnsi="Arial"/>
          <w:sz w:val="15"/>
          <w:szCs w:val="15"/>
          <w:color w:val="auto"/>
        </w:rPr>
        <w:t>The Agreement is further amended to provided that any provisions in the Agreement applying or referring to the “Initial Three Year Term”, the “Second Three Year Term”, or the “Third Three Year Term” shall also apply or refer to the “Initial Term”, “First Extended Term” and “Second Extended Term”.</w:t>
      </w:r>
    </w:p>
    <w:p>
      <w:pPr>
        <w:spacing w:after="0" w:line="31" w:lineRule="exact"/>
        <w:rPr>
          <w:sz w:val="20"/>
          <w:szCs w:val="20"/>
          <w:color w:val="auto"/>
        </w:rPr>
      </w:pPr>
    </w:p>
    <w:p>
      <w:pPr>
        <w:ind w:left="440" w:right="340" w:hanging="438"/>
        <w:spacing w:after="0" w:line="305" w:lineRule="auto"/>
        <w:tabs>
          <w:tab w:leader="none" w:pos="44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Amendment to Section 2 of the Agreement</w:t>
      </w:r>
      <w:r>
        <w:rPr>
          <w:rFonts w:ascii="Arial" w:cs="Arial" w:eastAsia="Arial" w:hAnsi="Arial"/>
          <w:sz w:val="16"/>
          <w:szCs w:val="16"/>
          <w:color w:val="auto"/>
        </w:rPr>
        <w:t>. Subsections 2.a. and 2.b. of Section 2 of the Agreement are hereby amended by deleting the existing language of each such subsection in its entirety and inserting the following language in lieu thereof, together with new subsection 2.c.:</w:t>
      </w:r>
    </w:p>
    <w:p>
      <w:pPr>
        <w:spacing w:after="0" w:line="53" w:lineRule="exact"/>
        <w:rPr>
          <w:rFonts w:ascii="Arial" w:cs="Arial" w:eastAsia="Arial" w:hAnsi="Arial"/>
          <w:sz w:val="16"/>
          <w:szCs w:val="16"/>
          <w:color w:val="auto"/>
        </w:rPr>
      </w:pPr>
    </w:p>
    <w:p>
      <w:pPr>
        <w:ind w:left="900" w:hanging="454"/>
        <w:spacing w:after="0"/>
        <w:tabs>
          <w:tab w:leader="none" w:pos="900"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1460" w:right="100" w:hanging="556"/>
        <w:spacing w:after="0" w:line="297" w:lineRule="auto"/>
        <w:tabs>
          <w:tab w:leader="none" w:pos="1460" w:val="left"/>
        </w:tabs>
        <w:numPr>
          <w:ilvl w:val="2"/>
          <w:numId w:val="106"/>
        </w:numPr>
        <w:rPr>
          <w:rFonts w:ascii="Arial" w:cs="Arial" w:eastAsia="Arial" w:hAnsi="Arial"/>
          <w:sz w:val="15"/>
          <w:szCs w:val="15"/>
          <w:color w:val="auto"/>
        </w:rPr>
      </w:pPr>
      <w:r>
        <w:rPr>
          <w:rFonts w:ascii="Arial" w:cs="Arial" w:eastAsia="Arial" w:hAnsi="Arial"/>
          <w:sz w:val="15"/>
          <w:szCs w:val="15"/>
          <w:color w:val="auto"/>
        </w:rPr>
        <w:t>The Company agrees to employ Golsen, and Golsen agrees to such employment, as an Executive Chairman of the Board and Chairman of the Executive Committee of the Company or such other position as is mutually acceptable to Golsen and the Company in writing. For all purposes, “Executive Chairman of the Board”, “Board Chairman” or “Chairman of the Executive Committee” shall be considered an Executive Officer of the Company. Golsen’s authority and duties shall be as set forth in 2.c. below. Golsen’s duties and services shall be performed at the location where he was employed by the Company immediately preceding the date of this Agreement or any other office or location satisfactory to Golsen.</w:t>
      </w:r>
    </w:p>
    <w:p>
      <w:pPr>
        <w:spacing w:after="0" w:line="63" w:lineRule="exact"/>
        <w:rPr>
          <w:rFonts w:ascii="Arial" w:cs="Arial" w:eastAsia="Arial" w:hAnsi="Arial"/>
          <w:sz w:val="15"/>
          <w:szCs w:val="15"/>
          <w:color w:val="auto"/>
        </w:rPr>
      </w:pPr>
    </w:p>
    <w:p>
      <w:pPr>
        <w:ind w:left="1460" w:hanging="556"/>
        <w:spacing w:after="0" w:line="270" w:lineRule="auto"/>
        <w:tabs>
          <w:tab w:leader="none" w:pos="146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Excluding any periods of vacation and sick leave to which Golsen is entitled, Golsen agrees to devote reasonable attention and time to the business and affairs of the Company and, to the extent necessary and consistent with Section 2.a. above, to discharge the responsibilities assigned to him pursuant to this Agreement, to use reasonable efforts to perform faithfully and efficiently such responsibilities. It shall not be a violation of this Agreement for Golsen to (i) serve on corporate, civic or charitable boards or committees, (ii) deliver lectures, fulfill speaking engagements or teach at educational institutes, and (iii) manage personal investments, so long as such activities do not significantly interfere with the performance of Golsen’s responsibilities as an employee of the Company in accordance with this Agreement. It is expressly understood and agreed that, to the extent that any such activities have been conducted by Golsen prior to the date of this Agreement, the continued conduct of such activities (or the conduct of activities similar in nature and scope thereto) subsequent to the date of this Agreement shall not thereafter be deemed to interfere with the performance of Golsen’s responsibilities to the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7" w:right="239" w:bottom="1440" w:gutter="0" w:footer="0" w:header="0"/>
        </w:sectPr>
      </w:pPr>
    </w:p>
    <w:bookmarkStart w:id="147" w:name="page148"/>
    <w:bookmarkEnd w:id="147"/>
    <w:p>
      <w:pPr>
        <w:ind w:left="556" w:hanging="556"/>
        <w:spacing w:after="0"/>
        <w:tabs>
          <w:tab w:leader="none" w:pos="556"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6150" cy="36830"/>
                    </a:xfrm>
                    <a:prstGeom prst="rect">
                      <a:avLst/>
                    </a:prstGeom>
                    <a:noFill/>
                  </pic:spPr>
                </pic:pic>
              </a:graphicData>
            </a:graphic>
          </wp:anchor>
        </w:drawing>
        <w:t>Duties of Golsen shall consist of the following:</w:t>
      </w:r>
    </w:p>
    <w:p>
      <w:pPr>
        <w:spacing w:after="0" w:line="122" w:lineRule="exact"/>
        <w:rPr>
          <w:rFonts w:ascii="Arial" w:cs="Arial" w:eastAsia="Arial" w:hAnsi="Arial"/>
          <w:sz w:val="17"/>
          <w:szCs w:val="17"/>
          <w:color w:val="auto"/>
        </w:rPr>
      </w:pPr>
    </w:p>
    <w:p>
      <w:pPr>
        <w:ind w:left="1016" w:hanging="444"/>
        <w:spacing w:after="0"/>
        <w:tabs>
          <w:tab w:leader="none" w:pos="1016"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Managing the Board</w:t>
      </w:r>
    </w:p>
    <w:p>
      <w:pPr>
        <w:spacing w:after="0" w:line="122" w:lineRule="exact"/>
        <w:rPr>
          <w:rFonts w:ascii="Arial" w:cs="Arial" w:eastAsia="Arial" w:hAnsi="Arial"/>
          <w:sz w:val="17"/>
          <w:szCs w:val="17"/>
          <w:color w:val="auto"/>
        </w:rPr>
      </w:pPr>
    </w:p>
    <w:p>
      <w:pPr>
        <w:ind w:left="1476" w:right="560" w:hanging="447"/>
        <w:spacing w:after="0" w:line="273" w:lineRule="auto"/>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Chair all Board meetings and maintain an open and candid dialogue with all Board members to build consensus and develop teamwork at the Board level.</w:t>
      </w:r>
    </w:p>
    <w:p>
      <w:pPr>
        <w:spacing w:after="0" w:line="76" w:lineRule="exact"/>
        <w:rPr>
          <w:rFonts w:ascii="Arial" w:cs="Arial" w:eastAsia="Arial" w:hAnsi="Arial"/>
          <w:sz w:val="17"/>
          <w:szCs w:val="17"/>
          <w:color w:val="auto"/>
        </w:rPr>
      </w:pPr>
    </w:p>
    <w:p>
      <w:pPr>
        <w:ind w:left="1476" w:right="820" w:hanging="447"/>
        <w:spacing w:after="0" w:line="273" w:lineRule="auto"/>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Act as Board spokesperson and, when he believes necessary, communicate to the CEO concerns expressed by the Board, shareholders, other stakeholders and the public.</w:t>
      </w:r>
    </w:p>
    <w:p>
      <w:pPr>
        <w:spacing w:after="0" w:line="76" w:lineRule="exact"/>
        <w:rPr>
          <w:rFonts w:ascii="Arial" w:cs="Arial" w:eastAsia="Arial" w:hAnsi="Arial"/>
          <w:sz w:val="17"/>
          <w:szCs w:val="17"/>
          <w:color w:val="auto"/>
        </w:rPr>
      </w:pPr>
    </w:p>
    <w:p>
      <w:pPr>
        <w:ind w:left="1476" w:right="100" w:hanging="447"/>
        <w:spacing w:after="0" w:line="273" w:lineRule="auto"/>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Provide leadership of the Board and arrange for it to review and monitor the aims, strategy and direction of the Corporation and the achievement of its objectives, including meeting governance and legal responsibilities.</w:t>
      </w:r>
    </w:p>
    <w:p>
      <w:pPr>
        <w:spacing w:after="0" w:line="76" w:lineRule="exact"/>
        <w:rPr>
          <w:rFonts w:ascii="Arial" w:cs="Arial" w:eastAsia="Arial" w:hAnsi="Arial"/>
          <w:sz w:val="17"/>
          <w:szCs w:val="17"/>
          <w:color w:val="auto"/>
        </w:rPr>
      </w:pPr>
    </w:p>
    <w:p>
      <w:pPr>
        <w:ind w:left="1476" w:right="80" w:hanging="447"/>
        <w:spacing w:after="0" w:line="273" w:lineRule="auto"/>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Keep the Board informed on major developments (and potential major developments), to enable the Board to make major decisions in a timely and well-informed manner.</w:t>
      </w:r>
    </w:p>
    <w:p>
      <w:pPr>
        <w:spacing w:after="0" w:line="76" w:lineRule="exact"/>
        <w:rPr>
          <w:rFonts w:ascii="Arial" w:cs="Arial" w:eastAsia="Arial" w:hAnsi="Arial"/>
          <w:sz w:val="17"/>
          <w:szCs w:val="17"/>
          <w:color w:val="auto"/>
        </w:rPr>
      </w:pPr>
    </w:p>
    <w:p>
      <w:pPr>
        <w:ind w:left="1476" w:hanging="447"/>
        <w:spacing w:after="0"/>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Set the frequency of the Board meetings and adjusts this frequency as required.</w:t>
      </w:r>
    </w:p>
    <w:p>
      <w:pPr>
        <w:spacing w:after="0" w:line="122" w:lineRule="exact"/>
        <w:rPr>
          <w:rFonts w:ascii="Arial" w:cs="Arial" w:eastAsia="Arial" w:hAnsi="Arial"/>
          <w:sz w:val="17"/>
          <w:szCs w:val="17"/>
          <w:color w:val="auto"/>
        </w:rPr>
      </w:pPr>
    </w:p>
    <w:p>
      <w:pPr>
        <w:ind w:left="1476" w:hanging="447"/>
        <w:spacing w:after="0"/>
        <w:tabs>
          <w:tab w:leader="none" w:pos="1476" w:val="left"/>
        </w:tabs>
        <w:numPr>
          <w:ilvl w:val="2"/>
          <w:numId w:val="107"/>
        </w:numPr>
        <w:rPr>
          <w:rFonts w:ascii="Arial" w:cs="Arial" w:eastAsia="Arial" w:hAnsi="Arial"/>
          <w:sz w:val="15"/>
          <w:szCs w:val="15"/>
          <w:color w:val="auto"/>
        </w:rPr>
      </w:pPr>
      <w:r>
        <w:rPr>
          <w:rFonts w:ascii="Arial" w:cs="Arial" w:eastAsia="Arial" w:hAnsi="Arial"/>
          <w:sz w:val="15"/>
          <w:szCs w:val="15"/>
          <w:color w:val="auto"/>
        </w:rPr>
        <w:t>Co-ordinate the agenda, information packages and related events for Board meetings with the CEO and the Corporate Secretary.</w:t>
      </w:r>
    </w:p>
    <w:p>
      <w:pPr>
        <w:spacing w:after="0" w:line="145" w:lineRule="exact"/>
        <w:rPr>
          <w:rFonts w:ascii="Arial" w:cs="Arial" w:eastAsia="Arial" w:hAnsi="Arial"/>
          <w:sz w:val="15"/>
          <w:szCs w:val="15"/>
          <w:color w:val="auto"/>
        </w:rPr>
      </w:pPr>
    </w:p>
    <w:p>
      <w:pPr>
        <w:ind w:left="1476" w:hanging="447"/>
        <w:spacing w:after="0"/>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Attend meetings of the various committees of the Board, as appropriate.</w:t>
      </w:r>
    </w:p>
    <w:p>
      <w:pPr>
        <w:spacing w:after="0" w:line="122" w:lineRule="exact"/>
        <w:rPr>
          <w:rFonts w:ascii="Arial" w:cs="Arial" w:eastAsia="Arial" w:hAnsi="Arial"/>
          <w:sz w:val="17"/>
          <w:szCs w:val="17"/>
          <w:color w:val="auto"/>
        </w:rPr>
      </w:pPr>
    </w:p>
    <w:p>
      <w:pPr>
        <w:ind w:left="1476" w:right="620" w:hanging="447"/>
        <w:spacing w:after="0" w:line="273" w:lineRule="auto"/>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Review the committee mandates to determine that they accurately reflect the responsibilities of each committee and that the composition of these committees is satisfactory.</w:t>
      </w:r>
    </w:p>
    <w:p>
      <w:pPr>
        <w:spacing w:after="0" w:line="76" w:lineRule="exact"/>
        <w:rPr>
          <w:rFonts w:ascii="Arial" w:cs="Arial" w:eastAsia="Arial" w:hAnsi="Arial"/>
          <w:sz w:val="17"/>
          <w:szCs w:val="17"/>
          <w:color w:val="auto"/>
        </w:rPr>
      </w:pPr>
    </w:p>
    <w:p>
      <w:pPr>
        <w:ind w:left="1476" w:hanging="447"/>
        <w:spacing w:after="0" w:line="261" w:lineRule="auto"/>
        <w:tabs>
          <w:tab w:leader="none" w:pos="147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In conjunction with the Nominating and Corporate Governance Committee, review and assess annually the size and composition of the Board, monitors Board attendance and the performance of each of its members. Be satisfied that Board compensation is adequate and sufficient to attract and retain high caliber individuals.</w:t>
      </w:r>
    </w:p>
    <w:p>
      <w:pPr>
        <w:spacing w:after="0" w:line="112" w:lineRule="exact"/>
        <w:rPr>
          <w:sz w:val="20"/>
          <w:szCs w:val="20"/>
          <w:color w:val="auto"/>
        </w:rPr>
      </w:pPr>
    </w:p>
    <w:p>
      <w:pPr>
        <w:ind w:left="4776"/>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76"/>
          </w:cols>
          <w:pgMar w:left="1144" w:top="267" w:right="279" w:bottom="1440" w:gutter="0" w:footer="0" w:header="0"/>
        </w:sectPr>
      </w:pPr>
    </w:p>
    <w:bookmarkStart w:id="148" w:name="page149"/>
    <w:bookmarkEnd w:id="148"/>
    <w:p>
      <w:pPr>
        <w:ind w:left="720" w:hanging="444"/>
        <w:spacing w:after="0"/>
        <w:tabs>
          <w:tab w:leader="none" w:pos="72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150" cy="36830"/>
                    </a:xfrm>
                    <a:prstGeom prst="rect">
                      <a:avLst/>
                    </a:prstGeom>
                    <a:noFill/>
                  </pic:spPr>
                </pic:pic>
              </a:graphicData>
            </a:graphic>
          </wp:anchor>
        </w:drawing>
        <w:t>Working with Management</w:t>
      </w:r>
    </w:p>
    <w:p>
      <w:pPr>
        <w:spacing w:after="0" w:line="122" w:lineRule="exact"/>
        <w:rPr>
          <w:rFonts w:ascii="Arial" w:cs="Arial" w:eastAsia="Arial" w:hAnsi="Arial"/>
          <w:sz w:val="17"/>
          <w:szCs w:val="17"/>
          <w:color w:val="auto"/>
        </w:rPr>
      </w:pPr>
    </w:p>
    <w:p>
      <w:pPr>
        <w:ind w:left="1180" w:right="180" w:hanging="447"/>
        <w:spacing w:after="0" w:line="278" w:lineRule="auto"/>
        <w:tabs>
          <w:tab w:leader="none" w:pos="11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Executive Chairman of the Board and Chairman of the Executive Committee is to assist the Chief Executive Officer (“CEO”) and/or the President of the Company, or both, in developing the overall corporate strategy and providing leadership, and building consensus, in conjunction with the CEO and/or President, in the development of the Corporation’s overall strategic plan, capital markets activities and corporate development initiatives within the context of the corporate strategy.</w:t>
      </w:r>
    </w:p>
    <w:p>
      <w:pPr>
        <w:spacing w:after="0" w:line="75" w:lineRule="exact"/>
        <w:rPr>
          <w:rFonts w:ascii="Arial" w:cs="Arial" w:eastAsia="Arial" w:hAnsi="Arial"/>
          <w:sz w:val="16"/>
          <w:szCs w:val="16"/>
          <w:color w:val="auto"/>
        </w:rPr>
      </w:pPr>
    </w:p>
    <w:p>
      <w:pPr>
        <w:ind w:left="1180" w:hanging="447"/>
        <w:spacing w:after="0" w:line="273" w:lineRule="auto"/>
        <w:tabs>
          <w:tab w:leader="none" w:pos="11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Support the CEO in building a strong senior management group so that the objectives, policies and procedures of the Corporation, as agreed by the Board, are fully, promptly and properly carried out.</w:t>
      </w:r>
    </w:p>
    <w:p>
      <w:pPr>
        <w:spacing w:after="0" w:line="76" w:lineRule="exact"/>
        <w:rPr>
          <w:rFonts w:ascii="Arial" w:cs="Arial" w:eastAsia="Arial" w:hAnsi="Arial"/>
          <w:sz w:val="17"/>
          <w:szCs w:val="17"/>
          <w:color w:val="auto"/>
        </w:rPr>
      </w:pPr>
    </w:p>
    <w:p>
      <w:pPr>
        <w:ind w:left="1180" w:right="180" w:hanging="447"/>
        <w:spacing w:after="0" w:line="273" w:lineRule="auto"/>
        <w:tabs>
          <w:tab w:leader="none" w:pos="11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Coordinate with the CEO so that the Board is kept aware of management’s strategy and plans for the Corporation and be sure that, where appropriate, these issues are fully discussed and approved by the Board.</w:t>
      </w:r>
    </w:p>
    <w:p>
      <w:pPr>
        <w:spacing w:after="0" w:line="76" w:lineRule="exact"/>
        <w:rPr>
          <w:rFonts w:ascii="Arial" w:cs="Arial" w:eastAsia="Arial" w:hAnsi="Arial"/>
          <w:sz w:val="17"/>
          <w:szCs w:val="17"/>
          <w:color w:val="auto"/>
        </w:rPr>
      </w:pPr>
    </w:p>
    <w:p>
      <w:pPr>
        <w:ind w:left="1180" w:right="720" w:hanging="447"/>
        <w:spacing w:after="0" w:line="273" w:lineRule="auto"/>
        <w:tabs>
          <w:tab w:leader="none" w:pos="11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Work with the Board to monitor and evaluate the performance of the CEO and senior executives and address management performance, remuneration and succession issues on an ongoing basis.</w:t>
      </w:r>
    </w:p>
    <w:p>
      <w:pPr>
        <w:spacing w:after="0" w:line="76" w:lineRule="exact"/>
        <w:rPr>
          <w:rFonts w:ascii="Arial" w:cs="Arial" w:eastAsia="Arial" w:hAnsi="Arial"/>
          <w:sz w:val="17"/>
          <w:szCs w:val="17"/>
          <w:color w:val="auto"/>
        </w:rPr>
      </w:pPr>
    </w:p>
    <w:p>
      <w:pPr>
        <w:ind w:left="720" w:hanging="444"/>
        <w:spacing w:after="0"/>
        <w:tabs>
          <w:tab w:leader="none" w:pos="72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Relations with Shareholders, other Stakeholders and the Public</w:t>
      </w:r>
    </w:p>
    <w:p>
      <w:pPr>
        <w:spacing w:after="0" w:line="122" w:lineRule="exact"/>
        <w:rPr>
          <w:rFonts w:ascii="Arial" w:cs="Arial" w:eastAsia="Arial" w:hAnsi="Arial"/>
          <w:sz w:val="17"/>
          <w:szCs w:val="17"/>
          <w:color w:val="auto"/>
        </w:rPr>
      </w:pPr>
    </w:p>
    <w:p>
      <w:pPr>
        <w:ind w:left="1180" w:right="120" w:hanging="447"/>
        <w:spacing w:after="0" w:line="261" w:lineRule="auto"/>
        <w:tabs>
          <w:tab w:leader="none" w:pos="11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Assist the CEO and other senior management, if requested by the CEO or the Board, in representing the Corporation in its dealings with all other interested parties, including, but not limited to, employees, major customers, financial institutions, governments, regulators, local communities and the press.</w:t>
      </w:r>
    </w:p>
    <w:p>
      <w:pPr>
        <w:spacing w:after="0" w:line="86" w:lineRule="exact"/>
        <w:rPr>
          <w:rFonts w:ascii="Arial" w:cs="Arial" w:eastAsia="Arial" w:hAnsi="Arial"/>
          <w:sz w:val="17"/>
          <w:szCs w:val="17"/>
          <w:color w:val="auto"/>
        </w:rPr>
      </w:pPr>
    </w:p>
    <w:p>
      <w:pPr>
        <w:ind w:left="1180" w:right="240" w:hanging="447"/>
        <w:spacing w:after="0" w:line="273" w:lineRule="auto"/>
        <w:tabs>
          <w:tab w:leader="none" w:pos="11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Make certain that management develops an active and open dialogue with shareholders and other interested parties on the current status of the Corporation, its operations and its future plans.</w:t>
      </w:r>
    </w:p>
    <w:p>
      <w:pPr>
        <w:spacing w:after="0" w:line="76" w:lineRule="exact"/>
        <w:rPr>
          <w:rFonts w:ascii="Arial" w:cs="Arial" w:eastAsia="Arial" w:hAnsi="Arial"/>
          <w:sz w:val="17"/>
          <w:szCs w:val="17"/>
          <w:color w:val="auto"/>
        </w:rPr>
      </w:pPr>
    </w:p>
    <w:p>
      <w:pPr>
        <w:ind w:left="720" w:hanging="444"/>
        <w:spacing w:after="0"/>
        <w:tabs>
          <w:tab w:leader="none" w:pos="72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Executive Officer Management Authority</w:t>
      </w:r>
    </w:p>
    <w:p>
      <w:pPr>
        <w:spacing w:after="0" w:line="122" w:lineRule="exact"/>
        <w:rPr>
          <w:rFonts w:ascii="Arial" w:cs="Arial" w:eastAsia="Arial" w:hAnsi="Arial"/>
          <w:sz w:val="17"/>
          <w:szCs w:val="17"/>
          <w:color w:val="auto"/>
        </w:rPr>
      </w:pPr>
    </w:p>
    <w:p>
      <w:pPr>
        <w:ind w:left="1180" w:hanging="447"/>
        <w:spacing w:after="0"/>
        <w:tabs>
          <w:tab w:leader="none" w:pos="11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Chair meetings of the Executive Committee of the Company.</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80"/>
          </w:cols>
          <w:pgMar w:left="1440" w:top="267" w:right="279" w:bottom="1440" w:gutter="0" w:footer="0" w:header="0"/>
        </w:sectPr>
      </w:pPr>
    </w:p>
    <w:bookmarkStart w:id="149" w:name="page150"/>
    <w:bookmarkEnd w:id="149"/>
    <w:p>
      <w:pPr>
        <w:ind w:left="2380" w:right="100" w:hanging="447"/>
        <w:spacing w:after="0" w:line="273" w:lineRule="auto"/>
        <w:tabs>
          <w:tab w:leader="none" w:pos="23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6150" cy="36830"/>
                    </a:xfrm>
                    <a:prstGeom prst="rect">
                      <a:avLst/>
                    </a:prstGeom>
                    <a:noFill/>
                  </pic:spPr>
                </pic:pic>
              </a:graphicData>
            </a:graphic>
          </wp:anchor>
        </w:drawing>
        <w:t>Other powers and duties consistent with the position of Executive Chairman of the Board or Chairman of the Executive Committee, as designated by the Bylaws of the Corporation or assigned by the Board of Directors.</w:t>
      </w:r>
    </w:p>
    <w:p>
      <w:pPr>
        <w:spacing w:after="0" w:line="76" w:lineRule="exact"/>
        <w:rPr>
          <w:rFonts w:ascii="Arial" w:cs="Arial" w:eastAsia="Arial" w:hAnsi="Arial"/>
          <w:sz w:val="17"/>
          <w:szCs w:val="17"/>
          <w:color w:val="auto"/>
        </w:rPr>
      </w:pPr>
    </w:p>
    <w:p>
      <w:pPr>
        <w:ind w:left="2380" w:right="100" w:hanging="447"/>
        <w:spacing w:after="0" w:line="273" w:lineRule="auto"/>
        <w:tabs>
          <w:tab w:leader="none" w:pos="23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Executive Chairman shall have authority to bind the Corporation consistent with the authority of other senior executive officers of the Corporation.</w:t>
      </w:r>
    </w:p>
    <w:p>
      <w:pPr>
        <w:spacing w:after="0" w:line="76" w:lineRule="exact"/>
        <w:rPr>
          <w:rFonts w:ascii="Arial" w:cs="Arial" w:eastAsia="Arial" w:hAnsi="Arial"/>
          <w:sz w:val="17"/>
          <w:szCs w:val="17"/>
          <w:color w:val="auto"/>
        </w:rPr>
      </w:pPr>
    </w:p>
    <w:p>
      <w:pPr>
        <w:ind w:left="440" w:right="220" w:hanging="438"/>
        <w:spacing w:after="0" w:line="285" w:lineRule="auto"/>
        <w:tabs>
          <w:tab w:leader="none" w:pos="44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This Amendment amends and modifies the Agreement only to the extent specifically amended or modified herein. Except to the extent amended by this Amendment, the Agreement shall remain in full force and effect in all respects. The Agreement, as specifically amended and modified by this Amendment, sets forth the entire understanding and agreement of the parties hereto as to the subject matter hereof.</w:t>
      </w:r>
    </w:p>
    <w:p>
      <w:pPr>
        <w:spacing w:after="0" w:line="15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IN WITNESS WHEREOF, this Agreement is executed effective as of the 1st day of January, 2015.</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LSB INDUSTRIES, INC.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R. Goss</w:t>
            </w:r>
          </w:p>
        </w:tc>
      </w:tr>
      <w:tr>
        <w:trPr>
          <w:trHeight w:val="197"/>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David R. Goss</w:t>
            </w:r>
          </w:p>
        </w:tc>
      </w:tr>
      <w:tr>
        <w:trPr>
          <w:trHeight w:val="203"/>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Executive Vice President</w:t>
            </w:r>
          </w:p>
        </w:tc>
      </w:tr>
      <w:tr>
        <w:trPr>
          <w:trHeight w:val="215"/>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3960" w:type="dxa"/>
            <w:vAlign w:val="bottom"/>
          </w:tcPr>
          <w:p>
            <w:pPr>
              <w:spacing w:after="0"/>
              <w:rPr>
                <w:sz w:val="20"/>
                <w:szCs w:val="20"/>
                <w:color w:val="auto"/>
              </w:rPr>
            </w:pPr>
            <w:r>
              <w:rPr>
                <w:rFonts w:ascii="Arial" w:cs="Arial" w:eastAsia="Arial" w:hAnsi="Arial"/>
                <w:sz w:val="17"/>
                <w:szCs w:val="17"/>
                <w:color w:val="auto"/>
              </w:rPr>
              <w:t>1/15/15</w:t>
            </w:r>
          </w:p>
        </w:tc>
      </w:tr>
    </w:tbl>
    <w:p>
      <w:pPr>
        <w:spacing w:after="0" w:line="21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2896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JACK E. GOLSEN, an individual</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Date: 1/15/15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7" w:right="239" w:bottom="1440" w:gutter="0" w:footer="0" w:header="0"/>
        </w:sectPr>
      </w:pPr>
    </w:p>
    <w:bookmarkStart w:id="150" w:name="page151"/>
    <w:bookmarkEnd w:id="150"/>
    <w:p>
      <w:pPr>
        <w:ind w:left="10560"/>
        <w:spacing w:after="0"/>
        <w:rPr>
          <w:sz w:val="20"/>
          <w:szCs w:val="20"/>
          <w:color w:val="auto"/>
        </w:rPr>
      </w:pPr>
      <w:r>
        <w:rPr>
          <w:rFonts w:ascii="Arial" w:cs="Arial" w:eastAsia="Arial" w:hAnsi="Arial"/>
          <w:sz w:val="15"/>
          <w:szCs w:val="15"/>
          <w:b w:val="1"/>
          <w:bCs w:val="1"/>
          <w:color w:val="auto"/>
        </w:rPr>
        <w:t>Exhibit 12.1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LSB Industries,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Computation of Ratios of Earnings to Fixed Charges and Combined Fixed Charges and Preferred Stock Dividends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2010</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w w:val="94"/>
              </w:rPr>
              <w:t>Income from continuing operations before provisions for income taxes and equity in earnings of</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affiliate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48,499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129,649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8"/>
              </w:rPr>
              <w:t>91,699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90,126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$ 32,044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charges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7,254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6,548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5,365</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19,027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Amortization of capitalized interest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 of distributed income of 50% owned affiliate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825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1,782</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1,719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Less: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capitalized (1)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(3,959)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(14,104)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Adjusted earnings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56,578</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137,846</w:t>
            </w:r>
          </w:p>
        </w:tc>
        <w:tc>
          <w:tcPr>
            <w:tcW w:w="2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w w:val="88"/>
              </w:rPr>
              <w:t>98,449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w w:val="87"/>
              </w:rPr>
              <w:t>106,939</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$ 55,775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Fixed charges: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Interest expense, net (2)</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5,900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4,733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3,715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13,953</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$ 21,528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capitalized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3,959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Estimate of interest in rental expense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1,354</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1,252</w:t>
            </w:r>
          </w:p>
        </w:tc>
        <w:tc>
          <w:tcPr>
            <w:tcW w:w="8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1,115</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1,534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Fixed charges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7,254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6,548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5,365</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19,027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37,166</w:t>
            </w:r>
          </w:p>
        </w:tc>
        <w:tc>
          <w:tcPr>
            <w:tcW w:w="0" w:type="dxa"/>
            <w:vAlign w:val="bottom"/>
          </w:tcPr>
          <w:p>
            <w:pPr>
              <w:spacing w:after="0"/>
              <w:rPr>
                <w:sz w:val="1"/>
                <w:szCs w:val="1"/>
                <w:color w:val="auto"/>
              </w:rPr>
            </w:pPr>
          </w:p>
        </w:tc>
      </w:tr>
      <w:tr>
        <w:trPr>
          <w:trHeight w:val="305"/>
        </w:trPr>
        <w:tc>
          <w:tcPr>
            <w:tcW w:w="6780" w:type="dxa"/>
            <w:vAlign w:val="bottom"/>
            <w:gridSpan w:val="2"/>
          </w:tcPr>
          <w:p>
            <w:pPr>
              <w:spacing w:after="0"/>
              <w:rPr>
                <w:sz w:val="20"/>
                <w:szCs w:val="20"/>
                <w:color w:val="auto"/>
              </w:rPr>
            </w:pPr>
            <w:r>
              <w:rPr>
                <w:rFonts w:ascii="Arial" w:cs="Arial" w:eastAsia="Arial" w:hAnsi="Arial"/>
                <w:sz w:val="17"/>
                <w:szCs w:val="17"/>
                <w:color w:val="auto"/>
              </w:rPr>
              <w:t>Preferred stock dividends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473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472</w:t>
            </w:r>
          </w:p>
        </w:tc>
        <w:tc>
          <w:tcPr>
            <w:tcW w:w="8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493</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Combined fixed charges and preferred stock dividends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7,763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5,837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19,520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$ 37,655</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Ratio of earnings to fixed charges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300"/>
              <w:spacing w:after="0" w:line="194" w:lineRule="exact"/>
              <w:rPr>
                <w:sz w:val="20"/>
                <w:szCs w:val="20"/>
                <w:color w:val="auto"/>
              </w:rPr>
            </w:pPr>
            <w:r>
              <w:rPr>
                <w:rFonts w:ascii="Arial" w:cs="Arial" w:eastAsia="Arial" w:hAnsi="Arial"/>
                <w:sz w:val="17"/>
                <w:szCs w:val="17"/>
                <w:color w:val="auto"/>
              </w:rPr>
              <w:t>7.8</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21.1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18.4</w:t>
            </w:r>
          </w:p>
        </w:tc>
        <w:tc>
          <w:tcPr>
            <w:tcW w:w="80" w:type="dxa"/>
            <w:vAlign w:val="bottom"/>
          </w:tcPr>
          <w:p>
            <w:pPr>
              <w:spacing w:after="0"/>
              <w:rPr>
                <w:sz w:val="16"/>
                <w:szCs w:val="16"/>
                <w:color w:val="auto"/>
              </w:rPr>
            </w:pPr>
          </w:p>
        </w:tc>
        <w:tc>
          <w:tcPr>
            <w:tcW w:w="88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5.6</w:t>
            </w: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Ratio of earnings to combined fixed charges and preferred stock dividends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560" w:hanging="438"/>
        <w:spacing w:after="0" w:line="272" w:lineRule="auto"/>
        <w:tabs>
          <w:tab w:leader="none" w:pos="4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Interest capitalized during the period is deducted because fixed charges include all interest, whether capitalized or expensed. Only fixed charges that were deducted from income from continuing operations before income taxes should be added back in the earnings computation.</w:t>
      </w:r>
    </w:p>
    <w:p>
      <w:pPr>
        <w:spacing w:after="0" w:line="1" w:lineRule="exact"/>
        <w:rPr>
          <w:rFonts w:ascii="Arial" w:cs="Arial" w:eastAsia="Arial" w:hAnsi="Arial"/>
          <w:sz w:val="16"/>
          <w:szCs w:val="16"/>
          <w:color w:val="auto"/>
        </w:rPr>
      </w:pPr>
    </w:p>
    <w:p>
      <w:pPr>
        <w:ind w:left="440" w:right="180" w:hanging="438"/>
        <w:spacing w:after="0" w:line="259" w:lineRule="auto"/>
        <w:tabs>
          <w:tab w:leader="none" w:pos="4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Interest expense includes amortization of deferred debt issuance costs and excludes realized and unrealized gains or losses on interest rate financial instruments that are reported as interest expense.</w:t>
      </w:r>
    </w:p>
    <w:p>
      <w:pPr>
        <w:sectPr>
          <w:pgSz w:w="11900" w:h="16838" w:orient="portrait"/>
          <w:cols w:equalWidth="0" w:num="1">
            <w:col w:w="11420"/>
          </w:cols>
          <w:pgMar w:left="240" w:top="123" w:right="2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color w:val="auto"/>
        </w:rPr>
        <w:t>Exhibit 21.1</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SUBSIDIARY LISTING</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As of December 31, 2014</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LSB INDUSTRIES, INC.</w:t>
      </w:r>
      <w:r>
        <w:rPr>
          <w:rFonts w:ascii="Arial" w:cs="Arial" w:eastAsia="Arial" w:hAnsi="Arial"/>
          <w:sz w:val="17"/>
          <w:szCs w:val="17"/>
          <w:color w:val="auto"/>
        </w:rPr>
        <w:t xml:space="preserve"> (Direct subsidiaries in bold italics)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Consolidated Industries L.L.C. (f/k/a Consolidated Industries Corp.</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Climate Control Group, Inc. (f/k/a APR Corporation)</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CEPOLK Holdings, Inc. (f/k/a ThermalClime, Inc.; f/k/a LSB South America Corporation)</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ClimaCool Corp. (f/k/a MultiClima Holdings, Inc., f/k/a LSB International Corp.)</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Climate Master, Inc.</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ClimateCraft, Inc. (f/k/a Summit Machine Tool Systems, Inc.)</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International Environmental Corporation</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Koax Corp.</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ThermaClime Technologies, Inc. (f/k/a ACP International Limited, f/k/a ACP Manufacturing Corp.)</w:t>
      </w:r>
    </w:p>
    <w:p>
      <w:pPr>
        <w:spacing w:after="0" w:line="3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TRISON Construction, Inc.</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XpediAir, Inc. (f/k/a The Environmental Group,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LSB Chemical L.L.C. (f/k/a/ LSB Chemical Corp.)</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Cherokee Nitrogen L.L.C. (f/k/a Cherokee Nitrogen Company)</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Cherokee Nitrogen Holdings, Inc. (f/k/a Cherokee Nitrogen Company)</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Chemical Properties L.L.C.</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Chemical Transport L.L.C.</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El Dorado Chemical Company</w:t>
      </w:r>
    </w:p>
    <w:p>
      <w:pPr>
        <w:spacing w:after="0" w:line="8"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EDC Ag Products Company L.L.C.</w:t>
      </w:r>
    </w:p>
    <w:p>
      <w:pPr>
        <w:spacing w:after="0" w:line="8"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Chemex I Corp. (f/k/a Slurry Explosive Corporation)</w:t>
      </w:r>
    </w:p>
    <w:p>
      <w:pPr>
        <w:spacing w:after="0" w:line="8"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El Dorado Ammonia L.L.C.</w:t>
      </w:r>
    </w:p>
    <w:p>
      <w:pPr>
        <w:spacing w:after="0" w:line="8" w:lineRule="exact"/>
        <w:rPr>
          <w:sz w:val="20"/>
          <w:szCs w:val="20"/>
          <w:color w:val="auto"/>
        </w:rPr>
      </w:pPr>
    </w:p>
    <w:p>
      <w:pPr>
        <w:ind w:left="1940" w:right="2999" w:hanging="456"/>
        <w:spacing w:after="0" w:line="265" w:lineRule="auto"/>
        <w:rPr>
          <w:sz w:val="20"/>
          <w:szCs w:val="20"/>
          <w:color w:val="auto"/>
        </w:rPr>
      </w:pPr>
      <w:r>
        <w:rPr>
          <w:rFonts w:ascii="Arial" w:cs="Arial" w:eastAsia="Arial" w:hAnsi="Arial"/>
          <w:sz w:val="16"/>
          <w:szCs w:val="16"/>
          <w:color w:val="auto"/>
        </w:rPr>
        <w:t>El Dorado Nitric L.L.C. (f/k/a El Dorado Nitric Company, f/k/a El Dorado Nitrogen Company, f/k/a LSB Nitrogen Corporation, f/k/a LSB Import Corp.)</w:t>
      </w:r>
    </w:p>
    <w:p>
      <w:pPr>
        <w:ind w:left="2400"/>
        <w:spacing w:after="0"/>
        <w:rPr>
          <w:sz w:val="20"/>
          <w:szCs w:val="20"/>
          <w:color w:val="auto"/>
        </w:rPr>
      </w:pPr>
      <w:r>
        <w:rPr>
          <w:rFonts w:ascii="Arial" w:cs="Arial" w:eastAsia="Arial" w:hAnsi="Arial"/>
          <w:sz w:val="17"/>
          <w:szCs w:val="17"/>
          <w:color w:val="auto"/>
        </w:rPr>
        <w:t>El Dorado Acid, L.L.C. (General Partner of El Dorado Nitrogen, L.P.)</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El Dorado Nitrogen, L.P. (1% ownership)</w:t>
      </w:r>
    </w:p>
    <w:p>
      <w:pPr>
        <w:spacing w:after="0" w:line="8"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El Dorado Acid II, L.L.C. (Limited Partner of El Dorado Nitrogen, L.P.)</w:t>
      </w:r>
    </w:p>
    <w:p>
      <w:pPr>
        <w:spacing w:after="0" w:line="8"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El Dorado Nitrogen, L.P. (99% ownership)</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LSB Capital L.L.C.</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Pryor Chemical Company (f/k/a Pryor Plant Chemical Company, f/k/a LSB Financial Corp.)</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Zena Energy L.L.C.</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Summit Machine Tool Manufacturing L.L.C. (f/k/a Summit Machine Tool Manufacturing Corp.)</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LSB-Europa Limited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ClimateCraft Technologies, Inc.</w:t>
      </w:r>
    </w:p>
    <w:p>
      <w:pPr>
        <w:sectPr>
          <w:pgSz w:w="11900" w:h="16838" w:orient="portrait"/>
          <w:cols w:equalWidth="0" w:num="1">
            <w:col w:w="10219"/>
          </w:cols>
          <w:pgMar w:left="240" w:top="127" w:right="1440"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color w:val="auto"/>
        </w:rPr>
        <w:t>Exhibit 23.1</w:t>
      </w:r>
    </w:p>
    <w:p>
      <w:pPr>
        <w:spacing w:after="0" w:line="21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22" w:lineRule="exact"/>
        <w:rPr>
          <w:sz w:val="20"/>
          <w:szCs w:val="20"/>
          <w:color w:val="auto"/>
        </w:rPr>
      </w:pPr>
    </w:p>
    <w:p>
      <w:pPr>
        <w:ind w:left="900" w:hanging="454"/>
        <w:spacing w:after="0"/>
        <w:tabs>
          <w:tab w:leader="none" w:pos="9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Registration Statement (Form S-8 No. 333-199864) pertaining to the LSB Industries, Inc. 2008 Incentive Stock Plan, as amended by the First Amendment;</w:t>
      </w:r>
    </w:p>
    <w:p>
      <w:pPr>
        <w:spacing w:after="0" w:line="145" w:lineRule="exact"/>
        <w:rPr>
          <w:rFonts w:ascii="Arial" w:cs="Arial" w:eastAsia="Arial" w:hAnsi="Arial"/>
          <w:sz w:val="15"/>
          <w:szCs w:val="15"/>
          <w:color w:val="auto"/>
        </w:rPr>
      </w:pPr>
    </w:p>
    <w:p>
      <w:pPr>
        <w:ind w:left="900" w:right="120" w:hanging="454"/>
        <w:spacing w:after="0" w:line="273"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Registration Statement (Form S-4 No. 333-195102) and related Prospectus of LSB Industries, Inc. for the registration of the 7.75% Senior Secured Notes due 2019;</w:t>
      </w:r>
    </w:p>
    <w:p>
      <w:pPr>
        <w:spacing w:after="0" w:line="76" w:lineRule="exact"/>
        <w:rPr>
          <w:rFonts w:ascii="Arial" w:cs="Arial" w:eastAsia="Arial" w:hAnsi="Arial"/>
          <w:sz w:val="17"/>
          <w:szCs w:val="17"/>
          <w:color w:val="auto"/>
        </w:rPr>
      </w:pPr>
    </w:p>
    <w:p>
      <w:pPr>
        <w:ind w:left="900" w:hanging="454"/>
        <w:spacing w:after="0"/>
        <w:tabs>
          <w:tab w:leader="none" w:pos="9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Registration Statement (Form S-8 No. 333-98359) pertaining to the 1998 Stock Option and Incentive Plan and Outside Directors Stock Purchase Plan;</w:t>
      </w:r>
    </w:p>
    <w:p>
      <w:pPr>
        <w:spacing w:after="0" w:line="145" w:lineRule="exact"/>
        <w:rPr>
          <w:rFonts w:ascii="Arial" w:cs="Arial" w:eastAsia="Arial" w:hAnsi="Arial"/>
          <w:sz w:val="15"/>
          <w:szCs w:val="15"/>
          <w:color w:val="auto"/>
        </w:rPr>
      </w:pPr>
    </w:p>
    <w:p>
      <w:pPr>
        <w:ind w:left="900" w:right="200" w:hanging="454"/>
        <w:spacing w:after="0" w:line="273"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Registration Statement (Form S-8 No. 333-145957) pertaining to the registration of an aggregate of 450,000 shares of common stock pursuant to certain Non-Qualified Stock Option Agreements for two employees;</w:t>
      </w:r>
    </w:p>
    <w:p>
      <w:pPr>
        <w:spacing w:after="0" w:line="76" w:lineRule="exact"/>
        <w:rPr>
          <w:rFonts w:ascii="Arial" w:cs="Arial" w:eastAsia="Arial" w:hAnsi="Arial"/>
          <w:sz w:val="17"/>
          <w:szCs w:val="17"/>
          <w:color w:val="auto"/>
        </w:rPr>
      </w:pPr>
    </w:p>
    <w:p>
      <w:pPr>
        <w:ind w:left="900" w:hanging="454"/>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Registration Statement (Form S-8 No. 333-153103) pertaining to the 2008 Incentive Stock Plan; and</w:t>
      </w:r>
    </w:p>
    <w:p>
      <w:pPr>
        <w:spacing w:after="0" w:line="122" w:lineRule="exact"/>
        <w:rPr>
          <w:rFonts w:ascii="Arial" w:cs="Arial" w:eastAsia="Arial" w:hAnsi="Arial"/>
          <w:sz w:val="17"/>
          <w:szCs w:val="17"/>
          <w:color w:val="auto"/>
        </w:rPr>
      </w:pPr>
    </w:p>
    <w:p>
      <w:pPr>
        <w:ind w:left="900" w:right="60" w:hanging="454"/>
        <w:spacing w:after="0" w:line="273"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Registration Statement (Form S-3 No. 333-184995) of LSB Industries, Inc. and in the related Prospectuses for the registration of common stock, preferred stock, debt securities, warrants, units or any combination of the foregoing</w:t>
      </w:r>
    </w:p>
    <w:p>
      <w:pPr>
        <w:spacing w:after="0" w:line="165" w:lineRule="exact"/>
        <w:rPr>
          <w:sz w:val="20"/>
          <w:szCs w:val="20"/>
          <w:color w:val="auto"/>
        </w:rPr>
      </w:pPr>
    </w:p>
    <w:p>
      <w:pPr>
        <w:ind w:right="320"/>
        <w:spacing w:after="0" w:line="341" w:lineRule="auto"/>
        <w:rPr>
          <w:sz w:val="20"/>
          <w:szCs w:val="20"/>
          <w:color w:val="auto"/>
        </w:rPr>
      </w:pPr>
      <w:r>
        <w:rPr>
          <w:rFonts w:ascii="Arial" w:cs="Arial" w:eastAsia="Arial" w:hAnsi="Arial"/>
          <w:sz w:val="15"/>
          <w:szCs w:val="15"/>
          <w:color w:val="auto"/>
        </w:rPr>
        <w:t>of our reports dated February 27, 2015, with respect to the consolidated financial statements and schedule of LSB Industries, Inc. and the effectiveness of internal control over financial reporting of LSB Industries, Inc., included in this Annual Report (Form 10-K) of LSB Industries, Inc. for the year ended December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Oklahoma City, Oklahoma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2015</w:t>
      </w:r>
    </w:p>
    <w:p>
      <w:pPr>
        <w:sectPr>
          <w:pgSz w:w="11900" w:h="16838" w:orient="portrait"/>
          <w:cols w:equalWidth="0" w:num="1">
            <w:col w:w="11400"/>
          </w:cols>
          <w:pgMar w:left="240" w:top="127" w:right="25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Exhibit 31.1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 Barry H. Golsen, certify that:</w:t>
      </w:r>
    </w:p>
    <w:p>
      <w:pPr>
        <w:spacing w:after="0" w:line="122" w:lineRule="exact"/>
        <w:rPr>
          <w:sz w:val="20"/>
          <w:szCs w:val="20"/>
          <w:color w:val="auto"/>
        </w:rPr>
      </w:pPr>
    </w:p>
    <w:p>
      <w:pPr>
        <w:ind w:left="440" w:hanging="438"/>
        <w:spacing w:after="0"/>
        <w:tabs>
          <w:tab w:leader="none" w:pos="4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LSB Industries, Inc. (the “registrant”);</w:t>
      </w:r>
    </w:p>
    <w:p>
      <w:pPr>
        <w:spacing w:after="0" w:line="122" w:lineRule="exact"/>
        <w:rPr>
          <w:rFonts w:ascii="Arial" w:cs="Arial" w:eastAsia="Arial" w:hAnsi="Arial"/>
          <w:sz w:val="17"/>
          <w:szCs w:val="17"/>
          <w:color w:val="auto"/>
        </w:rPr>
      </w:pPr>
    </w:p>
    <w:p>
      <w:pPr>
        <w:ind w:left="440" w:right="320" w:hanging="438"/>
        <w:spacing w:after="0" w:line="341" w:lineRule="auto"/>
        <w:tabs>
          <w:tab w:leader="none" w:pos="4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5"/>
          <w:szCs w:val="15"/>
          <w:color w:val="auto"/>
        </w:rPr>
      </w:pPr>
    </w:p>
    <w:p>
      <w:pPr>
        <w:ind w:left="440" w:right="420" w:hanging="438"/>
        <w:spacing w:after="0" w:line="273" w:lineRule="auto"/>
        <w:tabs>
          <w:tab w:leader="none" w:pos="4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7"/>
          <w:szCs w:val="17"/>
          <w:color w:val="auto"/>
        </w:rPr>
      </w:pPr>
    </w:p>
    <w:p>
      <w:pPr>
        <w:ind w:left="440" w:right="80" w:hanging="438"/>
        <w:spacing w:after="0" w:line="261" w:lineRule="auto"/>
        <w:tabs>
          <w:tab w:leader="none" w:pos="4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7"/>
          <w:szCs w:val="17"/>
          <w:color w:val="auto"/>
        </w:rPr>
      </w:pPr>
    </w:p>
    <w:p>
      <w:pPr>
        <w:ind w:left="1460" w:right="300" w:hanging="556"/>
        <w:spacing w:after="0" w:line="261" w:lineRule="auto"/>
        <w:tabs>
          <w:tab w:leader="none" w:pos="14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7"/>
          <w:szCs w:val="17"/>
          <w:color w:val="auto"/>
        </w:rPr>
      </w:pPr>
    </w:p>
    <w:p>
      <w:pPr>
        <w:ind w:left="1460" w:right="20" w:hanging="556"/>
        <w:spacing w:after="0" w:line="261" w:lineRule="auto"/>
        <w:tabs>
          <w:tab w:leader="none" w:pos="14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7"/>
          <w:szCs w:val="17"/>
          <w:color w:val="auto"/>
        </w:rPr>
      </w:pPr>
    </w:p>
    <w:p>
      <w:pPr>
        <w:jc w:val="both"/>
        <w:ind w:left="1460" w:right="760" w:hanging="556"/>
        <w:spacing w:after="0" w:line="341" w:lineRule="auto"/>
        <w:tabs>
          <w:tab w:leader="none" w:pos="1460" w:val="left"/>
        </w:tabs>
        <w:numPr>
          <w:ilvl w:val="1"/>
          <w:numId w:val="1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5"/>
          <w:szCs w:val="15"/>
          <w:color w:val="auto"/>
        </w:rPr>
      </w:pPr>
    </w:p>
    <w:p>
      <w:pPr>
        <w:ind w:left="1460" w:hanging="556"/>
        <w:spacing w:after="0" w:line="261" w:lineRule="auto"/>
        <w:tabs>
          <w:tab w:leader="none" w:pos="14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7"/>
          <w:szCs w:val="17"/>
          <w:color w:val="auto"/>
        </w:rPr>
      </w:pPr>
    </w:p>
    <w:p>
      <w:pPr>
        <w:ind w:left="440" w:hanging="438"/>
        <w:spacing w:after="0" w:line="273" w:lineRule="auto"/>
        <w:tabs>
          <w:tab w:leader="none" w:pos="4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7"/>
          <w:szCs w:val="17"/>
          <w:color w:val="auto"/>
        </w:rPr>
      </w:pPr>
    </w:p>
    <w:p>
      <w:pPr>
        <w:ind w:left="1460" w:right="220" w:hanging="556"/>
        <w:spacing w:after="0" w:line="305" w:lineRule="auto"/>
        <w:tabs>
          <w:tab w:leader="none" w:pos="14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6"/>
          <w:szCs w:val="16"/>
          <w:color w:val="auto"/>
        </w:rPr>
      </w:pPr>
    </w:p>
    <w:p>
      <w:pPr>
        <w:ind w:left="1460" w:right="180" w:hanging="556"/>
        <w:spacing w:after="0" w:line="273" w:lineRule="auto"/>
        <w:tabs>
          <w:tab w:leader="none" w:pos="14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2015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2896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Barry H. Golsen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President and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380"/>
          </w:cols>
          <w:pgMar w:left="240" w:top="127" w:right="27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color w:val="auto"/>
        </w:rPr>
        <w:t>Exhibit 31.2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 Tony M. Shelby, certify that:</w:t>
      </w:r>
    </w:p>
    <w:p>
      <w:pPr>
        <w:spacing w:after="0" w:line="122" w:lineRule="exact"/>
        <w:rPr>
          <w:sz w:val="20"/>
          <w:szCs w:val="20"/>
          <w:color w:val="auto"/>
        </w:rPr>
      </w:pPr>
    </w:p>
    <w:p>
      <w:pPr>
        <w:ind w:left="440" w:hanging="438"/>
        <w:spacing w:after="0"/>
        <w:tabs>
          <w:tab w:leader="none" w:pos="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LSB Industries, Inc. (the “registrant”);</w:t>
      </w:r>
    </w:p>
    <w:p>
      <w:pPr>
        <w:spacing w:after="0" w:line="122" w:lineRule="exact"/>
        <w:rPr>
          <w:rFonts w:ascii="Arial" w:cs="Arial" w:eastAsia="Arial" w:hAnsi="Arial"/>
          <w:sz w:val="17"/>
          <w:szCs w:val="17"/>
          <w:color w:val="auto"/>
        </w:rPr>
      </w:pPr>
    </w:p>
    <w:p>
      <w:pPr>
        <w:ind w:left="440" w:right="320" w:hanging="438"/>
        <w:spacing w:after="0" w:line="341" w:lineRule="auto"/>
        <w:tabs>
          <w:tab w:leader="none" w:pos="44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5"/>
          <w:szCs w:val="15"/>
          <w:color w:val="auto"/>
        </w:rPr>
      </w:pPr>
    </w:p>
    <w:p>
      <w:pPr>
        <w:ind w:left="440" w:right="420" w:hanging="438"/>
        <w:spacing w:after="0" w:line="273" w:lineRule="auto"/>
        <w:tabs>
          <w:tab w:leader="none" w:pos="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7"/>
          <w:szCs w:val="17"/>
          <w:color w:val="auto"/>
        </w:rPr>
      </w:pPr>
    </w:p>
    <w:p>
      <w:pPr>
        <w:ind w:left="440" w:right="80" w:hanging="438"/>
        <w:spacing w:after="0" w:line="261" w:lineRule="auto"/>
        <w:tabs>
          <w:tab w:leader="none" w:pos="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7"/>
          <w:szCs w:val="17"/>
          <w:color w:val="auto"/>
        </w:rPr>
      </w:pPr>
    </w:p>
    <w:p>
      <w:pPr>
        <w:ind w:left="1460" w:right="300" w:hanging="556"/>
        <w:spacing w:after="0" w:line="261" w:lineRule="auto"/>
        <w:tabs>
          <w:tab w:leader="none" w:pos="14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7"/>
          <w:szCs w:val="17"/>
          <w:color w:val="auto"/>
        </w:rPr>
      </w:pPr>
    </w:p>
    <w:p>
      <w:pPr>
        <w:ind w:left="1460" w:right="20" w:hanging="556"/>
        <w:spacing w:after="0" w:line="261" w:lineRule="auto"/>
        <w:tabs>
          <w:tab w:leader="none" w:pos="14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7"/>
          <w:szCs w:val="17"/>
          <w:color w:val="auto"/>
        </w:rPr>
      </w:pPr>
    </w:p>
    <w:p>
      <w:pPr>
        <w:jc w:val="both"/>
        <w:ind w:left="1460" w:right="760" w:hanging="556"/>
        <w:spacing w:after="0" w:line="341" w:lineRule="auto"/>
        <w:tabs>
          <w:tab w:leader="none" w:pos="1460" w:val="left"/>
        </w:tabs>
        <w:numPr>
          <w:ilvl w:val="1"/>
          <w:numId w:val="1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5"/>
          <w:szCs w:val="15"/>
          <w:color w:val="auto"/>
        </w:rPr>
      </w:pPr>
    </w:p>
    <w:p>
      <w:pPr>
        <w:ind w:left="1460" w:hanging="556"/>
        <w:spacing w:after="0" w:line="261" w:lineRule="auto"/>
        <w:tabs>
          <w:tab w:leader="none" w:pos="14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7"/>
          <w:szCs w:val="17"/>
          <w:color w:val="auto"/>
        </w:rPr>
      </w:pPr>
    </w:p>
    <w:p>
      <w:pPr>
        <w:ind w:left="440" w:hanging="438"/>
        <w:spacing w:after="0" w:line="273" w:lineRule="auto"/>
        <w:tabs>
          <w:tab w:leader="none" w:pos="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7"/>
          <w:szCs w:val="17"/>
          <w:color w:val="auto"/>
        </w:rPr>
      </w:pPr>
    </w:p>
    <w:p>
      <w:pPr>
        <w:ind w:left="1460" w:right="220" w:hanging="556"/>
        <w:spacing w:after="0" w:line="305" w:lineRule="auto"/>
        <w:tabs>
          <w:tab w:leader="none" w:pos="14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6"/>
          <w:szCs w:val="16"/>
          <w:color w:val="auto"/>
        </w:rPr>
      </w:pPr>
    </w:p>
    <w:p>
      <w:pPr>
        <w:ind w:left="1460" w:right="180" w:hanging="556"/>
        <w:spacing w:after="0" w:line="273" w:lineRule="auto"/>
        <w:tabs>
          <w:tab w:leader="none" w:pos="14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2015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2896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Tony M. Shelby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of Finance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ectPr>
          <w:pgSz w:w="11900" w:h="16838" w:orient="portrait"/>
          <w:cols w:equalWidth="0" w:num="1">
            <w:col w:w="11380"/>
          </w:cols>
          <w:pgMar w:left="240" w:top="127" w:right="27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color w:val="auto"/>
        </w:rPr>
        <w:t>Exhibit 32.1</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CERTIFICATION PURSUANT TO</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SECTION 906 OF THE SARBANES-OXLEY ACT OF 2002</w:t>
      </w:r>
    </w:p>
    <w:p>
      <w:pPr>
        <w:spacing w:after="0" w:line="20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connection with the annual report of LSB Industries, Inc. (“LSB”) on Form 10-K for the year ended December 31, 2014 as filed with the Securities and Exchange Commission on the date hereof (the “Report”). I, Barry H. Golsen, President and Chief Executive Officer of LSB, certify pursuant to 18 U.S.C. §1350, as adopted pursuant to §906 of the Sarbanes-Oxley Act of 2002, that:</w:t>
      </w:r>
    </w:p>
    <w:p>
      <w:pPr>
        <w:spacing w:after="0" w:line="87" w:lineRule="exact"/>
        <w:rPr>
          <w:sz w:val="20"/>
          <w:szCs w:val="20"/>
          <w:color w:val="auto"/>
        </w:rPr>
      </w:pPr>
    </w:p>
    <w:p>
      <w:pPr>
        <w:ind w:left="900" w:hanging="454"/>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2" w:lineRule="exact"/>
        <w:rPr>
          <w:rFonts w:ascii="Arial" w:cs="Arial" w:eastAsia="Arial" w:hAnsi="Arial"/>
          <w:sz w:val="17"/>
          <w:szCs w:val="17"/>
          <w:color w:val="auto"/>
        </w:rPr>
      </w:pPr>
    </w:p>
    <w:p>
      <w:pPr>
        <w:ind w:left="900" w:hanging="454"/>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2896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Barry H. Golsen</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February 27, 2015</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60"/>
          </w:cols>
          <w:pgMar w:left="240" w:top="127" w:right="39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color w:val="auto"/>
        </w:rPr>
        <w:t>Exhibit 32.2</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CERTIFICATION PURSUANT TO</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SECTION 906 OF THE SARBANES-OXLEY ACT OF 2002</w:t>
      </w:r>
    </w:p>
    <w:p>
      <w:pPr>
        <w:spacing w:after="0" w:line="20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connection with the annual report of LSB Industries, Inc. (“LSB”) on Form 10-K for the year ended December 31, 2014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87" w:lineRule="exact"/>
        <w:rPr>
          <w:sz w:val="20"/>
          <w:szCs w:val="20"/>
          <w:color w:val="auto"/>
        </w:rPr>
      </w:pPr>
    </w:p>
    <w:p>
      <w:pPr>
        <w:ind w:left="900" w:hanging="454"/>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122" w:lineRule="exact"/>
        <w:rPr>
          <w:rFonts w:ascii="Arial" w:cs="Arial" w:eastAsia="Arial" w:hAnsi="Arial"/>
          <w:sz w:val="17"/>
          <w:szCs w:val="17"/>
          <w:color w:val="auto"/>
        </w:rPr>
      </w:pPr>
    </w:p>
    <w:p>
      <w:pPr>
        <w:ind w:left="900" w:hanging="454"/>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2896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Tony M. Shelby</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of Finance and</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February 27, 2015</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20"/>
      </w:cols>
      <w:pgMar w:left="240" w:top="12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1)"/>
      <w:numFmt w:val="upperLetter"/>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decimal"/>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1)"/>
      <w:numFmt w:val="decimal"/>
      <w:start w:val="1"/>
    </w:lvl>
    <w:lvl w:ilvl="1">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decimal"/>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1)"/>
      <w:numFmt w:val="upperLetter"/>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1)"/>
      <w:numFmt w:val="upperLetter"/>
      <w:start w:val="2"/>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1)"/>
      <w:numFmt w:val="upperLetter"/>
      <w:start w:val="3"/>
    </w:lvl>
  </w:abstractNum>
  <w:abstractNum w:abstractNumId="45">
    <w:nsid w:val="60B6DF70"/>
    <w:multiLevelType w:val="hybridMultilevel"/>
    <w:lvl w:ilvl="0">
      <w:lvlJc w:val="left"/>
      <w:lvlText w:val="(%1)"/>
      <w:numFmt w:val="upperLetter"/>
      <w:start w:val="4"/>
    </w:lvl>
  </w:abstractNum>
  <w:abstractNum w:abstractNumId="46">
    <w:nsid w:val="6A5EE64"/>
    <w:multiLevelType w:val="hybridMultilevel"/>
    <w:lvl w:ilvl="0">
      <w:lvlJc w:val="left"/>
      <w:lvlText w:val="%1."/>
      <w:numFmt w:val="upperLetter"/>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1."/>
      <w:numFmt w:val="decimal"/>
      <w:start w:val="2"/>
    </w:lvl>
  </w:abstractNum>
  <w:abstractNum w:abstractNumId="49">
    <w:nsid w:val="1A27709E"/>
    <w:multiLevelType w:val="hybridMultilevel"/>
    <w:lvl w:ilvl="0">
      <w:lvlJc w:val="left"/>
      <w:lvlText w:val="%1."/>
      <w:numFmt w:val="decimal"/>
      <w:start w:val="3"/>
    </w:lvl>
  </w:abstractNum>
  <w:abstractNum w:abstractNumId="50">
    <w:nsid w:val="71EA1109"/>
    <w:multiLevelType w:val="hybridMultilevel"/>
    <w:lvl w:ilvl="0">
      <w:lvlJc w:val="left"/>
      <w:lvlText w:val="%1."/>
      <w:numFmt w:val="upperLetter"/>
      <w:start w:val="2"/>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1)"/>
      <w:numFmt w:val="decimal"/>
      <w:start w:val="1"/>
    </w:lvl>
  </w:abstractNum>
  <w:abstractNum w:abstractNumId="57">
    <w:nsid w:val="76272110"/>
    <w:multiLevelType w:val="hybridMultilevel"/>
    <w:lvl w:ilvl="0">
      <w:lvlJc w:val="left"/>
      <w:lvlText w:val="(%1)"/>
      <w:numFmt w:val="upperLetter"/>
      <w:start w:val="1"/>
    </w:lvl>
  </w:abstractNum>
  <w:abstractNum w:abstractNumId="58">
    <w:nsid w:val="4C04A8AF"/>
    <w:multiLevelType w:val="hybridMultilevel"/>
    <w:lvl w:ilvl="0">
      <w:lvlJc w:val="left"/>
      <w:lvlText w:val="(%1)"/>
      <w:numFmt w:val="decimal"/>
      <w:start w:val="5"/>
    </w:lvl>
  </w:abstractNum>
  <w:abstractNum w:abstractNumId="59">
    <w:nsid w:val="1716703B"/>
    <w:multiLevelType w:val="hybridMultilevel"/>
    <w:lvl w:ilvl="0">
      <w:lvlJc w:val="left"/>
      <w:lvlText w:val="%1."/>
      <w:numFmt w:val="decimal"/>
      <w:start w:val="20"/>
    </w:lvl>
  </w:abstractNum>
  <w:abstractNum w:abstractNumId="60">
    <w:nsid w:val="14E17E33"/>
    <w:multiLevelType w:val="hybridMultilevel"/>
    <w:lvl w:ilvl="0">
      <w:lvlJc w:val="left"/>
      <w:lvlText w:val="(%1)"/>
      <w:numFmt w:val="decimal"/>
      <w:start w:val="1"/>
    </w:lvl>
  </w:abstractNum>
  <w:abstractNum w:abstractNumId="61">
    <w:nsid w:val="3222E7CD"/>
    <w:multiLevelType w:val="hybridMultilevel"/>
    <w:lvl w:ilvl="0">
      <w:lvlJc w:val="left"/>
      <w:lvlText w:val="(%1)"/>
      <w:numFmt w:val="decimal"/>
      <w:start w:val="2"/>
    </w:lvl>
  </w:abstractNum>
  <w:abstractNum w:abstractNumId="62">
    <w:nsid w:val="74DE0EE3"/>
    <w:multiLevelType w:val="hybridMultilevel"/>
    <w:lvl w:ilvl="0">
      <w:lvlJc w:val="left"/>
      <w:lvlText w:val="(%1)"/>
      <w:numFmt w:val="upperLetter"/>
      <w:start w:val="1"/>
    </w:lvl>
  </w:abstractNum>
  <w:abstractNum w:abstractNumId="63">
    <w:nsid w:val="68EBC550"/>
    <w:multiLevelType w:val="hybridMultilevel"/>
    <w:lvl w:ilvl="0">
      <w:lvlJc w:val="left"/>
      <w:lvlText w:val="(%1)"/>
      <w:numFmt w:val="decimal"/>
      <w:start w:val="1"/>
    </w:lvl>
  </w:abstractNum>
  <w:abstractNum w:abstractNumId="64">
    <w:nsid w:val="2DF6D648"/>
    <w:multiLevelType w:val="hybridMultilevel"/>
    <w:lvl w:ilvl="0">
      <w:lvlJc w:val="left"/>
      <w:lvlText w:val="%1."/>
      <w:numFmt w:val="decimal"/>
      <w:start w:val="1"/>
    </w:lvl>
  </w:abstractNum>
  <w:abstractNum w:abstractNumId="65">
    <w:nsid w:val="46B7D447"/>
    <w:multiLevelType w:val="hybridMultilevel"/>
    <w:lvl w:ilvl="0">
      <w:lvlJc w:val="left"/>
      <w:lvlText w:val="%1."/>
      <w:numFmt w:val="decimal"/>
      <w:start w:val="2"/>
    </w:lvl>
    <w:lvl w:ilvl="1">
      <w:lvlJc w:val="left"/>
      <w:lvlText w:val="%2."/>
      <w:numFmt w:val="lowerLetter"/>
      <w:start w:val="1"/>
    </w:lvl>
  </w:abstractNum>
  <w:abstractNum w:abstractNumId="66">
    <w:nsid w:val="4A2AC31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7">
    <w:nsid w:val="39EE015C"/>
    <w:multiLevelType w:val="hybridMultilevel"/>
    <w:lvl w:ilvl="0">
      <w:lvlJc w:val="left"/>
      <w:lvlText w:val="(%1)"/>
      <w:numFmt w:val="lowerLetter"/>
      <w:start w:val="3"/>
    </w:lvl>
    <w:lvl w:ilvl="1">
      <w:lvlJc w:val="left"/>
      <w:lvlText w:val="%2)"/>
      <w:numFmt w:val="lowerRoman"/>
      <w:start w:val="1"/>
    </w:lvl>
  </w:abstractNum>
  <w:abstractNum w:abstractNumId="68">
    <w:nsid w:val="57FC4FBB"/>
    <w:multiLevelType w:val="hybridMultilevel"/>
    <w:lvl w:ilvl="0">
      <w:lvlJc w:val="left"/>
      <w:lvlText w:val="%1)"/>
      <w:numFmt w:val="lowerRoman"/>
      <w:start w:val="2"/>
    </w:lvl>
  </w:abstractNum>
  <w:abstractNum w:abstractNumId="69">
    <w:nsid w:val="CC1016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70">
    <w:nsid w:val="43F18422"/>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71">
    <w:nsid w:val="60EF0119"/>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72">
    <w:nsid w:val="26F324BA"/>
    <w:multiLevelType w:val="hybridMultilevel"/>
    <w:lvl w:ilvl="0">
      <w:lvlJc w:val="left"/>
      <w:lvlText w:val="%1."/>
      <w:numFmt w:val="decimal"/>
      <w:start w:val="4"/>
    </w:lvl>
    <w:lvl w:ilvl="1">
      <w:lvlJc w:val="left"/>
      <w:lvlText w:val="%2."/>
      <w:numFmt w:val="lowerLetter"/>
      <w:start w:val="1"/>
    </w:lvl>
  </w:abstractNum>
  <w:abstractNum w:abstractNumId="73">
    <w:nsid w:val="7F01579B"/>
    <w:multiLevelType w:val="hybridMultilevel"/>
    <w:lvl w:ilvl="0">
      <w:lvlJc w:val="left"/>
      <w:lvlText w:val="%1."/>
      <w:numFmt w:val="lowerLetter"/>
      <w:start w:val="4"/>
    </w:lvl>
    <w:lvl w:ilvl="1">
      <w:lvlJc w:val="left"/>
      <w:lvlText w:val="(%2)"/>
      <w:numFmt w:val="decimal"/>
      <w:start w:val="1"/>
    </w:lvl>
  </w:abstractNum>
  <w:abstractNum w:abstractNumId="74">
    <w:nsid w:val="49DA307D"/>
    <w:multiLevelType w:val="hybridMultilevel"/>
    <w:lvl w:ilvl="0">
      <w:lvlJc w:val="left"/>
      <w:lvlText w:val="%1"/>
      <w:numFmt w:val="lowerLetter"/>
      <w:start w:val="1"/>
    </w:lvl>
    <w:lvl w:ilvl="1">
      <w:lvlJc w:val="left"/>
      <w:lvlText w:val="(%2)"/>
      <w:numFmt w:val="lowerRoman"/>
      <w:start w:val="1"/>
    </w:lvl>
  </w:abstractNum>
  <w:abstractNum w:abstractNumId="75">
    <w:nsid w:val="7055A5F5"/>
    <w:multiLevelType w:val="hybridMultilevel"/>
    <w:lvl w:ilvl="0">
      <w:lvlJc w:val="left"/>
      <w:lvlText w:val="%1."/>
      <w:numFmt w:val="lowerLetter"/>
      <w:start w:val="5"/>
    </w:lvl>
    <w:lvl w:ilvl="1">
      <w:lvlJc w:val="left"/>
      <w:lvlText w:val="%2"/>
      <w:numFmt w:val="lowerRoman"/>
      <w:start w:val="1"/>
    </w:lvl>
  </w:abstractNum>
  <w:abstractNum w:abstractNumId="76">
    <w:nsid w:val="5FB8370B"/>
    <w:multiLevelType w:val="hybridMultilevel"/>
    <w:lvl w:ilvl="0">
      <w:lvlJc w:val="left"/>
      <w:lvlText w:val="%1."/>
      <w:numFmt w:val="decimal"/>
      <w:start w:val="5"/>
    </w:lvl>
  </w:abstractNum>
  <w:abstractNum w:abstractNumId="77">
    <w:nsid w:val="50801EE1"/>
    <w:multiLevelType w:val="hybridMultilevel"/>
    <w:lvl w:ilvl="0">
      <w:lvlJc w:val="left"/>
      <w:lvlText w:val="%1."/>
      <w:numFmt w:val="decimal"/>
      <w:start w:val="8"/>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1."/>
      <w:numFmt w:val="decimal"/>
      <w:start w:val="2"/>
    </w:lvl>
  </w:abstractNum>
  <w:abstractNum w:abstractNumId="80">
    <w:nsid w:val="6AA78F7F"/>
    <w:multiLevelType w:val="hybridMultilevel"/>
    <w:lvl w:ilvl="0">
      <w:lvlJc w:val="left"/>
      <w:lvlText w:val="(%1)"/>
      <w:numFmt w:val="lowerRoman"/>
      <w:start w:val="1"/>
    </w:lvl>
    <w:lvl w:ilvl="1">
      <w:lvlJc w:val="left"/>
      <w:lvlText w:val="-"/>
      <w:numFmt w:val="bullet"/>
      <w:start w:val="1"/>
    </w:lvl>
  </w:abstractNum>
  <w:abstractNum w:abstractNumId="81">
    <w:nsid w:val="7672BD23"/>
    <w:multiLevelType w:val="hybridMultilevel"/>
    <w:lvl w:ilvl="0">
      <w:lvlJc w:val="left"/>
      <w:lvlText w:val="(%1)"/>
      <w:numFmt w:val="lowerRoman"/>
      <w:start w:val="5"/>
    </w:lvl>
    <w:lvl w:ilvl="1">
      <w:lvlJc w:val="left"/>
      <w:lvlText w:val="-"/>
      <w:numFmt w:val="bullet"/>
      <w:start w:val="1"/>
    </w:lvl>
  </w:abstractNum>
  <w:abstractNum w:abstractNumId="82">
    <w:nsid w:val="6FC75AF8"/>
    <w:multiLevelType w:val="hybridMultilevel"/>
    <w:lvl w:ilvl="0">
      <w:lvlJc w:val="left"/>
      <w:lvlText w:val="(%1)"/>
      <w:numFmt w:val="lowerRoman"/>
      <w:start w:val="5"/>
    </w:lvl>
    <w:lvl w:ilvl="1">
      <w:lvlJc w:val="left"/>
      <w:lvlText w:val="-"/>
      <w:numFmt w:val="bullet"/>
      <w:start w:val="1"/>
    </w:lvl>
  </w:abstractNum>
  <w:abstractNum w:abstractNumId="83">
    <w:nsid w:val="6A5F7029"/>
    <w:multiLevelType w:val="hybridMultilevel"/>
    <w:lvl w:ilvl="0">
      <w:lvlJc w:val="left"/>
      <w:lvlText w:val="%1."/>
      <w:numFmt w:val="decimal"/>
      <w:start w:val="3"/>
    </w:lvl>
  </w:abstractNum>
  <w:abstractNum w:abstractNumId="84">
    <w:nsid w:val="7D5E18F8"/>
    <w:multiLevelType w:val="hybridMultilevel"/>
    <w:lvl w:ilvl="0">
      <w:lvlJc w:val="left"/>
      <w:lvlText w:val="(%1)"/>
      <w:numFmt w:val="decimal"/>
      <w:start w:val="60"/>
    </w:lvl>
  </w:abstractNum>
  <w:abstractNum w:abstractNumId="85">
    <w:nsid w:val="5F3534A4"/>
    <w:multiLevelType w:val="hybridMultilevel"/>
    <w:lvl w:ilvl="0">
      <w:lvlJc w:val="left"/>
      <w:lvlText w:val="%1."/>
      <w:numFmt w:val="decimal"/>
      <w:start w:val="4"/>
    </w:lvl>
  </w:abstractNum>
  <w:abstractNum w:abstractNumId="86">
    <w:nsid w:val="73A1821B"/>
    <w:multiLevelType w:val="hybridMultilevel"/>
    <w:lvl w:ilvl="0">
      <w:lvlJc w:val="left"/>
      <w:lvlText w:val="%1."/>
      <w:numFmt w:val="decimal"/>
      <w:start w:val="5"/>
    </w:lvl>
    <w:lvl w:ilvl="1">
      <w:lvlJc w:val="left"/>
      <w:lvlText w:val="-"/>
      <w:numFmt w:val="bullet"/>
      <w:start w:val="1"/>
    </w:lvl>
  </w:abstractNum>
  <w:abstractNum w:abstractNumId="87">
    <w:nsid w:val="7DE67713"/>
    <w:multiLevelType w:val="hybridMultilevel"/>
    <w:lvl w:ilvl="0">
      <w:lvlJc w:val="left"/>
      <w:lvlText w:val="%1."/>
      <w:numFmt w:val="decimal"/>
      <w:start w:val="8"/>
    </w:lvl>
    <w:lvl w:ilvl="1">
      <w:lvlJc w:val="left"/>
      <w:lvlText w:val="-"/>
      <w:numFmt w:val="bullet"/>
      <w:start w:val="1"/>
    </w:lvl>
  </w:abstractNum>
  <w:abstractNum w:abstractNumId="88">
    <w:nsid w:val="555C55B5"/>
    <w:multiLevelType w:val="hybridMultilevel"/>
    <w:lvl w:ilvl="0">
      <w:lvlJc w:val="left"/>
      <w:lvlText w:val="%1."/>
      <w:numFmt w:val="decimal"/>
      <w:start w:val="2"/>
    </w:lvl>
    <w:lvl w:ilvl="1">
      <w:lvlJc w:val="left"/>
      <w:lvlText w:val="(%2)"/>
      <w:numFmt w:val="decimal"/>
      <w:start w:val="1"/>
    </w:lvl>
  </w:abstractNum>
  <w:abstractNum w:abstractNumId="89">
    <w:nsid w:val="3FA62ACA"/>
    <w:multiLevelType w:val="hybridMultilevel"/>
    <w:lvl w:ilvl="0">
      <w:lvlJc w:val="left"/>
      <w:lvlText w:val="%1."/>
      <w:numFmt w:val="decimal"/>
      <w:start w:val="2"/>
    </w:lvl>
  </w:abstractNum>
  <w:abstractNum w:abstractNumId="90">
    <w:nsid w:val="14FCE74E"/>
    <w:multiLevelType w:val="hybridMultilevel"/>
    <w:lvl w:ilvl="0">
      <w:lvlJc w:val="left"/>
      <w:lvlText w:val="%1."/>
      <w:numFmt w:val="decimal"/>
      <w:start w:val="2"/>
    </w:lvl>
  </w:abstractNum>
  <w:abstractNum w:abstractNumId="91">
    <w:nsid w:val="6A3DD3E8"/>
    <w:multiLevelType w:val="hybridMultilevel"/>
    <w:lvl w:ilvl="0">
      <w:lvlJc w:val="left"/>
      <w:lvlText w:val="%1."/>
      <w:numFmt w:val="decimal"/>
      <w:start w:val="1"/>
    </w:lvl>
  </w:abstractNum>
  <w:abstractNum w:abstractNumId="92">
    <w:nsid w:val="71C91298"/>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93">
    <w:nsid w:val="9DAF632"/>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94">
    <w:nsid w:val="53299938"/>
    <w:multiLevelType w:val="hybridMultilevel"/>
    <w:lvl w:ilvl="0">
      <w:lvlJc w:val="left"/>
      <w:lvlText w:val="%1."/>
      <w:numFmt w:val="decimal"/>
      <w:start w:val="3"/>
    </w:lvl>
    <w:lvl w:ilvl="1">
      <w:lvlJc w:val="left"/>
      <w:lvlText w:val="%2."/>
      <w:numFmt w:val="decimal"/>
      <w:start w:val="10"/>
    </w:lvl>
  </w:abstractNum>
  <w:abstractNum w:abstractNumId="95">
    <w:nsid w:val="1FBFE8E0"/>
    <w:multiLevelType w:val="hybridMultilevel"/>
    <w:lvl w:ilvl="0">
      <w:lvlJc w:val="left"/>
      <w:lvlText w:val="(%1)"/>
      <w:numFmt w:val="upperLetter"/>
      <w:start w:val="1"/>
    </w:lvl>
  </w:abstractNum>
  <w:abstractNum w:abstractNumId="96">
    <w:nsid w:val="5092CA7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7">
    <w:nsid w:val="1D545C4D"/>
    <w:multiLevelType w:val="hybridMultilevel"/>
    <w:lvl w:ilvl="0">
      <w:lvlJc w:val="left"/>
      <w:lvlText w:val="(%1)"/>
      <w:numFmt w:val="lowerLetter"/>
      <w:start w:val="2"/>
    </w:lvl>
    <w:lvl w:ilvl="1">
      <w:lvlJc w:val="left"/>
      <w:lvlText w:val="(%2)"/>
      <w:numFmt w:val="lowerRoman"/>
      <w:start w:val="1"/>
    </w:lvl>
  </w:abstractNum>
  <w:abstractNum w:abstractNumId="98">
    <w:nsid w:val="59ADEA3D"/>
    <w:multiLevelType w:val="hybridMultilevel"/>
    <w:lvl w:ilvl="0">
      <w:lvlJc w:val="left"/>
      <w:lvlText w:val="(%1)"/>
      <w:numFmt w:val="upperLetter"/>
      <w:start w:val="1"/>
    </w:lvl>
  </w:abstractNum>
  <w:abstractNum w:abstractNumId="99">
    <w:nsid w:val="288F1A34"/>
    <w:multiLevelType w:val="hybridMultilevel"/>
    <w:lvl w:ilvl="0">
      <w:lvlJc w:val="left"/>
      <w:lvlText w:val="%1"/>
      <w:numFmt w:val="decimal"/>
      <w:start w:val="1"/>
    </w:lvl>
    <w:lvl w:ilvl="1">
      <w:lvlJc w:val="left"/>
      <w:lvlText w:val="(%2)"/>
      <w:numFmt w:val="upperLetter"/>
      <w:start w:val="6"/>
    </w:lvl>
  </w:abstractNum>
  <w:abstractNum w:abstractNumId="100">
    <w:nsid w:val="2A155DBC"/>
    <w:multiLevelType w:val="hybridMultilevel"/>
    <w:lvl w:ilvl="0">
      <w:lvlJc w:val="left"/>
      <w:lvlText w:val="%1."/>
      <w:numFmt w:val="decimal"/>
      <w:start w:val="2"/>
    </w:lvl>
    <w:lvl w:ilvl="1">
      <w:lvlJc w:val="left"/>
      <w:lvlText w:val="%2"/>
      <w:numFmt w:val="upperLetter"/>
      <w:start w:val="1"/>
    </w:lvl>
  </w:abstractNum>
  <w:abstractNum w:abstractNumId="101">
    <w:nsid w:val="1D9F6E5F"/>
    <w:multiLevelType w:val="hybridMultilevel"/>
    <w:lvl w:ilvl="0">
      <w:lvlJc w:val="left"/>
      <w:lvlText w:val="%1."/>
      <w:numFmt w:val="decimal"/>
      <w:start w:val="3"/>
    </w:lvl>
  </w:abstractNum>
  <w:abstractNum w:abstractNumId="102">
    <w:nsid w:val="97E1B4E"/>
    <w:multiLevelType w:val="hybridMultilevel"/>
    <w:lvl w:ilvl="0">
      <w:lvlJc w:val="left"/>
      <w:lvlText w:val="(%1)"/>
      <w:numFmt w:val="upperLetter"/>
      <w:start w:val="1"/>
    </w:lvl>
  </w:abstractNum>
  <w:abstractNum w:abstractNumId="103">
    <w:nsid w:val="51088277"/>
    <w:multiLevelType w:val="hybridMultilevel"/>
    <w:lvl w:ilvl="0">
      <w:lvlJc w:val="left"/>
      <w:lvlText w:val="%1."/>
      <w:numFmt w:val="decimal"/>
      <w:start w:val="1"/>
    </w:lvl>
  </w:abstractNum>
  <w:abstractNum w:abstractNumId="104">
    <w:nsid w:val="1CA0C5FA"/>
    <w:multiLevelType w:val="hybridMultilevel"/>
    <w:lvl w:ilvl="0">
      <w:lvlJc w:val="left"/>
      <w:lvlText w:val="%1."/>
      <w:numFmt w:val="decimal"/>
      <w:start w:val="1"/>
    </w:lvl>
  </w:abstractNum>
  <w:abstractNum w:abstractNumId="105">
    <w:nsid w:val="53584BCB"/>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106">
    <w:nsid w:val="415E286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07">
    <w:nsid w:val="7C58FD05"/>
    <w:multiLevelType w:val="hybridMultilevel"/>
    <w:lvl w:ilvl="0">
      <w:lvlJc w:val="left"/>
      <w:lvlText w:val="(%1)"/>
      <w:numFmt w:val="decimal"/>
      <w:start w:val="2"/>
    </w:lvl>
    <w:lvl w:ilvl="1">
      <w:lvlJc w:val="left"/>
      <w:lvlText w:val="(%2)"/>
      <w:numFmt w:val="lowerLetter"/>
      <w:start w:val="1"/>
    </w:lvl>
  </w:abstractNum>
  <w:abstractNum w:abstractNumId="108">
    <w:nsid w:val="23D86AAC"/>
    <w:multiLevelType w:val="hybridMultilevel"/>
    <w:lvl w:ilvl="0">
      <w:lvlJc w:val="left"/>
      <w:lvlText w:val="%1"/>
      <w:numFmt w:val="decimal"/>
      <w:start w:val="1"/>
    </w:lvl>
    <w:lvl w:ilvl="1">
      <w:lvlJc w:val="left"/>
      <w:lvlText w:val="(%2)"/>
      <w:numFmt w:val="lowerLetter"/>
      <w:start w:val="2"/>
    </w:lvl>
  </w:abstractNum>
  <w:abstractNum w:abstractNumId="109">
    <w:nsid w:val="45E6D486"/>
    <w:multiLevelType w:val="hybridMultilevel"/>
    <w:lvl w:ilvl="0">
      <w:lvlJc w:val="left"/>
      <w:lvlText w:val="%1."/>
      <w:numFmt w:val="decimal"/>
      <w:start w:val="3"/>
    </w:lvl>
    <w:lvl w:ilvl="1">
      <w:lvlJc w:val="left"/>
      <w:lvlText w:val="%2"/>
      <w:numFmt w:val="lowerLetter"/>
      <w:start w:val="1"/>
    </w:lvl>
  </w:abstractNum>
  <w:abstractNum w:abstractNumId="110">
    <w:nsid w:val="5C10FE21"/>
    <w:multiLevelType w:val="hybridMultilevel"/>
    <w:lvl w:ilvl="0">
      <w:lvlJc w:val="left"/>
      <w:lvlText w:val="(%1)"/>
      <w:numFmt w:val="decimal"/>
      <w:start w:val="1"/>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2019-12-29T17:56:03Z</dcterms:created>
  <dcterms:modified xsi:type="dcterms:W3CDTF">2019-12-29T17:56:03Z</dcterms:modified>
</cp:coreProperties>
</file>