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p>
      <w:pPr>
        <w:ind w:left="520" w:right="2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04"/>
        </w:trPr>
        <w:tc>
          <w:tcPr>
            <w:tcW w:w="3300" w:type="dxa"/>
            <w:vAlign w:val="bottom"/>
            <w:gridSpan w:val="3"/>
          </w:tcPr>
          <w:p>
            <w:pPr>
              <w:ind w:left="82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-205105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7140" w:type="dxa"/>
            <w:vAlign w:val="bottom"/>
          </w:tcPr>
          <w:p>
            <w:pPr>
              <w:jc w:val="center"/>
              <w:ind w:right="2560"/>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140" w:type="dxa"/>
            <w:vAlign w:val="bottom"/>
          </w:tcPr>
          <w:p>
            <w:pPr>
              <w:jc w:val="center"/>
              <w:ind w:right="256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140" w:type="dxa"/>
            <w:vAlign w:val="bottom"/>
          </w:tcPr>
          <w:p>
            <w:pPr>
              <w:jc w:val="center"/>
              <w:ind w:right="2560"/>
              <w:spacing w:after="0"/>
              <w:rPr>
                <w:sz w:val="20"/>
                <w:szCs w:val="20"/>
                <w:color w:val="auto"/>
              </w:rPr>
            </w:pPr>
            <w:r>
              <w:rPr>
                <w:rFonts w:ascii="Arial" w:cs="Arial" w:eastAsia="Arial" w:hAnsi="Arial"/>
                <w:sz w:val="14"/>
                <w:szCs w:val="14"/>
                <w:b w:val="1"/>
                <w:bCs w:val="1"/>
                <w:color w:val="auto"/>
                <w:w w:val="93"/>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259"/>
        </w:trPr>
        <w:tc>
          <w:tcPr>
            <w:tcW w:w="7140" w:type="dxa"/>
            <w:vAlign w:val="bottom"/>
          </w:tcPr>
          <w:p>
            <w:pPr>
              <w:jc w:val="center"/>
              <w:ind w:right="2560"/>
              <w:spacing w:after="0"/>
              <w:rPr>
                <w:sz w:val="20"/>
                <w:szCs w:val="20"/>
                <w:color w:val="auto"/>
              </w:rPr>
            </w:pPr>
            <w:r>
              <w:rPr>
                <w:rFonts w:ascii="Arial" w:cs="Arial" w:eastAsia="Arial" w:hAnsi="Arial"/>
                <w:sz w:val="18"/>
                <w:szCs w:val="18"/>
                <w:b w:val="1"/>
                <w:bCs w:val="1"/>
                <w:color w:val="auto"/>
                <w:w w:val="90"/>
              </w:rPr>
              <w:t>16 South Pennsylvania Avenue, Oklahoma City, Oklahoma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73107</w:t>
            </w:r>
          </w:p>
        </w:tc>
      </w:tr>
      <w:tr>
        <w:trPr>
          <w:trHeight w:val="186"/>
        </w:trPr>
        <w:tc>
          <w:tcPr>
            <w:tcW w:w="7140" w:type="dxa"/>
            <w:vAlign w:val="bottom"/>
          </w:tcPr>
          <w:p>
            <w:pPr>
              <w:jc w:val="center"/>
              <w:ind w:right="2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7140" w:type="dxa"/>
            <w:vAlign w:val="bottom"/>
          </w:tcPr>
          <w:p>
            <w:pPr>
              <w:jc w:val="right"/>
              <w:ind w:right="1320"/>
              <w:spacing w:after="0"/>
              <w:rPr>
                <w:sz w:val="20"/>
                <w:szCs w:val="20"/>
                <w:color w:val="auto"/>
              </w:rPr>
            </w:pPr>
            <w:r>
              <w:rPr>
                <w:rFonts w:ascii="Arial" w:cs="Arial" w:eastAsia="Arial" w:hAnsi="Arial"/>
                <w:sz w:val="18"/>
                <w:szCs w:val="18"/>
                <w:b w:val="1"/>
                <w:bCs w:val="1"/>
                <w:color w:val="auto"/>
              </w:rPr>
              <w:t>(405) 235-4546</w:t>
            </w:r>
          </w:p>
        </w:tc>
        <w:tc>
          <w:tcPr>
            <w:tcW w:w="1480" w:type="dxa"/>
            <w:vAlign w:val="bottom"/>
          </w:tcPr>
          <w:p>
            <w:pPr>
              <w:spacing w:after="0"/>
              <w:rPr>
                <w:sz w:val="22"/>
                <w:szCs w:val="22"/>
                <w:color w:val="auto"/>
              </w:rPr>
            </w:pPr>
          </w:p>
        </w:tc>
      </w:tr>
      <w:tr>
        <w:trPr>
          <w:trHeight w:val="186"/>
        </w:trPr>
        <w:tc>
          <w:tcPr>
            <w:tcW w:w="7140" w:type="dxa"/>
            <w:vAlign w:val="bottom"/>
          </w:tcPr>
          <w:p>
            <w:pPr>
              <w:jc w:val="center"/>
              <w:ind w:left="3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1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60" w:type="dxa"/>
            <w:vAlign w:val="bottom"/>
          </w:tcPr>
          <w:p>
            <w:pPr>
              <w:ind w:left="11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0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8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28,405,103 shares as of October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20"/>
                <w:szCs w:val="20"/>
                <w:color w:val="auto"/>
              </w:rPr>
            </w:pP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53"/>
        </w:trPr>
        <w:tc>
          <w:tcPr>
            <w:tcW w:w="9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4"/>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846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546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Mining Safety Disclosures</w:t>
              </w:r>
            </w:hyperlink>
          </w:p>
        </w:tc>
        <w:tc>
          <w:tcPr>
            <w:tcW w:w="400" w:type="dxa"/>
            <w:vAlign w:val="bottom"/>
            <w:tcBorders>
              <w:top w:val="single" w:sz="8" w:color="0000EE"/>
            </w:tcBorders>
          </w:tcPr>
          <w:p>
            <w:pPr>
              <w:spacing w:after="0"/>
              <w:rPr>
                <w:sz w:val="24"/>
                <w:szCs w:val="24"/>
                <w:color w:val="auto"/>
              </w:rPr>
            </w:pPr>
          </w:p>
        </w:tc>
        <w:tc>
          <w:tcPr>
            <w:tcW w:w="7480" w:type="dxa"/>
            <w:vAlign w:val="bottom"/>
            <w:gridSpan w:val="4"/>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848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Exhibits</w:t>
              </w:r>
            </w:hyperlink>
          </w:p>
        </w:tc>
        <w:tc>
          <w:tcPr>
            <w:tcW w:w="920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885"/>
        </w:trPr>
        <w:tc>
          <w:tcPr>
            <w:tcW w:w="940" w:type="dxa"/>
            <w:vAlign w:val="bottom"/>
          </w:tcPr>
          <w:p>
            <w:pPr>
              <w:spacing w:after="0"/>
              <w:rPr>
                <w:sz w:val="24"/>
                <w:szCs w:val="24"/>
                <w:color w:val="auto"/>
              </w:rPr>
            </w:pPr>
          </w:p>
        </w:tc>
        <w:tc>
          <w:tcPr>
            <w:tcW w:w="6440" w:type="dxa"/>
            <w:vAlign w:val="bottom"/>
            <w:gridSpan w:val="11"/>
          </w:tcPr>
          <w:p>
            <w:pPr>
              <w:ind w:left="4720"/>
              <w:spacing w:after="0"/>
              <w:rPr>
                <w:sz w:val="20"/>
                <w:szCs w:val="20"/>
                <w:color w:val="auto"/>
              </w:rPr>
            </w:pPr>
            <w:r>
              <w:rPr>
                <w:rFonts w:ascii="Arial" w:cs="Arial" w:eastAsia="Arial" w:hAnsi="Arial"/>
                <w:sz w:val="18"/>
                <w:szCs w:val="18"/>
                <w:color w:val="auto"/>
              </w:rPr>
              <w:t>2</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at September 30, 2017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w w:val="93"/>
              </w:rPr>
              <w:t>September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5"/>
          </w:tcPr>
          <w:p>
            <w:pPr>
              <w:ind w:left="104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Current assets:</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53,065</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44,922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51,299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17,153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Raw materials</w:t>
            </w:r>
          </w:p>
        </w:tc>
        <w:tc>
          <w:tcPr>
            <w:tcW w:w="38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Total inventories</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Supplies, prepaid items and other:</w:t>
            </w:r>
          </w:p>
        </w:tc>
        <w:tc>
          <w:tcPr>
            <w:tcW w:w="3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Prepaid insurance</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Precious metals</w:t>
            </w:r>
          </w:p>
        </w:tc>
        <w:tc>
          <w:tcPr>
            <w:tcW w:w="3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Supplies</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27,081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and refundable income taxes</w:t>
            </w:r>
          </w:p>
        </w:tc>
        <w:tc>
          <w:tcPr>
            <w:tcW w:w="3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38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supplies, prepaid items and other</w:t>
            </w:r>
          </w:p>
        </w:tc>
        <w:tc>
          <w:tcPr>
            <w:tcW w:w="38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42,126</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162,113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181,146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1,020,638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1,078,958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Intangible and other assets, net</w:t>
            </w: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12,142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1,194,893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1,270,420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980" w:type="dxa"/>
            <w:vAlign w:val="bottom"/>
            <w:gridSpan w:val="2"/>
          </w:tcPr>
          <w:p>
            <w:pPr>
              <w:jc w:val="center"/>
              <w:ind w:right="590"/>
              <w:spacing w:after="0"/>
              <w:rPr>
                <w:sz w:val="20"/>
                <w:szCs w:val="20"/>
                <w:color w:val="auto"/>
              </w:rPr>
            </w:pPr>
            <w:r>
              <w:rPr>
                <w:rFonts w:ascii="Arial" w:cs="Arial" w:eastAsia="Arial" w:hAnsi="Arial"/>
                <w:sz w:val="18"/>
                <w:szCs w:val="18"/>
                <w:color w:val="auto"/>
                <w:w w:val="92"/>
              </w:rPr>
              <w:t>(Continued on following page)</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0" w:type="dxa"/>
            <w:vAlign w:val="bottom"/>
          </w:tcPr>
          <w:p>
            <w:pPr>
              <w:jc w:val="right"/>
              <w:ind w:right="20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2017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w w:val="94"/>
              </w:rPr>
              <w:t>September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5"/>
          </w:tcPr>
          <w:p>
            <w:pPr>
              <w:ind w:left="106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49,018</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Short-term financing</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87,539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401,077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and other liabilities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82,069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of $179,036,000 ($161,788,000 at December 31, 2016)</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167,129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outstanding; aggregate liquidation preference of $100</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Series B 12% cumulative, convertible preferred stock, $100 par value; 20,000 shares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1,000,000 shares issued and outstanding</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Common stock, $.10 par value; 75,000,000 shares authorized, 31,280,685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shares issued</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in excess of par value</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195,206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Retained earnings</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263,130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464,464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Less treasury stock, at cost: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Common stock, 2,875,582 shares (3,004,855 shares at December 31, 2016)</w:t>
            </w:r>
          </w:p>
        </w:tc>
        <w:tc>
          <w:tcPr>
            <w:tcW w:w="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445,221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1,194,893</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1,270,420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6"/>
          </w:tcPr>
          <w:p>
            <w:pPr>
              <w:jc w:val="right"/>
              <w:ind w:right="100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gridSpan w:val="7"/>
          </w:tcPr>
          <w:p>
            <w:pPr>
              <w:jc w:val="right"/>
              <w:ind w:right="60"/>
              <w:spacing w:after="0"/>
              <w:rPr>
                <w:sz w:val="20"/>
                <w:szCs w:val="20"/>
                <w:color w:val="auto"/>
              </w:rPr>
            </w:pPr>
            <w:r>
              <w:rPr>
                <w:rFonts w:ascii="Arial" w:cs="Arial" w:eastAsia="Arial" w:hAnsi="Arial"/>
                <w:sz w:val="16"/>
                <w:szCs w:val="16"/>
                <w:color w:val="auto"/>
                <w:w w:val="91"/>
              </w:rPr>
              <w:t>(In Thousands, Except Per Share Amounts)</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92,390</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80,262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338,587</w:t>
            </w:r>
          </w:p>
        </w:tc>
        <w:tc>
          <w:tcPr>
            <w:tcW w:w="2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99,675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116,641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322,917</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(15,363)</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(45,932)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(13,340)</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 before benefit</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 income taxes</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(23,810)</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(61,716)</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(40,872)</w:t>
            </w: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(6,698)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(22,226)</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(10,741)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(17,112)</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(30,131)</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173,041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133,551</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Dividends on convertible preferred stocks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Dividends on Series E redeemable preferred stock</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Accretion of Series E redeemable preferred stock</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participating securities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112,047</w:t>
            </w:r>
          </w:p>
        </w:tc>
        <w:tc>
          <w:tcPr>
            <w:tcW w:w="2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(52,456)</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92,787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(0.91)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(0.91)</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(1.93)</w:t>
            </w:r>
          </w:p>
        </w:tc>
        <w:tc>
          <w:tcPr>
            <w:tcW w:w="44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Treasury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Common</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Stock-</w:t>
            </w:r>
          </w:p>
        </w:tc>
        <w:tc>
          <w:tcPr>
            <w:tcW w:w="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Redeemable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Common</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Capital in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Treasury</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Stock</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89"/>
              </w:rPr>
              <w:t>Preferred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Stock</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Excess of</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Retained</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Stock-</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Shares</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Par Value</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Par Value</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Earnings</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Common</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r>
      <w:tr>
        <w:trPr>
          <w:trHeight w:val="204"/>
        </w:trPr>
        <w:tc>
          <w:tcPr>
            <w:tcW w:w="4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ind w:left="240"/>
              <w:spacing w:after="0"/>
              <w:rPr>
                <w:sz w:val="20"/>
                <w:szCs w:val="20"/>
                <w:color w:val="auto"/>
              </w:rPr>
            </w:pPr>
            <w:r>
              <w:rPr>
                <w:rFonts w:ascii="Arial" w:cs="Arial" w:eastAsia="Arial" w:hAnsi="Arial"/>
                <w:sz w:val="16"/>
                <w:szCs w:val="16"/>
                <w:color w:val="auto"/>
              </w:rPr>
              <w:t>(In Thousands)</w:t>
            </w: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8"/>
              </w:rPr>
              <w:t>3,128</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$ 192,172</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$ 314,301</w:t>
            </w:r>
          </w:p>
        </w:tc>
        <w:tc>
          <w:tcPr>
            <w:tcW w:w="1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99"/>
              </w:rPr>
              <w:t>$ (20,088)</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$ 492,513</w:t>
            </w:r>
          </w:p>
        </w:tc>
        <w:tc>
          <w:tcPr>
            <w:tcW w:w="120" w:type="dxa"/>
            <w:vAlign w:val="bottom"/>
            <w:shd w:val="clear" w:color="auto" w:fill="CFF0FC"/>
          </w:tcPr>
          <w:p>
            <w:pPr>
              <w:spacing w:after="0"/>
              <w:rPr>
                <w:sz w:val="20"/>
                <w:szCs w:val="20"/>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Cumulative effect of change in accounting</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principle</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0"/>
                <w:szCs w:val="20"/>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(30,131)</w:t>
            </w: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(30,131)</w:t>
            </w: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Dividend accrued on redeemable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(17,248)</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(17,248)</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(4,852)</w:t>
            </w: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(4,852)</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3,945</w:t>
            </w:r>
          </w:p>
        </w:tc>
        <w:tc>
          <w:tcPr>
            <w:tcW w:w="12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net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(911)</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Balance at September 30, 2017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31,281</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8"/>
              </w:rPr>
              <w:t>3,128</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$ 195,206</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$ 263,130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(19,243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$ 445,221</w:t>
            </w:r>
          </w:p>
        </w:tc>
        <w:tc>
          <w:tcPr>
            <w:tcW w:w="12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2"/>
              </w:rPr>
              <w:t>Nine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2017</w:t>
            </w: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86"/>
              </w:rPr>
              <w:t>September 30,</w:t>
            </w:r>
          </w:p>
        </w:tc>
        <w:tc>
          <w:tcPr>
            <w:tcW w:w="1000" w:type="dxa"/>
            <w:vAlign w:val="bottom"/>
            <w:vMerge w:val="restart"/>
          </w:tcPr>
          <w:p>
            <w:pPr>
              <w:jc w:val="right"/>
              <w:ind w:right="539"/>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6"/>
                <w:szCs w:val="16"/>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continuing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980" w:type="dxa"/>
            <w:vAlign w:val="bottom"/>
          </w:tcPr>
          <w:p>
            <w:pPr>
              <w:jc w:val="right"/>
              <w:ind w:right="819"/>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(30,131)</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133,701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provided (used) by</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continuing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Income from discontinued operations, net of taxes</w:t>
            </w: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(196,644)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(10,702)</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(31,128)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Loss on sales of a business and other property and equipment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4,366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Depreciation, depletion and amortization of property, plant and equipment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50,341</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5,450</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provided (used) by changes in assets and liabilities (net of effects of</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6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discontinued operations):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1,687</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3,282</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6"/>
                <w:szCs w:val="16"/>
                <w:color w:val="auto"/>
              </w:rPr>
              <w:t>Prepaid insurance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9,611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Prepaid and accrued income taxes</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(1,009)</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6"/>
                <w:szCs w:val="16"/>
                <w:color w:val="auto"/>
              </w:rPr>
              <w:t>Other supplies, prepaid items and other</w:t>
            </w: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(2,672)</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(3,580)</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Arial" w:cs="Arial" w:eastAsia="Arial" w:hAnsi="Arial"/>
                <w:sz w:val="16"/>
                <w:szCs w:val="16"/>
                <w:color w:val="auto"/>
              </w:rPr>
              <w:t>Accrued interest</w:t>
            </w: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(7,977)</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(7,679)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current and noncurrent liabilities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663</w:t>
            </w:r>
          </w:p>
        </w:tc>
        <w:tc>
          <w:tcPr>
            <w:tcW w:w="3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gridSpan w:val="2"/>
          </w:tcPr>
          <w:p>
            <w:pPr>
              <w:spacing w:after="0"/>
              <w:rPr>
                <w:sz w:val="20"/>
                <w:szCs w:val="20"/>
                <w:color w:val="auto"/>
              </w:rPr>
            </w:pPr>
            <w:r>
              <w:rPr>
                <w:rFonts w:ascii="Arial" w:cs="Arial" w:eastAsia="Arial" w:hAnsi="Arial"/>
                <w:sz w:val="16"/>
                <w:szCs w:val="16"/>
                <w:color w:val="auto"/>
              </w:rPr>
              <w:t>Net cash provided (used) by continuing operating activities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19,329</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6"/>
                <w:szCs w:val="16"/>
                <w:b w:val="1"/>
                <w:bCs w:val="1"/>
                <w:color w:val="auto"/>
              </w:rPr>
              <w:t>Cash flows from continuing investing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(25,172)</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(202,187)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Net proceeds from sale (including an advance on a potential sale) of</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tcPr>
          <w:p>
            <w:pPr>
              <w:ind w:left="360"/>
              <w:spacing w:after="0"/>
              <w:rPr>
                <w:sz w:val="20"/>
                <w:szCs w:val="20"/>
                <w:color w:val="auto"/>
              </w:rPr>
            </w:pPr>
            <w:r>
              <w:rPr>
                <w:rFonts w:ascii="Arial" w:cs="Arial" w:eastAsia="Arial" w:hAnsi="Arial"/>
                <w:sz w:val="16"/>
                <w:szCs w:val="16"/>
                <w:color w:val="auto"/>
              </w:rPr>
              <w:t>businesses and other property and equipment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22,561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proceeds from sale of discontinued operations</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Deposits of restricted cash</w:t>
            </w: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(186,935)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current and noncurrent restricted cash and cash equivalents</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investing activities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3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(used) by continuing investing activities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(2,196)</w:t>
            </w: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continuing financing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Proceeds from revolving debt facility</w:t>
            </w: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on revolving debt facility</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(76,516)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Proceeds from other long-term debt, net of fees</w:t>
            </w: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on other long-term debt</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(12,413)</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(11,653)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Payments of debt modification and issuance costs</w:t>
            </w: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(90)</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(5,949)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of issuance costs relating to preferred stocks and warrants</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Payments on short-term financing</w:t>
            </w: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(9,145)</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(7,530)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exercises of stock options</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Redemption of preferred stock</w:t>
            </w: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(71,966)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Dividends paid on preferred stocks</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Other financing activities</w:t>
            </w: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(66)</w:t>
            </w:r>
          </w:p>
        </w:tc>
        <w:tc>
          <w:tcPr>
            <w:tcW w:w="5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by continuing financing activities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(21,714)</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(90,789)</w:t>
            </w:r>
          </w:p>
        </w:tc>
        <w:tc>
          <w:tcPr>
            <w:tcW w:w="0" w:type="dxa"/>
            <w:vAlign w:val="bottom"/>
          </w:tcPr>
          <w:p>
            <w:pPr>
              <w:spacing w:after="0"/>
              <w:rPr>
                <w:sz w:val="1"/>
                <w:szCs w:val="1"/>
                <w:color w:val="auto"/>
              </w:rPr>
            </w:pPr>
          </w:p>
        </w:tc>
      </w:tr>
      <w:tr>
        <w:trPr>
          <w:trHeight w:val="213"/>
        </w:trPr>
        <w:tc>
          <w:tcPr>
            <w:tcW w:w="7880" w:type="dxa"/>
            <w:vAlign w:val="bottom"/>
            <w:gridSpan w:val="2"/>
          </w:tcPr>
          <w:p>
            <w:pPr>
              <w:spacing w:after="0"/>
              <w:rPr>
                <w:sz w:val="20"/>
                <w:szCs w:val="20"/>
                <w:color w:val="auto"/>
              </w:rPr>
            </w:pPr>
            <w:r>
              <w:rPr>
                <w:rFonts w:ascii="Arial" w:cs="Arial" w:eastAsia="Arial" w:hAnsi="Arial"/>
                <w:sz w:val="16"/>
                <w:szCs w:val="16"/>
                <w:color w:val="auto"/>
              </w:rPr>
              <w:t>Cash flows of discontinued operations: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used by operating activities</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(2,171)</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Net cash used by investing activities</w:t>
            </w: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(1,025)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used by financing activities</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6"/>
                <w:szCs w:val="16"/>
                <w:color w:val="auto"/>
              </w:rPr>
              <w:t>Net cash used by discontinued operations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8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(2,371)</w:t>
            </w:r>
          </w:p>
        </w:tc>
        <w:tc>
          <w:tcPr>
            <w:tcW w:w="5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and cash equivalents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(6,952)</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(51,185)</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60,017</w:t>
            </w:r>
          </w:p>
        </w:tc>
        <w:tc>
          <w:tcPr>
            <w:tcW w:w="3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8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bottom w:val="single" w:sz="8" w:color="auto"/>
            </w:tcBorders>
          </w:tcPr>
          <w:p>
            <w:pPr>
              <w:jc w:val="right"/>
              <w:ind w:right="819"/>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53,065</w:t>
            </w:r>
          </w:p>
        </w:tc>
        <w:tc>
          <w:tcPr>
            <w:tcW w:w="300" w:type="dxa"/>
            <w:vAlign w:val="bottom"/>
          </w:tcPr>
          <w:p>
            <w:pPr>
              <w:spacing w:after="0"/>
              <w:rPr>
                <w:sz w:val="17"/>
                <w:szCs w:val="17"/>
                <w:color w:val="auto"/>
              </w:rPr>
            </w:pP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1"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2016 (“2016 Form 10-K”), filed with the Securities and Exchange Commission (“SEC”) on February 27, 2017.</w:t>
      </w:r>
    </w:p>
    <w:p>
      <w:pPr>
        <w:spacing w:after="0" w:line="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 LSB Industries, Inc. (“LSB”) and its subsidiaries (the “Company”, “We”, “Us”, or “Our”) are consolidated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condensed consolidated financial statements. LSB is a holding company with no significant operations or assets other than cash, cash equivalents, and investments in its subsidiaries. All material intercompany accounts and transactions have been eliminated.</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May 2017, Zena Energy L.L.C. (“Zena”), which was an indirect, wholly owned subsidiary of LSB, entered into a purchase and sale agreement with BKV Chelsea, LLC, (“BKV”). Under the terms of the purchase and sale agreement, Zena agreed to sell to BKV substantially all of its assets, including Zena’s right, title, and interest in all of its oil and natural gas properties (the “Properties”) located in Wyoming County, Pennsylvania for a purchase price of approximately $16.3 million, subject to customary post-closing adjustments, which sale was completed on June 26, 2017. As a result, we recognized a loss on the sale of approximately $4.0 million which is included in operating other expense. The carrying value of the assets sold was approximately $20.0 million and was included in plant, property and equipment (“PP&amp;E”) at December 31, 2016. Concurrently with the closing of the purchase and sale agreement, a portion of the net proceeds (approximately $3.5 million) was used to repay the remaining outstanding balance of a promissory note, which was secured by the Properties.</w:t>
      </w:r>
    </w:p>
    <w:p>
      <w:pPr>
        <w:spacing w:after="0" w:line="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Zena’s prior ownership of working interests in natural gas properties was accounted for as an undivided interest, whereby we reflected our proportionate share of the underlying assets, liabilities, revenues and expenses. The working interest represented our share of the costs and expenses incurred primarily to develop the underlying leaseholds and to produce natural gas while the net revenue interest represented our share of the revenues from the sale of natural gas. The net revenue interest was less than the working interest as the result of royalty interest due to others. We were not the operator of these natural gas properties.</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Nature of Business - </w:t>
      </w:r>
      <w:r>
        <w:rPr>
          <w:rFonts w:ascii="Arial" w:cs="Arial" w:eastAsia="Arial" w:hAnsi="Arial"/>
          <w:sz w:val="18"/>
          <w:szCs w:val="18"/>
          <w:color w:val="auto"/>
        </w:rPr>
        <w:t>We are engaged in the manufacture and sale of chemical products. The chemical products we primarily manufacture, market and sell</w:t>
      </w:r>
      <w:r>
        <w:rPr>
          <w:rFonts w:ascii="Arial" w:cs="Arial" w:eastAsia="Arial" w:hAnsi="Arial"/>
          <w:sz w:val="18"/>
          <w:szCs w:val="18"/>
          <w:b w:val="1"/>
          <w:bCs w:val="1"/>
          <w:color w:val="auto"/>
        </w:rPr>
        <w:t xml:space="preserve"> </w:t>
      </w:r>
      <w:r>
        <w:rPr>
          <w:rFonts w:ascii="Arial" w:cs="Arial" w:eastAsia="Arial" w:hAnsi="Arial"/>
          <w:sz w:val="18"/>
          <w:szCs w:val="18"/>
          <w:color w:val="auto"/>
        </w:rPr>
        <w:t>are ammonia, fertilizer grade ammonium nitrate (“HDAN”), urea ammonium nitrate (“UAN”), and ammonium nitrate (“AN”) solution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our opinion, the unaudited condensed consolidated financial statements of the Company as of September 30, 2017 and for the three and nine months periods ended September 30, 2017 and 2016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2016 Form 10-K.</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condensed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Concentration of Credit Risks for Cash and Cash Equivalents </w:t>
      </w:r>
      <w:r>
        <w:rPr>
          <w:rFonts w:ascii="Arial" w:cs="Arial" w:eastAsia="Arial" w:hAnsi="Arial"/>
          <w:sz w:val="18"/>
          <w:szCs w:val="18"/>
          <w:color w:val="auto"/>
        </w:rPr>
        <w:t>– Financial instruments relating to cash and cash equivalents potentially subject us to</w:t>
      </w:r>
      <w:r>
        <w:rPr>
          <w:rFonts w:ascii="Arial" w:cs="Arial" w:eastAsia="Arial" w:hAnsi="Arial"/>
          <w:sz w:val="18"/>
          <w:szCs w:val="18"/>
          <w:b w:val="1"/>
          <w:bCs w:val="1"/>
          <w:color w:val="auto"/>
        </w:rPr>
        <w:t xml:space="preserve"> </w:t>
      </w:r>
      <w:r>
        <w:rPr>
          <w:rFonts w:ascii="Arial" w:cs="Arial" w:eastAsia="Arial" w:hAnsi="Arial"/>
          <w:sz w:val="18"/>
          <w:szCs w:val="18"/>
          <w:color w:val="auto"/>
        </w:rPr>
        <w:t>concentrations of credit risk. These financial instruments were held by financial institutions within the U.S. except for approximately $2.6 million. None of the financial instruments held within U.S. were in excess of the federally insured limits.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Inventories - </w:t>
      </w:r>
      <w:r>
        <w:rPr>
          <w:rFonts w:ascii="Arial" w:cs="Arial" w:eastAsia="Arial" w:hAnsi="Arial"/>
          <w:sz w:val="18"/>
          <w:szCs w:val="18"/>
          <w:color w:val="auto"/>
        </w:rPr>
        <w:t>Inventories are stated at the lower of cost (determined using the first-in, first-out (“FIFO”) basis) or net realizable value, which is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selling prices in the ordinary course of business, less reasonably predictable costs of completion, transportation or disposal. Finished goods include material, labor, and manufacturing overhead costs. On January 1, 2017, we adopted ASU No. 2015-11, </w:t>
      </w:r>
      <w:r>
        <w:rPr>
          <w:rFonts w:ascii="Arial" w:cs="Arial" w:eastAsia="Arial" w:hAnsi="Arial"/>
          <w:sz w:val="18"/>
          <w:szCs w:val="18"/>
          <w:i w:val="1"/>
          <w:iCs w:val="1"/>
          <w:color w:val="auto"/>
        </w:rPr>
        <w:t>Inventory (Topic 330): Simplifying the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Inventory </w:t>
      </w:r>
      <w:r>
        <w:rPr>
          <w:rFonts w:ascii="Arial" w:cs="Arial" w:eastAsia="Arial" w:hAnsi="Arial"/>
          <w:sz w:val="18"/>
          <w:szCs w:val="18"/>
          <w:color w:val="auto"/>
        </w:rPr>
        <w:t>as discussed below in “Recently Issued Accounting Pronouncements”.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Precious Metals - </w:t>
      </w:r>
      <w:r>
        <w:rPr>
          <w:rFonts w:ascii="Arial" w:cs="Arial" w:eastAsia="Arial" w:hAnsi="Arial"/>
          <w:sz w:val="18"/>
          <w:szCs w:val="18"/>
          <w:color w:val="auto"/>
        </w:rPr>
        <w:t>Precious metals are used as a catalyst in our manufacturing process. Precious metals are carried at cost, with cost being determined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2017, we recognized a recovery of precious metals of approximately $2.9 million, which recovery is classified as a reduction to cost of sales.</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Recognition of Incentive Tax Credits (Other Than Credits Associated with Income Taxes) </w:t>
      </w:r>
      <w:r>
        <w:rPr>
          <w:rFonts w:ascii="Arial" w:cs="Arial" w:eastAsia="Arial" w:hAnsi="Arial"/>
          <w:sz w:val="18"/>
          <w:szCs w:val="18"/>
          <w:color w:val="auto"/>
        </w:rPr>
        <w:t>- If an incentive tax credit relates to a recovery of taxes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income taxes) incurred, we recognize the incentive tax credit when it is probable and reasonably estimable. If an incentive tax credit relates to an amount in excess of taxes incurred, the incentive tax credit is a contingent gain, which we recognize the incentive tax credit when it is realized or realizable and earned. Amounts recoverable from the taxing authorities, if any, are included in accounts receivable. The same financial statement classification is used for an incentive tax credit as the associated tax incurred.</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2017, we received notification from the State of Arkansas that incentive tax credits had been approved associated with certain capital expenditures associated with the El Dorado Facility’s expansion projects completed primarily in the fourth quarter of 2015 and the second quarter of 2016. As a result, we recognized a current and noncurrent receivable totaling approximately $8.1 million associated with these incentive tax credits with the offset reducing PP&amp;E (covered by the tax credit) by approximately $7.4 million and the remaining balance of $0.7 million as a reduction to cost of sales (recovery of previously incurred depreciation expense related to the PP&amp;E).</w:t>
      </w:r>
    </w:p>
    <w:p>
      <w:pPr>
        <w:spacing w:after="0" w:line="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Redeemable Preferred Stocks </w:t>
      </w:r>
      <w:r>
        <w:rPr>
          <w:rFonts w:ascii="Arial" w:cs="Arial" w:eastAsia="Arial" w:hAnsi="Arial"/>
          <w:sz w:val="16"/>
          <w:szCs w:val="16"/>
          <w:color w:val="auto"/>
        </w:rPr>
        <w:t>- Our redeemable preferred stocks that are redeemable outside of our control are classified as temporary/mezzanine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The amount of accretion was recorded to retained earnings. However, it is reasonably possible this accretion could accelerate if the expected redemption date is earlier than August 2, 2019.</w:t>
      </w:r>
    </w:p>
    <w:p>
      <w:pPr>
        <w:spacing w:after="0" w:line="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Income (Loss) per Common Share </w:t>
      </w:r>
      <w:r>
        <w:rPr>
          <w:rFonts w:ascii="Arial" w:cs="Arial" w:eastAsia="Arial" w:hAnsi="Arial"/>
          <w:sz w:val="16"/>
          <w:szCs w:val="16"/>
          <w:color w:val="auto"/>
        </w:rPr>
        <w:t>- Net income (loss) attributable to common stockholders is computed by adjusting net income (loss) by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returnable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 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Recently Issued Accounting Pronouncements </w:t>
      </w:r>
      <w:r>
        <w:rPr>
          <w:rFonts w:ascii="Arial" w:cs="Arial" w:eastAsia="Arial" w:hAnsi="Arial"/>
          <w:sz w:val="17"/>
          <w:szCs w:val="17"/>
          <w:color w:val="auto"/>
        </w:rPr>
        <w:t>- In May 2014, the Financial Accounting Standards Board (“FASB”) issued Accounting Standard Update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will supersede nearly all existing revenue recognition guidance under GAAP. This ASU’s core principle is that a company will recognize revenue when it transfers promised goods or services to customers in an amount that reflects the consideration to which the company expects to be entitled in exchange for those goods or services. In July 2015, the FASB approved a one-year deferral of the effective date of this ASU with the option to early adopt but not before the original effective date. In addition, the FASB has issued various ASUs further amending revenue recognition guidance, which includes ASU 2016-08, 2016-10, 2016-11, 2016-12 and 2016-20. We plan to adopt this ASU on the effective date of January 1, 2018 using the “modified retrospective” adoption method, meaning the standard is applied only to the most current period presented in the financial statements and apply only to existing contracts as of the effective date.</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performed a review of a majority of our contracts with customers with significant sales in 2016. Most of these contracts are short-term (have been completed or will be completed before the effective date); however, we do have certain long-term sales contracts that may be affected by the new requirements. In addition, although most of our revenue stream relates to the sale of chemical products, we have identified additional smaller revenue streams, such as performing various services, and rental income. A contract review process has been implemented to obtain and review our new or amended contracts for analysis for adopting this ASU. We are currently implementing changes to our processes, systems and controls to improve the ability to access, analyze, classify and account for our contracts. In addition, we are implementing a process to identify, store and access data needed for the new disclosure requirements.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developed an accounting policy and the methodology of identifying performance obligations, estimating the amount of variable consideration to include in the transaction price and allocating the transaction price to each separate performance obligation for the contacts that will be affected. We plan to elect an accounting policy to account for shipping and handling activities performed after a customer obtains control of the good as activities to fulfil the promise to transfer the good to the customer. We also plan to elect an accounting policy to exclude from the measurement of the transaction price all taxes assessed by a governmental authority that are both imposed on, and concurrent with, a specific revenue-producing transaction and collected by us from a customer.</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anticipate that upon adoption of this new ASU, the timing of revenue recognition and the financial statement presentation for certain of our revenue streams might change, we have not determined the effect on our financial statements.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The guidance requires an entity to measure inventory at the lower of cost or net realizable value, which is the estimated selling prices in the ordinary course of business, less reasonably predictable costs of completion, disposal, and transportation, rather than the lower of cost or market in the previous guidance. This amendment applies to inventory that is measured using FIFO. We prospectively adopted this ASU on January 1, 2017. The adoption of this ASU did not impact our financial statements.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the lease requirements in Topic 840, </w:t>
      </w:r>
      <w:r>
        <w:rPr>
          <w:rFonts w:ascii="Arial" w:cs="Arial" w:eastAsia="Arial" w:hAnsi="Arial"/>
          <w:sz w:val="16"/>
          <w:szCs w:val="16"/>
          <w:i w:val="1"/>
          <w:iCs w:val="1"/>
          <w:color w:val="auto"/>
        </w:rPr>
        <w:t>Leases</w:t>
      </w:r>
      <w:r>
        <w:rPr>
          <w:rFonts w:ascii="Arial" w:cs="Arial" w:eastAsia="Arial" w:hAnsi="Arial"/>
          <w:sz w:val="16"/>
          <w:szCs w:val="16"/>
          <w:color w:val="auto"/>
        </w:rPr>
        <w:t>. The objective of this ASU is to establish the principles that lessees and lessors shall apply to report useful information to users of financial statements about 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This ASU must be adopted using a modified retrospective transition, and provides for certain practical expedients. We plan to adopt this ASU on January 1, 2019. Transition will require application of the new guidance at the beginning of the earliest comparative period presented. Although we currently have a relatively small number of leases, we are evaluating the effect of this guidance on our consolidated financial statements and related disclosures.</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amends ASC Topic 718, Compensation - Stock Compensation. This guidance includes provisions intended to simplify various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how share-based payments are accounted for and presented in the financial statements. We adopted this guidance on January 1, 2017. Among other requirements, the new guidance requires all tax effects related to share-based payments at settlement (or expiration) to be recorded through the income statement. Previously, tax benefits in excess of compensation cost ("windfalls") were recorded in equity, and tax deficiencies ("shortfalls") were recorded in equity to the extent of previous windfalls, and then to the income statement. As required, this change was applied prospectively to all excess tax benefits and tax deficiencies resulting from settlements.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new guidance, the windfall tax benefit is to be recorded when it arises, subject to normal valuation allowance considerations. Excess tax benefits that were not previously recognized because the related tax deduction had not reduced current taxes payable were recorded through a cumulative effect adjustment as of the date of the adoption. As required, this change was applied on a modified retrospective basis, with a cumulative effect adjustment of change in accounting principle of approximately $1.1 million as a deferred tax asset with the offset in retained earnings. We made an accounting policy election to account for the amount related to excess tax benefits and deficiencies utilizing the direct effect approach.</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new guidance, all tax related cash flows resulting from share-based payments are to be reported as operating activities on the statement of cash flows, a change from the previous requirement to present windfall tax benefits as an inflow from financing activities and an outflow from operating activities. In addition, cash paid by an employer to taxing authorities when the employer directly withholds shares for tax withholding purposes is to be reported as financing activities. These changes were applied on a retrospective basis, but did not impact the statement of cash flows for the nine months ended September 30, 2016.</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new guidance, we made an accounting policy election to account for forfeitures as they occur, a change from the previous requirement to estimate forfeitures each period. As required, this change was applied on a modified retrospective basis; however, as of December 31, 2016, we had estimated no forfeitures relating to the outstanding equity awards. As a result, no adjustment was required.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Going forward, the adoption of this ASU could cause volatility in the effective tax rate.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This ASU makes eight targeted changes to how cash receipts and cash payments are presented and classified in the statement of cash flows. This ASU is effective for us on January 1, 2018 and adoption will be applied on retrospective basis. We anticipate that upon adoption of this new ASU, there will be minimal, if any, effect on the presentation and classification for certain cash flow activities.</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 a consensus of the FASB Emerging Issues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Task Force. </w:t>
      </w:r>
      <w:r>
        <w:rPr>
          <w:rFonts w:ascii="Arial" w:cs="Arial" w:eastAsia="Arial" w:hAnsi="Arial"/>
          <w:sz w:val="16"/>
          <w:szCs w:val="16"/>
          <w:color w:val="auto"/>
        </w:rPr>
        <w:t>The amendments in this ASU revise the guidance in Topic 230, Statement of Cash Flows, to require cash and cash equivalents to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(and restricted cash equivalents) on the statement of cash flows. This ASU is effective for us on January 1, 2018 and adoption will be applied on retrospective basis for all periods presented. We plan to adopt this ASU on January 1, 2018. Upon adoption of this new ASU, we anticipate the removal of the presentation of cash flow activities relating to current and noncurrent restricted cash and cash equivalents from our statement of cash flows for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Discontinued Operations</w:t>
      </w:r>
    </w:p>
    <w:p>
      <w:pPr>
        <w:spacing w:after="0" w:line="121"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On July 1, 2016, LSB completed the sale of all the stock of Climate Control Group Inc. (an indirect subsidiary that conducted LSB’s Climate Control Business) pursuant to the terms of the stock purchase agreement. Additionally, pursuant to the stock purchase agreement, we agreed to have a certain portion of the purchase price proceeds deposited in an indemnity escrow account. In conjunction with the Climate Control Business sale, we entered into a transition services agreement (“TSA”), pursuant to which, among other things, we agreed to provide certain information technology, payroll, legal, tax and other general services, which services have been completed. At September 30, 2017 and December 31, 2016, our accounts receivable includes approximately $2.7 million representing an indemnity escrow balance. Additionally, at September 30, 2017 and December 31, 2016, our current and noncurrent accrued and other liabilities include approximately $3.2 million and $5.5 million, respectively, relating primarily to estimated contingent liabilities, costs associated with the TSA and severance agreements associated with the sale of the Climate Control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252525"/>
        </w:rPr>
        <w:t>Summarized results of discontinued operations are as follows for:</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30,</w:t>
            </w:r>
          </w:p>
        </w:tc>
      </w:tr>
      <w:tr>
        <w:trPr>
          <w:trHeight w:val="209"/>
        </w:trPr>
        <w:tc>
          <w:tcPr>
            <w:tcW w:w="5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1"/>
              </w:rPr>
              <w:t>Three Months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c>
          <w:tcPr>
            <w:tcW w:w="240" w:type="dxa"/>
            <w:vAlign w:val="bottom"/>
          </w:tcPr>
          <w:p>
            <w:pPr>
              <w:spacing w:after="0"/>
              <w:rPr>
                <w:sz w:val="20"/>
                <w:szCs w:val="20"/>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Nine Months Ended</w:t>
            </w:r>
          </w:p>
        </w:tc>
      </w:tr>
      <w:tr>
        <w:trPr>
          <w:trHeight w:val="223"/>
        </w:trPr>
        <w:tc>
          <w:tcPr>
            <w:tcW w:w="5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2016</w:t>
            </w:r>
          </w:p>
        </w:tc>
        <w:tc>
          <w:tcPr>
            <w:tcW w:w="2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40" w:type="dxa"/>
            <w:vAlign w:val="bottom"/>
            <w:gridSpan w:val="4"/>
          </w:tcPr>
          <w:p>
            <w:pPr>
              <w:jc w:val="right"/>
              <w:ind w:right="103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138,609</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Cost of sales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93,178</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32,719</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Transaction costs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2,535</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6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Income from operations of discontinued operations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10,060</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discontinued operation</w:t>
            </w:r>
          </w:p>
        </w:tc>
        <w:tc>
          <w:tcPr>
            <w:tcW w:w="16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281,590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281,590</w:t>
            </w:r>
          </w:p>
        </w:tc>
        <w:tc>
          <w:tcPr>
            <w:tcW w:w="120" w:type="dxa"/>
            <w:vAlign w:val="bottom"/>
            <w:shd w:val="clear" w:color="auto" w:fill="CFF0FC"/>
          </w:tcPr>
          <w:p>
            <w:pPr>
              <w:spacing w:after="0"/>
              <w:rPr>
                <w:sz w:val="19"/>
                <w:szCs w:val="19"/>
                <w:color w:val="auto"/>
              </w:rPr>
            </w:pPr>
          </w:p>
        </w:tc>
      </w:tr>
      <w:tr>
        <w:trPr>
          <w:trHeight w:val="22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108,549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95,006</w:t>
            </w:r>
          </w:p>
        </w:tc>
        <w:tc>
          <w:tcPr>
            <w:tcW w:w="120" w:type="dxa"/>
            <w:vAlign w:val="bottom"/>
            <w:tcBorders>
              <w:bottom w:val="single" w:sz="8" w:color="CFF0FC"/>
            </w:tcBorders>
          </w:tcPr>
          <w:p>
            <w:pPr>
              <w:spacing w:after="0"/>
              <w:rPr>
                <w:sz w:val="19"/>
                <w:szCs w:val="19"/>
                <w:color w:val="auto"/>
              </w:rPr>
            </w:pP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 net of taxes</w:t>
            </w:r>
          </w:p>
        </w:tc>
        <w:tc>
          <w:tcPr>
            <w:tcW w:w="16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173,041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196,644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Summarized condensed cash flow information of discontinued operations is as follows for the nine months ended September 30, 2016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3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91,497</w:t>
            </w: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7"/>
              </w:rPr>
              <w:t>Depreciation and amortization of property, plant</w:t>
            </w:r>
          </w:p>
        </w:tc>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and equipment</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1,607</w:t>
            </w: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3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Expenditures for property, plant and equipment</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Software and software development costs</w:t>
            </w:r>
          </w:p>
        </w:tc>
        <w:tc>
          <w:tcPr>
            <w:tcW w:w="33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740" w:type="dxa"/>
            <w:vAlign w:val="bottom"/>
          </w:tcPr>
          <w:p>
            <w:pPr>
              <w:spacing w:after="0"/>
              <w:rPr>
                <w:sz w:val="19"/>
                <w:szCs w:val="19"/>
                <w:color w:val="auto"/>
              </w:rPr>
            </w:pPr>
          </w:p>
        </w:tc>
      </w:tr>
      <w:tr>
        <w:trPr>
          <w:trHeight w:val="837"/>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320" w:type="dxa"/>
            <w:vAlign w:val="bottom"/>
          </w:tcPr>
          <w:p>
            <w:pPr>
              <w:jc w:val="right"/>
              <w:ind w:right="2850"/>
              <w:spacing w:after="0"/>
              <w:rPr>
                <w:sz w:val="20"/>
                <w:szCs w:val="20"/>
                <w:color w:val="auto"/>
              </w:rPr>
            </w:pPr>
            <w:r>
              <w:rPr>
                <w:rFonts w:ascii="Arial" w:cs="Arial" w:eastAsia="Arial" w:hAnsi="Arial"/>
                <w:sz w:val="18"/>
                <w:szCs w:val="18"/>
                <w:color w:val="auto"/>
              </w:rPr>
              <w:t>12</w:t>
            </w: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jc w:val="center"/>
        <w:ind w:right="-55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Note 3: Income (Loss) Per Common Share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58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right"/>
              <w:ind w:right="5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6"/>
          </w:tcPr>
          <w:p>
            <w:pPr>
              <w:jc w:val="right"/>
              <w:ind w:right="78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14"/>
          </w:tcPr>
          <w:p>
            <w:pPr>
              <w:jc w:val="right"/>
              <w:ind w:right="860"/>
              <w:spacing w:after="0"/>
              <w:rPr>
                <w:sz w:val="20"/>
                <w:szCs w:val="20"/>
                <w:color w:val="auto"/>
              </w:rPr>
            </w:pPr>
            <w:r>
              <w:rPr>
                <w:rFonts w:ascii="Arial" w:cs="Arial" w:eastAsia="Arial" w:hAnsi="Arial"/>
                <w:sz w:val="16"/>
                <w:szCs w:val="16"/>
                <w:color w:val="auto"/>
              </w:rPr>
              <w:t>(Dollars In Thousands, Except Per Share Amounts)</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(17,112)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133,551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(30,131)</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Adjustments for basic net income (loss) per common</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gridSpan w:val="2"/>
          </w:tcPr>
          <w:p>
            <w:pPr>
              <w:ind w:left="500"/>
              <w:spacing w:after="0"/>
              <w:rPr>
                <w:sz w:val="20"/>
                <w:szCs w:val="20"/>
                <w:color w:val="auto"/>
              </w:rPr>
            </w:pPr>
            <w:r>
              <w:rPr>
                <w:rFonts w:ascii="Arial" w:cs="Arial" w:eastAsia="Arial" w:hAnsi="Arial"/>
                <w:sz w:val="18"/>
                <w:szCs w:val="18"/>
                <w:color w:val="auto"/>
              </w:rPr>
              <w:t>Dividend requirements on Series E Redeemable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gridSpan w:val="2"/>
          </w:tcPr>
          <w:p>
            <w:pPr>
              <w:ind w:left="620"/>
              <w:spacing w:after="0"/>
              <w:rPr>
                <w:sz w:val="20"/>
                <w:szCs w:val="20"/>
                <w:color w:val="auto"/>
              </w:rPr>
            </w:pPr>
            <w:r>
              <w:rPr>
                <w:rFonts w:ascii="Arial" w:cs="Arial" w:eastAsia="Arial" w:hAnsi="Arial"/>
                <w:sz w:val="18"/>
                <w:szCs w:val="18"/>
                <w:color w:val="auto"/>
              </w:rPr>
              <w:t>Preferred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(17,248)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(22,351)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Dividend requirements on Series B Preferred</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Arial" w:cs="Arial" w:eastAsia="Arial" w:hAnsi="Arial"/>
                <w:sz w:val="18"/>
                <w:szCs w:val="18"/>
                <w:color w:val="auto"/>
              </w:rPr>
              <w:t>Dividend requirements on Series D Preferred</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Accretion of Series E Redeemable Preferred</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(1,635)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(12,137)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(4,852)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Arial" w:cs="Arial" w:eastAsia="Arial" w:hAnsi="Arial"/>
                <w:sz w:val="18"/>
                <w:szCs w:val="18"/>
                <w:color w:val="auto"/>
              </w:rPr>
              <w:t>Net income attributable to participating securities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4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Numerator for basic and dilutive net income (loss) per</w:t>
            </w:r>
          </w:p>
        </w:tc>
        <w:tc>
          <w:tcPr>
            <w:tcW w:w="6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share - net income (loss) attributable to</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stockholders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(24,745)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112,047</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(52,456)</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Denominator for basic and dilutive net income (loss)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380"/>
              <w:spacing w:after="0"/>
              <w:rPr>
                <w:sz w:val="20"/>
                <w:szCs w:val="20"/>
                <w:color w:val="auto"/>
              </w:rPr>
            </w:pPr>
            <w:r>
              <w:rPr>
                <w:rFonts w:ascii="Arial" w:cs="Arial" w:eastAsia="Arial" w:hAnsi="Arial"/>
                <w:sz w:val="18"/>
                <w:szCs w:val="18"/>
                <w:color w:val="auto"/>
              </w:rPr>
              <w:t>per common share - adjusted weighted-average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7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shares (1)</w:t>
            </w:r>
          </w:p>
        </w:tc>
        <w:tc>
          <w:tcPr>
            <w:tcW w:w="6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27,249,304</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27,075,629</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27,248,889</w:t>
            </w:r>
          </w:p>
        </w:tc>
        <w:tc>
          <w:tcPr>
            <w:tcW w:w="22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24,926,471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Basic net income (loss) per common share:</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Loss from continuing operations</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(1.93)</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Arial" w:cs="Arial" w:eastAsia="Arial" w:hAnsi="Arial"/>
                <w:sz w:val="18"/>
                <w:szCs w:val="18"/>
                <w:color w:val="auto"/>
              </w:rPr>
              <w:t>Income from discontinued operations, net of taxes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 net income (loss) per common share:</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Arial" w:cs="Arial" w:eastAsia="Arial" w:hAnsi="Arial"/>
                <w:sz w:val="18"/>
                <w:szCs w:val="18"/>
                <w:color w:val="auto"/>
              </w:rPr>
              <w:t>Loss from continuing operations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Income from discontinued operations, net of taxes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3240" w:hanging="5612"/>
        <w:spacing w:after="0" w:line="528" w:lineRule="auto"/>
        <w:tabs>
          <w:tab w:leader="none" w:pos="517"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the weighted-average shares of unvested restricted stock that are contingently returnable.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121" w:right="7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Income (Loss) Per Common Share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42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5380" w:type="dxa"/>
            <w:vAlign w:val="bottom"/>
          </w:tcPr>
          <w:p>
            <w:pPr>
              <w:spacing w:after="0"/>
              <w:rPr>
                <w:sz w:val="19"/>
                <w:szCs w:val="19"/>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2420" w:type="dxa"/>
            <w:vAlign w:val="bottom"/>
            <w:gridSpan w:val="4"/>
          </w:tcPr>
          <w:p>
            <w:pPr>
              <w:jc w:val="center"/>
              <w:ind w:right="120"/>
              <w:spacing w:after="0"/>
              <w:rPr>
                <w:sz w:val="20"/>
                <w:szCs w:val="20"/>
                <w:color w:val="auto"/>
              </w:rPr>
            </w:pPr>
            <w:r>
              <w:rPr>
                <w:rFonts w:ascii="Arial" w:cs="Arial" w:eastAsia="Arial" w:hAnsi="Arial"/>
                <w:sz w:val="18"/>
                <w:szCs w:val="18"/>
                <w:color w:val="auto"/>
                <w:w w:val="86"/>
              </w:rPr>
              <w:t>September 30,</w:t>
            </w:r>
          </w:p>
        </w:tc>
      </w:tr>
      <w:tr>
        <w:trPr>
          <w:trHeight w:val="230"/>
        </w:trPr>
        <w:tc>
          <w:tcPr>
            <w:tcW w:w="538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0"/>
                <w:szCs w:val="20"/>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1,221,445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921,669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1,178,144</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914,956</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Convertible preferred stocks</w:t>
            </w:r>
          </w:p>
        </w:tc>
        <w:tc>
          <w:tcPr>
            <w:tcW w:w="1020" w:type="dxa"/>
            <w:vAlign w:val="bottom"/>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916,666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436,323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449,543</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options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216,558</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313,853</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217,725</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456,618</w:t>
            </w:r>
          </w:p>
        </w:tc>
        <w:tc>
          <w:tcPr>
            <w:tcW w:w="10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2,658,315</w:t>
            </w: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2,588,511</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2,616,181</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2,737,783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2017 and December 31, 2016, because costs exceeded the net realizable value, inventory adjustments were $635,000 and $2,977,000, respectively.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Note 5: Current and Noncurrent Accrued and Other Liabilities</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5"/>
        </w:trPr>
        <w:tc>
          <w:tcPr>
            <w:tcW w:w="17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gridSpan w:val="2"/>
          </w:tcPr>
          <w:p>
            <w:pPr>
              <w:jc w:val="right"/>
              <w:ind w:right="11"/>
              <w:spacing w:after="0"/>
              <w:rPr>
                <w:sz w:val="20"/>
                <w:szCs w:val="20"/>
                <w:color w:val="auto"/>
              </w:rPr>
            </w:pPr>
            <w:r>
              <w:rPr>
                <w:rFonts w:ascii="Arial" w:cs="Arial" w:eastAsia="Arial" w:hAnsi="Arial"/>
                <w:sz w:val="18"/>
                <w:szCs w:val="18"/>
                <w:color w:val="auto"/>
                <w:w w:val="93"/>
              </w:rPr>
              <w:t>September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r>
      <w:tr>
        <w:trPr>
          <w:trHeight w:val="230"/>
        </w:trPr>
        <w:tc>
          <w:tcPr>
            <w:tcW w:w="1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r>
      <w:tr>
        <w:trPr>
          <w:trHeight w:val="204"/>
        </w:trPr>
        <w:tc>
          <w:tcPr>
            <w:tcW w:w="17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Arial" w:cs="Arial" w:eastAsia="Arial" w:hAnsi="Arial"/>
                <w:sz w:val="16"/>
                <w:szCs w:val="16"/>
                <w:color w:val="auto"/>
              </w:rPr>
              <w:t>(In Thousands)</w:t>
            </w:r>
          </w:p>
        </w:tc>
      </w:tr>
      <w:tr>
        <w:trPr>
          <w:trHeight w:val="236"/>
        </w:trPr>
        <w:tc>
          <w:tcPr>
            <w:tcW w:w="1720" w:type="dxa"/>
            <w:vAlign w:val="bottom"/>
          </w:tcPr>
          <w:p>
            <w:pPr>
              <w:spacing w:after="0"/>
              <w:rPr>
                <w:sz w:val="20"/>
                <w:szCs w:val="20"/>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760" w:type="dxa"/>
            <w:vAlign w:val="bottom"/>
            <w:gridSpan w:val="2"/>
            <w:shd w:val="clear" w:color="auto" w:fill="CFF0FC"/>
          </w:tcPr>
          <w:p>
            <w:pPr>
              <w:jc w:val="right"/>
              <w:ind w:right="7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5,757</w:t>
            </w:r>
          </w:p>
        </w:tc>
        <w:tc>
          <w:tcPr>
            <w:tcW w:w="6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13,425</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Accrued liabilities associated with discontinued operations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5,498</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death and other executive benefits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Series E Redeemable Preferred - embedded derivative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deposits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17,717</w:t>
            </w:r>
          </w:p>
        </w:tc>
        <w:tc>
          <w:tcPr>
            <w:tcW w:w="6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56,363</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noncurrent portion</w:t>
            </w:r>
          </w:p>
        </w:tc>
        <w:tc>
          <w:tcPr>
            <w:tcW w:w="5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12,326</w:t>
            </w:r>
          </w:p>
        </w:tc>
        <w:tc>
          <w:tcPr>
            <w:tcW w:w="6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4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5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44,037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Asset Retirement Obligations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Currently, we have various legal requirements related to operations of our chemical facilities, including the disposal of waste water generated at certain of these facilities. Additionally, we have certain chemical facilities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 In addition, we currently have no plans to discontinue the use of these facilities, and these facilities have an indefinite expected life. As a result, a liability for only a minimal amount relating to AROs associated with certain facilities has been established. However, we will continue to review these obligations and record a liability when a reasonable estimate of the fair value can be made. As the result of the sale of Zena’s working interests in certain natural gas properties during the second quarter of 2017, our previously recognized AROs of approximately $193,000 associated with the obligation to plug and abandon wells were extinguished and derecognized with the offset included in the net loss on the sale of a business classified as operating other expense. At September 30, 2017 and December 31, 2016, our accrued liability for AROs was $116,000 and $546,000,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September 30,</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r>
      <w:tr>
        <w:trPr>
          <w:trHeight w:val="230"/>
        </w:trPr>
        <w:tc>
          <w:tcPr>
            <w:tcW w:w="5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r>
      <w:tr>
        <w:trPr>
          <w:trHeight w:val="204"/>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5"/>
          </w:tcPr>
          <w:p>
            <w:pPr>
              <w:jc w:val="right"/>
              <w:ind w:right="980"/>
              <w:spacing w:after="0"/>
              <w:rPr>
                <w:sz w:val="20"/>
                <w:szCs w:val="20"/>
                <w:color w:val="auto"/>
              </w:rPr>
            </w:pPr>
            <w:r>
              <w:rPr>
                <w:rFonts w:ascii="Arial" w:cs="Arial" w:eastAsia="Arial" w:hAnsi="Arial"/>
                <w:sz w:val="16"/>
                <w:szCs w:val="16"/>
                <w:color w:val="auto"/>
              </w:rPr>
              <w:t>(In Thousands)</w:t>
            </w:r>
          </w:p>
        </w:tc>
      </w:tr>
      <w:tr>
        <w:trPr>
          <w:trHeight w:val="221"/>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4.75% (A)</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Senior Secured Notes due 2019 (B)</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2017 (C)</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80" w:type="dxa"/>
            <w:vAlign w:val="bottom"/>
            <w:shd w:val="clear" w:color="auto" w:fill="CFF0FC"/>
          </w:tcPr>
          <w:p>
            <w:pPr>
              <w:spacing w:after="0"/>
              <w:rPr>
                <w:sz w:val="19"/>
                <w:szCs w:val="19"/>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Secured Promissory Note due 2019, with a current interest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rate of 5.73% (D)</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9,167</w:t>
            </w:r>
          </w:p>
        </w:tc>
        <w:tc>
          <w:tcPr>
            <w:tcW w:w="80" w:type="dxa"/>
            <w:vAlign w:val="bottom"/>
          </w:tcPr>
          <w:p>
            <w:pPr>
              <w:spacing w:after="0"/>
              <w:rPr>
                <w:sz w:val="20"/>
                <w:szCs w:val="20"/>
                <w:color w:val="auto"/>
              </w:rPr>
            </w:pPr>
          </w:p>
        </w:tc>
      </w:tr>
      <w:tr>
        <w:trPr>
          <w:trHeight w:val="21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2021, with a current interest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5.25% (E)</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14,272</w:t>
            </w:r>
          </w:p>
        </w:tc>
        <w:tc>
          <w:tcPr>
            <w:tcW w:w="80" w:type="dxa"/>
            <w:vAlign w:val="bottom"/>
            <w:shd w:val="clear" w:color="auto" w:fill="CFF0FC"/>
          </w:tcPr>
          <w:p>
            <w:pPr>
              <w:spacing w:after="0"/>
              <w:rPr>
                <w:sz w:val="20"/>
                <w:szCs w:val="20"/>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8"/>
                <w:szCs w:val="18"/>
                <w:color w:val="auto"/>
              </w:rPr>
              <w:t>Secured Promissory Note due 2023, with a current interest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6"/>
        </w:trPr>
        <w:tc>
          <w:tcPr>
            <w:tcW w:w="5140" w:type="dxa"/>
            <w:vAlign w:val="bottom"/>
          </w:tcPr>
          <w:p>
            <w:pPr>
              <w:ind w:left="140"/>
              <w:spacing w:after="0"/>
              <w:rPr>
                <w:sz w:val="20"/>
                <w:szCs w:val="20"/>
                <w:color w:val="auto"/>
              </w:rPr>
            </w:pPr>
            <w:r>
              <w:rPr>
                <w:rFonts w:ascii="Arial" w:cs="Arial" w:eastAsia="Arial" w:hAnsi="Arial"/>
                <w:sz w:val="18"/>
                <w:szCs w:val="18"/>
                <w:color w:val="auto"/>
              </w:rPr>
              <w:t>rat</w:t>
            </w:r>
            <w:r>
              <w:rPr>
                <w:rFonts w:ascii="Arial" w:cs="Arial" w:eastAsia="Arial" w:hAnsi="Arial"/>
                <w:sz w:val="19"/>
                <w:szCs w:val="19"/>
                <w:color w:val="auto"/>
              </w:rPr>
              <w:t>e of</w:t>
            </w:r>
            <w:r>
              <w:rPr>
                <w:rFonts w:ascii="Arial" w:cs="Arial" w:eastAsia="Arial" w:hAnsi="Arial"/>
                <w:sz w:val="18"/>
                <w:szCs w:val="18"/>
                <w:color w:val="auto"/>
              </w:rPr>
              <w:t xml:space="preserve"> 5.48</w:t>
            </w:r>
            <w:r>
              <w:rPr>
                <w:rFonts w:ascii="Arial" w:cs="Arial" w:eastAsia="Arial" w:hAnsi="Arial"/>
                <w:sz w:val="19"/>
                <w:szCs w:val="19"/>
                <w:color w:val="auto"/>
              </w:rPr>
              <w:t>% (F)</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17,160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18,645</w:t>
            </w:r>
          </w:p>
        </w:tc>
        <w:tc>
          <w:tcPr>
            <w:tcW w:w="80" w:type="dxa"/>
            <w:vAlign w:val="bottom"/>
          </w:tcPr>
          <w:p>
            <w:pPr>
              <w:spacing w:after="0"/>
              <w:rPr>
                <w:sz w:val="21"/>
                <w:szCs w:val="21"/>
                <w:color w:val="auto"/>
              </w:rPr>
            </w:pPr>
          </w:p>
        </w:tc>
      </w:tr>
      <w:tr>
        <w:trPr>
          <w:trHeight w:val="21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 with a current weighted-average interest rate of</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4.51%, most of which is secured primarily by machinery</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equipment</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4,185</w:t>
            </w:r>
          </w:p>
        </w:tc>
        <w:tc>
          <w:tcPr>
            <w:tcW w:w="80" w:type="dxa"/>
            <w:vAlign w:val="bottom"/>
            <w:shd w:val="clear" w:color="auto" w:fill="CFF0FC"/>
          </w:tcPr>
          <w:p>
            <w:pPr>
              <w:spacing w:after="0"/>
              <w:rPr>
                <w:sz w:val="20"/>
                <w:szCs w:val="20"/>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(5,420)</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(7,615)</w:t>
            </w:r>
          </w:p>
        </w:tc>
      </w:tr>
      <w:tr>
        <w:trPr>
          <w:trHeight w:val="223"/>
        </w:trPr>
        <w:tc>
          <w:tcPr>
            <w:tcW w:w="5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410,413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420,220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 net</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13,745</w:t>
            </w:r>
          </w:p>
        </w:tc>
        <w:tc>
          <w:tcPr>
            <w:tcW w:w="80" w:type="dxa"/>
            <w:vAlign w:val="bottom"/>
            <w:tcBorders>
              <w:bottom w:val="single" w:sz="8" w:color="CFF0FC"/>
            </w:tcBorders>
          </w:tcPr>
          <w:p>
            <w:pPr>
              <w:spacing w:after="0"/>
              <w:rPr>
                <w:sz w:val="19"/>
                <w:szCs w:val="19"/>
                <w:color w:val="auto"/>
              </w:rPr>
            </w:pPr>
          </w:p>
        </w:tc>
      </w:tr>
      <w:tr>
        <w:trPr>
          <w:trHeight w:val="22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due after one year,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401,077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406,475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309" w:lineRule="auto"/>
        <w:tabs>
          <w:tab w:leader="none" w:pos="285"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Our revolving credit facility (the “Working Capital Revolver Loan”), as amended in January 2017, provides advances up to $50 million (but provides an ability to expand the commitment an additional $25 million), based on specific percentages of eligible accounts receivable and inventories and up to $10 million of letters of credit, the outstanding amount of which reduces the available for borrowing under the Working Capital Revolver Loan. At September 30, 2017, our available borrowings under our Working Capital Revolver Loan were approximately $38.6 million, based on our eligible collateral, less outstanding letters of credit. The maturity date of the Working Capital Revolver Loan is January 17, 2022, with a springing earlier maturity date (the “Springing Maturity Date”) that is 90 days prior to the maturity date of our Senior Secured Notes, to the extent the Senior Secured Notes are not refinanced or repaid prior to the Springing Maturity Date. The Working Capital Revolver Loan also provides for a springing financial covenant (the “Financial Covenant”), which requires that, if the borrowing availability is less than or equal to the greater of 10.0% of the total revolver commitments and $5 million, then the borrowers must maintain (a) with respect to relevant periods ending on or prior to September 30, 2017, a minimum EBITDA in the amount set forth in the Working Capital Revolver Loan Amendment and (b) with respect to relevant periods ending after September 30, 2017, a minimum fixed charge coverage ratio of not less than 1.00 to 1.00. The Financial Covenant, if triggered, is tested monthly.</w:t>
      </w:r>
    </w:p>
    <w:p>
      <w:pPr>
        <w:spacing w:after="0" w:line="48" w:lineRule="exact"/>
        <w:rPr>
          <w:rFonts w:ascii="Arial" w:cs="Arial" w:eastAsia="Arial" w:hAnsi="Arial"/>
          <w:sz w:val="15"/>
          <w:szCs w:val="15"/>
          <w:b w:val="1"/>
          <w:bCs w:val="1"/>
          <w:color w:val="auto"/>
        </w:rPr>
      </w:pPr>
    </w:p>
    <w:p>
      <w:pPr>
        <w:jc w:val="both"/>
        <w:ind w:firstLine="8"/>
        <w:spacing w:after="0" w:line="264" w:lineRule="auto"/>
        <w:tabs>
          <w:tab w:leader="none" w:pos="286"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Senior Secured Notes mature on August 1, 2019. Interest is to be paid semiannually on February 1st and August 1st. In September 2016, we entered into the First Supplemental Indenture to the original Indenture (the “Original 7.75 Indenture”) that, among other things, increased the annual interest rate to 8.5% from 7.75%, effective August 1, 2016.</w:t>
      </w:r>
    </w:p>
    <w:p>
      <w:pPr>
        <w:spacing w:after="0" w:line="73" w:lineRule="exact"/>
        <w:rPr>
          <w:rFonts w:ascii="Arial" w:cs="Arial" w:eastAsia="Arial" w:hAnsi="Arial"/>
          <w:sz w:val="18"/>
          <w:szCs w:val="18"/>
          <w:b w:val="1"/>
          <w:bCs w:val="1"/>
          <w:color w:val="auto"/>
        </w:rPr>
      </w:pPr>
    </w:p>
    <w:p>
      <w:pPr>
        <w:ind w:firstLine="8"/>
        <w:spacing w:after="0" w:line="308" w:lineRule="auto"/>
        <w:tabs>
          <w:tab w:leader="none" w:pos="296"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During the second quarter of 2017, concurrently with the closing of the purchase and sale agreement relating to Zena discussed in Note 1, a portion of the net proceeds (approximately $3.5 million) from the sale was used to repay the remaining outstanding balance of this promissory note.</w:t>
      </w:r>
    </w:p>
    <w:p>
      <w:pPr>
        <w:spacing w:after="0" w:line="38" w:lineRule="exact"/>
        <w:rPr>
          <w:rFonts w:ascii="Arial" w:cs="Arial" w:eastAsia="Arial" w:hAnsi="Arial"/>
          <w:sz w:val="17"/>
          <w:szCs w:val="17"/>
          <w:b w:val="1"/>
          <w:bCs w:val="1"/>
          <w:color w:val="auto"/>
        </w:rPr>
      </w:pPr>
    </w:p>
    <w:p>
      <w:pPr>
        <w:ind w:firstLine="8"/>
        <w:spacing w:after="0" w:line="277" w:lineRule="auto"/>
        <w:tabs>
          <w:tab w:leader="none" w:pos="30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promissory note due June 29, 2019. Principal and interest are payable in equal monthly installments with a final balloon payment of approximately $6.7 million.</w:t>
      </w:r>
    </w:p>
    <w:p>
      <w:pPr>
        <w:spacing w:after="0" w:line="62" w:lineRule="exact"/>
        <w:rPr>
          <w:rFonts w:ascii="Arial" w:cs="Arial" w:eastAsia="Arial" w:hAnsi="Arial"/>
          <w:sz w:val="18"/>
          <w:szCs w:val="18"/>
          <w:b w:val="1"/>
          <w:bCs w:val="1"/>
          <w:color w:val="auto"/>
        </w:rPr>
      </w:pPr>
    </w:p>
    <w:p>
      <w:pPr>
        <w:ind w:right="20" w:firstLine="8"/>
        <w:spacing w:after="0" w:line="277"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promissory note due March 26, 2021. Principal and interest are payable in monthly installments.</w:t>
      </w:r>
    </w:p>
    <w:p>
      <w:pPr>
        <w:spacing w:after="0" w:line="62" w:lineRule="exact"/>
        <w:rPr>
          <w:rFonts w:ascii="Arial" w:cs="Arial" w:eastAsia="Arial" w:hAnsi="Arial"/>
          <w:sz w:val="18"/>
          <w:szCs w:val="18"/>
          <w:b w:val="1"/>
          <w:bCs w:val="1"/>
          <w:color w:val="auto"/>
        </w:rPr>
      </w:pPr>
    </w:p>
    <w:p>
      <w:pPr>
        <w:jc w:val="both"/>
        <w:ind w:firstLine="8"/>
        <w:spacing w:after="0" w:line="264" w:lineRule="auto"/>
        <w:tabs>
          <w:tab w:leader="none" w:pos="27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El Dorado Ammonia L.L.C. (“EDA”), one of our subsidiaries, is party to a secured promissory note due in May 2023. Principal and interest are payable in equal monthly installments with a final balloon payment of approximately $6.1 million. This promissory note bears interest at a rate that is based on the monthly LIBOR rate plus a base rate.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 xml:space="preserve">Natural Gas Purchase Commitments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September 30, 2017, our natural gas contracts, which are exempt from mark-to-market accounting, included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 purchase commitments with fixed prices of approximately 2.4 million MMBtus of natural gas. These contracts extend through December 2017 at a weighted-average cost of $2.78 per MMBtu ($6.5 million) and a weighted-average market value of $2.75 per MMBtu ($6.5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certain legal matters involving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facilities and operations are subject to numerous federal, state and local environmental laws and to other laws regarding health and safety matters (collectively, the “Environmental and Health Laws”). In particular, the manufacture, production and distribution of products activities that entail environmental and public health risks and impose obligations under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did not operate the natural gas wells where we previously owned a working interest and compliance with Environmental and Health Laws was controlled by others. We were responsible for our working interest proportionate share of the costs involved. As of September 30, 2017, our accrued liabilities for environmental matters totaled $126,000 relating primarily to the matters discussed below. It is reasonably possible that a change in the estimate of our liability could occur in the near term. Also, see discussion in Note 6</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Asset Retirement Obligations.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amount of effluents that can be discharged and control the method of such discharge.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facility located in Pryor, Oklahoma (the “Pryor Facility”) is authorized by permit to inject wastewater into an on-site underground injection well through 2018. The Oklahoma Department of Environmental Quality (“ODEQ”) has indicated that the permit may not be renewed following its expiration, and Pryor Chemical Company (“PCC”) may have to find an alternative means of waste water disposal after the permit expires. PCC has engaged in ongoing discussions both internally and with the ODEQ regarding future disposal of this wastewater stream.</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more restrictive limits could impose additional costs on the El Dorado Facility, and may require the facility to make operational changes in order to meet these more restrictive limits. From time to time, the El Dorado Facility has had difficulty meeting the more restrictive dissolved minerals NPDES permit levels, primarily related to storm-water runoff and EDC is currently working with ADEQ to resolve this issue through a new permit, which is currently in progress.</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EDC believes that the El Dorado Facility has generally demonstrated its ability to comply with applicable ammonia and nitrate permit levels, but has, from time to time, had difficulty meeting the more restrictive dissolved minerals permit levels, primarily related to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On August 30, 2017, ADEQ issued a final NPDES permit, which included new dissolved mineral limits as anticipated. However, EDC has objections to the form of the permit and filed an appeal on September 27, 2017. The appeal places an automatic stay on the objectionable conditions and EDC is working with the ADEQ to obtain modifications to the renewed permit terms. We believe that the issue with the storm-water runoff should be resolved, if and when the appeal is resolved. We expect that the appeal will take a minimum of six months to resolve.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2012, EDC paid a penalty of $100,000 to settle an administrative complaint issued by the EPA, and thereafter handled by the U.S. Department of Justice (“DOJ”), relating to certain alleged violations of EDC’s 2004 NPDES permit from 2004 through 2010. At the time of settlement, the DOJ advised that an additional action may be brought for alleged permit violations occurring after 2010. As of the date of this report, no action has been filed by the DOJ against EDC. As a result, the cost (or range of costs) cannot currently be reasonably estimated regarding this matter. Therefore, no liability has been established for potential future penalties as of September 30, 2017.</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El Dorado Facility is currently operating under a consent administrative order (the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In February 2015, the ADEQ stated that El Dorado Chemical was meeting the requirements of the CAO and should continue semi-annual monitoring.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September 30, 2017, in connection with this matter.</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 Air Matters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PCC has been advised by the ODEQ that the agency is conducting an investigation into whether the Pryor Facility is in compliance with certain ODEQ air quality rules and regulations and whether PCC’s reports of certain air emissions, primarily in 2011, were intentionally misreported to the ODEQ. PCC is cooperating with the ODEQ in connection with this ongoing investigation. As of September 30, 2017, we are not aware of any recommendations made or to be made by the ODEQ with respect to legal action to be taken or recommended as a result of this ongoing investigation.</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3. Other Environmental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 We are advised by our consultant that until the study is completed there is not sufficient information to develop a meaningful and reliable estimate (or range of estimate) as to the cost of the remediation. 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April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 In 2014, EDC and LSB were named as defendants, together with other AN manufacturers and brokers that arranged the transport and delivery of AN to West Fertilizer, in the case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Our product liability insurance policies have aggregate limits of general liability totaling $100 million, with a self-insured retention of $250,000. In August 2015, the trial court dismissed plaintiff’s negligence claims against us and EDC based on a duty to inspect, but allowed the plaintiffs to proceed on claims for design defect and failure to warn.</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A portion of these settlements have been paid by the insurer as of September 30, 2017. While these settlements resolve the claims of a number of the claimants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September 30, 2017, no liability reserve has been established in connection with this matter, except for the unpaid portion of the settlement agreements discussed above, but we have incurred professional fees up to our self-insured retention amount.</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2015, our subsidiary, EDC, was sued in the matter styled </w:t>
      </w:r>
      <w:r>
        <w:rPr>
          <w:rFonts w:ascii="Arial" w:cs="Arial" w:eastAsia="Arial" w:hAnsi="Arial"/>
          <w:sz w:val="16"/>
          <w:szCs w:val="16"/>
          <w:i w:val="1"/>
          <w:iCs w:val="1"/>
          <w:color w:val="auto"/>
        </w:rPr>
        <w:t>BAE Systems Ordinance Systems, Inc.</w:t>
      </w:r>
      <w:r>
        <w:rPr>
          <w:rFonts w:ascii="Arial" w:cs="Arial" w:eastAsia="Arial" w:hAnsi="Arial"/>
          <w:sz w:val="16"/>
          <w:szCs w:val="16"/>
          <w:color w:val="auto"/>
        </w:rPr>
        <w:t xml:space="preserve"> (“BAE”), </w:t>
      </w:r>
      <w:r>
        <w:rPr>
          <w:rFonts w:ascii="Arial" w:cs="Arial" w:eastAsia="Arial" w:hAnsi="Arial"/>
          <w:sz w:val="16"/>
          <w:szCs w:val="16"/>
          <w:i w:val="1"/>
          <w:iCs w:val="1"/>
          <w:color w:val="auto"/>
        </w:rPr>
        <w:t>et al. vs. El Dorado Chemical Company</w:t>
      </w:r>
      <w:r>
        <w:rPr>
          <w:rFonts w:ascii="Arial" w:cs="Arial" w:eastAsia="Arial" w:hAnsi="Arial"/>
          <w:sz w:val="16"/>
          <w:szCs w:val="16"/>
          <w:color w:val="auto"/>
        </w:rPr>
        <w:t xml:space="preserve">, in the United States District Court, Western District of Arkansas, for an alleged breach of a supply agreement to provide BAE certain products. It is EDC’s position, among other things, that its inability to deliver to BAE was due to a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event caused by a fire and explosion at EDC’s nitric acid plant, and that a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clause in the supply agreement therefore excuses EDC’s performance under the supply agreement. BAE’s pre-litigation demand indicated a claim of approximately $18 million. EDC intends to vigorously defend this matter. The cost (or range of costs), if any, EDC would incur relating to this matter cannot currently be reasonably estimated. Therefore, no liability has been established at September 30, 2017.</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September 2015, we and El Dorado Ammonia L.L.C.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 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like amount. After all such lower tier supplier and subcontractors are satisfied, the Global claim and lien amount will be reduced to approximately $5 million. In March 2016, EDC and we were served a summons in a case styled </w:t>
      </w:r>
      <w:r>
        <w:rPr>
          <w:rFonts w:ascii="Arial" w:cs="Arial" w:eastAsia="Arial" w:hAnsi="Arial"/>
          <w:sz w:val="16"/>
          <w:szCs w:val="16"/>
          <w:i w:val="1"/>
          <w:iCs w:val="1"/>
          <w:color w:val="auto"/>
        </w:rPr>
        <w:t>Global Industrial, Inc. d/b/a Global Turnaround vs. Leidos Constructors, LLC et al.,</w:t>
      </w:r>
      <w:r>
        <w:rPr>
          <w:rFonts w:ascii="Arial" w:cs="Arial" w:eastAsia="Arial" w:hAnsi="Arial"/>
          <w:sz w:val="16"/>
          <w:szCs w:val="16"/>
          <w:color w:val="auto"/>
        </w:rPr>
        <w:t xml:space="preserve"> where in Global seeks damages under breach of contract and other claims. We have requested indemnifications from Leidos under the terms of our contracts and we intend to vigorously defend against the allegation made by Global. No liability has been established in connection with the remaining $5 million claim. In addition, LSB and EDA intend to pursue recovery of any damage or loss caused by Global’s work performed at our El Dorado Facility.</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involved in various other claims and legal actions.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Credits and Associated Contractual Obligation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Periodically, we are issued climate reserve tonnes (“carbon credits”) by the Climate Action Reserve in relation to a greenhouse gas reduction project (“Project”) performed at the Baytown Facility. Pursuant to the terms of the agreement with Covestro, a certain portion of the carbon credits are to be sold and the proceeds given to Covestro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September 30, 2017 we had approximately 495,000 carbon credits (none at December 31, 2016), all of which were subject to contractual obligations. The cash flows associated with the carbon credits and the associated contractual obligations are included in cash flows from continuing investing activities.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As the result of the Indenture Amendments in connection with the previously reported redemption of a portion of our Senior Secured Notes and the redemption of the portion of Series E Redeemable Preferred, we estimate that the contingent redemption feature has no fair value at September 30, 2017 based on low probability that the remaining shares of Series E Redeemable Preferred would be redeemed prior to August 2, 2019. At September 30, 2017 and December 31, 2016, the fair value of the participation rights was based on the equivalent of 303,646 shares of our common stock at $7.94 and $8.42 per share,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classifications of valuations of fair value:</w:t>
      </w:r>
    </w:p>
    <w:p>
      <w:pPr>
        <w:spacing w:after="0" w:line="11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The valuations of contracts classified as Level 1 are based on quoted prices in active markets for identical contracts. At September 30, 2017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we did not have any contracts classified as Level 1.</w:t>
      </w:r>
    </w:p>
    <w:p>
      <w:pPr>
        <w:spacing w:after="0" w:line="54"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The valuations of contracts classified as Level 2 are based on quoted prices for similar contracts and valuation inputs other than quoted prices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observable for these contracts. At September 30, 2017 and December 31, 2016, we did not have any significant contracts classified as Level 2.</w:t>
      </w:r>
    </w:p>
    <w:p>
      <w:pPr>
        <w:spacing w:after="0" w:line="3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The valuations of assets and liabilities classified as Level 3 are based on prices or valuation techniques that require inputs that are both unobservable</w:t>
      </w:r>
      <w:r>
        <w:rPr>
          <w:rFonts w:ascii="Arial" w:cs="Arial" w:eastAsia="Arial" w:hAnsi="Arial"/>
          <w:sz w:val="16"/>
          <w:szCs w:val="16"/>
          <w:b w:val="1"/>
          <w:bCs w:val="1"/>
          <w:color w:val="auto"/>
        </w:rPr>
        <w:t xml:space="preserve"> </w:t>
      </w:r>
      <w:r>
        <w:rPr>
          <w:rFonts w:ascii="Arial" w:cs="Arial" w:eastAsia="Arial" w:hAnsi="Arial"/>
          <w:sz w:val="16"/>
          <w:szCs w:val="16"/>
          <w:color w:val="auto"/>
        </w:rPr>
        <w:t>and significant to the overall fair value measurement. At September 30, 2017, the valuation ($2.35 per carbon credit) of the carbon credits and the contractual obligations associated with these carbon credits is classified as Level 3 and is based on the most recent sales transaction and reevaluated for market changes, if any, and on the range of ask/bid prices obtained from a broker adjusted for minimal market volume activity. At December 31, 2016, we did not have any carbon credits or related contractual obligations associated with carbon credits. The valuation is using undiscounted cash flows based on management’s assumption that the carbon credits would be sold and the associated contractual obligations would be extinguished in the near term. At September 30, 2017 and December 31, 2016, 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embedded derivative.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details our assets and liabilities that are measured at fair value on a recurring basis at September 30, 2017 and December 31, 2016: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8"/>
          </w:tcPr>
          <w:p>
            <w:pPr>
              <w:jc w:val="center"/>
              <w:ind w:right="280"/>
              <w:spacing w:after="0"/>
              <w:rPr>
                <w:sz w:val="20"/>
                <w:szCs w:val="20"/>
                <w:color w:val="auto"/>
              </w:rPr>
            </w:pPr>
            <w:r>
              <w:rPr>
                <w:rFonts w:ascii="Arial" w:cs="Arial" w:eastAsia="Arial" w:hAnsi="Arial"/>
                <w:sz w:val="18"/>
                <w:szCs w:val="18"/>
                <w:color w:val="auto"/>
                <w:w w:val="88"/>
              </w:rPr>
              <w:t>Fair Value Measurements at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8"/>
          </w:tcPr>
          <w:p>
            <w:pPr>
              <w:jc w:val="center"/>
              <w:ind w:right="280"/>
              <w:spacing w:after="0"/>
              <w:rPr>
                <w:sz w:val="20"/>
                <w:szCs w:val="20"/>
                <w:color w:val="auto"/>
              </w:rPr>
            </w:pPr>
            <w:r>
              <w:rPr>
                <w:rFonts w:ascii="Arial" w:cs="Arial" w:eastAsia="Arial" w:hAnsi="Arial"/>
                <w:sz w:val="18"/>
                <w:szCs w:val="18"/>
                <w:color w:val="auto"/>
                <w:w w:val="89"/>
              </w:rPr>
              <w:t>September 30, 2017 Using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0"/>
              </w:rPr>
              <w:t>Quoted Prices</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3"/>
              <w:spacing w:after="0"/>
              <w:rPr>
                <w:sz w:val="20"/>
                <w:szCs w:val="20"/>
                <w:color w:val="auto"/>
              </w:rPr>
            </w:pPr>
            <w:r>
              <w:rPr>
                <w:rFonts w:ascii="Arial" w:cs="Arial" w:eastAsia="Arial" w:hAnsi="Arial"/>
                <w:sz w:val="16"/>
                <w:szCs w:val="16"/>
                <w:color w:val="auto"/>
                <w:w w:val="95"/>
              </w:rPr>
              <w:t>in Active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Significant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960" w:type="dxa"/>
            <w:vAlign w:val="bottom"/>
          </w:tcPr>
          <w:p>
            <w:pPr>
              <w:jc w:val="center"/>
              <w:ind w:right="33"/>
              <w:spacing w:after="0"/>
              <w:rPr>
                <w:sz w:val="20"/>
                <w:szCs w:val="20"/>
                <w:color w:val="auto"/>
              </w:rPr>
            </w:pPr>
            <w:r>
              <w:rPr>
                <w:rFonts w:ascii="Arial" w:cs="Arial" w:eastAsia="Arial" w:hAnsi="Arial"/>
                <w:sz w:val="16"/>
                <w:szCs w:val="16"/>
                <w:color w:val="auto"/>
                <w:w w:val="94"/>
              </w:rPr>
              <w:t>Markets for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Other</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Total Fair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960" w:type="dxa"/>
            <w:vAlign w:val="bottom"/>
          </w:tcPr>
          <w:p>
            <w:pPr>
              <w:jc w:val="center"/>
              <w:ind w:right="33"/>
              <w:spacing w:after="0"/>
              <w:rPr>
                <w:sz w:val="20"/>
                <w:szCs w:val="20"/>
                <w:color w:val="auto"/>
              </w:rPr>
            </w:pPr>
            <w:r>
              <w:rPr>
                <w:rFonts w:ascii="Arial" w:cs="Arial" w:eastAsia="Arial" w:hAnsi="Arial"/>
                <w:sz w:val="16"/>
                <w:szCs w:val="16"/>
                <w:color w:val="auto"/>
                <w:w w:val="93"/>
              </w:rPr>
              <w:t>Identical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Observable</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Unobservable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Value at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September 30,</w:t>
            </w:r>
          </w:p>
        </w:tc>
        <w:tc>
          <w:tcPr>
            <w:tcW w:w="120" w:type="dxa"/>
            <w:vAlign w:val="bottom"/>
          </w:tcPr>
          <w:p>
            <w:pPr>
              <w:spacing w:after="0"/>
              <w:rPr>
                <w:sz w:val="17"/>
                <w:szCs w:val="17"/>
                <w:color w:val="auto"/>
              </w:rPr>
            </w:pPr>
          </w:p>
        </w:tc>
        <w:tc>
          <w:tcPr>
            <w:tcW w:w="960" w:type="dxa"/>
            <w:vAlign w:val="bottom"/>
          </w:tcPr>
          <w:p>
            <w:pPr>
              <w:jc w:val="center"/>
              <w:ind w:right="53"/>
              <w:spacing w:after="0"/>
              <w:rPr>
                <w:sz w:val="20"/>
                <w:szCs w:val="20"/>
                <w:color w:val="auto"/>
              </w:rPr>
            </w:pPr>
            <w:r>
              <w:rPr>
                <w:rFonts w:ascii="Arial" w:cs="Arial" w:eastAsia="Arial" w:hAnsi="Arial"/>
                <w:sz w:val="16"/>
                <w:szCs w:val="16"/>
                <w:color w:val="auto"/>
                <w:w w:val="90"/>
              </w:rPr>
              <w:t>Contracts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Inputs</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Borders>
              <w:bottom w:val="single" w:sz="8" w:color="auto"/>
            </w:tcBorders>
          </w:tcPr>
          <w:p>
            <w:pPr>
              <w:ind w:left="200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color w:val="auto"/>
                <w:w w:val="89"/>
              </w:rPr>
              <w:t>2017</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color w:val="auto"/>
                <w:w w:val="96"/>
              </w:rPr>
              <w:t>(Level 1)</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2)</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6"/>
              </w:rPr>
              <w:t>(Level 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color w:val="auto"/>
                <w:w w:val="95"/>
              </w:rPr>
              <w:t>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6"/>
                <w:szCs w:val="16"/>
                <w:color w:val="auto"/>
                <w:w w:val="92"/>
              </w:rPr>
              <w:t>(In Thousands)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Assets - Supplies, prepaid items and other:</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Carbon credits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Liabilities - Current and noncurrent accrued and</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Contractual obligations - carbon credits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Embedded derivative</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(2,411)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(2,411)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None of our liabilities measured at fair value on a recurring basis transferred between Level 1 and Level 2 classifications for the periods presented below. As the result of entering into the stock purchase agreement relating to the sale of the Climate Control Business in 2016 as discussed in Note 2, the valuation of the embedded derivative transferred from Level 2 to Level 3 since the probability increased relating to contingent redemption features requiring the use of significant unobservable inputs. The classification transfer of this derivative was deemed to occur at the beginning of the second quarter of 2016. In addition, the following is a reconciliation of the beginning and ending balances for assets and liabilities measured at fair value on a recurring basis using significant unobservable inputs (Level 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Assets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8"/>
          </w:tcPr>
          <w:p>
            <w:pPr>
              <w:jc w:val="center"/>
              <w:ind w:right="180"/>
              <w:spacing w:after="0"/>
              <w:rPr>
                <w:sz w:val="20"/>
                <w:szCs w:val="20"/>
                <w:color w:val="auto"/>
              </w:rPr>
            </w:pPr>
            <w:r>
              <w:rPr>
                <w:rFonts w:ascii="Arial" w:cs="Arial" w:eastAsia="Arial" w:hAnsi="Arial"/>
                <w:sz w:val="18"/>
                <w:szCs w:val="18"/>
                <w:color w:val="auto"/>
                <w:w w:val="99"/>
              </w:rPr>
              <w:t>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7"/>
          </w:tcPr>
          <w:p>
            <w:pPr>
              <w:jc w:val="center"/>
              <w:ind w:right="660"/>
              <w:spacing w:after="0"/>
              <w:rPr>
                <w:sz w:val="20"/>
                <w:szCs w:val="20"/>
                <w:color w:val="auto"/>
              </w:rPr>
            </w:pPr>
            <w:r>
              <w:rPr>
                <w:rFonts w:ascii="Arial" w:cs="Arial" w:eastAsia="Arial" w:hAnsi="Arial"/>
                <w:sz w:val="18"/>
                <w:szCs w:val="18"/>
                <w:color w:val="auto"/>
                <w:w w:val="88"/>
              </w:rPr>
              <w:t>Assets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7"/>
          </w:tcPr>
          <w:p>
            <w:pPr>
              <w:jc w:val="center"/>
              <w:ind w:right="140"/>
              <w:spacing w:after="0"/>
              <w:rPr>
                <w:sz w:val="20"/>
                <w:szCs w:val="20"/>
                <w:color w:val="auto"/>
              </w:rPr>
            </w:pPr>
            <w:r>
              <w:rPr>
                <w:rFonts w:ascii="Arial" w:cs="Arial" w:eastAsia="Arial" w:hAnsi="Arial"/>
                <w:sz w:val="18"/>
                <w:szCs w:val="18"/>
                <w:color w:val="auto"/>
                <w:w w:val="97"/>
              </w:rPr>
              <w:t>Liabilities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89"/>
              </w:rPr>
              <w:t>Three Months Ended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tcBorders>
              <w:top w:val="single" w:sz="8" w:color="auto"/>
            </w:tcBorders>
            <w:gridSpan w:val="8"/>
          </w:tcPr>
          <w:p>
            <w:pPr>
              <w:jc w:val="center"/>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1"/>
              </w:rPr>
              <w:t>Nine Months Ended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1"/>
              </w:rPr>
              <w:t>Nine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5"/>
          </w:tcPr>
          <w:p>
            <w:pPr>
              <w:jc w:val="right"/>
              <w:ind w:right="500"/>
              <w:spacing w:after="0"/>
              <w:rPr>
                <w:sz w:val="20"/>
                <w:szCs w:val="20"/>
                <w:color w:val="auto"/>
              </w:rPr>
            </w:pPr>
            <w:r>
              <w:rPr>
                <w:rFonts w:ascii="Arial" w:cs="Arial" w:eastAsia="Arial" w:hAnsi="Arial"/>
                <w:sz w:val="18"/>
                <w:szCs w:val="18"/>
                <w:color w:val="auto"/>
              </w:rPr>
              <w:t>September 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8"/>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9"/>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7"/>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2016</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2017</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w w:val="84"/>
              </w:rPr>
              <w:t>2016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2017</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7"/>
          </w:tcPr>
          <w:p>
            <w:pPr>
              <w:jc w:val="right"/>
              <w:ind w:right="18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(1,871)</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(1,154)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1"/>
              </w:rPr>
              <w:t>(5,817)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Total realized and unrealized gains (losses)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included in operating results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5"/>
            <w:shd w:val="clear" w:color="auto" w:fill="CFF0FC"/>
          </w:tcPr>
          <w:p>
            <w:pPr>
              <w:jc w:val="right"/>
              <w:ind w:right="100"/>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3,612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(2,605</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(losses) for the period included</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operating results attributed to the</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change in unrealized gains or losses on</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assets and liabilities still held at the</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reporting date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34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700" w:type="dxa"/>
            <w:vAlign w:val="bottom"/>
            <w:gridSpan w:val="26"/>
          </w:tcPr>
          <w:p>
            <w:pPr>
              <w:spacing w:after="0"/>
              <w:rPr>
                <w:sz w:val="20"/>
                <w:szCs w:val="20"/>
                <w:color w:val="auto"/>
              </w:rPr>
            </w:pPr>
            <w:r>
              <w:rPr>
                <w:rFonts w:ascii="Arial" w:cs="Arial" w:eastAsia="Arial" w:hAnsi="Arial"/>
                <w:sz w:val="18"/>
                <w:szCs w:val="18"/>
                <w:color w:val="auto"/>
                <w:w w:val="90"/>
              </w:rPr>
              <w:t>Net gains (losses) included in continuing operating results and the statement of operations classifications are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10"/>
          </w:tcPr>
          <w:p>
            <w:pPr>
              <w:jc w:val="right"/>
              <w:ind w:right="14"/>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6"/>
          </w:tcPr>
          <w:p>
            <w:pPr>
              <w:jc w:val="right"/>
              <w:ind w:right="140"/>
              <w:spacing w:after="0"/>
              <w:rPr>
                <w:sz w:val="20"/>
                <w:szCs w:val="20"/>
                <w:color w:val="auto"/>
              </w:rPr>
            </w:pPr>
            <w:r>
              <w:rPr>
                <w:rFonts w:ascii="Arial" w:cs="Arial" w:eastAsia="Arial" w:hAnsi="Arial"/>
                <w:sz w:val="18"/>
                <w:szCs w:val="18"/>
                <w:color w:val="auto"/>
                <w:w w:val="89"/>
              </w:rPr>
              <w:t>Nine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8"/>
          </w:tcPr>
          <w:p>
            <w:pPr>
              <w:jc w:val="right"/>
              <w:ind w:right="4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8"/>
          </w:tcPr>
          <w:p>
            <w:pPr>
              <w:ind w:left="20"/>
              <w:spacing w:after="0"/>
              <w:rPr>
                <w:sz w:val="20"/>
                <w:szCs w:val="20"/>
                <w:color w:val="auto"/>
              </w:rPr>
            </w:pPr>
            <w:r>
              <w:rPr>
                <w:rFonts w:ascii="Arial" w:cs="Arial" w:eastAsia="Arial" w:hAnsi="Arial"/>
                <w:sz w:val="16"/>
                <w:szCs w:val="16"/>
                <w:color w:val="auto"/>
                <w:w w:val="92"/>
              </w:rPr>
              <w:t>(In Thousands)</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Total net gains (losses) included in operating results:</w:t>
            </w: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gridSpan w:val="4"/>
          </w:tcPr>
          <w:p>
            <w:pPr>
              <w:ind w:left="240"/>
              <w:spacing w:after="0"/>
              <w:rPr>
                <w:sz w:val="20"/>
                <w:szCs w:val="20"/>
                <w:color w:val="auto"/>
              </w:rPr>
            </w:pPr>
            <w:r>
              <w:rPr>
                <w:rFonts w:ascii="Arial" w:cs="Arial" w:eastAsia="Arial" w:hAnsi="Arial"/>
                <w:sz w:val="18"/>
                <w:szCs w:val="18"/>
                <w:color w:val="auto"/>
                <w:w w:val="99"/>
              </w:rPr>
              <w:t>Cost of sales - Undesignated commodities contracts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w w:val="91"/>
              </w:rPr>
              <w:t>Cost of sales - Undesignated foreign exchange contracts</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Other income - Carbon credits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Other expense - Contractual obligations relating to</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carbon credits</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(1,164)</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(982)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0" w:type="dxa"/>
            <w:vAlign w:val="bottom"/>
            <w:gridSpan w:val="4"/>
          </w:tcPr>
          <w:p>
            <w:pPr>
              <w:ind w:left="240"/>
              <w:spacing w:after="0"/>
              <w:rPr>
                <w:sz w:val="20"/>
                <w:szCs w:val="20"/>
                <w:color w:val="auto"/>
              </w:rPr>
            </w:pPr>
            <w:r>
              <w:rPr>
                <w:rFonts w:ascii="Arial" w:cs="Arial" w:eastAsia="Arial" w:hAnsi="Arial"/>
                <w:sz w:val="18"/>
                <w:szCs w:val="18"/>
                <w:color w:val="auto"/>
              </w:rPr>
              <w:t>Non-operating other income (expense) - embedded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ind w:left="380"/>
              <w:spacing w:after="0"/>
              <w:rPr>
                <w:sz w:val="20"/>
                <w:szCs w:val="20"/>
                <w:color w:val="auto"/>
              </w:rPr>
            </w:pPr>
            <w:r>
              <w:rPr>
                <w:rFonts w:ascii="Arial" w:cs="Arial" w:eastAsia="Arial" w:hAnsi="Arial"/>
                <w:sz w:val="18"/>
                <w:szCs w:val="18"/>
                <w:color w:val="auto"/>
              </w:rPr>
              <w:t>derivative</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(2,474)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(1,031)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Borders>
              <w:top w:val="single" w:sz="8" w:color="CFF0FC"/>
              <w:bottom w:val="single" w:sz="8" w:color="CFF0FC"/>
            </w:tcBorders>
            <w:gridSpan w:val="4"/>
            <w:shd w:val="clear" w:color="auto" w:fill="CFF0FC"/>
          </w:tcPr>
          <w:p>
            <w:pPr>
              <w:ind w:left="500"/>
              <w:spacing w:after="0"/>
              <w:rPr>
                <w:sz w:val="20"/>
                <w:szCs w:val="20"/>
                <w:color w:val="auto"/>
              </w:rPr>
            </w:pPr>
            <w:r>
              <w:rPr>
                <w:rFonts w:ascii="Arial" w:cs="Arial" w:eastAsia="Arial" w:hAnsi="Arial"/>
                <w:sz w:val="18"/>
                <w:szCs w:val="18"/>
                <w:color w:val="auto"/>
                <w:w w:val="93"/>
              </w:rPr>
              <w:t>Total net gains (losses) included in operating results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7"/>
              </w:rPr>
              <w:t>(2,181)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September 30, 2017 and December 31, 2016, we did not have any financial instruments with fair values significantly different from their carrying amounts (which excludes issuance costs, if applicable), except for the Senior Secured Notes as shown below.</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4"/>
          </w:tcPr>
          <w:p>
            <w:pPr>
              <w:ind w:left="280"/>
              <w:spacing w:after="0"/>
              <w:rPr>
                <w:sz w:val="20"/>
                <w:szCs w:val="20"/>
                <w:color w:val="auto"/>
              </w:rPr>
            </w:pPr>
            <w:r>
              <w:rPr>
                <w:rFonts w:ascii="Arial" w:cs="Arial" w:eastAsia="Arial" w:hAnsi="Arial"/>
                <w:sz w:val="18"/>
                <w:szCs w:val="18"/>
                <w:color w:val="auto"/>
              </w:rPr>
              <w:t>September 30, 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ind w:left="300"/>
              <w:spacing w:after="0"/>
              <w:rPr>
                <w:sz w:val="20"/>
                <w:szCs w:val="20"/>
                <w:color w:val="auto"/>
              </w:rPr>
            </w:pPr>
            <w:r>
              <w:rPr>
                <w:rFonts w:ascii="Arial" w:cs="Arial" w:eastAsia="Arial" w:hAnsi="Arial"/>
                <w:sz w:val="18"/>
                <w:szCs w:val="18"/>
                <w:color w:val="auto"/>
              </w:rPr>
              <w:t>December 31, 2016</w:t>
            </w:r>
          </w:p>
        </w:tc>
      </w:tr>
      <w:tr>
        <w:trPr>
          <w:trHeight w:val="222"/>
        </w:trPr>
        <w:tc>
          <w:tcPr>
            <w:tcW w:w="3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4"/>
              </w:rPr>
              <w:t>Carrying</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Estimated</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4"/>
              </w:rPr>
              <w:t>Carrying</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Estimated</w:t>
            </w:r>
          </w:p>
        </w:tc>
        <w:tc>
          <w:tcPr>
            <w:tcW w:w="10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Fair Value</w:t>
            </w:r>
          </w:p>
        </w:tc>
      </w:tr>
      <w:tr>
        <w:trPr>
          <w:trHeight w:val="204"/>
        </w:trPr>
        <w:tc>
          <w:tcPr>
            <w:tcW w:w="3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4"/>
          </w:tcPr>
          <w:p>
            <w:pPr>
              <w:ind w:left="640"/>
              <w:spacing w:after="0"/>
              <w:rPr>
                <w:sz w:val="20"/>
                <w:szCs w:val="20"/>
                <w:color w:val="auto"/>
              </w:rPr>
            </w:pPr>
            <w:r>
              <w:rPr>
                <w:rFonts w:ascii="Arial" w:cs="Arial" w:eastAsia="Arial" w:hAnsi="Arial"/>
                <w:sz w:val="16"/>
                <w:szCs w:val="16"/>
                <w:color w:val="auto"/>
              </w:rPr>
              <w:t>(In Millions)</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3"/>
              </w:rPr>
              <w:t>369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20"/>
                <w:szCs w:val="20"/>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 quoted price of 98.50 at September 30, 2017 and 94.88 at December 31, 2016.</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Senior Secured Notes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Also see discussions concerning certain assets and liabilities initially accounted for on a fair value basis under Note 6 - Asset Retirement Obligations.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Benefit for income taxes from continuing operations is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320"/>
              <w:spacing w:after="0"/>
              <w:rPr>
                <w:sz w:val="20"/>
                <w:szCs w:val="20"/>
                <w:color w:val="auto"/>
              </w:rPr>
            </w:pPr>
            <w:r>
              <w:rPr>
                <w:rFonts w:ascii="Arial" w:cs="Arial" w:eastAsia="Arial" w:hAnsi="Arial"/>
                <w:sz w:val="18"/>
                <w:szCs w:val="18"/>
                <w:color w:val="auto"/>
                <w:w w:val="93"/>
              </w:rPr>
              <w:t>Three Months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6"/>
          </w:tcPr>
          <w:p>
            <w:pPr>
              <w:jc w:val="right"/>
              <w:ind w:right="68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Federal</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w:t>
            </w: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w:t>
            </w:r>
          </w:p>
        </w:tc>
        <w:tc>
          <w:tcPr>
            <w:tcW w:w="16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(6,021)</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(19,849)</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(9,791)</w:t>
            </w: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State</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w:t>
            </w:r>
          </w:p>
        </w:tc>
        <w:tc>
          <w:tcPr>
            <w:tcW w:w="1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(22,495</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(10,702</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(31,128</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720"/>
              <w:spacing w:after="0"/>
              <w:rPr>
                <w:sz w:val="20"/>
                <w:szCs w:val="20"/>
                <w:color w:val="auto"/>
              </w:rPr>
            </w:pPr>
            <w:r>
              <w:rPr>
                <w:rFonts w:ascii="Arial" w:cs="Arial" w:eastAsia="Arial" w:hAnsi="Arial"/>
                <w:sz w:val="18"/>
                <w:szCs w:val="18"/>
                <w:color w:val="auto"/>
              </w:rPr>
              <w:t>Benefit for income taxes</w:t>
            </w:r>
          </w:p>
        </w:tc>
        <w:tc>
          <w:tcPr>
            <w:tcW w:w="16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nine months ended September 30, 2017 and 2016, the current provision (benefit) for state income taxes shown above includes regular state income tax and provisions for uncertain state income tax positions.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annual estimated effective rate for 2017 includes the impact of permanent tax differences, such as a loss on embedded derivatives, valuation allowances, and other permanent items.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 (continued)</w:t>
      </w:r>
    </w:p>
    <w:p>
      <w:pPr>
        <w:spacing w:after="0" w:line="12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reduce our deferred tax assets by a valuation allowance if, based upon the weight of available evidence, it is more-likely-than-not that we will not realize some portion or all of the deferred tax assets. We consider relevant evidence, both positive and negative, to determine the need for a valuation allowance. Information evaluated includes our financial position and results of operations for the current and preceding years, the availability of deferred tax liabilities and tax carrybacks, as well as an evaluation of currently available information about future years. We determined it was more-likely-than-not that a portion of the state NOL carryforwards would not be able to be utilized before expiration and we estimate the valuation allowance associated with these state NOL carryforwards to be recorded during 2017 will be approximately $7.6 million.</w:t>
      </w:r>
    </w:p>
    <w:p>
      <w:pPr>
        <w:spacing w:after="0" w:line="8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tax benefit from continuing operations for the nine months ended September 30, 2017 was $10.7 million (26% of pre-tax loss) and the tax benefit for the nine months ended September 30, 2016 was $30.7 million (33% of pre-tax loss). For the first nine months of 2017, the effective tax rate is less than the statutory tax rate primarily due to the impact of the valuation allowances associated with the state NOL carryforwards.</w:t>
      </w:r>
    </w:p>
    <w:p>
      <w:pPr>
        <w:spacing w:after="0" w:line="7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2014-2016 years remain open for all purposes of examination by the U.S. Internal Revenue Service and other major tax jurisdictions.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Securities Financing Including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Series E Redeemable Preferred has a 14% annual dividend rate and a participating right in dividends and liquidating distributions equal to 303,646 shares of common stock as of September 30, 2017. Dividends accrue semi-annually in arrears and are compounded.</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discussed in Note 9, the embedded derivative, which includes certain contingent redemption features and the participation rights value, relating to the redemption of the Series E Redeemable Preferred has been bifurcated from the Series E Redeemable Preferred and recorded as a liability.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September 30, 2017, the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200" w:type="dxa"/>
            <w:vAlign w:val="bottom"/>
            <w:gridSpan w:val="5"/>
          </w:tcPr>
          <w:p>
            <w:pPr>
              <w:jc w:val="right"/>
              <w:ind w:right="560"/>
              <w:spacing w:after="0"/>
              <w:rPr>
                <w:sz w:val="20"/>
                <w:szCs w:val="20"/>
                <w:color w:val="auto"/>
              </w:rPr>
            </w:pPr>
            <w:r>
              <w:rPr>
                <w:rFonts w:ascii="Arial" w:cs="Arial" w:eastAsia="Arial" w:hAnsi="Arial"/>
                <w:sz w:val="18"/>
                <w:szCs w:val="18"/>
                <w:color w:val="auto"/>
              </w:rPr>
              <w:t>Series E Redeemable Preferred</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color w:val="auto"/>
              </w:rPr>
              <w:t>Shares</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0" w:type="dxa"/>
            <w:vAlign w:val="bottom"/>
            <w:gridSpan w:val="5"/>
          </w:tcPr>
          <w:p>
            <w:pPr>
              <w:ind w:left="780"/>
              <w:spacing w:after="0"/>
              <w:rPr>
                <w:sz w:val="20"/>
                <w:szCs w:val="20"/>
                <w:color w:val="auto"/>
              </w:rPr>
            </w:pPr>
            <w:r>
              <w:rPr>
                <w:rFonts w:ascii="Arial" w:cs="Arial" w:eastAsia="Arial" w:hAnsi="Arial"/>
                <w:sz w:val="16"/>
                <w:szCs w:val="16"/>
                <w:color w:val="auto"/>
              </w:rPr>
              <w:t>(Dollars In Thousands)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4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145,029</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2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27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27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27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Accumulated dividends</w:t>
            </w:r>
          </w:p>
        </w:tc>
        <w:tc>
          <w:tcPr>
            <w:tcW w:w="276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17,248</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27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167,129</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760" w:type="dxa"/>
            <w:vAlign w:val="bottom"/>
            <w:vMerge w:val="restart"/>
          </w:tcPr>
          <w:p>
            <w:pPr>
              <w:jc w:val="right"/>
              <w:ind w:right="1770"/>
              <w:spacing w:after="0"/>
              <w:rPr>
                <w:sz w:val="20"/>
                <w:szCs w:val="20"/>
                <w:color w:val="auto"/>
              </w:rPr>
            </w:pPr>
            <w:r>
              <w:rPr>
                <w:rFonts w:ascii="Arial" w:cs="Arial" w:eastAsia="Arial" w:hAnsi="Arial"/>
                <w:sz w:val="18"/>
                <w:szCs w:val="18"/>
                <w:color w:val="auto"/>
              </w:rPr>
              <w:t>23</w:t>
            </w: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Related Party Transactions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2017, we received $2,300,000 as an advance payment on the potential sale of our engineered products business (industrial machinery and related components) as discussed in Note 14 – Subsequent Events.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E2E2E"/>
        </w:rPr>
        <w:t>As the result of Jack E. Golsen, the Executive Chairman of our Board of Directors (the “Board”), informing the Board of his election to retire as Executive Chairman effective December 31, 2017, we determined not to extend the employment agreement with Mr. Golsen beyond its current term expiring on December 31, 2017 (the “Retirement Date”) and, in accordance with the terms of the Employment Agreement, delivered a notice of non-renewal to Mr. Golsen. Mr. Golsen will remain a member of the Board and, following the Retirement Date, will have the title of Chairman Emeritus.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During the second quarter of </w:t>
      </w:r>
      <w:r>
        <w:rPr>
          <w:rFonts w:ascii="Arial" w:cs="Arial" w:eastAsia="Arial" w:hAnsi="Arial"/>
          <w:sz w:val="17"/>
          <w:szCs w:val="17"/>
          <w:color w:val="2E2E2E"/>
        </w:rPr>
        <w:t>2017, we entered into a transition agreement (the “Transition Agreement”) with Mr. Golsen that will commence on January 1,</w:t>
      </w:r>
      <w:r>
        <w:rPr>
          <w:rFonts w:ascii="Arial" w:cs="Arial" w:eastAsia="Arial" w:hAnsi="Arial"/>
          <w:sz w:val="17"/>
          <w:szCs w:val="17"/>
          <w:color w:val="auto"/>
        </w:rPr>
        <w:t xml:space="preserve"> </w:t>
      </w:r>
      <w:r>
        <w:rPr>
          <w:rFonts w:ascii="Arial" w:cs="Arial" w:eastAsia="Arial" w:hAnsi="Arial"/>
          <w:sz w:val="17"/>
          <w:szCs w:val="17"/>
          <w:color w:val="2E2E2E"/>
        </w:rPr>
        <w:t>2018 and end upon the earlier of his death or a change in control as defined in the Transition Agreement. During the term, Mr. Golsen will receive an annual cash retainer of $480,000 and an additional monthly amount of $4,400 to cover certain expenses. In accordance with the terms of the Transition Agreement, we will also reimburse Mr. Golsen for his cost of certain medical insurance coverage until his death. Effective as of the Retirement Date, our existing severance agreement with Mr. Golsen will terminate. In consideration for his services, including as Chairman Emeritus, we will pay Mr. Golsen a one-time payment equal to $2,320,000 upon the consummation of a change in control that occurs prior to his death.</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2017, a death benefit agreement with Mr. Golsen was terminated pursuant to the terms of the agreement that allowed us to terminate at any time and for any reason prior to the death of the employee. As a result, the liability of approximately $1,400,000 for the estimated death benefit associated with this agreement was extinguished and derecognized with the offset classified as other income for the nine months ended September 30, 2017.</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dividends were declared during the first nine months of 2017 or 2016. At September 30, 2017, accumulated dividends on the Series B and Series D Preferred totaled approximately $603,000. The Series B Preferred and Series D Preferred are non-redeemable preferred stocks issued in 1986 and 2001, respectively, of which all outstanding shares are owned by the Golsen Holders.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September 30,</w:t>
            </w:r>
          </w:p>
        </w:tc>
      </w:tr>
      <w:tr>
        <w:trPr>
          <w:trHeight w:val="230"/>
        </w:trPr>
        <w:tc>
          <w:tcPr>
            <w:tcW w:w="5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r>
      <w:tr>
        <w:trPr>
          <w:trHeight w:val="204"/>
        </w:trPr>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6"/>
                <w:szCs w:val="16"/>
                <w:color w:val="auto"/>
                <w:w w:val="92"/>
              </w:rPr>
              <w:t>(In Thousands)</w:t>
            </w:r>
          </w:p>
        </w:tc>
      </w:tr>
      <w:tr>
        <w:trPr>
          <w:trHeight w:val="23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payments for:</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5"/>
        </w:trPr>
        <w:tc>
          <w:tcPr>
            <w:tcW w:w="5460" w:type="dxa"/>
            <w:vAlign w:val="bottom"/>
          </w:tcPr>
          <w:p>
            <w:pPr>
              <w:ind w:left="240"/>
              <w:spacing w:after="0"/>
              <w:rPr>
                <w:sz w:val="20"/>
                <w:szCs w:val="20"/>
                <w:color w:val="auto"/>
              </w:rPr>
            </w:pPr>
            <w:r>
              <w:rPr>
                <w:rFonts w:ascii="Arial" w:cs="Arial" w:eastAsia="Arial" w:hAnsi="Arial"/>
                <w:sz w:val="18"/>
                <w:szCs w:val="18"/>
                <w:color w:val="auto"/>
              </w:rPr>
              <w:t>Incentive tax credit receivable associated with</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6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8,125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debt associated with additions of capitalized</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internal-use software and software development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60" w:type="dxa"/>
            <w:vAlign w:val="bottom"/>
            <w:shd w:val="clear" w:color="auto" w:fill="CFF0FC"/>
          </w:tcPr>
          <w:p>
            <w:pPr>
              <w:spacing w:after="0"/>
              <w:rPr>
                <w:sz w:val="20"/>
                <w:szCs w:val="20"/>
                <w:color w:val="auto"/>
              </w:rPr>
            </w:pPr>
          </w:p>
        </w:tc>
      </w:tr>
      <w:tr>
        <w:trPr>
          <w:trHeight w:val="215"/>
        </w:trPr>
        <w:tc>
          <w:tcPr>
            <w:tcW w:w="5460" w:type="dxa"/>
            <w:vAlign w:val="bottom"/>
          </w:tcPr>
          <w:p>
            <w:pPr>
              <w:ind w:left="240"/>
              <w:spacing w:after="0"/>
              <w:rPr>
                <w:sz w:val="20"/>
                <w:szCs w:val="20"/>
                <w:color w:val="auto"/>
              </w:rPr>
            </w:pPr>
            <w:r>
              <w:rPr>
                <w:rFonts w:ascii="Arial" w:cs="Arial" w:eastAsia="Arial" w:hAnsi="Arial"/>
                <w:sz w:val="18"/>
                <w:szCs w:val="18"/>
                <w:color w:val="auto"/>
              </w:rPr>
              <w:t>Accounts payable associated with additions of</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6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14,968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15,685</w:t>
            </w:r>
          </w:p>
        </w:tc>
        <w:tc>
          <w:tcPr>
            <w:tcW w:w="60" w:type="dxa"/>
            <w:vAlign w:val="bottom"/>
          </w:tcPr>
          <w:p>
            <w:pPr>
              <w:spacing w:after="0"/>
              <w:rPr>
                <w:sz w:val="20"/>
                <w:szCs w:val="20"/>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accrued on Series E Redeemable Preferred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17,248</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4,852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4,911</w:t>
            </w:r>
          </w:p>
        </w:tc>
        <w:tc>
          <w:tcPr>
            <w:tcW w:w="60" w:type="dxa"/>
            <w:vAlign w:val="bottom"/>
          </w:tcPr>
          <w:p>
            <w:pPr>
              <w:spacing w:after="0"/>
              <w:rPr>
                <w:sz w:val="20"/>
                <w:szCs w:val="20"/>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Subsequent Events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we sold our engineered products business (industrial machinery and related components) to Industrial Acquisitions LLC and Industrial Products LLC (both of these entities are owned by immediate family members of Jack E. Golsen) for $3,500,000 (of which $2,300,000 was received as an advance payment in September 2017), which sale resulted in a loss of approximately $800,000. Proceeds from this sale will be used for working capital purposes.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September 30, 2017 condensed consolidated financial statements included elsewhere in this report. This MD&amp;A reflects the results of continuing operations, unless otherwise noted. Certain statements contained in this MD&amp;A may be deemed to be forward-looking statements. See “Special Note Regarding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 for 2017</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results of operations and financial condition will be positively affected by the following key initiatives, which have been substantially completed this year:</w:t>
      </w:r>
    </w:p>
    <w:p>
      <w:pPr>
        <w:spacing w:after="0" w:line="62" w:lineRule="exact"/>
        <w:rPr>
          <w:sz w:val="20"/>
          <w:szCs w:val="20"/>
          <w:color w:val="auto"/>
        </w:rPr>
      </w:pPr>
    </w:p>
    <w:p>
      <w:pPr>
        <w:jc w:val="both"/>
        <w:ind w:left="1040" w:hanging="519"/>
        <w:spacing w:after="0" w:line="25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on-stream rates of our chemical plants. </w:t>
      </w:r>
      <w:r>
        <w:rPr>
          <w:rFonts w:ascii="Arial" w:cs="Arial" w:eastAsia="Arial" w:hAnsi="Arial"/>
          <w:sz w:val="18"/>
          <w:szCs w:val="18"/>
          <w:color w:val="auto"/>
        </w:rPr>
        <w:t>We have made and continue to make: (1) investments of capital to enhance the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of our plants at each facility in order to reduce unplanned outages, unplanned downtime, and the frequency of planned Turnarounds and; (2) continued efforts to focus on safety and efficiency throughout our operations. Additionally, we are in the process of implementing an enhanced plant maintenance management system that will upgrade our predicative and preventative maintenance programs allowing us to decrease unplanned production downtime and maintenance expense.</w:t>
      </w:r>
    </w:p>
    <w:p>
      <w:pPr>
        <w:spacing w:after="0" w:line="80"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Broadening the distribution of our AN and Nitric Acid products. </w:t>
      </w:r>
      <w:r>
        <w:rPr>
          <w:rFonts w:ascii="Arial" w:cs="Arial" w:eastAsia="Arial" w:hAnsi="Arial"/>
          <w:sz w:val="18"/>
          <w:szCs w:val="18"/>
          <w:color w:val="auto"/>
        </w:rPr>
        <w:t>We have expanded our overall sales of HDAN through several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including: (1) storing and distributing HDAN at our Pryor and Cherokee Facilities which allows us to sell to new markets and customers out of those facilities and; (2) educating growers on the additional applications for HDAN. In addition, through our marketing efforts, we are working on expanding our market for our nitric acid products in North America.</w:t>
      </w:r>
    </w:p>
    <w:p>
      <w:pPr>
        <w:spacing w:after="0" w:line="78"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Reducing and controlling our cost structure. </w:t>
      </w:r>
      <w:r>
        <w:rPr>
          <w:rFonts w:ascii="Arial" w:cs="Arial" w:eastAsia="Arial" w:hAnsi="Arial"/>
          <w:sz w:val="18"/>
          <w:szCs w:val="18"/>
          <w:color w:val="auto"/>
        </w:rPr>
        <w:t>In 2016, we put in place SG&amp;A expense reductions that will reduce annual SG&amp;A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 million. We have been realizing this benefit during the first nine months of 2017. In addition, we have enacted plant cost reductions at each manufacturing facility that have an annual aggregate savings of approximately $6 million that are reflected in the first nine months of 2017. We continue to review our overall costs and have a goal of reducing an additional $5 million to $7 million in annual costs over the next 18 months.</w:t>
      </w:r>
    </w:p>
    <w:p>
      <w:pPr>
        <w:spacing w:after="0" w:line="80" w:lineRule="exact"/>
        <w:rPr>
          <w:rFonts w:ascii="Arial" w:cs="Arial" w:eastAsia="Arial" w:hAnsi="Arial"/>
          <w:sz w:val="18"/>
          <w:szCs w:val="18"/>
          <w:color w:val="auto"/>
        </w:rPr>
      </w:pPr>
    </w:p>
    <w:p>
      <w:pPr>
        <w:jc w:val="both"/>
        <w:ind w:left="1040" w:hanging="519"/>
        <w:spacing w:after="0" w:line="30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Selling non-core assets. </w:t>
      </w:r>
      <w:r>
        <w:rPr>
          <w:rFonts w:ascii="Arial" w:cs="Arial" w:eastAsia="Arial" w:hAnsi="Arial"/>
          <w:sz w:val="16"/>
          <w:szCs w:val="16"/>
          <w:color w:val="auto"/>
        </w:rPr>
        <w:t>At the end of 2016, we had identified certain assets that are no longer necessary in the operations of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which most of those assets have been sold as discussed below under “Recent Developments.” During the fourth quarter of 2016, we sold assets for a total of approximately $5.0 million, and during the first ten months of 2017, we sold assets totaling approximately $23.7 million. We continue to evaluate our assets in order to determine if there are additional non-core assets that we should monetize.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Even with the foregone initiatives, they may not achieve the beneficial results that we expect or desire.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Other Non-Core Assets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July 2017 through October 2017, we sold our engineered products business (industrial machinery and related components) and other various non-core assets for approximately $4.9 million of net proceeds. Also see discussion in Note 14 to the Condensed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Approval of Arkansas Incentive Tax Credit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2017, we received notification from the State of Arkansas that incentive tax credits had been approved associated with certain capital expenditures associated with the El Dorado Facility’s expansion projects completed primarily in the fourth quarter of 2015 and the second quarter of 2016. As a result, we recognized a current and noncurrent receivable totaling approximately $8.1 million associated with these incentive tax credits with the offset reducing PP&amp;E (covered by the tax credit) by approximately $7.4 million and the remaining balance of $0.7 million as a reduction to cost of sales (recovery of previously incurred depreciation expense related to the PP&amp;E).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Planned and Unplanned Downtime at our Pryor and El Dorado Facilities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previously reported, in July, the Pryor Facility experienced an additional electrical outage shutting the facility down. As the facility was already down and considering the low selling price environment for our agricultural products, and other maintenance needing to be completed, the election was made to move forward the Turnaround previously scheduled for the fourth quarter of 2017 in the third quarter of 2017. Total downtime for the Turnaround was 17 days.</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23, 2017, the ammonia plant at the Pryor Facility experienced a minor fire and was taken out of service to repair damage to some of the plant’s electrical controls, wiring and piping. As these repairs were being performed, we decided to replace the process gas preheat system that was originally scheduled to be included in the 2018 Turnaround. We currently expect this work to be completed and ammonia production to resume in the third week of November of 2017. We are meeting the firm sales commitments impacted by this downtime by either shipping product from our other facilities or by purchased product from third parties. As a result, we incurred an embedded loss (classified as cost of sales) of approximately $0.6 million associated with these firm sales commitments at September 30, 2017.</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 2017, the ammonia plant at our El Dorado Facility was taken out of service to make mechanical repairs to the burner refractory system on the boiler, which were completed on October 8, 2017. Following the work on the boiler, we determined that repairs on a process heat exchanger were necessary, which repairs to the heat exchanger were completed and ammonia production resumed on October 22, 2017. Despite this downtime, we expect to meet our customer commitments for sales in the fourth quarter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our agricultural products were approximately 34% of our total net sales for the third quarter of 2017.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E2E2E"/>
        </w:rPr>
        <w:t xml:space="preserve">One of the key factors that affects demand of our agricultural products is corn prices. Changes in corn prices can affect the number of acres of corn planted in a given year, and the number of acres planted will drive the level of nitrogen fertilizer consumption, likely affecting </w:t>
      </w:r>
      <w:r>
        <w:rPr>
          <w:rFonts w:ascii="Arial" w:cs="Arial" w:eastAsia="Arial" w:hAnsi="Arial"/>
          <w:sz w:val="17"/>
          <w:szCs w:val="17"/>
          <w:color w:val="000000"/>
        </w:rPr>
        <w:t>prices. The World Agricultural Supply</w:t>
      </w:r>
      <w:r>
        <w:rPr>
          <w:rFonts w:ascii="Arial" w:cs="Arial" w:eastAsia="Arial" w:hAnsi="Arial"/>
          <w:sz w:val="17"/>
          <w:szCs w:val="17"/>
          <w:color w:val="2E2E2E"/>
        </w:rPr>
        <w:t xml:space="preserve"> </w:t>
      </w:r>
      <w:r>
        <w:rPr>
          <w:rFonts w:ascii="Arial" w:cs="Arial" w:eastAsia="Arial" w:hAnsi="Arial"/>
          <w:sz w:val="17"/>
          <w:szCs w:val="17"/>
          <w:color w:val="000000"/>
        </w:rPr>
        <w:t>and Demand Estimates Report (“WASDE”), dated October 12, 2017, estimates that U.S. corn production for 2016/2017 was 15.1 billion bushels (unchanged from the July report), up 11% from 2015/2016 production, reflecting an increase in planted and harvested areas, in addition to higher yields per acre. The report estimates U.S. corn production for 2017/2018 will be 14.3 billion bushels (unchanged from the July report), down 6% from 2016/2017 production reflecting a decrease in planted and harvested acres. The yield per acre is also lower at 171.8 bushels per acre for 2017/2018 (an increase of 1.1 bushels per acre from the July report) compared to 174.6 bushels per acre for 2016/2017. The forecast for area harvested for corn is 83.1 million acres (a slight decrease from the July report of 0.4 million acres), down 4 percent from 2016. Additionally, this report estimates world corn ending stocks for 2016/2017 at 227.0 million tons (a small decrease of 0.5 million tons from the July report). Estimates of the world corn ending stocks for 2017/2018 are projected lower at 201.0 million tons (a slight increase of 0.2 million tons from the July report), a decrease over 2016/2017 ending stocks of approximately 11% and U.S. corn ending stocks of 59.4 million tons, an increase of 1.1 million tons or approximately 2% over the prior year. If realized, the 2017/2018 crop will be the second highest yield and production on record for the U.S.</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Given the low price of natural gas in North America over the last several years, North American fertilizer producers have become the global low-cost producers for delivered fertilizer products to the Midwest U.S. Several years ago, the market perceived that low natural gas prices would continue. That belief, combined with favorable fertilizer pricing, led to the announcement of numerous expansions of existing nitrogen chemical facilities and the construction of new nitrogen chemical facilities. Since those announcements, fertilizer prices have declined and many of the announced expansions and new nitrogen chemical facilities have been cancelled. However, approximately 5 million tons of annual ammonia production capacity has either been added or are expected to be added by the end of 2017. Ammonia production in North America is expected to increase from approximately 15 million tons annually to approximately 20 million tons annually, replacing most of the ammonia that has been imported into North America to cover the total annual demand of approximately 21 million tons. Additional domestic supply of ammonia will likely also change the physical flow of ammonia in North America. However, since most of the added domestic ammonia production will likely come with additional production capacity for upgraded nitrogen products (Urea, UAN and DEF), North America will likely continue to import approximately 3 million tons of ammonia annually. All of this has created uncertainty in the fertilizer markets and has put pressure on all fertilizer prices in North America during the first nine months of 2017, which we expect to continue through the remainder of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Industrial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industrial products were approximately 51% of our total net sales for the third quarter of 2017. Our industrial products sales volumes are dependent upon general economic conditions primarily in the housing, automotive, and paper industries. According to the American Chemistry Council, the U.S. economic indicators continue to be mostly positive for these sectors domestically. Our sales prices generally vary with the market price of our feedstock (ammonia or natural gas, as applicable) in our pricing arrangements with customers.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our mining products were approximately 12% of our total net sales for the third quarter of 2017. Our mining products are LDAN and AN Solutions, which are primary used as AN fuel oil and specialty emulsions for surface mining of coal and for usage in quarries and the construction industry. As reported by the U.S. Energy Information Administration (“EIA”) on October 11, 2017, annual coal production in the U.S. for the full year of 2016 was down approximately 19% from 2015 levels and at its lowest levels since 1978, continuing an eight-year decline. EIA is forecasting an 8% increase in U.S. coal production due to an increase in demand from coal-fired electricity generation in 2017 and by less than 1% increase in 2018 due to higher expected natural gas prices all of which are still well below 2015 coal production levels.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mining sales volumes (LDAN and AN Solution) have been affected by the above. However, this year we have seen an increase in sales of those products from the increase in U.S. coal production. While we believe our plants are well-located to support the more stable coal-producing regions and we have production capacity to benefit from either a short-term or long-term increase in demand in the upcoming years, we believe that long-term coal production in the U.S. continues to face challenges from natural gas usage and renewable energy.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215"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Three Months Ended</w:t>
      </w:r>
    </w:p>
    <w:p>
      <w:pPr>
        <w:spacing w:after="0" w:line="36"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September 30,</w:t>
      </w:r>
    </w:p>
    <w:p>
      <w:pPr>
        <w:spacing w:after="0" w:line="23" w:lineRule="exact"/>
        <w:rPr>
          <w:sz w:val="20"/>
          <w:szCs w:val="20"/>
          <w:color w:val="auto"/>
        </w:rPr>
      </w:pPr>
    </w:p>
    <w:p>
      <w:pPr>
        <w:ind w:left="7560"/>
        <w:spacing w:after="0"/>
        <w:tabs>
          <w:tab w:leader="none" w:pos="886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21" w:lineRule="exact"/>
        <w:rPr>
          <w:sz w:val="20"/>
          <w:szCs w:val="20"/>
          <w:color w:val="auto"/>
        </w:rPr>
      </w:pPr>
    </w:p>
    <w:tbl>
      <w:tblPr>
        <w:tblLayout w:type="fixed"/>
        <w:tblInd w:w="1720" w:type="dxa"/>
        <w:tblCellMar>
          <w:top w:w="0" w:type="dxa"/>
          <w:left w:w="0" w:type="dxa"/>
          <w:bottom w:w="0" w:type="dxa"/>
          <w:right w:w="0" w:type="dxa"/>
        </w:tblCellMar>
      </w:tblPr>
      <w:tr>
        <w:trPr>
          <w:trHeight w:val="225"/>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 (1)</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volume is attributed to the new ammonia plant at our El Dorado Facility which went into service in the second quarter of 2016 and was in a ramp up during the third quarter of 2016.</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for transporting nitrogen based products can be significant relative to their selling price. For example, ammonia is a hazardous gas at ambient temperatures and must be transported in specialized equipment, which can be more expensive than other forms of nitrogen fertilizers. In recent years, a significant amount of the ammonia consumed annually in the U.S was imported. Therefore, nitrogen fertilizer prices in the U.S. are influenced by the cost to transport product from exporting countries, giving domestic producers who transport shorter distances an advantage.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jc w:val="center"/>
        <w:ind w:right="950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52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are mitigated through a diligent planning process that considers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 During the third quarter of 2017, a Turnaround was performed at the Pryor Facility as discussed above under “Recent Developments.”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Third Quarter of 2017</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net sales for the third quarter of 2017 were $92.4 million compared to $80.3 million for the same period in 2016. Our consolidated operating loss was $15.4 million compared to a consolidated operating loss of $45.9 million for the same period in 2016. The items impacting our operating results are discussed in more detail below and under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Third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On-Stream Rates and Additional Ammonia Sales Volume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on-stream rates of our plants affect our production, the absorption of fixed costs of each plant and sales of our products. It is a key operating metric that we use to manage our business. On-stream rates do not include the impact of Turnarounds. In particular, we closely monitor the on-stream rates of our ammonia plants as that is the basic product used to produce all upgraded products. At our Cherokee Facility, the on-stream rate was 99% for the third quarter of 2017 for our ammonia plant compared to 87% for the same period of 2016. During the third quarter of 2016, the ammonia plant produced at reduced rates for approximately one month after completing a Turnaround to repair certain major parts which failed during start-up. We expect on-stream rates to average a minimum of 95% for the remainder of 2017.</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Pryor Facility, the on-stream rate for the third quarter of 2017 for our ammonia plant was 85% compared to 70% for the same period of 2016. Although the on-stream rate improved over the same period of 2016, we did experience an electrical outage shutting the facility down in early July 2017, during which we elected to perform the Turnaround previously scheduled for the fourth quarter of 2017. We also experienced a minor fire shutting down the ammonia plant beginning in late September 2017 as discussed above under “Recent Developments.” During the third quarter of 2016, additional unplanned work was performed while in Turnaround that impacted the on-stream rate.</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El Dorado Facility’s ammonia plant began production in mid-2016. It is typical for newly operated plants that are in production to go through a period of optimization (Shakedown) that may require the plant to be taken out of operation for a period of time. Our reported 2016 on-stream rate for the ammonia plant at El Dorado was 64%. However, since going into operation, the on-stream rate has steadily improved on a quarterly basis with the on-stream rate for the fourth quarter of 2016 of 73%. The on-stream rate continued to improve in the first quarter of 2017 to 90%, slightly declined to 87% for the second quarter of 2017, and improved to 91% for the third quarter of 2017. The plant produces ammonia at a daily production rate of approximately 1,350 tons per day, above its nameplate capacity of 1,150 tons per day.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improving ammonia production at the El Dorado Facility, during the third quarter of 2017, we sold approximately 54,000 tons of ammonia that were in excess of our internal needs at this facility compared to approximately 45,000 tons in the third quarter of 2016.</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2017, average selling prices for our ammonia, UAN and HDAN decreased 28%, 9% and 3% respectively, compared to 2016 average selling prices for the same period. The decrease in ammonia selling prices was impacted by several factors: (1) a wet spring that caused lower pre-plant ammonia application and resulted in ammonia inventory buildup at the end of the spring season; (2) recent facility expansion projects that started their ammonia production but had not yet either started their planned upgraded production facilities and; (3) intended distribution systems for increased ammonia production not yet in place. We expect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jc w:val="both"/>
        <w:spacing w:after="0" w:line="286" w:lineRule="auto"/>
        <w:rPr>
          <w:sz w:val="20"/>
          <w:szCs w:val="20"/>
          <w:color w:val="auto"/>
        </w:rPr>
      </w:pPr>
      <w:r>
        <w:rPr>
          <w:rFonts w:ascii="Arial" w:cs="Arial" w:eastAsia="Arial" w:hAnsi="Arial"/>
          <w:sz w:val="17"/>
          <w:szCs w:val="17"/>
          <w:color w:val="auto"/>
        </w:rPr>
        <w:t>this excess ammonia supply will be absorbed by early 2018 as these upgraded production facilities begin producing and the distribution systems are in place. The decrease in UAN and HDAN selling prices were caused by lower average commodity prices and the nitrogen production capacity being added globally, and in North America specifically, that created uncertainty on the ability of producers to efficiently distribute the additional production</w:t>
      </w:r>
      <w:r>
        <w:rPr>
          <w:rFonts w:ascii="Arial" w:cs="Arial" w:eastAsia="Arial" w:hAnsi="Arial"/>
          <w:sz w:val="17"/>
          <w:szCs w:val="17"/>
          <w:b w:val="1"/>
          <w:bCs w:val="1"/>
          <w:color w:val="auto"/>
        </w:rPr>
        <w:t>.</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and Interest Expense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2017 and 2016, interest expense was $9.3 million and $13.3 million. The third quarter of 2016 included interest expense of $1.8 million from the 12% Senior Secured Notes sold in November 2015 and repaid in October 2016 and $2.2 million as a result of the debt modification associated with the Consent Solicitation.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Results of Operations should be read in conjunction with our condensed consolidated financial statements for the three and nine months ended September 30, 2017 and 2016 and accompanying notes and the discussions under “Overview” and “Liquidity and Capital Resources” included in this MD&amp;A.</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present the following information about our results of operations. Net sales to unaffiliated customers are reported in the consolidated financial statements and gross profit (loss) represents net sales less cost of sales. Net sales are reported on a gross basis with the cost of freight being recorded in cost of sales.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September 30, 2017 Compared to Three Months Ended September 30,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6"/>
          </w:tcPr>
          <w:p>
            <w:pPr>
              <w:jc w:val="right"/>
              <w:ind w:right="94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Percentage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Change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6"/>
                <w:szCs w:val="16"/>
                <w:color w:val="auto"/>
                <w:w w:val="93"/>
              </w:rPr>
              <w:t>(Dollars In Thousands)</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31,154</w:t>
            </w:r>
          </w:p>
        </w:tc>
        <w:tc>
          <w:tcPr>
            <w:tcW w:w="120" w:type="dxa"/>
            <w:vAlign w:val="bottom"/>
          </w:tcPr>
          <w:p>
            <w:pPr>
              <w:spacing w:after="0"/>
              <w:rPr>
                <w:sz w:val="19"/>
                <w:szCs w:val="19"/>
                <w:color w:val="auto"/>
              </w:rPr>
            </w:pP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23,340</w:t>
            </w:r>
          </w:p>
        </w:tc>
        <w:tc>
          <w:tcPr>
            <w:tcW w:w="3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7,814</w:t>
            </w:r>
          </w:p>
        </w:tc>
        <w:tc>
          <w:tcPr>
            <w:tcW w:w="3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47,450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44,867</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9,935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926</w:t>
            </w:r>
          </w:p>
        </w:tc>
        <w:tc>
          <w:tcPr>
            <w:tcW w:w="3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net sales</w:t>
            </w:r>
          </w:p>
        </w:tc>
        <w:tc>
          <w:tcPr>
            <w:tcW w:w="7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92,390</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80,262</w:t>
            </w:r>
          </w:p>
        </w:tc>
        <w:tc>
          <w:tcPr>
            <w:tcW w:w="3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12,128</w:t>
            </w:r>
          </w:p>
        </w:tc>
        <w:tc>
          <w:tcPr>
            <w:tcW w:w="300" w:type="dxa"/>
            <w:vAlign w:val="bottom"/>
            <w:tcBorders>
              <w:bottom w:val="single" w:sz="8" w:color="CFF0FC"/>
            </w:tcBorders>
          </w:tcPr>
          <w:p>
            <w:pPr>
              <w:spacing w:after="0"/>
              <w:rPr>
                <w:sz w:val="22"/>
                <w:szCs w:val="22"/>
                <w:color w:val="auto"/>
              </w:rPr>
            </w:pPr>
          </w:p>
        </w:tc>
        <w:tc>
          <w:tcPr>
            <w:tcW w:w="13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Gross loss</w:t>
            </w:r>
          </w:p>
        </w:tc>
        <w:tc>
          <w:tcPr>
            <w:tcW w:w="7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(7,285)</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(36,379)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29,094</w:t>
            </w:r>
          </w:p>
        </w:tc>
        <w:tc>
          <w:tcPr>
            <w:tcW w:w="3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Gross loss percentage (1)</w:t>
            </w: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gridSpan w:val="2"/>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72"/>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37.4%</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9,962</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3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(45,932)</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30,569</w:t>
            </w:r>
          </w:p>
        </w:tc>
        <w:tc>
          <w:tcPr>
            <w:tcW w:w="3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(4,042)</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(3,295)</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(6,698)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(22,226)</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15,528</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63"/>
        </w:trPr>
        <w:tc>
          <w:tcPr>
            <w:tcW w:w="496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7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(39,490)</w:t>
            </w:r>
          </w:p>
        </w:tc>
        <w:tc>
          <w:tcPr>
            <w:tcW w:w="3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22,378</w:t>
            </w:r>
          </w:p>
        </w:tc>
        <w:tc>
          <w:tcPr>
            <w:tcW w:w="30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Additions to property, plant and equipment (2):</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23"/>
                <w:szCs w:val="23"/>
                <w:color w:val="auto"/>
              </w:rPr>
            </w:pP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13,253</w:t>
            </w:r>
          </w:p>
        </w:tc>
        <w:tc>
          <w:tcPr>
            <w:tcW w:w="360" w:type="dxa"/>
            <w:vAlign w:val="bottom"/>
          </w:tcPr>
          <w:p>
            <w:pPr>
              <w:spacing w:after="0"/>
              <w:rPr>
                <w:sz w:val="23"/>
                <w:szCs w:val="23"/>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(11,580)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Depreciation, depletion and amortization of property, plant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and equipment (2):</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16,179</w:t>
            </w:r>
          </w:p>
        </w:tc>
        <w:tc>
          <w:tcPr>
            <w:tcW w:w="120" w:type="dxa"/>
            <w:vAlign w:val="bottom"/>
          </w:tcPr>
          <w:p>
            <w:pPr>
              <w:spacing w:after="0"/>
              <w:rPr>
                <w:sz w:val="20"/>
                <w:szCs w:val="20"/>
                <w:color w:val="auto"/>
              </w:rPr>
            </w:pP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16,862</w:t>
            </w:r>
          </w:p>
        </w:tc>
        <w:tc>
          <w:tcPr>
            <w:tcW w:w="36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(683)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hanging="51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3" w:lineRule="exact"/>
        <w:rPr>
          <w:rFonts w:ascii="Arial" w:cs="Arial" w:eastAsia="Arial" w:hAnsi="Arial"/>
          <w:sz w:val="18"/>
          <w:szCs w:val="18"/>
          <w:color w:val="auto"/>
        </w:rPr>
      </w:pPr>
    </w:p>
    <w:p>
      <w:pPr>
        <w:ind w:left="900" w:hanging="514"/>
        <w:spacing w:after="0" w:line="290"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Third quarter 2017 additions to PP&amp;E and DD&amp;A are net of approximately $8.1 million and approximately $0.7 million respectively, associated with the incentive tax credit recognized during the third quarter of 2017 as discussed above under “Recent Developments.”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5640" w:type="dxa"/>
            <w:vAlign w:val="bottom"/>
            <w:gridSpan w:val="4"/>
          </w:tcPr>
          <w:p>
            <w:pPr>
              <w:spacing w:after="0"/>
              <w:rPr>
                <w:sz w:val="20"/>
                <w:szCs w:val="20"/>
                <w:color w:val="auto"/>
              </w:rPr>
            </w:pPr>
            <w:r>
              <w:rPr>
                <w:rFonts w:ascii="Arial" w:cs="Arial" w:eastAsia="Arial" w:hAnsi="Arial"/>
                <w:sz w:val="18"/>
                <w:szCs w:val="18"/>
                <w:color w:val="auto"/>
                <w:w w:val="94"/>
              </w:rPr>
              <w:t>The following tables provide key sales metrics for the agricultural products: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1"/>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396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506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114,670</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70,144</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44,526</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0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0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Pr>
          <w:p>
            <w:pPr>
              <w:spacing w:after="0"/>
              <w:rPr>
                <w:sz w:val="19"/>
                <w:szCs w:val="19"/>
                <w:color w:val="auto"/>
              </w:rPr>
            </w:pPr>
          </w:p>
        </w:tc>
        <w:tc>
          <w:tcPr>
            <w:tcW w:w="506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176,413</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115,098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61,315</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center"/>
              <w:ind w:right="17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6"/>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2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Average Selling Prices (price per ton)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Change</w:t>
            </w:r>
          </w:p>
        </w:tc>
        <w:tc>
          <w:tcPr>
            <w:tcW w:w="2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29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580" w:type="dxa"/>
            <w:vAlign w:val="bottom"/>
          </w:tcPr>
          <w:p>
            <w:pPr>
              <w:spacing w:after="0"/>
              <w:rPr>
                <w:sz w:val="19"/>
                <w:szCs w:val="19"/>
                <w:color w:val="auto"/>
              </w:rPr>
            </w:pPr>
          </w:p>
        </w:tc>
        <w:tc>
          <w:tcPr>
            <w:tcW w:w="50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4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(82)</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mining and other chemical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7"/>
              </w:rPr>
              <w:t>Percentage</w:t>
            </w:r>
          </w:p>
        </w:tc>
        <w:tc>
          <w:tcPr>
            <w:tcW w:w="280" w:type="dxa"/>
            <w:vAlign w:val="bottom"/>
          </w:tcPr>
          <w:p>
            <w:pPr>
              <w:spacing w:after="0"/>
              <w:rPr>
                <w:sz w:val="19"/>
                <w:szCs w:val="19"/>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Nitric Acid - Baytown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118,410</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129,626</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(11,216)</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Nitric Acid - All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21,319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17,449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LDAN/HDAN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22,978</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AN Solution</w:t>
            </w:r>
          </w:p>
        </w:tc>
        <w:tc>
          <w:tcPr>
            <w:tcW w:w="1020" w:type="dxa"/>
            <w:vAlign w:val="bottom"/>
          </w:tcPr>
          <w:p>
            <w:pPr>
              <w:jc w:val="right"/>
              <w:spacing w:after="0"/>
              <w:rPr>
                <w:sz w:val="20"/>
                <w:szCs w:val="20"/>
                <w:color w:val="auto"/>
              </w:rPr>
            </w:pPr>
            <w:r>
              <w:rPr>
                <w:rFonts w:ascii="Arial" w:cs="Arial" w:eastAsia="Arial" w:hAnsi="Arial"/>
                <w:sz w:val="18"/>
                <w:szCs w:val="18"/>
                <w:color w:val="auto"/>
              </w:rPr>
              <w:t>10,040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15,873</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(5,833)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67,040</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57,338</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9,702</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253,285</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243,264</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third quarter 2017 agricultural, industrial and mining sales were all higher due to increased sales volumes that were partially offset by decreased average selling prices.</w:t>
      </w:r>
    </w:p>
    <w:p>
      <w:pPr>
        <w:spacing w:after="0" w:line="62" w:lineRule="exact"/>
        <w:rPr>
          <w:sz w:val="20"/>
          <w:szCs w:val="20"/>
          <w:color w:val="auto"/>
        </w:rPr>
      </w:pPr>
    </w:p>
    <w:p>
      <w:pPr>
        <w:jc w:val="both"/>
        <w:ind w:left="1040" w:hanging="519"/>
        <w:spacing w:after="0" w:line="255"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Agricultural products sales increased due to sales volume increases for all of our agricultural products. The increase in sales volume of UAN and ammonia relates primarily to higher on-stream rates and the resultant higher production at our Cherokee and Pryor Facilities in the third quarter of 2017 from improved plant on-stream rates and the absence of a Cherokee Turnaround in 2017. Increased sales volume of HDAN continues to be a result of broadening our distribution to new markets and customers. These sales volume increases were partially offset by lower averages selling prices for ammonia, UAN and HDAN primarily as a result of lower average commodity prices and pricing pressures from North American ammonia inventory buildup and the nitrogen production capacity being added globally, and in North America specifically.</w:t>
      </w:r>
    </w:p>
    <w:p>
      <w:pPr>
        <w:spacing w:after="0" w:line="81" w:lineRule="exact"/>
        <w:rPr>
          <w:rFonts w:ascii="Arial" w:cs="Arial" w:eastAsia="Arial" w:hAnsi="Arial"/>
          <w:sz w:val="18"/>
          <w:szCs w:val="18"/>
          <w:color w:val="auto"/>
        </w:rPr>
      </w:pPr>
    </w:p>
    <w:p>
      <w:pPr>
        <w:jc w:val="both"/>
        <w:ind w:left="1040" w:hanging="519"/>
        <w:spacing w:after="0" w:line="293"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Industrial acids and other industrial chemical products sales increased due to higher industrial ammonia sales at our El Dorado Facility given the higher plant on-stream rates and average daily production. Continued efforts to expand nitric acid sales have also improved sales as compared to the third quarter of 2016. These increases were partially offset by a decline in sales volume at the Baytown Facility primarily due to the impact from Hurricane Harvey. However, the decline in sales volume at the Baytown Facility did not result in a significant change in gross profit since many of these sales are sold pursuant to a long-term agreement that allows us to pass through the costs to produce nitric acid. The increased overall sales were partially offset by lower average selling prices for these products compared to the third quarter of 2016.</w:t>
      </w:r>
    </w:p>
    <w:p>
      <w:pPr>
        <w:spacing w:after="0" w:line="56" w:lineRule="exact"/>
        <w:rPr>
          <w:rFonts w:ascii="Arial" w:cs="Arial" w:eastAsia="Arial" w:hAnsi="Arial"/>
          <w:sz w:val="16"/>
          <w:szCs w:val="16"/>
          <w:color w:val="auto"/>
        </w:rPr>
      </w:pPr>
    </w:p>
    <w:p>
      <w:pPr>
        <w:jc w:val="both"/>
        <w:ind w:left="104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Mining products sales increased primarily as the result of higher sales volume of LDAN from our El Dorado Facility partially offset by lower sales volumes of AN Solution from our Cherokee Facility as demand from our customers we service out of this facility remains suppressed by overall coal market conditions.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jc w:val="both"/>
        <w:ind w:left="104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products consist of minimal natural gas sales from our former working interests in certain natural gas properties that were sold during the second quarter of 2017 and sales from our former business that sold industrial machinery and related components, which business was sold in October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Loss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noted in the table above, our gross loss decreased $29.1 million compared to the third quarter of 2016. In addition to the net positive effect from the higher sales discussed above, our gross loss improved primarily through:</w:t>
      </w:r>
    </w:p>
    <w:p>
      <w:pPr>
        <w:spacing w:after="0" w:line="62" w:lineRule="exact"/>
        <w:rPr>
          <w:sz w:val="20"/>
          <w:szCs w:val="20"/>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reduction in our feedstock and other operating costs at our El Dorado Facility as costs associated with the optimizing activities performed on the ammonia plant during the third quarter of 2016 were not incurred in the third quarter of 2017;</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reduction in overall fixed plant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reduction in repair expenses associated with planned and unplanned downtime;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improved absorption of fixed costs from improved on-stream rates at all three of our production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SG&amp;A expenses were $8.0 million for the third quarter of 2017, a decrease of $2.0 million compared to the same period in 2016. The decrease was primarily driven by a $1.5 million reduction in compensation-related cost and $0.5 million reduction in insurance and other miscellaneous costs.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third quarter of 2017 was $9.3 million compared to $13.3 million for the same period in 2016. This reduction was the result of the repayment of the 12% Senior Secured Notes in October 2016 ($1.8 million) and the debt modification costs associated with a consent solicitation completed in the third quarter of 2016 ($2.2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Non-operating other income for the third quarter of 2017 was $0.9 million compared to non-operating expense of $2.5 million for the same period in 2016, which primarily relates to the change in fair value of the embedded derivative included in the Series E Preferred.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benefit for income taxes from continuing operations for the third quarter of 2017 was $6.7 million compared to $22.2 million for the same period in 2016. The resulting effective tax rate for the third quarters of 2017 and 2016 was 28% and 36%, respectively. For the third quarter of 2017, the effective tax rate is less than the statutory tax rate primarily due to the impact of the valuation allowances associated with state NOL carryforwards.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from Discontinued Operations, including taxes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of our former Climate Control Business are presented as discontinued operations. For the third quarter of 2016, income from discontinued operations was $173 million, including a gain of $281.6 million and net of a tax provision of $108.5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960" w:type="dxa"/>
            <w:vAlign w:val="bottom"/>
            <w:gridSpan w:val="13"/>
          </w:tcPr>
          <w:p>
            <w:pPr>
              <w:jc w:val="center"/>
              <w:ind w:right="700"/>
              <w:spacing w:after="0"/>
              <w:rPr>
                <w:sz w:val="20"/>
                <w:szCs w:val="20"/>
                <w:color w:val="auto"/>
              </w:rPr>
            </w:pPr>
            <w:r>
              <w:rPr>
                <w:rFonts w:ascii="Arial" w:cs="Arial" w:eastAsia="Arial" w:hAnsi="Arial"/>
                <w:sz w:val="18"/>
                <w:szCs w:val="18"/>
                <w:b w:val="1"/>
                <w:bCs w:val="1"/>
                <w:color w:val="auto"/>
                <w:w w:val="90"/>
              </w:rPr>
              <w:t>Nine months Ended September 30, 2017 Compared to Nine Months Ended September 30, 2016</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40" w:type="dxa"/>
            <w:vAlign w:val="bottom"/>
            <w:gridSpan w:val="3"/>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6"/>
          </w:tcPr>
          <w:p>
            <w:pPr>
              <w:jc w:val="right"/>
              <w:ind w:right="960"/>
              <w:spacing w:after="0"/>
              <w:rPr>
                <w:sz w:val="20"/>
                <w:szCs w:val="20"/>
                <w:color w:val="auto"/>
              </w:rPr>
            </w:pPr>
            <w:r>
              <w:rPr>
                <w:rFonts w:ascii="Arial" w:cs="Arial" w:eastAsia="Arial" w:hAnsi="Arial"/>
                <w:sz w:val="18"/>
                <w:szCs w:val="18"/>
                <w:color w:val="auto"/>
              </w:rPr>
              <w:t>Nine Months Ended</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Change</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6"/>
                <w:szCs w:val="16"/>
                <w:color w:val="auto"/>
                <w:w w:val="92"/>
              </w:rPr>
              <w:t>(Dollars In Thousands)</w:t>
            </w: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240"/>
              <w:spacing w:after="0"/>
              <w:rPr>
                <w:sz w:val="20"/>
                <w:szCs w:val="20"/>
                <w:color w:val="auto"/>
              </w:rPr>
            </w:pPr>
            <w:r>
              <w:rPr>
                <w:rFonts w:ascii="Arial" w:cs="Arial" w:eastAsia="Arial" w:hAnsi="Arial"/>
                <w:sz w:val="18"/>
                <w:szCs w:val="18"/>
                <w:color w:val="auto"/>
              </w:rPr>
              <w:t>Agricultural products</w:t>
            </w:r>
          </w:p>
        </w:tc>
        <w:tc>
          <w:tcPr>
            <w:tcW w:w="940" w:type="dxa"/>
            <w:vAlign w:val="bottom"/>
            <w:gridSpan w:val="2"/>
          </w:tcPr>
          <w:p>
            <w:pPr>
              <w:jc w:val="center"/>
              <w:ind w:left="4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151,653</w:t>
            </w:r>
          </w:p>
        </w:tc>
        <w:tc>
          <w:tcPr>
            <w:tcW w:w="160" w:type="dxa"/>
            <w:vAlign w:val="bottom"/>
          </w:tcPr>
          <w:p>
            <w:pPr>
              <w:spacing w:after="0"/>
              <w:rPr>
                <w:sz w:val="19"/>
                <w:szCs w:val="19"/>
                <w:color w:val="auto"/>
              </w:rPr>
            </w:pP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133,372</w:t>
            </w:r>
          </w:p>
        </w:tc>
        <w:tc>
          <w:tcPr>
            <w:tcW w:w="3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18,281</w:t>
            </w:r>
          </w:p>
        </w:tc>
        <w:tc>
          <w:tcPr>
            <w:tcW w:w="2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149,546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117,105</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32,441</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240"/>
              <w:spacing w:after="0"/>
              <w:rPr>
                <w:sz w:val="20"/>
                <w:szCs w:val="20"/>
                <w:color w:val="auto"/>
              </w:rPr>
            </w:pPr>
            <w:r>
              <w:rPr>
                <w:rFonts w:ascii="Arial" w:cs="Arial" w:eastAsia="Arial" w:hAnsi="Arial"/>
                <w:sz w:val="18"/>
                <w:szCs w:val="18"/>
                <w:color w:val="auto"/>
              </w:rPr>
              <w:t>Mining products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31,537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(2,716)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7,202</w:t>
            </w:r>
          </w:p>
        </w:tc>
        <w:tc>
          <w:tcPr>
            <w:tcW w:w="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1,365</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Borders>
              <w:bottom w:val="single" w:sz="8" w:color="CFF0FC"/>
            </w:tcBorders>
            <w:gridSpan w:val="2"/>
          </w:tcPr>
          <w:p>
            <w:pPr>
              <w:ind w:left="480"/>
              <w:spacing w:after="0"/>
              <w:rPr>
                <w:sz w:val="20"/>
                <w:szCs w:val="20"/>
                <w:color w:val="auto"/>
              </w:rPr>
            </w:pPr>
            <w:r>
              <w:rPr>
                <w:rFonts w:ascii="Arial" w:cs="Arial" w:eastAsia="Arial" w:hAnsi="Arial"/>
                <w:sz w:val="18"/>
                <w:szCs w:val="18"/>
                <w:color w:val="auto"/>
              </w:rPr>
              <w:t>Total net sales</w:t>
            </w:r>
          </w:p>
        </w:tc>
        <w:tc>
          <w:tcPr>
            <w:tcW w:w="7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338,587</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289,216</w:t>
            </w:r>
          </w:p>
        </w:tc>
        <w:tc>
          <w:tcPr>
            <w:tcW w:w="3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49,371</w:t>
            </w:r>
          </w:p>
        </w:tc>
        <w:tc>
          <w:tcPr>
            <w:tcW w:w="280" w:type="dxa"/>
            <w:vAlign w:val="bottom"/>
            <w:tcBorders>
              <w:bottom w:val="single" w:sz="8" w:color="CFF0FC"/>
            </w:tcBorders>
          </w:tcPr>
          <w:p>
            <w:pPr>
              <w:spacing w:after="0"/>
              <w:rPr>
                <w:sz w:val="22"/>
                <w:szCs w:val="22"/>
                <w:color w:val="auto"/>
              </w:rPr>
            </w:pPr>
          </w:p>
        </w:tc>
        <w:tc>
          <w:tcPr>
            <w:tcW w:w="13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Gross profit (loss)</w:t>
            </w:r>
          </w:p>
        </w:tc>
        <w:tc>
          <w:tcPr>
            <w:tcW w:w="940" w:type="dxa"/>
            <w:vAlign w:val="bottom"/>
            <w:gridSpan w:val="2"/>
          </w:tcPr>
          <w:p>
            <w:pPr>
              <w:jc w:val="center"/>
              <w:ind w:left="4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15,670</w:t>
            </w:r>
          </w:p>
        </w:tc>
        <w:tc>
          <w:tcPr>
            <w:tcW w:w="160" w:type="dxa"/>
            <w:vAlign w:val="bottom"/>
          </w:tcPr>
          <w:p>
            <w:pPr>
              <w:spacing w:after="0"/>
              <w:rPr>
                <w:sz w:val="21"/>
                <w:szCs w:val="21"/>
                <w:color w:val="auto"/>
              </w:rPr>
            </w:pP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(40,414)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56,084</w:t>
            </w:r>
          </w:p>
        </w:tc>
        <w:tc>
          <w:tcPr>
            <w:tcW w:w="28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Gross profit (loss) percentage (1)</w:t>
            </w: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vMerge w:val="continue"/>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18.6%</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line="20" w:lineRule="exact"/>
              <w:rPr>
                <w:sz w:val="1"/>
                <w:szCs w:val="1"/>
                <w:color w:val="auto"/>
              </w:rPr>
            </w:pPr>
          </w:p>
        </w:tc>
      </w:tr>
      <w:tr>
        <w:trPr>
          <w:trHeight w:val="210"/>
        </w:trPr>
        <w:tc>
          <w:tcPr>
            <w:tcW w:w="494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31,730</w:t>
            </w: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(4,978)</w:t>
            </w: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2,278</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(72,124)</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58,784</w:t>
            </w:r>
          </w:p>
        </w:tc>
        <w:tc>
          <w:tcPr>
            <w:tcW w:w="2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21,129</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6,812</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Non-operating other expense (income), net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(846)</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(10,741)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(30,747)</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20,006</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63"/>
        </w:trPr>
        <w:tc>
          <w:tcPr>
            <w:tcW w:w="4940" w:type="dxa"/>
            <w:vAlign w:val="bottom"/>
            <w:gridSpan w:val="3"/>
          </w:tcPr>
          <w:p>
            <w:pPr>
              <w:spacing w:after="0"/>
              <w:rPr>
                <w:sz w:val="20"/>
                <w:szCs w:val="20"/>
                <w:color w:val="auto"/>
              </w:rPr>
            </w:pPr>
            <w:r>
              <w:rPr>
                <w:rFonts w:ascii="Arial" w:cs="Arial" w:eastAsia="Arial" w:hAnsi="Arial"/>
                <w:sz w:val="18"/>
                <w:szCs w:val="18"/>
                <w:color w:val="auto"/>
              </w:rPr>
              <w:t>Loss from continuing operations</w:t>
            </w:r>
          </w:p>
        </w:tc>
        <w:tc>
          <w:tcPr>
            <w:tcW w:w="7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(62,943)</w:t>
            </w:r>
          </w:p>
        </w:tc>
        <w:tc>
          <w:tcPr>
            <w:tcW w:w="3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32,812</w:t>
            </w:r>
          </w:p>
        </w:tc>
        <w:tc>
          <w:tcPr>
            <w:tcW w:w="280" w:type="dxa"/>
            <w:vAlign w:val="bottom"/>
          </w:tcPr>
          <w:p>
            <w:pPr>
              <w:spacing w:after="0"/>
              <w:rPr>
                <w:sz w:val="22"/>
                <w:szCs w:val="2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Borders>
              <w:top w:val="single" w:sz="8" w:color="CFF0FC"/>
            </w:tcBorders>
            <w:shd w:val="clear" w:color="auto" w:fill="CFF0FC"/>
          </w:tcPr>
          <w:p>
            <w:pPr>
              <w:spacing w:after="0"/>
              <w:rPr>
                <w:sz w:val="18"/>
                <w:szCs w:val="18"/>
                <w:color w:val="auto"/>
              </w:rPr>
            </w:pPr>
          </w:p>
        </w:tc>
        <w:tc>
          <w:tcPr>
            <w:tcW w:w="286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Additions to property, plant and equipment (2):</w:t>
            </w:r>
          </w:p>
        </w:tc>
        <w:tc>
          <w:tcPr>
            <w:tcW w:w="940" w:type="dxa"/>
            <w:vAlign w:val="bottom"/>
            <w:gridSpan w:val="2"/>
          </w:tcPr>
          <w:p>
            <w:pPr>
              <w:jc w:val="center"/>
              <w:ind w:left="4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16,889</w:t>
            </w:r>
          </w:p>
        </w:tc>
        <w:tc>
          <w:tcPr>
            <w:tcW w:w="160" w:type="dxa"/>
            <w:vAlign w:val="bottom"/>
          </w:tcPr>
          <w:p>
            <w:pPr>
              <w:spacing w:after="0"/>
              <w:rPr>
                <w:sz w:val="23"/>
                <w:szCs w:val="23"/>
                <w:color w:val="auto"/>
              </w:rPr>
            </w:pP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153,658</w:t>
            </w:r>
          </w:p>
        </w:tc>
        <w:tc>
          <w:tcPr>
            <w:tcW w:w="38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(136,769)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Borders>
              <w:top w:val="single" w:sz="8" w:color="CFF0FC"/>
            </w:tcBorders>
            <w:shd w:val="clear" w:color="auto" w:fill="CFF0FC"/>
          </w:tcPr>
          <w:p>
            <w:pPr>
              <w:spacing w:after="0"/>
              <w:rPr>
                <w:sz w:val="18"/>
                <w:szCs w:val="18"/>
                <w:color w:val="auto"/>
              </w:rPr>
            </w:pPr>
          </w:p>
        </w:tc>
        <w:tc>
          <w:tcPr>
            <w:tcW w:w="286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Depreciation, depletion and amortization of property, plant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and equipment (2):</w:t>
            </w:r>
          </w:p>
        </w:tc>
        <w:tc>
          <w:tcPr>
            <w:tcW w:w="940" w:type="dxa"/>
            <w:vAlign w:val="bottom"/>
            <w:gridSpan w:val="2"/>
          </w:tcPr>
          <w:p>
            <w:pPr>
              <w:jc w:val="center"/>
              <w:ind w:left="4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50,341</w:t>
            </w:r>
          </w:p>
        </w:tc>
        <w:tc>
          <w:tcPr>
            <w:tcW w:w="160" w:type="dxa"/>
            <w:vAlign w:val="bottom"/>
          </w:tcPr>
          <w:p>
            <w:pPr>
              <w:spacing w:after="0"/>
              <w:rPr>
                <w:sz w:val="20"/>
                <w:szCs w:val="20"/>
                <w:color w:val="auto"/>
              </w:rPr>
            </w:pP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41,480</w:t>
            </w:r>
          </w:p>
        </w:tc>
        <w:tc>
          <w:tcPr>
            <w:tcW w:w="3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8,861</w:t>
            </w:r>
          </w:p>
        </w:tc>
        <w:tc>
          <w:tcPr>
            <w:tcW w:w="28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hanging="51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3" w:lineRule="exact"/>
        <w:rPr>
          <w:rFonts w:ascii="Arial" w:cs="Arial" w:eastAsia="Arial" w:hAnsi="Arial"/>
          <w:sz w:val="18"/>
          <w:szCs w:val="18"/>
          <w:color w:val="auto"/>
        </w:rPr>
      </w:pPr>
    </w:p>
    <w:p>
      <w:pPr>
        <w:ind w:left="900" w:right="40" w:hanging="514"/>
        <w:spacing w:after="0" w:line="290"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Nine months of 2017 additions to PP&amp;E and DD&amp;A are net of approximately $8.1 million and approximately $0.7 million respectively associated with the incentive tax credit recognized during the third quarter of 2017 as discussed above under “Recent Developments.”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sales metrics for the agricultural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6"/>
          </w:tcPr>
          <w:p>
            <w:pPr>
              <w:jc w:val="center"/>
              <w:ind w:right="130"/>
              <w:spacing w:after="0"/>
              <w:rPr>
                <w:sz w:val="20"/>
                <w:szCs w:val="20"/>
                <w:color w:val="auto"/>
              </w:rPr>
            </w:pPr>
            <w:r>
              <w:rPr>
                <w:rFonts w:ascii="Arial" w:cs="Arial" w:eastAsia="Arial" w:hAnsi="Arial"/>
                <w:sz w:val="18"/>
                <w:szCs w:val="18"/>
                <w:color w:val="auto"/>
                <w:w w:val="91"/>
              </w:rPr>
              <w:t>Nine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2500" w:type="dxa"/>
            <w:vAlign w:val="bottom"/>
            <w:gridSpan w:val="2"/>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36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6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390,942</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284,931</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106,011</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231,007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169,197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80,389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20,863</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19,026</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0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723,201</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543,397</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179,804</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center"/>
              <w:ind w:right="150"/>
              <w:spacing w:after="0"/>
              <w:rPr>
                <w:sz w:val="20"/>
                <w:szCs w:val="20"/>
                <w:color w:val="auto"/>
              </w:rPr>
            </w:pPr>
            <w:r>
              <w:rPr>
                <w:rFonts w:ascii="Arial" w:cs="Arial" w:eastAsia="Arial" w:hAnsi="Arial"/>
                <w:sz w:val="18"/>
                <w:szCs w:val="18"/>
                <w:color w:val="auto"/>
                <w:w w:val="92"/>
              </w:rPr>
              <w:t>Nine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6"/>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4"/>
                <w:szCs w:val="14"/>
                <w:color w:val="auto"/>
              </w:rPr>
              <w:t>Average Selling Prices (price per ton)</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Change</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44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color w:val="auto"/>
                <w:w w:val="74"/>
              </w:rPr>
              <w:t>(26)</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266</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620"/>
              <w:spacing w:after="0"/>
              <w:rPr>
                <w:sz w:val="20"/>
                <w:szCs w:val="20"/>
                <w:color w:val="auto"/>
              </w:rPr>
            </w:pPr>
            <w:r>
              <w:rPr>
                <w:rFonts w:ascii="Arial" w:cs="Arial" w:eastAsia="Arial" w:hAnsi="Arial"/>
                <w:sz w:val="18"/>
                <w:szCs w:val="18"/>
                <w:color w:val="auto"/>
              </w:rPr>
              <w:t>(29)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rPr>
              <w:t>(59)</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58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32"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With respect to sales of industrial, mining and other chemical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Nine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7"/>
              </w:rPr>
              <w:t>Percentage</w:t>
            </w:r>
          </w:p>
        </w:tc>
        <w:tc>
          <w:tcPr>
            <w:tcW w:w="280" w:type="dxa"/>
            <w:vAlign w:val="bottom"/>
          </w:tcPr>
          <w:p>
            <w:pPr>
              <w:spacing w:after="0"/>
              <w:rPr>
                <w:sz w:val="19"/>
                <w:szCs w:val="19"/>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Nitric Acid - Baytown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361,191</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347,894</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13,297</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Nitric Acid - All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75,253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54,839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20,414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LDAN/HDAN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90,138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61,944</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AN Solution</w:t>
            </w:r>
          </w:p>
        </w:tc>
        <w:tc>
          <w:tcPr>
            <w:tcW w:w="1020" w:type="dxa"/>
            <w:vAlign w:val="bottom"/>
          </w:tcPr>
          <w:p>
            <w:pPr>
              <w:jc w:val="right"/>
              <w:spacing w:after="0"/>
              <w:rPr>
                <w:sz w:val="20"/>
                <w:szCs w:val="20"/>
                <w:color w:val="auto"/>
              </w:rPr>
            </w:pPr>
            <w:r>
              <w:rPr>
                <w:rFonts w:ascii="Arial" w:cs="Arial" w:eastAsia="Arial" w:hAnsi="Arial"/>
                <w:sz w:val="18"/>
                <w:szCs w:val="18"/>
                <w:color w:val="auto"/>
              </w:rPr>
              <w:t>32,696</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63,551</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(30,855)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177,277</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83,389</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93,888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736,555</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611,617</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124,938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Agricultural and industrial sales for the first nine months of 2017 were all higher due to increased sales volumes that were partially offset by decreased average selling prices while mining sales for that same period of time were lower due to lower average prices and a net decrease in sales volume compared to the same period of 2016.</w:t>
      </w:r>
    </w:p>
    <w:p>
      <w:pPr>
        <w:spacing w:after="0" w:line="73" w:lineRule="exact"/>
        <w:rPr>
          <w:sz w:val="20"/>
          <w:szCs w:val="20"/>
          <w:color w:val="auto"/>
        </w:rPr>
      </w:pPr>
    </w:p>
    <w:p>
      <w:pPr>
        <w:jc w:val="both"/>
        <w:ind w:left="1040" w:hanging="519"/>
        <w:spacing w:after="0" w:line="293"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Agricultural products sales increased primarily from higher sales volume across all product categories. This increase in improved sales volume was partially offset by lower average selling prices of all nitrogen based fertilizers. The increase in sales volume was primarily the result of improved on-stream and production rates at our facilities (despite certain unplanned downtime) and the broadening of our distribution of HDAN to new markets and customers. Partially offsetting the increase in sales volume was lower average selling prices, primarily due to: (1) lower average commodity prices; (2) weather in the early spring that caused less ammonia to be applied during pre-plant season which caused an inventory buildup and; (3) the nitrogen production capacity being added globally, and in North America specifically.</w:t>
      </w:r>
    </w:p>
    <w:p>
      <w:pPr>
        <w:spacing w:after="0" w:line="56"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increased driven by strong industrial ammonia sales at our El Dorado Facility with high plant on-stream rates (minimal production during the first half of 2016). In addition, nitric acid sales from El Dorado are continuing to expand and sales volume was significantly higher compared to the same period of 2016, although at lower net prices due to longer shipping distances and stronger market competitive pressures.</w:t>
      </w:r>
    </w:p>
    <w:p>
      <w:pPr>
        <w:spacing w:after="0" w:line="7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Mining products sales decreased primarily as the result both lower sales volume and lower selling prices of AN Solution partially offset by increases in LDAN sales volume from our El Dorado Facility. We continue to face lower sales volume of AN Solution from our Cherokee Facility as demand from our customers remains suppressed by overall market conditions and increased competitive production capacity in our region.</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products consist of natural gas sales from our former working interests in certain natural gas properties that were sold during the second quarter of 2017 and sales from our former business that sold industrial machinery and related components, which business was sold in October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(Loss)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noted in the table above, we recognized a gross profit of $15.7 million for the first nine months of 2017 compared to a gross loss of $40.4 million for the same period of 2016, or an increase in gross profit of $56.1 million. In addition to the net positive effect from the higher sales discussed above, our gross profit improved primarily through:</w:t>
      </w:r>
    </w:p>
    <w:p>
      <w:pPr>
        <w:spacing w:after="0" w:line="73" w:lineRule="exact"/>
        <w:rPr>
          <w:sz w:val="20"/>
          <w:szCs w:val="20"/>
          <w:color w:val="auto"/>
        </w:rPr>
      </w:pPr>
    </w:p>
    <w:p>
      <w:pPr>
        <w:jc w:val="both"/>
        <w:ind w:left="104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reduction in our feedstock and other operating costs at our El Dorado Facility as (i) this facility produced ammonia from natural gas in the first nine months of 2017 compared to purchasing ammonia during most of the first six months of 2016 and (ii) costs associated with the start-up, commissioning and optimizing activities performed on the ammonia plant during the second and third quarters of 2016 were not incurred in 2017;</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reduction in overall fixed plant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reduction in repair expenses associated with planned and unplanned downtime;</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recovery of precious metals of $2.9 million during the second quarter of 2017, which metals had accumulated over time within certain manufacturing equipment;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improved absorption of fixed costs from improved on-stream rates at our Cherokee Facility.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during the first nine month of 2016, we incurred a one-time cost of $12.1 million relating to consulting services associated with the reduction of property taxes from fixing the assessed value for our El Dorado Facility. The increase in gross profit was partially offset by an increase in overall depreciation expense of approximately $8.9 million primarily as a result of our new ammonia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plant at our El Dorado Facility not being put into service until mid-May 2016 and higher average natural gas feedstock cost at our Cherokee and Pryor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SG&amp;A expenses were $26.8 million for the first nine months of 2017, a decrease of $5.0 million compared to the same period in 2016. The decrease was driven by a $2.3 million reduction in compensation-related cost, $1.6 million reduction in insurance and other miscellaneous costs and $1.1 million reduction in professional fees.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 (Income), net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other expense for the first nine months of 2017 was $2.3 million (minimal for the same period in 2016) primarily consisting of a total net loss of $4.4 million primarily relating to the sale of our working interest of certain natural gas properties and other non-core assets partially offset by the extinguishment and derecognition of a liability of approximately $1.4 million associated with a death benefit agreement as discussed in Note 12 to the Condensed Consolidated Financial Statements and $0.3 million in miscellaneous other income items.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for the first nine months of 2017 was $27.9 million compared to $21.1 million for the same period in 2016. The increase is due primarily to a reduction in capitalized interest in the first nine months of 2017 of $14.7 million as a result of the El Dorado expansion project completion during 2016. This increase was partially offset by a decrease of $5.3 million relating to the 12% Senior Secured Notes sold in November 2015 and repaid in October 2016 and $2.2 million as a result of the debt modification associated with a consent solicitation completed in the third quarter of 2016.</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benefit for income taxes from continuing operations for the first nine months of 2017 was $10.7 million compared to $30.7 million for the same period in 2016. The resulting effective tax rate for the first nine months of 2017 and 2016 was 26% and 33% respectively. For the first half of 2017, the effective tax rate is less than the statutory tax rate primarily due to the impact of the valuation allowances associated with state NOL carryforwards.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from Discontinued Operations, including taxes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of our former Climate Control Business are presented as discontinued operations. For the first nine months of 2016, income from discontinued operations was $196.6 million including a gain of $281.6 million and net of a tax provision of $95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continuing cash flow activities for the first nine months ended September 30, 2017:</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continuing operating activities was $19.3 million as the result of a net loss of $30.1 million plus an adjustment of $50.3 million relating to depreciation, depletion and amortization of PP&amp;E less other adjustments of $0.9 million.</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by continuing investing activities was $2.2 million primarily relating to expenditures for PP&amp;E of $25.2 million partially offset by net proceeds of $22.6 million from the sale of our former working interests in certain natural gas properties and other property and equipment and including an advance payment on the sale of our engineered products business (industrial machinery and related components) discussed above under “Recent Developments” and in Note 14 to the Condensed Consolidated Financial Statements.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by continuing financing activities was $21.7 million primarily for payments on long-term debt and short-term financing.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6"/>
          </w:tcPr>
          <w:p>
            <w:pPr>
              <w:jc w:val="right"/>
              <w:ind w:right="108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Senior Secured Notes due 2019</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2017 (1)</w:t>
            </w: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Secured Promissory Note due 2019</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Secured Promissory Note due 2023</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including current portion, net</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Series E and F redeemable preferred stock (2)</w:t>
            </w:r>
          </w:p>
        </w:tc>
        <w:tc>
          <w:tcPr>
            <w:tcW w:w="13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gridSpan w:val="2"/>
            <w:vMerge w:val="continue"/>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342"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second quarter of 2017, concurrently with the closing of the purchase and sale agreement relating to Zena discussed in Note 1, a portion of the net proceeds (approximately $3.5 million) from the sale was used to repay the remaining outstanding balance of this promissory note.</w:t>
      </w:r>
    </w:p>
    <w:p>
      <w:pPr>
        <w:spacing w:after="0" w:line="15" w:lineRule="exact"/>
        <w:rPr>
          <w:rFonts w:ascii="Arial" w:cs="Arial" w:eastAsia="Arial" w:hAnsi="Arial"/>
          <w:sz w:val="16"/>
          <w:szCs w:val="16"/>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Liquidation preference of $179 million as of September 30, 2017.</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$50 million. As of September 30, 2017, our Working Capital Revolver Loan was undrawn and had approximately $38.6 million of availability.</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planned capital additions of approximately $10 million for the fourth quarter of 2017 which, if spent, would bring our full year 2017 total capital additions to approximately $35 million, which excludes the impact of the $8.1 million incentive tax credit recognized during the third quarter of 2017.</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below under “Loan Agreements” and in Note 7-Long-Term Debt, the Working Capital Revolver Loan requires, among other things, that we meet certain financial covenants. The Working Capital Revolver Loan does not include financial covenant requirements unless a defined covenant trigger event has occurred and is continuing. As of September 30, 2017, no trigger event had occurred.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firstLine="518"/>
        <w:spacing w:after="0" w:line="282" w:lineRule="auto"/>
        <w:rPr>
          <w:sz w:val="20"/>
          <w:szCs w:val="20"/>
          <w:color w:val="auto"/>
        </w:rPr>
      </w:pPr>
      <w:r>
        <w:rPr>
          <w:rFonts w:ascii="Arial" w:cs="Arial" w:eastAsia="Arial" w:hAnsi="Arial"/>
          <w:sz w:val="18"/>
          <w:szCs w:val="18"/>
          <w:b w:val="1"/>
          <w:bCs w:val="1"/>
          <w:color w:val="auto"/>
        </w:rPr>
        <w:t xml:space="preserve">Senior Secured Notes due 2019 </w:t>
      </w:r>
      <w:r>
        <w:rPr>
          <w:rFonts w:ascii="Arial" w:cs="Arial" w:eastAsia="Arial" w:hAnsi="Arial"/>
          <w:sz w:val="18"/>
          <w:szCs w:val="18"/>
          <w:color w:val="auto"/>
        </w:rPr>
        <w:t>- LSB has $375 million aggregate principal amount of the 8.5% Senior Secured Notes currently outstanding.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is to be paid semiannually on February 1st and August 1st.</w:t>
      </w:r>
    </w:p>
    <w:p>
      <w:pPr>
        <w:spacing w:after="0" w:line="54" w:lineRule="exact"/>
        <w:rPr>
          <w:sz w:val="20"/>
          <w:szCs w:val="20"/>
          <w:color w:val="auto"/>
        </w:rPr>
      </w:pPr>
    </w:p>
    <w:p>
      <w:pPr>
        <w:jc w:val="both"/>
        <w:ind w:firstLine="518"/>
        <w:spacing w:after="0" w:line="266" w:lineRule="auto"/>
        <w:rPr>
          <w:sz w:val="20"/>
          <w:szCs w:val="20"/>
          <w:color w:val="auto"/>
        </w:rPr>
      </w:pPr>
      <w:r>
        <w:rPr>
          <w:rFonts w:ascii="Arial" w:cs="Arial" w:eastAsia="Arial" w:hAnsi="Arial"/>
          <w:sz w:val="18"/>
          <w:szCs w:val="18"/>
          <w:b w:val="1"/>
          <w:bCs w:val="1"/>
          <w:color w:val="auto"/>
        </w:rPr>
        <w:t xml:space="preserve">Secured Promissory Note due 2019 </w:t>
      </w:r>
      <w:r>
        <w:rPr>
          <w:rFonts w:ascii="Arial" w:cs="Arial" w:eastAsia="Arial" w:hAnsi="Arial"/>
          <w:sz w:val="18"/>
          <w:szCs w:val="18"/>
          <w:color w:val="auto"/>
        </w:rPr>
        <w:t>- EDC is party to a secured promissory note due June 29, 2019. This promissory note bears interest at the annual rate</w:t>
      </w:r>
      <w:r>
        <w:rPr>
          <w:rFonts w:ascii="Arial" w:cs="Arial" w:eastAsia="Arial" w:hAnsi="Arial"/>
          <w:sz w:val="18"/>
          <w:szCs w:val="18"/>
          <w:b w:val="1"/>
          <w:bCs w:val="1"/>
          <w:color w:val="auto"/>
        </w:rPr>
        <w:t xml:space="preserve"> </w:t>
      </w:r>
      <w:r>
        <w:rPr>
          <w:rFonts w:ascii="Arial" w:cs="Arial" w:eastAsia="Arial" w:hAnsi="Arial"/>
          <w:sz w:val="18"/>
          <w:szCs w:val="18"/>
          <w:color w:val="auto"/>
        </w:rPr>
        <w:t>of 5.73%. Principal and interest are payable in equal monthly installments with a final balloon payment of approximately $6.7 million. This promissory note is secured by the cogeneration facility equipment and is guaranteed by LSB.</w:t>
      </w:r>
    </w:p>
    <w:p>
      <w:pPr>
        <w:spacing w:after="0" w:line="68" w:lineRule="exact"/>
        <w:rPr>
          <w:sz w:val="20"/>
          <w:szCs w:val="20"/>
          <w:color w:val="auto"/>
        </w:rPr>
      </w:pPr>
    </w:p>
    <w:p>
      <w:pPr>
        <w:jc w:val="both"/>
        <w:ind w:firstLine="518"/>
        <w:spacing w:after="0" w:line="266" w:lineRule="auto"/>
        <w:rPr>
          <w:sz w:val="20"/>
          <w:szCs w:val="20"/>
          <w:color w:val="auto"/>
        </w:rPr>
      </w:pPr>
      <w:r>
        <w:rPr>
          <w:rFonts w:ascii="Arial" w:cs="Arial" w:eastAsia="Arial" w:hAnsi="Arial"/>
          <w:sz w:val="18"/>
          <w:szCs w:val="18"/>
          <w:b w:val="1"/>
          <w:bCs w:val="1"/>
          <w:color w:val="auto"/>
        </w:rPr>
        <w:t xml:space="preserve">Secured Promissory Note due 2021 </w:t>
      </w:r>
      <w:r>
        <w:rPr>
          <w:rFonts w:ascii="Arial" w:cs="Arial" w:eastAsia="Arial" w:hAnsi="Arial"/>
          <w:sz w:val="18"/>
          <w:szCs w:val="18"/>
          <w:color w:val="auto"/>
        </w:rPr>
        <w:t>- EDC is party to a secured promissory note due March 26, 2021. This promissory note bears interest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rate of 5.25%. Principal and interest are payable in monthly installments. This promissory note is secured by a natural gas pipeline at the El Dorado Facility and is guaranteed by LSB.</w:t>
      </w:r>
    </w:p>
    <w:p>
      <w:pPr>
        <w:spacing w:after="0" w:line="68" w:lineRule="exact"/>
        <w:rPr>
          <w:sz w:val="20"/>
          <w:szCs w:val="20"/>
          <w:color w:val="auto"/>
        </w:rPr>
      </w:pPr>
    </w:p>
    <w:p>
      <w:pPr>
        <w:jc w:val="both"/>
        <w:ind w:firstLine="518"/>
        <w:spacing w:after="0" w:line="314" w:lineRule="auto"/>
        <w:rPr>
          <w:sz w:val="20"/>
          <w:szCs w:val="20"/>
          <w:color w:val="auto"/>
        </w:rPr>
      </w:pPr>
      <w:r>
        <w:rPr>
          <w:rFonts w:ascii="Arial" w:cs="Arial" w:eastAsia="Arial" w:hAnsi="Arial"/>
          <w:sz w:val="16"/>
          <w:szCs w:val="16"/>
          <w:b w:val="1"/>
          <w:bCs w:val="1"/>
          <w:color w:val="auto"/>
        </w:rPr>
        <w:t xml:space="preserve">Secured Promissory Note due 2023 </w:t>
      </w:r>
      <w:r>
        <w:rPr>
          <w:rFonts w:ascii="Arial" w:cs="Arial" w:eastAsia="Arial" w:hAnsi="Arial"/>
          <w:sz w:val="16"/>
          <w:szCs w:val="16"/>
          <w:color w:val="auto"/>
        </w:rPr>
        <w:t>- EDA is party to a secured promissory note due in May 2023. Principal and interest are payable in equal</w:t>
      </w:r>
      <w:r>
        <w:rPr>
          <w:rFonts w:ascii="Arial" w:cs="Arial" w:eastAsia="Arial" w:hAnsi="Arial"/>
          <w:sz w:val="16"/>
          <w:szCs w:val="16"/>
          <w:b w:val="1"/>
          <w:bCs w:val="1"/>
          <w:color w:val="auto"/>
        </w:rPr>
        <w:t xml:space="preserve"> </w:t>
      </w:r>
      <w:r>
        <w:rPr>
          <w:rFonts w:ascii="Arial" w:cs="Arial" w:eastAsia="Arial" w:hAnsi="Arial"/>
          <w:sz w:val="16"/>
          <w:szCs w:val="16"/>
          <w:color w:val="auto"/>
        </w:rPr>
        <w:t>monthly installments with a final balloon payment of approximately $6.1 million. This promissory note bears interest at a rate that is based on the monthly LIBOR rate plus a base rate for a total of 5.48%. This promissory note is secured by the ammonia storage tank and related systems and is guaranteed by LSB.</w:t>
      </w:r>
    </w:p>
    <w:p>
      <w:pPr>
        <w:spacing w:after="0" w:line="3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7"/>
          <w:szCs w:val="17"/>
          <w:b w:val="1"/>
          <w:bCs w:val="1"/>
          <w:color w:val="auto"/>
        </w:rPr>
        <w:t xml:space="preserve">Working Capital Revolver Loan - </w:t>
      </w:r>
      <w:r>
        <w:rPr>
          <w:rFonts w:ascii="Arial" w:cs="Arial" w:eastAsia="Arial" w:hAnsi="Arial"/>
          <w:sz w:val="17"/>
          <w:szCs w:val="17"/>
          <w:color w:val="auto"/>
        </w:rPr>
        <w:t>At September 30, 2017, there were no outstanding borrowings under the Working Capital Revolver Loan and the net</w:t>
      </w:r>
      <w:r>
        <w:rPr>
          <w:rFonts w:ascii="Arial" w:cs="Arial" w:eastAsia="Arial" w:hAnsi="Arial"/>
          <w:sz w:val="17"/>
          <w:szCs w:val="17"/>
          <w:b w:val="1"/>
          <w:bCs w:val="1"/>
          <w:color w:val="auto"/>
        </w:rPr>
        <w:t xml:space="preserve"> </w:t>
      </w:r>
      <w:r>
        <w:rPr>
          <w:rFonts w:ascii="Arial" w:cs="Arial" w:eastAsia="Arial" w:hAnsi="Arial"/>
          <w:sz w:val="17"/>
          <w:szCs w:val="17"/>
          <w:color w:val="auto"/>
        </w:rPr>
        <w:t>credit available for borrowings under our Working Capital Revolver Loan was approximately $38.6 million, based on our eligible collateral, less outstanding letters of credit as of that date. Also see discussion above under “Compliance with Long-Term Debt Covenants.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ind w:left="520"/>
        <w:spacing w:after="0"/>
        <w:rPr>
          <w:sz w:val="20"/>
          <w:szCs w:val="20"/>
          <w:color w:val="auto"/>
        </w:rPr>
      </w:pPr>
      <w:r>
        <w:rPr>
          <w:rFonts w:ascii="Arial" w:cs="Arial" w:eastAsia="Arial" w:hAnsi="Arial"/>
          <w:sz w:val="16"/>
          <w:szCs w:val="16"/>
          <w:b w:val="1"/>
          <w:bCs w:val="1"/>
          <w:color w:val="auto"/>
        </w:rPr>
        <w:t xml:space="preserve">Redemption of Series E Redeemable Preferred </w:t>
      </w:r>
      <w:r>
        <w:rPr>
          <w:rFonts w:ascii="Arial" w:cs="Arial" w:eastAsia="Arial" w:hAnsi="Arial"/>
          <w:sz w:val="16"/>
          <w:szCs w:val="16"/>
          <w:color w:val="auto"/>
        </w:rPr>
        <w:t>– At September 30, 2017, there were 139,768 outstanding shares of Series E Redeemable Preferred.</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time on or after August 2, 2019,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this accretion has and will continue to affect income (loss) per common share. In addition, this accretion could accelerate if the expected redemption date is earlier than August 2,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the aggregate liquidation preference (par value plus accrued dividends) was $179 million.</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Capital Additions – First Nine Months of 2017</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Capital additions during the first nine months of 2017 primarily related to PP&amp;E of $25.0 million which additions includes approximately $1.6 million associated with maintaining compliance with environmental laws, regulations and guidelines. Our net capital additions were $16.9 million reduced by $8.1 million relating to incentive tax credits discussed above under “Recent Developments”. The capital additions were funded from cash and working capital.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annual capital additions.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we incurred expenses of $3.2 million during the first nine months of 2017 in connection with environmental projects. For the remainder of 2017, we expect to incur expenses ranging from $0.9 million to $1.2 million in connection with additional environmental projects. However, it is possible that the actual costs could be significantly different than our estimates.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Dividends on the Series E Redeemable Preferred are cumulative and payable semi-annually (May 1 and November 1) in arrears at the annual rate of 14% of the liquidation value of $1,000 per share. Each share of Series E Redeemable Preferred is entitled to receive a semi-annual dividend, only when declared by our Board. In addition, dividends in arrears at the dividend date, until paid, shall compound additional dividends at the annual rate of 14%. The current semi-annual compounded dividend is approximately $90.69 per share for the current aggregate semi-annual dividend of $12.7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September 30, 2017, the amount of accumulated dividends on the Series E Redeemable Preferred was approximately $39.3 million.</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2017, the amount of accumulated dividends on the Series D Preferred and Series B Preferred totaled approximately $0.6 million. All shares of the Series D Preferred and Series B Preferred are owned by the Golsen Holders. There are no optional or mandatory redemption rights with respect to the Series B Preferred or Series D Preferred.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we typically increase our inventory of fertilizer products prior to the beginning of each planting season in order to meet demand for our products. In addition, the amount and timing of sales to the agricultural markets depend upon weather conditions and other circumstances beyond our control.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2017, we have agreed to indemnify the sureties for payments, up to $10 million, made by them in respect of such bonds. These insurance bonds are expected to expire or be renewed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Note 1 – Summary of Significant Accounting Policies in the accompanying Notes to the Condensed Consolidated Financial Statements for recently adopted and recently issued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See “Critical Accounting Policies and Estimates,” Item 7 of our 2016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3 – Other Environmental Matters of Note 8 included in this Form 10-Q and the lawsuits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BAE Systems Ordinance Systems, Inc.</w:t>
      </w:r>
      <w:r>
        <w:rPr>
          <w:rFonts w:ascii="Arial" w:cs="Arial" w:eastAsia="Arial" w:hAnsi="Arial"/>
          <w:sz w:val="17"/>
          <w:szCs w:val="17"/>
          <w:color w:val="auto"/>
        </w:rPr>
        <w:t xml:space="preserve">, </w:t>
      </w:r>
      <w:r>
        <w:rPr>
          <w:rFonts w:ascii="Arial" w:cs="Arial" w:eastAsia="Arial" w:hAnsi="Arial"/>
          <w:sz w:val="17"/>
          <w:szCs w:val="17"/>
          <w:i w:val="1"/>
          <w:iCs w:val="1"/>
          <w:color w:val="auto"/>
        </w:rPr>
        <w:t>et al. vs. El Dorado Chemical Company</w:t>
      </w:r>
      <w:r>
        <w:rPr>
          <w:rFonts w:ascii="Arial" w:cs="Arial" w:eastAsia="Arial" w:hAnsi="Arial"/>
          <w:sz w:val="17"/>
          <w:szCs w:val="17"/>
          <w:color w:val="auto"/>
        </w:rPr>
        <w:t>, discussed under “Other Pending, Threatened or Settled Litigation” of Note 8.</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Currently, the carrying values of the redeemable preferred stocks are being increased by periodic accretions (recorded to retained earnings and included in determining income or loss per share) using the interest method so that the carrying amount will equal the redemption value as of August 2, 2019, the earliest possible redemption date by the holder. However, the remaining accretion could accelerate if the expected redemption date is earlier than August 2, 2019.</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It is also reasonably possible that the estimates and assumptions utilized as of September 30, 2017 could change in the near 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2016 Form 10-K, we had certain contractual obligations as of December 31, 2016, with various maturity dates, showing payments due for the next five years and thereafter related to the following:</w:t>
      </w:r>
    </w:p>
    <w:p>
      <w:pPr>
        <w:spacing w:after="0" w:line="73"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dividends accrued on 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During the first nine months of 2017, we amended our working capital revolver loan agreement and paid off the secured promissory note due 2017 as discussed in Note 7 and under “Liquidity and Capital Resources” and in our 2016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and operating cash flows are impacted by changes in market prices of ammonia and natural gas and changes in market interest rates.</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enter into prepaid firm sales commitments for products to be delivered in future periods. As a result, we could be exposed to embedded losses should our product costs exceed the firm sales prices. At September 30, 2017, we had approximately $0.6 million in embedded losses associated with prepaid sales commitments and other sales commitments that we plan to fulfil with purchased product.</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September 30, 2017, we did not have any natural gas derivatives not meeting the definition of a normal purchase and sale.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we are exposed to variable interest rate risk with respect to our revolving credit facility. As of September 30, 2017, we did not have any outstanding borrowings on this credit facility. We are also exposed to interest rate risk on variable rate borrowings for certain commercial loans in the amount of approximately $17.2 million. We currently do not hedge our interest rate risk associated with these variable interest loans.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2017. Based on this evaluation, the Company's Chief Executive Officer and Chief Financial Officer have concluded that the Company's disclosure controls and procedures were effective as of September 30, 2017, at the reasonable assurance level.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8"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best returns for our stockholders;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101"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outlook for the coal industry;</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entering into the additional borrowings;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benefits from the El Dorado expansion project;</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6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90" w:lineRule="exact"/>
        <w:rPr>
          <w:rFonts w:ascii="Arial" w:cs="Arial" w:eastAsia="Arial" w:hAnsi="Arial"/>
          <w:sz w:val="18"/>
          <w:szCs w:val="18"/>
          <w:color w:val="auto"/>
        </w:rPr>
      </w:pPr>
    </w:p>
    <w:p>
      <w:pPr>
        <w:ind w:left="1040" w:hanging="519"/>
        <w:spacing w:after="0" w:line="246"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natural gas, and ammonia;</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2016.</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The Arkansas Department of Environmental Quality.</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AN</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Ammonium nitrate.</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ARO</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Asset retirement obligation.</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BAE</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BAE Systems Ordinance Systems, Inc.</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BKV</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BKV Chelsea L.L.C.</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A consent administrative order.</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Chevron Environmental Management Company.</w:t>
            </w:r>
          </w:p>
        </w:tc>
      </w:tr>
      <w:tr>
        <w:trPr>
          <w:trHeight w:val="269"/>
        </w:trPr>
        <w:tc>
          <w:tcPr>
            <w:tcW w:w="276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8680" w:type="dxa"/>
            <w:vAlign w:val="bottom"/>
            <w:gridSpan w:val="2"/>
          </w:tcPr>
          <w:p>
            <w:pPr>
              <w:ind w:left="280"/>
              <w:spacing w:after="0"/>
              <w:rPr>
                <w:sz w:val="20"/>
                <w:szCs w:val="20"/>
                <w:color w:val="auto"/>
              </w:rPr>
            </w:pP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The party with whom our subsidiary in Baytown has entered into an agreement for supply of nitric acid through</w:t>
            </w:r>
          </w:p>
        </w:tc>
      </w:tr>
      <w:tr>
        <w:trPr>
          <w:trHeight w:val="230"/>
        </w:trPr>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at least June 2021, the Covestro Agreement.</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DD&amp;A</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Depreciation, depletion and amortization.</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DEF</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Diesel Exhaust Fluid.</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DOJ</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The U.S. Department of Justice.</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El Dorado Ammonia L.L.C.</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El Dorado Chemical Company.</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EIA</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The U.S. Energy Information Administration.</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Environmental and Health Laws</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The U.S. Environmental Protection Agency.</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First Supplemental Indenture</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The First Supplemental Indenture, dated as of September 7, 2016, to the Original 7.75% Indenture.</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Global Industrial, Inc., a subcontractor asserting mechanics liens for work rendered to LSB and EDC.</w:t>
            </w:r>
          </w:p>
        </w:tc>
      </w:tr>
      <w:tr>
        <w:trPr>
          <w:trHeight w:val="269"/>
        </w:trPr>
        <w:tc>
          <w:tcPr>
            <w:tcW w:w="276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w w:val="95"/>
              </w:rPr>
              <w:t>Jack E. Golsen, our Executive Chairman of the Board, and Barry H. Golsen, a member of the Board, entities</w:t>
            </w:r>
          </w:p>
        </w:tc>
      </w:tr>
      <w:tr>
        <w:trPr>
          <w:trHeight w:val="230"/>
        </w:trPr>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owned by them and trusts for which they possess voting or dispositive power as trustee.</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The Kansas Department of Health and Environment.</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Indenture Amendments</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Certain amendments to the Original 7.75% Indenture.</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Leidos Constructors L.L.C.</w:t>
            </w:r>
          </w:p>
        </w:tc>
      </w:tr>
      <w:tr>
        <w:trPr>
          <w:trHeight w:val="269"/>
        </w:trPr>
        <w:tc>
          <w:tcPr>
            <w:tcW w:w="276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w w:val="90"/>
              </w:rPr>
              <w:t>-  The Series E Redeemable Preferred liquidation preference of $1,000 per share plus accrued and unpaid dividends</w:t>
            </w:r>
          </w:p>
        </w:tc>
      </w:tr>
      <w:tr>
        <w:trPr>
          <w:trHeight w:val="230"/>
        </w:trPr>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plus the participation rights value.</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LSB Industries, Inc.</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MMBtu</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Million Metric British thermal units.</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National Pollutant Discharge Elimination System.</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The Oklahoma Department of Environmental Quality.</w:t>
            </w:r>
          </w:p>
        </w:tc>
      </w:tr>
      <w:tr>
        <w:trPr>
          <w:trHeight w:val="269"/>
        </w:trPr>
        <w:tc>
          <w:tcPr>
            <w:tcW w:w="2760" w:type="dxa"/>
            <w:vAlign w:val="bottom"/>
          </w:tcPr>
          <w:p>
            <w:pPr>
              <w:spacing w:after="0"/>
              <w:rPr>
                <w:sz w:val="20"/>
                <w:szCs w:val="20"/>
                <w:color w:val="auto"/>
              </w:rPr>
            </w:pPr>
            <w:r>
              <w:rPr>
                <w:rFonts w:ascii="Arial" w:cs="Arial" w:eastAsia="Arial" w:hAnsi="Arial"/>
                <w:sz w:val="18"/>
                <w:szCs w:val="18"/>
                <w:b w:val="1"/>
                <w:bCs w:val="1"/>
                <w:color w:val="auto"/>
              </w:rPr>
              <w:t>Original 7.75% Indenture</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w w:val="92"/>
              </w:rPr>
              <w:t>-  The indenture, dated as of August 7, 2013, pursuant to which we issued the $425 million 7.75% Senior Secured</w:t>
            </w:r>
          </w:p>
        </w:tc>
      </w:tr>
      <w:tr>
        <w:trPr>
          <w:trHeight w:val="230"/>
        </w:trPr>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Notes due 2019.</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Pryor Chemical Company.</w:t>
            </w:r>
          </w:p>
        </w:tc>
      </w:tr>
      <w:tr>
        <w:trPr>
          <w:trHeight w:val="284"/>
        </w:trPr>
        <w:tc>
          <w:tcPr>
            <w:tcW w:w="276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680" w:type="dxa"/>
            <w:vAlign w:val="bottom"/>
            <w:gridSpan w:val="2"/>
          </w:tcPr>
          <w:p>
            <w:pPr>
              <w:ind w:left="280"/>
              <w:spacing w:after="0"/>
              <w:rPr>
                <w:sz w:val="20"/>
                <w:szCs w:val="20"/>
                <w:color w:val="auto"/>
              </w:rPr>
            </w:pPr>
            <w:r>
              <w:rPr>
                <w:rFonts w:ascii="Arial" w:cs="Arial" w:eastAsia="Arial" w:hAnsi="Arial"/>
                <w:sz w:val="18"/>
                <w:szCs w:val="18"/>
                <w:color w:val="auto"/>
              </w:rPr>
              <w:t>-  Plant, property and equipment.</w:t>
            </w:r>
          </w:p>
        </w:tc>
      </w:tr>
      <w:tr>
        <w:trPr>
          <w:trHeight w:val="500"/>
        </w:trPr>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80" w:type="dxa"/>
            <w:vAlign w:val="bottom"/>
          </w:tcPr>
          <w:p>
            <w:pPr>
              <w:ind w:left="2460"/>
              <w:spacing w:after="0"/>
              <w:rPr>
                <w:sz w:val="20"/>
                <w:szCs w:val="20"/>
                <w:color w:val="auto"/>
              </w:rPr>
            </w:pPr>
            <w:r>
              <w:rPr>
                <w:rFonts w:ascii="Arial" w:cs="Arial" w:eastAsia="Arial" w:hAnsi="Arial"/>
                <w:sz w:val="18"/>
                <w:szCs w:val="18"/>
                <w:color w:val="auto"/>
              </w:rPr>
              <w:t>41</w:t>
            </w:r>
          </w:p>
        </w:tc>
      </w:tr>
      <w:tr>
        <w:trPr>
          <w:trHeight w:val="115"/>
        </w:trPr>
        <w:tc>
          <w:tcPr>
            <w:tcW w:w="2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 greenhouse reduction project being performed at our Baytown Facility.</w:t>
            </w:r>
          </w:p>
        </w:tc>
      </w:tr>
      <w:tr>
        <w:trPr>
          <w:trHeight w:val="269"/>
        </w:trPr>
        <w:tc>
          <w:tcPr>
            <w:tcW w:w="2860" w:type="dxa"/>
            <w:vAlign w:val="bottom"/>
          </w:tcPr>
          <w:p>
            <w:pPr>
              <w:spacing w:after="0"/>
              <w:rPr>
                <w:sz w:val="20"/>
                <w:szCs w:val="20"/>
                <w:color w:val="auto"/>
              </w:rPr>
            </w:pPr>
            <w:r>
              <w:rPr>
                <w:rFonts w:ascii="Arial" w:cs="Arial" w:eastAsia="Arial" w:hAnsi="Arial"/>
                <w:sz w:val="18"/>
                <w:szCs w:val="18"/>
                <w:b w:val="1"/>
                <w:bCs w:val="1"/>
                <w:color w:val="auto"/>
              </w:rPr>
              <w:t>Properties</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w w:val="95"/>
              </w:rPr>
              <w:t>Zena’s former rights, title and interests in all of its oil and natural gas properties located in Wyoming County,</w:t>
            </w:r>
          </w:p>
        </w:tc>
      </w:tr>
      <w:tr>
        <w:trPr>
          <w:trHeight w:val="230"/>
        </w:trPr>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Pennsylvania.</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LSB Funding L.L.C.</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Retirement Date</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December 31, 2017.</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The U.S. Securities and Exchange Commission.</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w w:val="93"/>
              </w:rPr>
              <w:t>Secured Promissory Note due 2019</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 secured promissory note between EDC and a lender which matures in June 2019.</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w w:val="93"/>
              </w:rPr>
              <w:t>Secured Promissory Note due 2021</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 secured promissory note between EDC and a lender which matures in June 2021.</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w w:val="93"/>
              </w:rPr>
              <w:t>Secured Promissory Note due 2023</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 secured promissory note between EDA and a lender which matures in May 2023.</w:t>
            </w:r>
          </w:p>
        </w:tc>
      </w:tr>
      <w:tr>
        <w:trPr>
          <w:trHeight w:val="269"/>
        </w:trPr>
        <w:tc>
          <w:tcPr>
            <w:tcW w:w="286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w w:val="91"/>
              </w:rPr>
              <w:t>-  The Senior Secured Notes, subsequently amended under the Supplemental Indenture, with a current interest rate</w:t>
            </w:r>
          </w:p>
        </w:tc>
      </w:tr>
      <w:tr>
        <w:trPr>
          <w:trHeight w:val="230"/>
        </w:trPr>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of 8.50%.</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269"/>
        </w:trPr>
        <w:tc>
          <w:tcPr>
            <w:tcW w:w="2860" w:type="dxa"/>
            <w:vAlign w:val="bottom"/>
          </w:tcPr>
          <w:p>
            <w:pPr>
              <w:spacing w:after="0"/>
              <w:rPr>
                <w:sz w:val="20"/>
                <w:szCs w:val="20"/>
                <w:color w:val="auto"/>
              </w:rPr>
            </w:pPr>
            <w:r>
              <w:rPr>
                <w:rFonts w:ascii="Arial" w:cs="Arial" w:eastAsia="Arial" w:hAnsi="Arial"/>
                <w:sz w:val="18"/>
                <w:szCs w:val="18"/>
                <w:b w:val="1"/>
                <w:bCs w:val="1"/>
                <w:color w:val="auto"/>
              </w:rPr>
              <w:t>Series E Redeemable Preferred</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w w:val="93"/>
              </w:rPr>
              <w:t>-  The 14% Series E Redeemable Preferred stock with participating rights and liquidating distributions based on a</w:t>
            </w:r>
          </w:p>
        </w:tc>
      </w:tr>
      <w:tr>
        <w:trPr>
          <w:trHeight w:val="230"/>
        </w:trPr>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certain number of shares of our common stock.</w:t>
            </w:r>
          </w:p>
        </w:tc>
      </w:tr>
      <w:tr>
        <w:trPr>
          <w:trHeight w:val="269"/>
        </w:trPr>
        <w:tc>
          <w:tcPr>
            <w:tcW w:w="2860" w:type="dxa"/>
            <w:vAlign w:val="bottom"/>
          </w:tcPr>
          <w:p>
            <w:pPr>
              <w:spacing w:after="0"/>
              <w:rPr>
                <w:sz w:val="20"/>
                <w:szCs w:val="20"/>
                <w:color w:val="auto"/>
              </w:rPr>
            </w:pPr>
            <w:r>
              <w:rPr>
                <w:rFonts w:ascii="Arial" w:cs="Arial" w:eastAsia="Arial" w:hAnsi="Arial"/>
                <w:sz w:val="18"/>
                <w:szCs w:val="18"/>
                <w:b w:val="1"/>
                <w:bCs w:val="1"/>
                <w:color w:val="auto"/>
              </w:rPr>
              <w:t>Series F Redeemable Preferred</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w w:val="89"/>
              </w:rPr>
              <w:t>-  The Series F Redeemable Preferred stock have one share to vote as a single class on all matters with our common</w:t>
            </w:r>
          </w:p>
        </w:tc>
      </w:tr>
      <w:tr>
        <w:trPr>
          <w:trHeight w:val="230"/>
        </w:trPr>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stock equal to 456,225 shares of our common stock.</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Selling, general and administrative expense.</w:t>
            </w:r>
          </w:p>
        </w:tc>
      </w:tr>
      <w:tr>
        <w:trPr>
          <w:trHeight w:val="269"/>
        </w:trPr>
        <w:tc>
          <w:tcPr>
            <w:tcW w:w="2860" w:type="dxa"/>
            <w:vAlign w:val="bottom"/>
          </w:tcPr>
          <w:p>
            <w:pPr>
              <w:spacing w:after="0"/>
              <w:rPr>
                <w:sz w:val="20"/>
                <w:szCs w:val="20"/>
                <w:color w:val="auto"/>
              </w:rPr>
            </w:pPr>
            <w:r>
              <w:rPr>
                <w:rFonts w:ascii="Arial" w:cs="Arial" w:eastAsia="Arial" w:hAnsi="Arial"/>
                <w:sz w:val="18"/>
                <w:szCs w:val="18"/>
                <w:b w:val="1"/>
                <w:bCs w:val="1"/>
                <w:color w:val="auto"/>
              </w:rPr>
              <w:t>Springing Maturity Date</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w w:val="93"/>
              </w:rPr>
              <w:t>90 days prior to the maturity date of the Senior Secured Notes, to the extent the Senior Secured Notes are not</w:t>
            </w:r>
          </w:p>
        </w:tc>
      </w:tr>
      <w:tr>
        <w:trPr>
          <w:trHeight w:val="230"/>
        </w:trPr>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80" w:type="dxa"/>
            <w:vAlign w:val="bottom"/>
          </w:tcPr>
          <w:p>
            <w:pPr>
              <w:ind w:left="60"/>
              <w:spacing w:after="0"/>
              <w:rPr>
                <w:sz w:val="20"/>
                <w:szCs w:val="20"/>
                <w:color w:val="auto"/>
              </w:rPr>
            </w:pPr>
            <w:r>
              <w:rPr>
                <w:rFonts w:ascii="Arial" w:cs="Arial" w:eastAsia="Arial" w:hAnsi="Arial"/>
                <w:sz w:val="18"/>
                <w:szCs w:val="18"/>
                <w:color w:val="auto"/>
              </w:rPr>
              <w:t>refinanced or repaid prior to 90 days prior to January 17,2022.</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Transition Agreement</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An agreement between Jack Golsen and LSB, dated June 30, 2017.</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TSA</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 transition services agreement.</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A planned major maintenance activity.</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Urea ammonium nitrate.</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U.S.</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United States.</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8280" w:type="dxa"/>
            <w:vAlign w:val="bottom"/>
          </w:tcPr>
          <w:p>
            <w:pPr>
              <w:ind w:left="60"/>
              <w:spacing w:after="0"/>
              <w:rPr>
                <w:sz w:val="20"/>
                <w:szCs w:val="20"/>
                <w:color w:val="auto"/>
              </w:rPr>
            </w:pPr>
            <w:r>
              <w:rPr>
                <w:rFonts w:ascii="Arial" w:cs="Arial" w:eastAsia="Arial" w:hAnsi="Arial"/>
                <w:sz w:val="18"/>
                <w:szCs w:val="18"/>
                <w:color w:val="auto"/>
              </w:rPr>
              <w:t>West Fertilizer Company.</w:t>
            </w:r>
          </w:p>
        </w:tc>
      </w:tr>
      <w:tr>
        <w:trPr>
          <w:trHeight w:val="265"/>
        </w:trPr>
        <w:tc>
          <w:tcPr>
            <w:tcW w:w="286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Our secured revolving credit facility.</w:t>
            </w:r>
          </w:p>
        </w:tc>
      </w:t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30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265"/>
        </w:trPr>
        <w:tc>
          <w:tcPr>
            <w:tcW w:w="2860" w:type="dxa"/>
            <w:vAlign w:val="bottom"/>
          </w:tcPr>
          <w:p>
            <w:pPr>
              <w:spacing w:after="0"/>
              <w:rPr>
                <w:sz w:val="20"/>
                <w:szCs w:val="20"/>
                <w:color w:val="auto"/>
              </w:rPr>
            </w:pPr>
            <w:r>
              <w:rPr>
                <w:rFonts w:ascii="Arial" w:cs="Arial" w:eastAsia="Arial" w:hAnsi="Arial"/>
                <w:sz w:val="18"/>
                <w:szCs w:val="18"/>
                <w:b w:val="1"/>
                <w:bCs w:val="1"/>
                <w:color w:val="auto"/>
              </w:rPr>
              <w:t>Working Capital Revolver Loan</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The senior secured revolving credit facility, amended effective January 17, 2017.</w:t>
            </w:r>
          </w:p>
        </w:tc>
      </w:t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Amendment</w:t>
            </w:r>
          </w:p>
        </w:tc>
        <w:tc>
          <w:tcPr>
            <w:tcW w:w="30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284"/>
        </w:trPr>
        <w:tc>
          <w:tcPr>
            <w:tcW w:w="2860" w:type="dxa"/>
            <w:vAlign w:val="bottom"/>
          </w:tcPr>
          <w:p>
            <w:pPr>
              <w:spacing w:after="0"/>
              <w:rPr>
                <w:sz w:val="20"/>
                <w:szCs w:val="20"/>
                <w:color w:val="auto"/>
              </w:rPr>
            </w:pPr>
            <w:r>
              <w:rPr>
                <w:rFonts w:ascii="Arial" w:cs="Arial" w:eastAsia="Arial" w:hAnsi="Arial"/>
                <w:sz w:val="18"/>
                <w:szCs w:val="18"/>
                <w:b w:val="1"/>
                <w:bCs w:val="1"/>
                <w:color w:val="auto"/>
              </w:rPr>
              <w:t>Zena</w:t>
            </w:r>
          </w:p>
        </w:tc>
        <w:tc>
          <w:tcPr>
            <w:tcW w:w="8580" w:type="dxa"/>
            <w:vAlign w:val="bottom"/>
            <w:gridSpan w:val="2"/>
          </w:tcPr>
          <w:p>
            <w:pPr>
              <w:ind w:left="180"/>
              <w:spacing w:after="0"/>
              <w:rPr>
                <w:sz w:val="20"/>
                <w:szCs w:val="20"/>
                <w:color w:val="auto"/>
              </w:rPr>
            </w:pPr>
            <w:r>
              <w:rPr>
                <w:rFonts w:ascii="Arial" w:cs="Arial" w:eastAsia="Arial" w:hAnsi="Arial"/>
                <w:sz w:val="18"/>
                <w:szCs w:val="18"/>
                <w:color w:val="auto"/>
              </w:rPr>
              <w:t>-  Zena Energy L.L.C., a subsidiary of the Company.</w:t>
            </w:r>
          </w:p>
        </w:tc>
      </w:tr>
      <w:tr>
        <w:trPr>
          <w:trHeight w:val="837"/>
        </w:trPr>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80" w:type="dxa"/>
            <w:vAlign w:val="bottom"/>
          </w:tcPr>
          <w:p>
            <w:pPr>
              <w:ind w:left="2460"/>
              <w:spacing w:after="0"/>
              <w:rPr>
                <w:sz w:val="20"/>
                <w:szCs w:val="20"/>
                <w:color w:val="auto"/>
              </w:rPr>
            </w:pPr>
            <w:r>
              <w:rPr>
                <w:rFonts w:ascii="Arial" w:cs="Arial" w:eastAsia="Arial" w:hAnsi="Arial"/>
                <w:sz w:val="18"/>
                <w:szCs w:val="18"/>
                <w:color w:val="auto"/>
              </w:rPr>
              <w:t>42</w:t>
            </w:r>
          </w:p>
        </w:tc>
      </w:tr>
      <w:tr>
        <w:trPr>
          <w:trHeight w:val="115"/>
        </w:trPr>
        <w:tc>
          <w:tcPr>
            <w:tcW w:w="2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8—Commitments and Contingencies—Legal Matters” in the Notes to the Condensed Consolidated Financial Statements in this Form 10-Q.</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Item 1A of our 2016 Form 10-K, filed with the SEC on February 27, 2017 for our discussion regarding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44.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Index to Exhibits Item 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96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Exhibit Title</w:t>
            </w:r>
          </w:p>
        </w:tc>
        <w:tc>
          <w:tcPr>
            <w:tcW w:w="100" w:type="dxa"/>
            <w:vAlign w:val="bottom"/>
          </w:tcPr>
          <w:p>
            <w:pPr>
              <w:spacing w:after="0"/>
              <w:rPr>
                <w:sz w:val="14"/>
                <w:szCs w:val="14"/>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Following</w:t>
            </w:r>
          </w:p>
        </w:tc>
        <w:tc>
          <w:tcPr>
            <w:tcW w:w="0" w:type="dxa"/>
            <w:vAlign w:val="bottom"/>
          </w:tcPr>
          <w:p>
            <w:pPr>
              <w:spacing w:after="0"/>
              <w:rPr>
                <w:sz w:val="1"/>
                <w:szCs w:val="1"/>
                <w:color w:val="auto"/>
              </w:rPr>
            </w:pPr>
          </w:p>
        </w:tc>
      </w:tr>
      <w:tr>
        <w:trPr>
          <w:trHeight w:val="291"/>
        </w:trPr>
        <w:tc>
          <w:tcPr>
            <w:tcW w:w="1160" w:type="dxa"/>
            <w:vAlign w:val="bottom"/>
          </w:tcPr>
          <w:p>
            <w:pPr>
              <w:ind w:left="100"/>
              <w:spacing w:after="0"/>
              <w:rPr>
                <w:sz w:val="20"/>
                <w:szCs w:val="20"/>
                <w:color w:val="auto"/>
              </w:rPr>
            </w:pPr>
            <w:r>
              <w:rPr>
                <w:rFonts w:ascii="Arial" w:cs="Arial" w:eastAsia="Arial" w:hAnsi="Arial"/>
                <w:sz w:val="18"/>
                <w:szCs w:val="18"/>
                <w:color w:val="auto"/>
              </w:rPr>
              <w:t>3(i).1</w:t>
            </w:r>
          </w:p>
        </w:tc>
        <w:tc>
          <w:tcPr>
            <w:tcW w:w="140" w:type="dxa"/>
            <w:vAlign w:val="bottom"/>
          </w:tcPr>
          <w:p>
            <w:pPr>
              <w:spacing w:after="0"/>
              <w:rPr>
                <w:sz w:val="24"/>
                <w:szCs w:val="24"/>
                <w:color w:val="auto"/>
              </w:rPr>
            </w:pPr>
          </w:p>
        </w:tc>
        <w:tc>
          <w:tcPr>
            <w:tcW w:w="5460" w:type="dxa"/>
            <w:vAlign w:val="bottom"/>
            <w:tcBorders>
              <w:bottom w:val="single" w:sz="8" w:color="0000EE"/>
            </w:tcBorders>
            <w:gridSpan w:val="4"/>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Restated Certificate of Incorporation of LSB Industries, Inc., dated January</w:t>
              </w:r>
            </w:hyperlink>
          </w:p>
        </w:tc>
        <w:tc>
          <w:tcPr>
            <w:tcW w:w="4660" w:type="dxa"/>
            <w:vAlign w:val="bottom"/>
            <w:gridSpan w:val="2"/>
          </w:tcPr>
          <w:p>
            <w:pPr>
              <w:ind w:left="100"/>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70">
              <w:r>
                <w:rPr>
                  <w:rFonts w:ascii="Arial" w:cs="Arial" w:eastAsia="Arial" w:hAnsi="Arial"/>
                  <w:sz w:val="18"/>
                  <w:szCs w:val="18"/>
                  <w:color w:val="0000EE"/>
                  <w:w w:val="88"/>
                </w:rPr>
                <w:t>21, 1977, as amended August 27, 1987</w:t>
              </w:r>
            </w:hyperlink>
          </w:p>
        </w:tc>
        <w:tc>
          <w:tcPr>
            <w:tcW w:w="2660" w:type="dxa"/>
            <w:vAlign w:val="bottom"/>
            <w:gridSpan w:val="2"/>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3(ii).1</w:t>
            </w:r>
          </w:p>
        </w:tc>
        <w:tc>
          <w:tcPr>
            <w:tcW w:w="140" w:type="dxa"/>
            <w:vAlign w:val="bottom"/>
          </w:tcPr>
          <w:p>
            <w:pPr>
              <w:spacing w:after="0"/>
              <w:rPr>
                <w:sz w:val="24"/>
                <w:szCs w:val="24"/>
                <w:color w:val="auto"/>
              </w:rPr>
            </w:pPr>
          </w:p>
        </w:tc>
        <w:tc>
          <w:tcPr>
            <w:tcW w:w="5460" w:type="dxa"/>
            <w:vAlign w:val="bottom"/>
            <w:gridSpan w:val="4"/>
          </w:tcPr>
          <w:p>
            <w:pPr>
              <w:spacing w:after="0"/>
              <w:rPr>
                <w:rFonts w:ascii="Arial" w:cs="Arial" w:eastAsia="Arial" w:hAnsi="Arial"/>
                <w:sz w:val="18"/>
                <w:szCs w:val="18"/>
                <w:color w:val="0000EE"/>
                <w:w w:val="94"/>
              </w:rPr>
            </w:pPr>
            <w:hyperlink r:id="rId71">
              <w:r>
                <w:rPr>
                  <w:rFonts w:ascii="Arial" w:cs="Arial" w:eastAsia="Arial" w:hAnsi="Arial"/>
                  <w:sz w:val="18"/>
                  <w:szCs w:val="18"/>
                  <w:color w:val="0000EE"/>
                  <w:w w:val="94"/>
                </w:rPr>
                <w:t>Amended and Restated Bylaws of LSB Industries, Inc. dated August 20,</w:t>
              </w:r>
            </w:hyperlink>
          </w:p>
        </w:tc>
        <w:tc>
          <w:tcPr>
            <w:tcW w:w="4660" w:type="dxa"/>
            <w:vAlign w:val="bottom"/>
            <w:gridSpan w:val="2"/>
          </w:tcPr>
          <w:p>
            <w:pPr>
              <w:ind w:left="100"/>
              <w:spacing w:after="0"/>
              <w:rPr>
                <w:sz w:val="20"/>
                <w:szCs w:val="20"/>
                <w:color w:val="auto"/>
              </w:rPr>
            </w:pPr>
            <w:r>
              <w:rPr>
                <w:rFonts w:ascii="Arial" w:cs="Arial" w:eastAsia="Arial" w:hAnsi="Arial"/>
                <w:sz w:val="18"/>
                <w:szCs w:val="18"/>
                <w:color w:val="auto"/>
                <w:w w:val="99"/>
              </w:rPr>
              <w:t>Exhibit 3(ii).1 to the Company’s Form 8-K filed August 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2009, as amended February 18, 2010, January 17, 2014, February 4, 2014</w:t>
              </w:r>
            </w:hyperlink>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and August 21, 2014</w:t>
              </w:r>
            </w:hyperlink>
          </w:p>
        </w:tc>
        <w:tc>
          <w:tcPr>
            <w:tcW w:w="39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337" w:right="239" w:bottom="1440" w:gutter="0" w:footer="0" w:header="0"/>
        </w:sectPr>
      </w:pPr>
    </w:p>
    <w:tbl>
      <w:tblPr>
        <w:tblLayout w:type="fixed"/>
        <w:tblInd w:w="10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3(ii).2</w:t>
            </w:r>
          </w:p>
        </w:tc>
        <w:tc>
          <w:tcPr>
            <w:tcW w:w="5440" w:type="dxa"/>
            <w:vAlign w:val="bottom"/>
            <w:tcBorders>
              <w:bottom w:val="single" w:sz="8" w:color="0000EE"/>
            </w:tcBorders>
            <w:gridSpan w:val="2"/>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Fifth Amendment to the Amended and Restated Bylaws of LSB Industries,</w:t>
              </w:r>
            </w:hyperlink>
          </w:p>
        </w:tc>
      </w:tr>
      <w:tr>
        <w:trPr>
          <w:trHeight w:val="196"/>
        </w:trPr>
        <w:tc>
          <w:tcPr>
            <w:tcW w:w="1200" w:type="dxa"/>
            <w:vAlign w:val="bottom"/>
          </w:tcPr>
          <w:p>
            <w:pPr>
              <w:spacing w:after="0"/>
              <w:rPr>
                <w:sz w:val="17"/>
                <w:szCs w:val="17"/>
                <w:color w:val="auto"/>
              </w:rPr>
            </w:pPr>
          </w:p>
        </w:tc>
        <w:tc>
          <w:tcPr>
            <w:tcW w:w="22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Inc., dated as of April 26, 2015</w:t>
              </w:r>
            </w:hyperlink>
          </w:p>
        </w:tc>
        <w:tc>
          <w:tcPr>
            <w:tcW w:w="32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Exhibit 3(ii) to the Company’s Form 8-K filed April 30, 2015</w:t>
      </w:r>
    </w:p>
    <w:p>
      <w:pPr>
        <w:spacing w:after="0" w:line="59" w:lineRule="exact"/>
        <w:rPr>
          <w:sz w:val="20"/>
          <w:szCs w:val="20"/>
          <w:color w:val="auto"/>
        </w:rPr>
      </w:pPr>
    </w:p>
    <w:p>
      <w:pPr>
        <w:sectPr>
          <w:pgSz w:w="11900" w:h="16838" w:orient="portrait"/>
          <w:cols w:equalWidth="0" w:num="2">
            <w:col w:w="6740" w:space="120"/>
            <w:col w:w="4560"/>
          </w:cols>
          <w:pgMar w:left="240" w:top="337" w:right="23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3(ii).3</w:t>
            </w:r>
          </w:p>
        </w:tc>
        <w:tc>
          <w:tcPr>
            <w:tcW w:w="5460" w:type="dxa"/>
            <w:vAlign w:val="bottom"/>
            <w:tcBorders>
              <w:bottom w:val="single" w:sz="8" w:color="0000EE"/>
            </w:tcBorders>
            <w:gridSpan w:val="2"/>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Sixth Amendment to the Amended and Restated Bylaws of LSB Industries,</w:t>
              </w:r>
            </w:hyperlink>
          </w:p>
        </w:tc>
      </w:tr>
      <w:tr>
        <w:trPr>
          <w:trHeight w:val="196"/>
        </w:trPr>
        <w:tc>
          <w:tcPr>
            <w:tcW w:w="1200" w:type="dxa"/>
            <w:vAlign w:val="bottom"/>
          </w:tcPr>
          <w:p>
            <w:pPr>
              <w:spacing w:after="0"/>
              <w:rPr>
                <w:sz w:val="17"/>
                <w:szCs w:val="17"/>
                <w:color w:val="auto"/>
              </w:rPr>
            </w:pPr>
          </w:p>
        </w:tc>
        <w:tc>
          <w:tcPr>
            <w:tcW w:w="5460" w:type="dxa"/>
            <w:vAlign w:val="bottom"/>
            <w:gridSpan w:val="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Inc., dated as of December 2, 2015</w:t>
              </w:r>
            </w:hyperlink>
          </w:p>
        </w:tc>
      </w:tr>
      <w:tr>
        <w:trPr>
          <w:trHeight w:val="20"/>
        </w:trPr>
        <w:tc>
          <w:tcPr>
            <w:tcW w:w="12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3(ii) to the Company’s Form 8-K filed December 8, 2015</w:t>
      </w:r>
    </w:p>
    <w:p>
      <w:pPr>
        <w:spacing w:after="0" w:line="76" w:lineRule="exact"/>
        <w:rPr>
          <w:sz w:val="20"/>
          <w:szCs w:val="20"/>
          <w:color w:val="auto"/>
        </w:rPr>
      </w:pPr>
    </w:p>
    <w:p>
      <w:pPr>
        <w:sectPr>
          <w:pgSz w:w="11900" w:h="16838" w:orient="portrait"/>
          <w:cols w:equalWidth="0" w:num="2">
            <w:col w:w="6760" w:space="100"/>
            <w:col w:w="4560"/>
          </w:cols>
          <w:pgMar w:left="240" w:top="337" w:right="239" w:bottom="1440" w:gutter="0" w:footer="0" w:header="0"/>
          <w:type w:val="continuous"/>
        </w:sectPr>
      </w:pPr>
    </w:p>
    <w:p>
      <w:pPr>
        <w:ind w:left="1300" w:hanging="1192"/>
        <w:spacing w:after="0" w:line="277"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3(ii).4</w:t>
      </w:r>
      <w:r>
        <w:rPr>
          <w:sz w:val="20"/>
          <w:szCs w:val="20"/>
          <w:color w:val="auto"/>
        </w:rPr>
        <w:tab/>
      </w:r>
      <w:hyperlink r:id="rId74">
        <w:r>
          <w:rPr>
            <w:rFonts w:ascii="Arial" w:cs="Arial" w:eastAsia="Arial" w:hAnsi="Arial"/>
            <w:sz w:val="18"/>
            <w:szCs w:val="18"/>
            <w:u w:val="single" w:color="auto"/>
            <w:color w:val="0000EE"/>
          </w:rPr>
          <w:t>Seventh Amendment to the Amended and Restated Bylaws of LSB</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Industries, Inc., dated as of December 22, 2015</w:t>
        </w:r>
      </w:hyperlink>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31.1(a)</w:t>
            </w:r>
          </w:p>
        </w:tc>
        <w:tc>
          <w:tcPr>
            <w:tcW w:w="53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Daniel D. Greenwell, Chief Executive Officer, pursuant to</w:t>
              </w:r>
            </w:hyperlink>
          </w:p>
        </w:tc>
      </w:tr>
      <w:tr>
        <w:trPr>
          <w:trHeight w:val="196"/>
        </w:trPr>
        <w:tc>
          <w:tcPr>
            <w:tcW w:w="1200" w:type="dxa"/>
            <w:vAlign w:val="bottom"/>
          </w:tcPr>
          <w:p>
            <w:pPr>
              <w:spacing w:after="0"/>
              <w:rPr>
                <w:sz w:val="17"/>
                <w:szCs w:val="17"/>
                <w:color w:val="auto"/>
              </w:rPr>
            </w:pPr>
          </w:p>
        </w:tc>
        <w:tc>
          <w:tcPr>
            <w:tcW w:w="30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Sarbanes-Oxley Act of 2002, Section 302</w:t>
              </w:r>
            </w:hyperlink>
          </w:p>
        </w:tc>
        <w:tc>
          <w:tcPr>
            <w:tcW w:w="23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3(ii) to the Company’s Form 8-K filed December 29, 2015</w:t>
      </w:r>
    </w:p>
    <w:p>
      <w:pPr>
        <w:spacing w:after="0" w:line="828" w:lineRule="exact"/>
        <w:rPr>
          <w:sz w:val="20"/>
          <w:szCs w:val="20"/>
          <w:color w:val="auto"/>
        </w:rPr>
      </w:pPr>
    </w:p>
    <w:p>
      <w:pPr>
        <w:sectPr>
          <w:pgSz w:w="11900" w:h="16838" w:orient="portrait"/>
          <w:cols w:equalWidth="0" w:num="2">
            <w:col w:w="6760" w:space="100"/>
            <w:col w:w="456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100"/>
              <w:spacing w:after="0"/>
              <w:rPr>
                <w:sz w:val="20"/>
                <w:szCs w:val="20"/>
                <w:color w:val="auto"/>
              </w:rPr>
            </w:pPr>
            <w:r>
              <w:rPr>
                <w:rFonts w:ascii="Arial" w:cs="Arial" w:eastAsia="Arial" w:hAnsi="Arial"/>
                <w:sz w:val="18"/>
                <w:szCs w:val="18"/>
                <w:color w:val="auto"/>
              </w:rPr>
              <w:t>31.2(a)</w:t>
            </w:r>
          </w:p>
        </w:tc>
        <w:tc>
          <w:tcPr>
            <w:tcW w:w="50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Certification of Mark T. Behrman, Chief Financial Officer, pursuant to</w:t>
              </w:r>
            </w:hyperlink>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Sarbanes-Oxley Act of 2002, Section 302</w:t>
              </w:r>
            </w:hyperlink>
          </w:p>
        </w:tc>
        <w:tc>
          <w:tcPr>
            <w:tcW w:w="2080" w:type="dxa"/>
            <w:vAlign w:val="bottom"/>
            <w:gridSpan w:val="5"/>
          </w:tcPr>
          <w:p>
            <w:pPr>
              <w:spacing w:after="0"/>
              <w:rPr>
                <w:sz w:val="17"/>
                <w:szCs w:val="17"/>
                <w:color w:val="auto"/>
              </w:rPr>
            </w:pPr>
          </w:p>
        </w:tc>
      </w:tr>
      <w:tr>
        <w:trPr>
          <w:trHeight w:val="318"/>
        </w:trPr>
        <w:tc>
          <w:tcPr>
            <w:tcW w:w="1300" w:type="dxa"/>
            <w:vAlign w:val="bottom"/>
          </w:tcPr>
          <w:p>
            <w:pPr>
              <w:ind w:left="100"/>
              <w:spacing w:after="0"/>
              <w:rPr>
                <w:sz w:val="20"/>
                <w:szCs w:val="20"/>
                <w:color w:val="auto"/>
              </w:rPr>
            </w:pPr>
            <w:r>
              <w:rPr>
                <w:rFonts w:ascii="Arial" w:cs="Arial" w:eastAsia="Arial" w:hAnsi="Arial"/>
                <w:sz w:val="18"/>
                <w:szCs w:val="18"/>
                <w:color w:val="auto"/>
              </w:rPr>
              <w:t>32.1(b)</w:t>
            </w:r>
          </w:p>
        </w:tc>
        <w:tc>
          <w:tcPr>
            <w:tcW w:w="49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Certification of Daniel D. Greenwell, Chief Executive Officer, furnished</w:t>
              </w:r>
            </w:hyperlink>
          </w:p>
        </w:tc>
        <w:tc>
          <w:tcPr>
            <w:tcW w:w="1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080" w:type="dxa"/>
            <w:vAlign w:val="bottom"/>
            <w:gridSpan w:val="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pursuant to Sarbanes-Oxley Act of 2002, Section 906</w:t>
              </w:r>
            </w:hyperlink>
          </w:p>
        </w:tc>
      </w:tr>
      <w:tr>
        <w:trPr>
          <w:trHeight w:val="20"/>
        </w:trPr>
        <w:tc>
          <w:tcPr>
            <w:tcW w:w="1300" w:type="dxa"/>
            <w:vAlign w:val="bottom"/>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18"/>
        </w:trPr>
        <w:tc>
          <w:tcPr>
            <w:tcW w:w="1300" w:type="dxa"/>
            <w:vAlign w:val="bottom"/>
          </w:tcPr>
          <w:p>
            <w:pPr>
              <w:ind w:left="100"/>
              <w:spacing w:after="0"/>
              <w:rPr>
                <w:sz w:val="20"/>
                <w:szCs w:val="20"/>
                <w:color w:val="auto"/>
              </w:rPr>
            </w:pPr>
            <w:r>
              <w:rPr>
                <w:rFonts w:ascii="Arial" w:cs="Arial" w:eastAsia="Arial" w:hAnsi="Arial"/>
                <w:sz w:val="18"/>
                <w:szCs w:val="18"/>
                <w:color w:val="auto"/>
              </w:rPr>
              <w:t>32.2(b)</w:t>
            </w:r>
          </w:p>
        </w:tc>
        <w:tc>
          <w:tcPr>
            <w:tcW w:w="5080" w:type="dxa"/>
            <w:vAlign w:val="bottom"/>
            <w:gridSpan w:val="6"/>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Certification of Mark T. Behrman, Chief Financial Officer, furnished</w:t>
              </w:r>
            </w:hyperlink>
          </w:p>
        </w:tc>
      </w:tr>
      <w:tr>
        <w:trPr>
          <w:trHeight w:val="196"/>
        </w:trPr>
        <w:tc>
          <w:tcPr>
            <w:tcW w:w="1300" w:type="dxa"/>
            <w:vAlign w:val="bottom"/>
          </w:tcPr>
          <w:p>
            <w:pPr>
              <w:spacing w:after="0"/>
              <w:rPr>
                <w:sz w:val="17"/>
                <w:szCs w:val="17"/>
                <w:color w:val="auto"/>
              </w:rPr>
            </w:pPr>
          </w:p>
        </w:tc>
        <w:tc>
          <w:tcPr>
            <w:tcW w:w="48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pursuant to Sarbanes-Oxley Act of 2002, Section 906</w:t>
              </w:r>
            </w:hyperlink>
          </w:p>
        </w:tc>
        <w:tc>
          <w:tcPr>
            <w:tcW w:w="260" w:type="dxa"/>
            <w:vAlign w:val="bottom"/>
            <w:gridSpan w:val="2"/>
          </w:tcPr>
          <w:p>
            <w:pPr>
              <w:spacing w:after="0"/>
              <w:rPr>
                <w:sz w:val="17"/>
                <w:szCs w:val="17"/>
                <w:color w:val="auto"/>
              </w:rPr>
            </w:pPr>
          </w:p>
        </w:tc>
      </w:tr>
      <w:tr>
        <w:trPr>
          <w:trHeight w:val="358"/>
        </w:trPr>
        <w:tc>
          <w:tcPr>
            <w:tcW w:w="1300" w:type="dxa"/>
            <w:vAlign w:val="bottom"/>
          </w:tcPr>
          <w:p>
            <w:pPr>
              <w:spacing w:after="0"/>
              <w:rPr>
                <w:sz w:val="20"/>
                <w:szCs w:val="20"/>
                <w:color w:val="auto"/>
              </w:rPr>
            </w:pPr>
            <w:r>
              <w:rPr>
                <w:rFonts w:ascii="Arial" w:cs="Arial" w:eastAsia="Arial" w:hAnsi="Arial"/>
                <w:sz w:val="18"/>
                <w:szCs w:val="18"/>
                <w:color w:val="auto"/>
              </w:rPr>
              <w:t>101.INS(a)</w:t>
            </w:r>
          </w:p>
        </w:tc>
        <w:tc>
          <w:tcPr>
            <w:tcW w:w="37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1340" w:type="dxa"/>
            <w:vAlign w:val="bottom"/>
            <w:gridSpan w:val="3"/>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101.SCH(a)</w:t>
            </w:r>
          </w:p>
        </w:tc>
        <w:tc>
          <w:tcPr>
            <w:tcW w:w="50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101.CAL(a)</w:t>
            </w:r>
          </w:p>
        </w:tc>
        <w:tc>
          <w:tcPr>
            <w:tcW w:w="50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101.DEF(a)</w:t>
            </w:r>
          </w:p>
        </w:tc>
        <w:tc>
          <w:tcPr>
            <w:tcW w:w="50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101.LAB(a)</w:t>
            </w:r>
          </w:p>
        </w:tc>
        <w:tc>
          <w:tcPr>
            <w:tcW w:w="508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101.PRE(a)</w:t>
            </w:r>
          </w:p>
        </w:tc>
        <w:tc>
          <w:tcPr>
            <w:tcW w:w="50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42"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30</w:t>
      </w:r>
      <w:r>
        <w:rPr>
          <w:rFonts w:ascii="Arial" w:cs="Arial" w:eastAsia="Arial" w:hAnsi="Arial"/>
          <w:sz w:val="15"/>
          <w:szCs w:val="15"/>
          <w:color w:val="auto"/>
        </w:rPr>
        <w:t>th</w:t>
      </w:r>
      <w:r>
        <w:rPr>
          <w:rFonts w:ascii="Arial" w:cs="Arial" w:eastAsia="Arial" w:hAnsi="Arial"/>
          <w:sz w:val="18"/>
          <w:szCs w:val="18"/>
          <w:color w:val="auto"/>
        </w:rPr>
        <w:t xml:space="preserve"> day of October 2017.</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Greenwell, certify that:</w:t>
      </w:r>
    </w:p>
    <w:p>
      <w:pPr>
        <w:spacing w:after="0" w:line="117"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2017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October 30, 2017</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33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2017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October 30, 2017</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upperLetter"/>
      <w:start w:val="1"/>
    </w:lvl>
  </w:abstractNum>
  <w:abstractNum w:abstractNumId="7">
    <w:nsid w:val="7C83E458"/>
    <w:multiLevelType w:val="hybridMultilevel"/>
    <w:lvl w:ilvl="0">
      <w:lvlJc w:val="left"/>
      <w:lvlText w:val="\endash "/>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70" Type="http://schemas.openxmlformats.org/officeDocument/2006/relationships/hyperlink" Target="http://www.sec.gov/Archives/edgar/data/60714/000119312513084410/d447083dex3i1.htm" TargetMode="External"/><Relationship Id="rId71" Type="http://schemas.openxmlformats.org/officeDocument/2006/relationships/hyperlink" Target="http://www.sec.gov/Archives/edgar/data/60714/000119312514323405/d781455dex3ii.htm" TargetMode="External"/><Relationship Id="rId72" Type="http://schemas.openxmlformats.org/officeDocument/2006/relationships/hyperlink" Target="http://www.sec.gov/Archives/edgar/data/60714/000119312515161375/d918969dex3ii.htm" TargetMode="External"/><Relationship Id="rId73" Type="http://schemas.openxmlformats.org/officeDocument/2006/relationships/hyperlink" Target="http://www.sec.gov/Archives/edgar/data/60714/000119312515397856/d22963dex3ii.htm" TargetMode="External"/><Relationship Id="rId74" Type="http://schemas.openxmlformats.org/officeDocument/2006/relationships/hyperlink" Target="http://www.sec.gov/Archives/edgar/data/60714/000119312515415325/d102136dex3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2019-12-29T03:29:58Z</dcterms:created>
  <dcterms:modified xsi:type="dcterms:W3CDTF">2019-12-29T03:29:58Z</dcterms:modified>
</cp:coreProperties>
</file>