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0"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4" w:lineRule="exact"/>
        <w:rPr>
          <w:rFonts w:ascii="MS PGothic" w:cs="MS PGothic" w:eastAsia="MS PGothic" w:hAnsi="MS PGothic"/>
          <w:sz w:val="17"/>
          <w:szCs w:val="17"/>
          <w:color w:val="auto"/>
          <w:highlight w:val="black"/>
        </w:rPr>
      </w:pPr>
    </w:p>
    <w:p>
      <w:pPr>
        <w:ind w:left="364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6"/>
          <w:szCs w:val="16"/>
          <w:b w:val="1"/>
          <w:bCs w:val="1"/>
          <w:color w:val="auto"/>
        </w:rPr>
        <w:t>For the transition period from __________ to __________</w:t>
      </w:r>
    </w:p>
    <w:p>
      <w:pPr>
        <w:spacing w:after="0" w:line="72" w:lineRule="exact"/>
        <w:rPr>
          <w:rFonts w:ascii="MS PGothic" w:cs="MS PGothic" w:eastAsia="MS PGothic" w:hAnsi="MS PGothic"/>
          <w:sz w:val="17"/>
          <w:szCs w:val="17"/>
          <w:color w:val="auto"/>
          <w:highlight w:val="black"/>
        </w:rPr>
      </w:pPr>
    </w:p>
    <w:p>
      <w:pPr>
        <w:ind w:left="446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6"/>
          <w:szCs w:val="16"/>
          <w:b w:val="1"/>
          <w:bCs w:val="1"/>
          <w:color w:val="auto"/>
        </w:rPr>
        <w:t>Commission File Number: 1-7677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LSB INDUSTRIES, INC.</w:t>
      </w:r>
    </w:p>
    <w:p>
      <w:pPr>
        <w:sectPr>
          <w:pgSz w:w="11900" w:h="16838" w:orient="portrait"/>
          <w:cols w:equalWidth="0" w:num="1">
            <w:col w:w="11240"/>
          </w:cols>
          <w:pgMar w:left="320" w:top="1186"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3"/>
          <w:szCs w:val="13"/>
          <w:b w:val="1"/>
          <w:bCs w:val="1"/>
          <w:color w:val="auto"/>
        </w:rPr>
        <w:t>(State of or other Jurisdiction</w:t>
      </w:r>
    </w:p>
    <w:p>
      <w:pPr>
        <w:jc w:val="center"/>
        <w:ind w:right="19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6"/>
          <w:szCs w:val="16"/>
          <w:b w:val="1"/>
          <w:bCs w:val="1"/>
          <w:color w:val="auto"/>
        </w:rPr>
        <w:t>73-1015226</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4" w:lineRule="exact"/>
        <w:rPr>
          <w:sz w:val="24"/>
          <w:szCs w:val="24"/>
          <w:color w:val="auto"/>
        </w:rPr>
      </w:pPr>
    </w:p>
    <w:p>
      <w:pPr>
        <w:sectPr>
          <w:pgSz w:w="11900" w:h="16838" w:orient="portrait"/>
          <w:cols w:equalWidth="0" w:num="2">
            <w:col w:w="7480" w:space="520"/>
            <w:col w:w="3240"/>
          </w:cols>
          <w:pgMar w:left="320" w:top="1186" w:right="339" w:bottom="1440" w:gutter="0" w:footer="0" w:header="0"/>
          <w:type w:val="continuous"/>
        </w:sectPr>
      </w:pPr>
    </w:p>
    <w:p>
      <w:pPr>
        <w:ind w:left="1680"/>
        <w:spacing w:after="0"/>
        <w:rPr>
          <w:sz w:val="20"/>
          <w:szCs w:val="20"/>
          <w:color w:val="auto"/>
        </w:rPr>
      </w:pPr>
      <w:r>
        <w:rPr>
          <w:rFonts w:ascii="Times New Roman" w:cs="Times New Roman" w:eastAsia="Times New Roman" w:hAnsi="Times New Roman"/>
          <w:sz w:val="16"/>
          <w:szCs w:val="16"/>
          <w:b w:val="1"/>
          <w:bCs w:val="1"/>
          <w:color w:val="auto"/>
        </w:rPr>
        <w:t>3503 NW 63</w:t>
      </w:r>
      <w:r>
        <w:rPr>
          <w:rFonts w:ascii="Times New Roman" w:cs="Times New Roman" w:eastAsia="Times New Roman" w:hAnsi="Times New Roman"/>
          <w:sz w:val="21"/>
          <w:szCs w:val="21"/>
          <w:b w:val="1"/>
          <w:bCs w:val="1"/>
          <w:color w:val="auto"/>
          <w:vertAlign w:val="superscript"/>
        </w:rPr>
        <w:t>rd</w:t>
      </w:r>
      <w:r>
        <w:rPr>
          <w:rFonts w:ascii="Times New Roman" w:cs="Times New Roman" w:eastAsia="Times New Roman" w:hAnsi="Times New Roman"/>
          <w:sz w:val="16"/>
          <w:szCs w:val="16"/>
          <w:b w:val="1"/>
          <w:bCs w:val="1"/>
          <w:color w:val="auto"/>
        </w:rPr>
        <w:t xml:space="preserve"> Street, Suite 500,</w:t>
      </w:r>
    </w:p>
    <w:p>
      <w:pPr>
        <w:ind w:left="1820"/>
        <w:spacing w:after="0"/>
        <w:tabs>
          <w:tab w:leader="none" w:pos="8280" w:val="left"/>
        </w:tabs>
        <w:rPr>
          <w:sz w:val="20"/>
          <w:szCs w:val="20"/>
          <w:color w:val="auto"/>
        </w:rPr>
      </w:pPr>
      <w:r>
        <w:rPr>
          <w:rFonts w:ascii="Times New Roman" w:cs="Times New Roman" w:eastAsia="Times New Roman" w:hAnsi="Times New Roman"/>
          <w:sz w:val="16"/>
          <w:szCs w:val="16"/>
          <w:b w:val="1"/>
          <w:bCs w:val="1"/>
          <w:color w:val="auto"/>
        </w:rPr>
        <w:t>Oklahoma City, Oklahoma</w:t>
      </w:r>
      <w:r>
        <w:rPr>
          <w:sz w:val="20"/>
          <w:szCs w:val="20"/>
          <w:color w:val="auto"/>
        </w:rPr>
        <w:tab/>
      </w:r>
      <w:r>
        <w:rPr>
          <w:rFonts w:ascii="Times New Roman" w:cs="Times New Roman" w:eastAsia="Times New Roman" w:hAnsi="Times New Roman"/>
          <w:sz w:val="16"/>
          <w:szCs w:val="16"/>
          <w:b w:val="1"/>
          <w:bCs w:val="1"/>
          <w:color w:val="auto"/>
        </w:rPr>
        <w:t>73116</w:t>
      </w:r>
    </w:p>
    <w:p>
      <w:pPr>
        <w:spacing w:after="0" w:line="8" w:lineRule="exact"/>
        <w:rPr>
          <w:sz w:val="24"/>
          <w:szCs w:val="24"/>
          <w:color w:val="auto"/>
        </w:rPr>
      </w:pPr>
    </w:p>
    <w:p>
      <w:pPr>
        <w:ind w:left="1680"/>
        <w:spacing w:after="0"/>
        <w:tabs>
          <w:tab w:leader="none" w:pos="818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0"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(405) 235-4546</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1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700" w:type="dxa"/>
            <w:vAlign w:val="bottom"/>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34"/>
        </w:trPr>
        <w:tc>
          <w:tcPr>
            <w:tcW w:w="42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Common Stock, Par Value $.10</w:t>
            </w:r>
          </w:p>
        </w:tc>
        <w:tc>
          <w:tcPr>
            <w:tcW w:w="120" w:type="dxa"/>
            <w:vAlign w:val="bottom"/>
          </w:tcPr>
          <w:p>
            <w:pPr>
              <w:spacing w:after="0"/>
              <w:rPr>
                <w:sz w:val="11"/>
                <w:szCs w:val="11"/>
                <w:color w:val="auto"/>
              </w:rPr>
            </w:pPr>
          </w:p>
        </w:tc>
        <w:tc>
          <w:tcPr>
            <w:tcW w:w="16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LXU</w:t>
            </w:r>
          </w:p>
        </w:tc>
        <w:tc>
          <w:tcPr>
            <w:tcW w:w="1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700" w:type="dxa"/>
            <w:vAlign w:val="bottom"/>
            <w:tcBorders>
              <w:top w:val="single" w:sz="8" w:color="auto"/>
            </w:tcBorders>
          </w:tcPr>
          <w:p>
            <w:pPr>
              <w:jc w:val="center"/>
              <w:ind w:right="330"/>
              <w:spacing w:after="0" w:line="134" w:lineRule="exact"/>
              <w:rPr>
                <w:sz w:val="20"/>
                <w:szCs w:val="20"/>
                <w:color w:val="auto"/>
              </w:rPr>
            </w:pPr>
            <w:r>
              <w:rPr>
                <w:rFonts w:ascii="Times New Roman" w:cs="Times New Roman" w:eastAsia="Times New Roman" w:hAnsi="Times New Roman"/>
                <w:sz w:val="15"/>
                <w:szCs w:val="15"/>
                <w:b w:val="1"/>
                <w:bCs w:val="1"/>
                <w:color w:val="auto"/>
              </w:rPr>
              <w:t>New York Stock Exchange</w:t>
            </w:r>
          </w:p>
        </w:tc>
      </w:tr>
      <w:tr>
        <w:trPr>
          <w:trHeight w:val="163"/>
        </w:trPr>
        <w:tc>
          <w:tcPr>
            <w:tcW w:w="4280" w:type="dxa"/>
            <w:vAlign w:val="bottom"/>
          </w:tcPr>
          <w:p>
            <w:pPr>
              <w:jc w:val="center"/>
              <w:spacing w:after="0" w:line="163" w:lineRule="exact"/>
              <w:rPr>
                <w:sz w:val="20"/>
                <w:szCs w:val="20"/>
                <w:color w:val="auto"/>
              </w:rPr>
            </w:pPr>
            <w:r>
              <w:rPr>
                <w:rFonts w:ascii="Times New Roman" w:cs="Times New Roman" w:eastAsia="Times New Roman" w:hAnsi="Times New Roman"/>
                <w:sz w:val="15"/>
                <w:szCs w:val="15"/>
                <w:b w:val="1"/>
                <w:bCs w:val="1"/>
                <w:color w:val="auto"/>
              </w:rPr>
              <w:t>Preferred Stock Purchase Rights</w:t>
            </w:r>
          </w:p>
        </w:tc>
        <w:tc>
          <w:tcPr>
            <w:tcW w:w="120" w:type="dxa"/>
            <w:vAlign w:val="bottom"/>
          </w:tcPr>
          <w:p>
            <w:pPr>
              <w:spacing w:after="0"/>
              <w:rPr>
                <w:sz w:val="14"/>
                <w:szCs w:val="14"/>
                <w:color w:val="auto"/>
              </w:rPr>
            </w:pPr>
          </w:p>
        </w:tc>
        <w:tc>
          <w:tcPr>
            <w:tcW w:w="2140" w:type="dxa"/>
            <w:vAlign w:val="bottom"/>
            <w:gridSpan w:val="3"/>
          </w:tcPr>
          <w:p>
            <w:pPr>
              <w:jc w:val="center"/>
              <w:ind w:right="440"/>
              <w:spacing w:after="0" w:line="163" w:lineRule="exact"/>
              <w:rPr>
                <w:sz w:val="20"/>
                <w:szCs w:val="20"/>
                <w:color w:val="auto"/>
              </w:rPr>
            </w:pPr>
            <w:r>
              <w:rPr>
                <w:rFonts w:ascii="Times New Roman" w:cs="Times New Roman" w:eastAsia="Times New Roman" w:hAnsi="Times New Roman"/>
                <w:sz w:val="15"/>
                <w:szCs w:val="15"/>
                <w:b w:val="1"/>
                <w:bCs w:val="1"/>
                <w:color w:val="auto"/>
              </w:rPr>
              <w:t>N/A</w:t>
            </w:r>
          </w:p>
        </w:tc>
        <w:tc>
          <w:tcPr>
            <w:tcW w:w="4700" w:type="dxa"/>
            <w:vAlign w:val="bottom"/>
          </w:tcPr>
          <w:p>
            <w:pPr>
              <w:jc w:val="center"/>
              <w:ind w:right="290"/>
              <w:spacing w:after="0" w:line="163" w:lineRule="exact"/>
              <w:rPr>
                <w:sz w:val="20"/>
                <w:szCs w:val="20"/>
                <w:color w:val="auto"/>
              </w:rPr>
            </w:pPr>
            <w:r>
              <w:rPr>
                <w:rFonts w:ascii="Times New Roman" w:cs="Times New Roman" w:eastAsia="Times New Roman" w:hAnsi="Times New Roman"/>
                <w:sz w:val="15"/>
                <w:szCs w:val="15"/>
                <w:b w:val="1"/>
                <w:bCs w:val="1"/>
                <w:color w:val="auto"/>
              </w:rPr>
              <w:t>New York Stock Exchange</w:t>
            </w:r>
          </w:p>
        </w:tc>
      </w:tr>
      <w:tr>
        <w:trPr>
          <w:trHeight w:val="149"/>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700" w:type="dxa"/>
            <w:vAlign w:val="bottom"/>
          </w:tcPr>
          <w:p>
            <w:pPr>
              <w:spacing w:after="0"/>
              <w:rPr>
                <w:sz w:val="12"/>
                <w:szCs w:val="12"/>
                <w:color w:val="auto"/>
              </w:rPr>
            </w:pPr>
          </w:p>
        </w:tc>
      </w:tr>
      <w:tr>
        <w:trPr>
          <w:trHeight w:val="162"/>
        </w:trPr>
        <w:tc>
          <w:tcPr>
            <w:tcW w:w="654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w w:val="99"/>
              </w:rPr>
              <w:t xml:space="preserve">Indicate by check mark if the Registrant is a well-known seasoned issuer, as defined in Rule 405 of the Securities Act.  </w:t>
            </w:r>
            <w:r>
              <w:rPr>
                <w:rFonts w:ascii="MS PGothic" w:cs="MS PGothic" w:eastAsia="MS PGothic" w:hAnsi="MS PGothic"/>
                <w:sz w:val="13"/>
                <w:szCs w:val="13"/>
                <w:color w:val="auto"/>
                <w:w w:val="99"/>
              </w:rPr>
              <w:t>☐</w:t>
            </w:r>
            <w:r>
              <w:rPr>
                <w:rFonts w:ascii="Times New Roman" w:cs="Times New Roman" w:eastAsia="Times New Roman" w:hAnsi="Times New Roman"/>
                <w:sz w:val="13"/>
                <w:szCs w:val="13"/>
                <w:color w:val="auto"/>
                <w:w w:val="99"/>
              </w:rPr>
              <w:t xml:space="preserve"> Yes</w:t>
            </w:r>
          </w:p>
        </w:tc>
        <w:tc>
          <w:tcPr>
            <w:tcW w:w="4700" w:type="dxa"/>
            <w:vAlign w:val="bottom"/>
          </w:tcPr>
          <w:p>
            <w:pPr>
              <w:ind w:left="2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r>
      <w:tr>
        <w:trPr>
          <w:trHeight w:val="191"/>
        </w:trPr>
        <w:tc>
          <w:tcPr>
            <w:tcW w:w="654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w w:val="97"/>
              </w:rPr>
              <w:t xml:space="preserve">Indicate by check mark if the Registrant is not required to file reports pursuant to Section 13 or Section 15(d) of the Act. </w:t>
            </w:r>
            <w:r>
              <w:rPr>
                <w:rFonts w:ascii="MS PGothic" w:cs="MS PGothic" w:eastAsia="MS PGothic" w:hAnsi="MS PGothic"/>
                <w:sz w:val="13"/>
                <w:szCs w:val="13"/>
                <w:color w:val="auto"/>
                <w:w w:val="97"/>
              </w:rPr>
              <w:t>☐</w:t>
            </w:r>
            <w:r>
              <w:rPr>
                <w:rFonts w:ascii="Times New Roman" w:cs="Times New Roman" w:eastAsia="Times New Roman" w:hAnsi="Times New Roman"/>
                <w:sz w:val="13"/>
                <w:szCs w:val="13"/>
                <w:color w:val="auto"/>
                <w:w w:val="97"/>
              </w:rPr>
              <w:t xml:space="preserve"> Yes</w:t>
            </w:r>
          </w:p>
        </w:tc>
        <w:tc>
          <w:tcPr>
            <w:tcW w:w="4700" w:type="dxa"/>
            <w:vAlign w:val="bottom"/>
          </w:tcPr>
          <w:p>
            <w:pPr>
              <w:ind w:left="6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tc>
      </w:tr>
    </w:tbl>
    <w:p>
      <w:pPr>
        <w:jc w:val="both"/>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jc w:val="both"/>
        <w:ind w:right="2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file such reports submit such files).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jc w:val="both"/>
        <w:ind w:right="20"/>
        <w:spacing w:after="0" w:line="22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25"/>
        </w:trPr>
        <w:tc>
          <w:tcPr>
            <w:tcW w:w="1740" w:type="dxa"/>
            <w:vAlign w:val="bottom"/>
          </w:tcPr>
          <w:p>
            <w:pPr>
              <w:spacing w:after="0" w:line="125" w:lineRule="exact"/>
              <w:rPr>
                <w:sz w:val="20"/>
                <w:szCs w:val="20"/>
                <w:color w:val="auto"/>
              </w:rPr>
            </w:pPr>
            <w:r>
              <w:rPr>
                <w:rFonts w:ascii="Times New Roman" w:cs="Times New Roman" w:eastAsia="Times New Roman" w:hAnsi="Times New Roman"/>
                <w:sz w:val="13"/>
                <w:szCs w:val="13"/>
                <w:color w:val="auto"/>
              </w:rPr>
              <w:t>Large accelerated filer</w:t>
            </w:r>
          </w:p>
        </w:tc>
        <w:tc>
          <w:tcPr>
            <w:tcW w:w="3840" w:type="dxa"/>
            <w:vAlign w:val="bottom"/>
          </w:tcPr>
          <w:p>
            <w:pPr>
              <w:ind w:left="620"/>
              <w:spacing w:after="0" w:line="125"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3120"/>
              <w:spacing w:after="0" w:line="125" w:lineRule="exact"/>
              <w:rPr>
                <w:sz w:val="20"/>
                <w:szCs w:val="20"/>
                <w:color w:val="auto"/>
              </w:rPr>
            </w:pPr>
            <w:r>
              <w:rPr>
                <w:rFonts w:ascii="Times New Roman" w:cs="Times New Roman" w:eastAsia="Times New Roman" w:hAnsi="Times New Roman"/>
                <w:sz w:val="13"/>
                <w:szCs w:val="13"/>
                <w:color w:val="auto"/>
              </w:rPr>
              <w:t>Accelerated filer</w:t>
            </w:r>
          </w:p>
        </w:tc>
        <w:tc>
          <w:tcPr>
            <w:tcW w:w="580" w:type="dxa"/>
            <w:vAlign w:val="bottom"/>
          </w:tcPr>
          <w:p>
            <w:pPr>
              <w:ind w:left="460"/>
              <w:spacing w:after="0" w:line="125" w:lineRule="exact"/>
              <w:rPr>
                <w:sz w:val="20"/>
                <w:szCs w:val="20"/>
                <w:color w:val="auto"/>
              </w:rPr>
            </w:pPr>
            <w:r>
              <w:rPr>
                <w:rFonts w:ascii="MS PGothic" w:cs="MS PGothic" w:eastAsia="MS PGothic" w:hAnsi="MS PGothic"/>
                <w:sz w:val="13"/>
                <w:szCs w:val="13"/>
                <w:color w:val="auto"/>
                <w:w w:val="76"/>
              </w:rPr>
              <w:t>☒</w:t>
            </w:r>
          </w:p>
        </w:tc>
      </w:tr>
      <w:tr>
        <w:trPr>
          <w:trHeight w:val="189"/>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8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98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8"/>
        </w:trPr>
        <w:tc>
          <w:tcPr>
            <w:tcW w:w="17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980" w:type="dxa"/>
            <w:vAlign w:val="bottom"/>
          </w:tcPr>
          <w:p>
            <w:pPr>
              <w:ind w:left="3120"/>
              <w:spacing w:after="0"/>
              <w:rPr>
                <w:sz w:val="20"/>
                <w:szCs w:val="20"/>
                <w:color w:val="auto"/>
              </w:rPr>
            </w:pPr>
            <w:r>
              <w:rPr>
                <w:rFonts w:ascii="Times New Roman" w:cs="Times New Roman" w:eastAsia="Times New Roman" w:hAnsi="Times New Roman"/>
                <w:sz w:val="13"/>
                <w:szCs w:val="13"/>
                <w:color w:val="auto"/>
              </w:rPr>
              <w:t>Emerging growth company</w:t>
            </w:r>
          </w:p>
        </w:tc>
        <w:tc>
          <w:tcPr>
            <w:tcW w:w="580" w:type="dxa"/>
            <w:vAlign w:val="bottom"/>
          </w:tcPr>
          <w:p>
            <w:pPr>
              <w:ind w:left="46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300"/>
        <w:spacing w:after="0" w:line="14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4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1" w:lineRule="exact"/>
        <w:rPr>
          <w:sz w:val="24"/>
          <w:szCs w:val="24"/>
          <w:color w:val="auto"/>
        </w:rPr>
      </w:pPr>
    </w:p>
    <w:p>
      <w:pPr>
        <w:ind w:right="240"/>
        <w:spacing w:after="0" w:line="14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5480" w:val="left"/>
          <w:tab w:leader="none" w:pos="598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No</w:t>
      </w:r>
    </w:p>
    <w:p>
      <w:pPr>
        <w:spacing w:after="0" w:line="4" w:lineRule="exact"/>
        <w:rPr>
          <w:sz w:val="24"/>
          <w:szCs w:val="24"/>
          <w:color w:val="auto"/>
        </w:rPr>
      </w:pPr>
    </w:p>
    <w:p>
      <w:pPr>
        <w:jc w:val="both"/>
        <w:spacing w:after="0" w:line="216" w:lineRule="auto"/>
        <w:rPr>
          <w:sz w:val="20"/>
          <w:szCs w:val="20"/>
          <w:color w:val="auto"/>
        </w:rPr>
      </w:pPr>
      <w:r>
        <w:rPr>
          <w:rFonts w:ascii="Times New Roman" w:cs="Times New Roman" w:eastAsia="Times New Roman" w:hAnsi="Times New Roman"/>
          <w:sz w:val="13"/>
          <w:szCs w:val="13"/>
          <w:color w:val="auto"/>
        </w:rPr>
        <w:t>The aggregate market value of the Registrant’s voting common equity held by non-affiliates of the Registrant, computed by reference to the price at which the voting common stock was last sold as of June 28, 2024, was approximately $415 million. As a result, the Registrant is an accelerated filer as of December 31, 2024. For purposes of this computation, shares of the Registrant’s common stock beneficially owned by each executive officer and director of the Registrant and by TLB-LSB, LLC were deemed to be owned by affiliates of the Registrant as of June 28, 2024. Such determination should not be deemed an admission that such executive officers, directors or entity of our common stock are, in fact, affiliates of the Registrant or affiliates as of the date of this Form 10-K.</w:t>
      </w:r>
    </w:p>
    <w:p>
      <w:pPr>
        <w:jc w:val="center"/>
        <w:ind w:right="20"/>
        <w:spacing w:after="0" w:line="224" w:lineRule="auto"/>
        <w:rPr>
          <w:sz w:val="20"/>
          <w:szCs w:val="20"/>
          <w:color w:val="auto"/>
        </w:rPr>
      </w:pPr>
      <w:r>
        <w:rPr>
          <w:rFonts w:ascii="Times New Roman" w:cs="Times New Roman" w:eastAsia="Times New Roman" w:hAnsi="Times New Roman"/>
          <w:sz w:val="13"/>
          <w:szCs w:val="13"/>
          <w:color w:val="auto"/>
        </w:rPr>
        <w:t>As of February 21, 2025, the Registrant had 71,849,398 shares of common stock outstanding.</w:t>
      </w:r>
    </w:p>
    <w:p>
      <w:pPr>
        <w:jc w:val="center"/>
        <w:spacing w:after="0" w:line="221" w:lineRule="auto"/>
        <w:rPr>
          <w:sz w:val="20"/>
          <w:szCs w:val="20"/>
          <w:color w:val="auto"/>
        </w:rPr>
      </w:pPr>
      <w:r>
        <w:rPr>
          <w:rFonts w:ascii="Times New Roman" w:cs="Times New Roman" w:eastAsia="Times New Roman" w:hAnsi="Times New Roman"/>
          <w:sz w:val="15"/>
          <w:szCs w:val="15"/>
          <w:color w:val="auto"/>
        </w:rPr>
        <w:t>DOCUMENTS INCORPORATED BY REFERENCE</w:t>
      </w:r>
    </w:p>
    <w:p>
      <w:pPr>
        <w:jc w:val="both"/>
        <w:spacing w:after="0" w:line="228" w:lineRule="auto"/>
        <w:rPr>
          <w:sz w:val="20"/>
          <w:szCs w:val="20"/>
          <w:color w:val="auto"/>
        </w:rPr>
      </w:pPr>
      <w:r>
        <w:rPr>
          <w:rFonts w:ascii="Times New Roman" w:cs="Times New Roman" w:eastAsia="Times New Roman" w:hAnsi="Times New Roman"/>
          <w:sz w:val="13"/>
          <w:szCs w:val="13"/>
          <w:color w:val="auto"/>
        </w:rPr>
        <w:t>Portions of the Registrant’s proxy statement for its 2025 annual meeting of stockholders will be filed with the Securities and Exchange Commission within 120 days after the end of its 2024 fiscal year, are incorporated by reference in Part III.</w:t>
      </w:r>
    </w:p>
    <w:p>
      <w:pPr>
        <w:spacing w:after="0" w:line="107" w:lineRule="exact"/>
        <w:rPr>
          <w:sz w:val="24"/>
          <w:szCs w:val="24"/>
          <w:color w:val="auto"/>
        </w:rPr>
      </w:pPr>
    </w:p>
    <w:p>
      <w:pPr>
        <w:ind w:left="100"/>
        <w:spacing w:after="0"/>
        <w:tabs>
          <w:tab w:leader="none" w:pos="1480" w:val="left"/>
          <w:tab w:leader="none" w:pos="3360" w:val="left"/>
          <w:tab w:leader="none" w:pos="4720" w:val="left"/>
          <w:tab w:leader="none" w:pos="6980" w:val="left"/>
          <w:tab w:leader="none" w:pos="8460" w:val="left"/>
        </w:tabs>
        <w:rPr>
          <w:sz w:val="20"/>
          <w:szCs w:val="20"/>
          <w:color w:val="auto"/>
        </w:rPr>
      </w:pPr>
      <w:r>
        <w:rPr>
          <w:rFonts w:ascii="Times New Roman" w:cs="Times New Roman" w:eastAsia="Times New Roman" w:hAnsi="Times New Roman"/>
          <w:sz w:val="13"/>
          <w:szCs w:val="13"/>
          <w:color w:val="auto"/>
        </w:rPr>
        <w:t>Auditor Firm Id:</w:t>
      </w:r>
      <w:r>
        <w:rPr>
          <w:sz w:val="20"/>
          <w:szCs w:val="20"/>
          <w:color w:val="auto"/>
        </w:rPr>
        <w:tab/>
      </w:r>
      <w:r>
        <w:rPr>
          <w:rFonts w:ascii="Times New Roman" w:cs="Times New Roman" w:eastAsia="Times New Roman" w:hAnsi="Times New Roman"/>
          <w:sz w:val="13"/>
          <w:szCs w:val="13"/>
          <w:color w:val="auto"/>
        </w:rPr>
        <w:t>00042</w:t>
      </w:r>
      <w:r>
        <w:rPr>
          <w:sz w:val="20"/>
          <w:szCs w:val="20"/>
          <w:color w:val="auto"/>
        </w:rPr>
        <w:tab/>
      </w:r>
      <w:r>
        <w:rPr>
          <w:rFonts w:ascii="Times New Roman" w:cs="Times New Roman" w:eastAsia="Times New Roman" w:hAnsi="Times New Roman"/>
          <w:sz w:val="13"/>
          <w:szCs w:val="13"/>
          <w:color w:val="auto"/>
        </w:rPr>
        <w:t>Auditor Name:</w:t>
      </w:r>
      <w:r>
        <w:rPr>
          <w:sz w:val="20"/>
          <w:szCs w:val="20"/>
          <w:color w:val="auto"/>
        </w:rPr>
        <w:tab/>
      </w:r>
      <w:r>
        <w:rPr>
          <w:rFonts w:ascii="Times New Roman" w:cs="Times New Roman" w:eastAsia="Times New Roman" w:hAnsi="Times New Roman"/>
          <w:sz w:val="13"/>
          <w:szCs w:val="13"/>
          <w:color w:val="auto"/>
        </w:rPr>
        <w:t>Ernst &amp; Young LLP</w:t>
      </w:r>
      <w:r>
        <w:rPr>
          <w:sz w:val="20"/>
          <w:szCs w:val="20"/>
          <w:color w:val="auto"/>
        </w:rPr>
        <w:tab/>
      </w:r>
      <w:r>
        <w:rPr>
          <w:rFonts w:ascii="Times New Roman" w:cs="Times New Roman" w:eastAsia="Times New Roman" w:hAnsi="Times New Roman"/>
          <w:sz w:val="13"/>
          <w:szCs w:val="13"/>
          <w:color w:val="auto"/>
        </w:rPr>
        <w:t>Auditor Location:</w:t>
      </w:r>
      <w:r>
        <w:rPr>
          <w:sz w:val="20"/>
          <w:szCs w:val="20"/>
          <w:color w:val="auto"/>
        </w:rPr>
        <w:tab/>
      </w:r>
      <w:r>
        <w:rPr>
          <w:rFonts w:ascii="Times New Roman" w:cs="Times New Roman" w:eastAsia="Times New Roman" w:hAnsi="Times New Roman"/>
          <w:sz w:val="12"/>
          <w:szCs w:val="12"/>
          <w:color w:val="auto"/>
        </w:rPr>
        <w:t>Oklahoma City, OK,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10"/>
            <w:vMerge w:val="restart"/>
          </w:tcPr>
          <w:p>
            <w:pPr>
              <w:jc w:val="center"/>
              <w:ind w:right="4260"/>
              <w:spacing w:after="0"/>
              <w:rPr>
                <w:sz w:val="20"/>
                <w:szCs w:val="20"/>
                <w:color w:val="auto"/>
              </w:rPr>
            </w:pPr>
            <w:r>
              <w:rPr>
                <w:rFonts w:ascii="Times New Roman" w:cs="Times New Roman" w:eastAsia="Times New Roman" w:hAnsi="Times New Roman"/>
                <w:sz w:val="18"/>
                <w:szCs w:val="18"/>
                <w:color w:val="0000FF"/>
              </w:rPr>
              <w:t>PART I</w:t>
            </w: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10"/>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20" w:type="dxa"/>
            <w:vAlign w:val="bottom"/>
            <w:tcBorders>
              <w:bottom w:val="single" w:sz="8" w:color="0000EE"/>
            </w:tcBorders>
          </w:tcPr>
          <w:p>
            <w:pPr>
              <w:spacing w:after="0"/>
              <w:rPr>
                <w:sz w:val="24"/>
                <w:szCs w:val="24"/>
                <w:color w:val="auto"/>
              </w:rPr>
            </w:pPr>
          </w:p>
        </w:tc>
        <w:tc>
          <w:tcPr>
            <w:tcW w:w="3480" w:type="dxa"/>
            <w:vAlign w:val="bottom"/>
            <w:gridSpan w:val="14"/>
          </w:tcPr>
          <w:p>
            <w:pPr>
              <w:spacing w:after="0"/>
              <w:rPr>
                <w:sz w:val="24"/>
                <w:szCs w:val="24"/>
                <w:color w:val="auto"/>
              </w:rPr>
            </w:pPr>
          </w:p>
        </w:tc>
        <w:tc>
          <w:tcPr>
            <w:tcW w:w="560" w:type="dxa"/>
            <w:vAlign w:val="bottom"/>
            <w:tcBorders>
              <w:top w:val="single" w:sz="8" w:color="0000FF"/>
            </w:tcBorders>
            <w:gridSpan w:val="2"/>
          </w:tcPr>
          <w:p>
            <w:pPr>
              <w:spacing w:after="0"/>
              <w:rPr>
                <w:sz w:val="24"/>
                <w:szCs w:val="24"/>
                <w:color w:val="auto"/>
              </w:rPr>
            </w:pPr>
          </w:p>
        </w:tc>
        <w:tc>
          <w:tcPr>
            <w:tcW w:w="428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24"/>
                <w:szCs w:val="24"/>
                <w:color w:val="auto"/>
              </w:rPr>
            </w:pPr>
          </w:p>
        </w:tc>
        <w:tc>
          <w:tcPr>
            <w:tcW w:w="8060" w:type="dxa"/>
            <w:vAlign w:val="bottom"/>
            <w:gridSpan w:val="21"/>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9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40" w:type="dxa"/>
            <w:vAlign w:val="bottom"/>
            <w:gridSpan w:val="16"/>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80" w:type="dxa"/>
            <w:vAlign w:val="bottom"/>
            <w:gridSpan w:val="20"/>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18"/>
        </w:trPr>
        <w:tc>
          <w:tcPr>
            <w:tcW w:w="150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gridSpan w:val="11"/>
          </w:tcPr>
          <w:p>
            <w:pPr>
              <w:jc w:val="center"/>
              <w:ind w:right="4240"/>
              <w:spacing w:after="0"/>
              <w:rPr>
                <w:sz w:val="20"/>
                <w:szCs w:val="20"/>
                <w:color w:val="auto"/>
              </w:rPr>
            </w:pPr>
            <w:r>
              <w:rPr>
                <w:rFonts w:ascii="Times New Roman" w:cs="Times New Roman" w:eastAsia="Times New Roman" w:hAnsi="Times New Roman"/>
                <w:sz w:val="18"/>
                <w:szCs w:val="18"/>
                <w:color w:val="0000FF"/>
                <w:w w:val="99"/>
              </w:rPr>
              <w:t>PART II</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9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8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4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2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9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20" w:type="dxa"/>
            <w:vAlign w:val="bottom"/>
            <w:tcBorders>
              <w:right w:val="single" w:sz="8" w:color="0000FF"/>
            </w:tcBorders>
            <w:gridSpan w:val="8"/>
            <w:shd w:val="clear" w:color="auto" w:fill="0000FF"/>
          </w:tcPr>
          <w:p>
            <w:pPr>
              <w:spacing w:after="0" w:line="20" w:lineRule="exact"/>
              <w:rPr>
                <w:sz w:val="1"/>
                <w:szCs w:val="1"/>
                <w:color w:val="auto"/>
              </w:rPr>
            </w:pPr>
          </w:p>
        </w:tc>
        <w:tc>
          <w:tcPr>
            <w:tcW w:w="184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9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7"/>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646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52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20" w:type="dxa"/>
            <w:vAlign w:val="bottom"/>
            <w:gridSpan w:val="17"/>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320" w:type="dxa"/>
            <w:vAlign w:val="bottom"/>
            <w:tcBorders>
              <w:right w:val="single" w:sz="8" w:color="0000EE"/>
            </w:tcBorders>
            <w:gridSpan w:val="8"/>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08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8"/>
        </w:trPr>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00" w:type="dxa"/>
            <w:vAlign w:val="bottom"/>
            <w:gridSpan w:val="12"/>
          </w:tcPr>
          <w:p>
            <w:pPr>
              <w:jc w:val="center"/>
              <w:ind w:right="4200"/>
              <w:spacing w:after="0"/>
              <w:rPr>
                <w:sz w:val="20"/>
                <w:szCs w:val="20"/>
                <w:color w:val="auto"/>
              </w:rPr>
            </w:pPr>
            <w:r>
              <w:rPr>
                <w:rFonts w:ascii="Times New Roman" w:cs="Times New Roman" w:eastAsia="Times New Roman" w:hAnsi="Times New Roman"/>
                <w:sz w:val="18"/>
                <w:szCs w:val="18"/>
                <w:color w:val="0000FF"/>
              </w:rPr>
              <w:t>PART III</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right w:val="single" w:sz="8" w:color="0000FF"/>
            </w:tcBorders>
            <w:gridSpan w:val="5"/>
            <w:shd w:val="clear" w:color="auto" w:fill="0000FF"/>
          </w:tcPr>
          <w:p>
            <w:pPr>
              <w:spacing w:after="0" w:line="20" w:lineRule="exact"/>
              <w:rPr>
                <w:sz w:val="1"/>
                <w:szCs w:val="1"/>
                <w:color w:val="auto"/>
              </w:rPr>
            </w:pPr>
          </w:p>
        </w:tc>
        <w:tc>
          <w:tcPr>
            <w:tcW w:w="7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6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color w:val="0000FF"/>
              </w:rPr>
              <w:t>(Items 10, 11, 12, 13, and 14)</w:t>
            </w:r>
          </w:p>
        </w:tc>
        <w:tc>
          <w:tcPr>
            <w:tcW w:w="20" w:type="dxa"/>
            <w:vAlign w:val="bottom"/>
            <w:tcBorders>
              <w:bottom w:val="single" w:sz="8" w:color="0000EE"/>
            </w:tcBorders>
          </w:tcPr>
          <w:p>
            <w:pPr>
              <w:spacing w:after="0"/>
              <w:rPr>
                <w:sz w:val="24"/>
                <w:szCs w:val="24"/>
                <w:color w:val="auto"/>
              </w:rPr>
            </w:pPr>
          </w:p>
        </w:tc>
        <w:tc>
          <w:tcPr>
            <w:tcW w:w="346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448"/>
        </w:trPr>
        <w:tc>
          <w:tcPr>
            <w:tcW w:w="1500" w:type="dxa"/>
            <w:vAlign w:val="bottom"/>
          </w:tcPr>
          <w:p>
            <w:pPr>
              <w:spacing w:after="0"/>
              <w:rPr>
                <w:sz w:val="24"/>
                <w:szCs w:val="24"/>
                <w:color w:val="auto"/>
              </w:rPr>
            </w:pPr>
          </w:p>
        </w:tc>
        <w:tc>
          <w:tcPr>
            <w:tcW w:w="89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The information required by Part III, shall be incorporated by reference from our definitive proxy statement to be filed</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89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pursuant to Regulation 14A which involves the election of directors that we expect to be filed with the Securities and</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89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Exchange Commission not later than 120 days after the end of our 2024 fiscal year covered by this report.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rPr>
              <w:t>PART IV</w:t>
            </w:r>
          </w:p>
        </w:tc>
        <w:tc>
          <w:tcPr>
            <w:tcW w:w="4220" w:type="dxa"/>
            <w:vAlign w:val="bottom"/>
            <w:gridSpan w:val="7"/>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820" w:type="dxa"/>
            <w:vAlign w:val="bottom"/>
            <w:gridSpan w:val="15"/>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668"/>
        </w:trPr>
        <w:tc>
          <w:tcPr>
            <w:tcW w:w="1500" w:type="dxa"/>
            <w:vAlign w:val="bottom"/>
          </w:tcPr>
          <w:p>
            <w:pPr>
              <w:spacing w:after="0"/>
              <w:rPr>
                <w:sz w:val="24"/>
                <w:szCs w:val="24"/>
                <w:color w:val="auto"/>
              </w:rPr>
            </w:pPr>
          </w:p>
        </w:tc>
        <w:tc>
          <w:tcPr>
            <w:tcW w:w="4360" w:type="dxa"/>
            <w:vAlign w:val="bottom"/>
            <w:gridSpan w:val="17"/>
          </w:tcPr>
          <w:p>
            <w:pPr>
              <w:ind w:left="408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statements contained within this report may be deemed “Forward-Looking Statements.” within the meaning of United States federal securities laws. All statements in this report other than statements of historical fact are Forward-Looking Statements that are subject to known and unknown risks, uncertainties and other factors, many of which are difficult to predict or outside of the Company’s control, which could cause actual results and performance of the Company to differ materially from those expressed in, or implied or projected by, such statements. Any such Forward-Looking Statements are not guarantees of future performance. The words “believe,” “expect,” “anticipate,” “intend,” “plan,” “may,” “could,” and similar expressions identify Forward-Looking Statements. All Forward-Looking Statements speak only as of the date on which they are made. Forward-Looking Statements contained herein, and the associated risks, uncertainties, assumptions and other important factors include, but are not limited to, the following:</w:t>
      </w:r>
    </w:p>
    <w:p>
      <w:pPr>
        <w:spacing w:after="0" w:line="13"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invest in projects that will generate the best returns for our stockholders;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liquidity outlook;</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our chemical products and related markets;</w:t>
      </w:r>
    </w:p>
    <w:p>
      <w:pPr>
        <w:spacing w:after="0" w:line="4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leverage our existing business platform and portfolio of assets to produce low carbon products and execute our strategy to become a leader in the energy transition in the chemical industry;</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timing and effect on the nitrogen market from current nitrogen expansion projects;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from the lack of non-seasonal volume;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competition is based upon service, price, location of production and distribution sites, and product quality and performance;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for the industrial end markets;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w:t>
      </w:r>
    </w:p>
    <w:p>
      <w:pPr>
        <w:spacing w:after="0" w:line="4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broaden the distribution of our products, including our ability to leverage our nitric acid production capacity at our El Dorado Facility;</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initiatives to increase the distribution of our products within our industrial end markets;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success of our advanced low carbon ammonia initiatives;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ammonia pricing;</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our product and market diversification strategy;</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fertilizer production;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output and capacity of our existing production facilities;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volumes at our production facilities;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moderate risk inherent in agricultural markets;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to fund our cash needs and how this cash will be used;</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enter into the additional borrowings;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cost and timing of our capital projects;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covered under warranty provisions;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to our customers cost increases in the form of higher prices;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whether we have sufficient sources for materials and components;</w:t>
      </w:r>
    </w:p>
    <w:p>
      <w:pPr>
        <w:spacing w:after="0" w:line="36" w:lineRule="exact"/>
        <w:rPr>
          <w:rFonts w:ascii="Times New Roman" w:cs="Times New Roman" w:eastAsia="Times New Roman" w:hAnsi="Times New Roman"/>
          <w:sz w:val="18"/>
          <w:szCs w:val="18"/>
          <w:color w:val="auto"/>
        </w:rPr>
      </w:pPr>
    </w:p>
    <w:p>
      <w:pPr>
        <w:ind w:left="1020" w:right="20" w:hanging="503"/>
        <w:spacing w:after="0" w:line="27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our estimates and contingencies with respect claims and legal actions in the ordinary course of our business and their effect on our business, financial condition, results of operations or cash flows;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natural gas requirements;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the market and demand for low carbon ammonia;</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our facilities with the terms of our permits;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compliance with environmental laws, health laws, security regulations and transportation regulations;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as to when Turnarounds will be performed and completed;</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 connection with environmental projects;</w:t>
      </w:r>
    </w:p>
    <w:p>
      <w:pPr>
        <w:spacing w:after="0" w:line="49" w:lineRule="exact"/>
        <w:rPr>
          <w:rFonts w:ascii="Times New Roman" w:cs="Times New Roman" w:eastAsia="Times New Roman" w:hAnsi="Times New Roman"/>
          <w:sz w:val="18"/>
          <w:szCs w:val="18"/>
          <w:color w:val="auto"/>
        </w:rPr>
      </w:pPr>
    </w:p>
    <w:p>
      <w:pPr>
        <w:ind w:left="1020" w:hanging="503"/>
        <w:spacing w:after="0" w:line="27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litigation and other contingencies, including the potential financial penalties associated with the NOV from ADEQ regarding wastewater discharges from our El Dorado Facility;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interest expense;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debt servicing and covenants;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maturities or redemption obligations when due;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repurchase program on our stock price and cash reserves;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as to whether we can meet all required covenant tests for the next twelve months.</w:t>
      </w:r>
    </w:p>
    <w:p>
      <w:pPr>
        <w:spacing w:after="0" w:line="1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2"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both domestic and foreign;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reductions in revenues;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interest rates;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in a timely manner a material amount of receivables;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of increases in prices of raw materials;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state and local laws and regulations, or in the interpretation of such laws and regulations;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other issues related to climate change;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releases of pollutants into the environment exceeding our permitted limits;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equipment, maintenance, operating or labor costs not presently anticipated by us;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use internally generated funds for purposes not presently anticipated;</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secure additional financing for planned capital expenditures or financing obligations due in the near future;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existing indebtedness;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the cost of natural gas and certain precious metals;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due to financial covenants;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significant customer;</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 to maintain internal controls over financial reporting;</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strategy or development plans;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fund the working capital and expansion of our businesses;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production efficiency of our facilities;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in our contingencies including pending litigation;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downtime at one or more of our chemical facilities;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production rates at any of our chemical plants;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necessary raw materials and purchased components;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increases in cost of raw materials;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our accounting estimates;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problems within our production equipment;</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or natural disasters;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obtain or retain our insurance coverage;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necessary permits;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obtaining third-party financing;</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proxy contests initiated by dissident stockholders;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fertilizer production;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acres planted for crops requiring fertilizer;</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duties for products we sell resulting in an increase in imported products into the United States;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regulatory policies, including tariffs;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concerns;</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natural gas prices;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resulting from increased inflation;</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the effects of climate change;</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imported agricultural products;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6" w:right="379" w:bottom="1440" w:gutter="0" w:footer="0" w:header="0"/>
        </w:sectPr>
      </w:pPr>
    </w:p>
    <w:bookmarkStart w:id="4" w:name="page5"/>
    <w:bookmarkEnd w:id="4"/>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chain disruptions;</w:t>
      </w:r>
    </w:p>
    <w:p>
      <w:pPr>
        <w:spacing w:after="0" w:line="34" w:lineRule="exact"/>
        <w:rPr>
          <w:rFonts w:ascii="Times New Roman" w:cs="Times New Roman" w:eastAsia="Times New Roman" w:hAnsi="Times New Roman"/>
          <w:sz w:val="18"/>
          <w:szCs w:val="18"/>
          <w:color w:val="auto"/>
        </w:rPr>
      </w:pPr>
    </w:p>
    <w:p>
      <w:pPr>
        <w:ind w:left="1020" w:hanging="503"/>
        <w:spacing w:after="0" w:line="273"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described in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xml:space="preserve"> contained in this report;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described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contained in this report.</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Given these uncertainties, all parties are cautioned not to place undue reliance on such Forward-Looking Statements. Except to the extent required by law, we disclaim any obligation to update any such factors or to publicly announce the result of any revisions to any of the Forward-Looking Statements contained herein to reflect future events or developments.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All references to “LSB Industries,” “LSB,” the “Company,” “we,” “us,” and “our” refer to LSB Industries, Inc. and its subsidiaries on a consolidated basis, except where the context makes clear that the reference is only to LSB Industries, Inc. itself and not its subsidiaries. Notes referenced throughout this document refer to consolidated financial statement footnote disclosures that are found in </w:t>
      </w:r>
      <w:r>
        <w:rPr>
          <w:rFonts w:ascii="Times New Roman" w:cs="Times New Roman" w:eastAsia="Times New Roman" w:hAnsi="Times New Roman"/>
          <w:sz w:val="18"/>
          <w:szCs w:val="18"/>
          <w:i w:val="1"/>
          <w:iCs w:val="1"/>
          <w:color w:val="auto"/>
        </w:rPr>
        <w:t>Item 8. Financial Statements and Supplementary Data</w:t>
      </w:r>
      <w:r>
        <w:rPr>
          <w:rFonts w:ascii="Times New Roman" w:cs="Times New Roman" w:eastAsia="Times New Roman" w:hAnsi="Times New Roman"/>
          <w:sz w:val="18"/>
          <w:szCs w:val="18"/>
          <w:color w:val="auto"/>
        </w:rPr>
        <w:t xml:space="preserve"> of this report. Capitalized terms not otherwise defined herein shall have the meanings ascribed thereto under the heading “</w:t>
      </w:r>
      <w:r>
        <w:rPr>
          <w:rFonts w:ascii="Times New Roman" w:cs="Times New Roman" w:eastAsia="Times New Roman" w:hAnsi="Times New Roman"/>
          <w:sz w:val="18"/>
          <w:szCs w:val="18"/>
          <w:i w:val="1"/>
          <w:iCs w:val="1"/>
          <w:color w:val="auto"/>
        </w:rPr>
        <w:t>Special Note Regarding Forward-Looking Statements – Defined Terms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LSB is a Delaware corporation, formed in 1968, and headquartered in Oklahoma City, Oklahoma. LSB is committed to playing a leadership role in the energy transition through the production of low and no carbon products that build, feed and power the world. We seek to accomplish this goal through the manufacture and marketing of essential products for the agricultural and industrial markets, and in the future, energy markets, all with an emphasis on a culture of excellence in customer experience. The Company manufactures ammonia and ammonia-related products in El Dorado, Arkansas (the “El Dorado Facility”), Cherokee, Alabama (the “Cherokee Facility”), and Pryor, Oklahoma (the “Pryor Facility”), and operates a facility on behalf of Covestro LLC (“Covestro”) in Baytown, Texas (the “Baytown Facility”). Our products are sold through distributors and directly to end customers, such as farmers, ranchers, and fertilizer dealers, throughout the United States and parts of Canada, and to explosives manufacturers in the United States and other parts of North America.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business manufactures products for two principal markets: (a) Agricultural and (b) Industrial. The chart below highlights representative products and applications in each of our end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6172200" cy="2991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products we manufacture at our facilities are primarily derived from natural gas (a raw material). Our facilities and production processes have been designed to produce products that are marketable at nearly each stage of production. This design has allowed us to develop and deploy a business model optimizing the mix of products to capture the value opportunities in the end markets we serve with a focus on balancing our production.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following table summarizes net sales information relating to our products: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2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12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5"/>
                <w:szCs w:val="15"/>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Percentage of consolidated net sales:</w:t>
            </w: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 &amp; Nitric acid</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r>
      <w:tr>
        <w:trPr>
          <w:trHeight w:val="216"/>
        </w:trPr>
        <w:tc>
          <w:tcPr>
            <w:tcW w:w="6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Ammonia</w:t>
            </w: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r>
      <w:tr>
        <w:trPr>
          <w:trHeight w:val="216"/>
        </w:trPr>
        <w:tc>
          <w:tcPr>
            <w:tcW w:w="6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600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60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6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-170815</wp:posOffset>
            </wp:positionV>
            <wp:extent cx="120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-170815</wp:posOffset>
            </wp:positionV>
            <wp:extent cx="120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1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net sales, operating results and total assets for the past three fiscal years, see the Consolidated Financial Statements included in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aim to be a leader in the energy transition in the chemical industry through the production of low and no carbon products that build, feed and power the world. We plan to accomplish this goal by leveraging our existing business platform and portfolio of assets to produce low carbon products, utilizing our significant manufacturing expertise and experience in ammonia and hydrogen plant operations, optimizing our liquidity and free cash flows to generate growth, and creating a network of partners that bring additional knowledge, expertise and relationships.</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With respect to our current portfolio of products, we pursue a strategy of balancing the sale of product as fertilizer into the agriculture markets at spot prices or short duration pre-sales and developing industrial customers that purchase substantial quantities of products, primarily under contractual obligations and/or pricing arrangements that generally provide for the pass through of some raw material and other manufacturing costs. We believe this product and market diversification strategy allows us to have more consistent levels of production compared to some of our competitors and helps reduce the volatility risk inherent in the prices of our raw material and/or the changes in demand for our products.</w:t>
      </w:r>
    </w:p>
    <w:p>
      <w:pPr>
        <w:spacing w:after="0" w:line="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strategy of developing industrial customers helps to moderate the risk inherent in the agricultural markets where spot sales prices of our agricultural products may not have a correlation to natural gas raw material costs but rather reflect market conditions for like and competing nitrogen sources. This volatility of sales pricing in our agricultural products may, from time to time, compromise our ability to recover our full cost to produce the product. Additionally, the lack of sufficient non-seasonal agricultural sales volume to operate our manufacturing facilities at optimum levels can preclude us from balancing production and storage capabilities. Looking forward, we remain focused on upgrading margins by maximizing downstream production. Our strategy calls for further development of industrial customers who assume the volatility risk associated with the raw material costs and mitigate the effects of seasonality in the agricultural sector.</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strategy also includes evaluating further investments in low carbon opportunities, potential acquisitions of strategic assets or companies, joint ventures with other companies and investments in additional production capacity where we believe those acquisitions, joint ventures or expansion of production capacity will enhance the value of the Company and provide appropriate returns.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Initiatives for 2025</w:t>
      </w:r>
    </w:p>
    <w:p>
      <w:pPr>
        <w:spacing w:after="0" w:line="119" w:lineRule="exact"/>
        <w:rPr>
          <w:sz w:val="20"/>
          <w:szCs w:val="20"/>
          <w:color w:val="auto"/>
        </w:rPr>
      </w:pPr>
    </w:p>
    <w:p>
      <w:pPr>
        <w:jc w:val="both"/>
        <w:ind w:right="440"/>
        <w:spacing w:after="0" w:line="267" w:lineRule="auto"/>
        <w:rPr>
          <w:sz w:val="20"/>
          <w:szCs w:val="20"/>
          <w:color w:val="auto"/>
        </w:rPr>
      </w:pPr>
      <w:r>
        <w:rPr>
          <w:rFonts w:ascii="Times New Roman" w:cs="Times New Roman" w:eastAsia="Times New Roman" w:hAnsi="Times New Roman"/>
          <w:sz w:val="18"/>
          <w:szCs w:val="18"/>
          <w:color w:val="auto"/>
        </w:rPr>
        <w:t>As discussed in more detail under “</w:t>
      </w:r>
      <w:r>
        <w:rPr>
          <w:rFonts w:ascii="Times New Roman" w:cs="Times New Roman" w:eastAsia="Times New Roman" w:hAnsi="Times New Roman"/>
          <w:sz w:val="18"/>
          <w:szCs w:val="18"/>
          <w:i w:val="1"/>
          <w:iCs w:val="1"/>
          <w:color w:val="auto"/>
        </w:rPr>
        <w:t>Item 7. Management’s Discussion and Analysis of Financial Condition and Results of Operations–Key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Initiatives</w:t>
      </w:r>
      <w:r>
        <w:rPr>
          <w:rFonts w:ascii="Times New Roman" w:cs="Times New Roman" w:eastAsia="Times New Roman" w:hAnsi="Times New Roman"/>
          <w:sz w:val="18"/>
          <w:szCs w:val="18"/>
          <w:color w:val="auto"/>
        </w:rPr>
        <w:t>,” we believe our future results of operations and financial condition will depend significantly on our ability to successfully implement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key initiatives:</w:t>
      </w:r>
    </w:p>
    <w:p>
      <w:pPr>
        <w:spacing w:after="0" w:line="65" w:lineRule="exact"/>
        <w:rPr>
          <w:sz w:val="20"/>
          <w:szCs w:val="20"/>
          <w:color w:val="auto"/>
        </w:rPr>
      </w:pPr>
    </w:p>
    <w:p>
      <w:pPr>
        <w:ind w:left="580" w:right="40" w:hanging="378"/>
        <w:spacing w:after="0" w:line="262" w:lineRule="auto"/>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Investing to Improve Environmental, Health &amp; Safety and Reliability at our Facilities while Supplying our Customers with Products of the Highest Quality;</w:t>
      </w:r>
    </w:p>
    <w:p>
      <w:pPr>
        <w:ind w:left="580" w:hanging="37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Optimization and Increase the Breadth of Distribution of our Product Mix;</w:t>
      </w:r>
    </w:p>
    <w:p>
      <w:pPr>
        <w:spacing w:after="0" w:line="9"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 of Low Carbon Ammonia and Clean Energy Projects;</w:t>
      </w:r>
    </w:p>
    <w:p>
      <w:pPr>
        <w:spacing w:after="0" w:line="9"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Evaluate and Pursue Organic Capacity Expansion; and</w:t>
      </w:r>
    </w:p>
    <w:p>
      <w:pPr>
        <w:spacing w:after="0" w:line="9" w:lineRule="exact"/>
        <w:rPr>
          <w:rFonts w:ascii="Times New Roman" w:cs="Times New Roman" w:eastAsia="Times New Roman" w:hAnsi="Times New Roman"/>
          <w:sz w:val="18"/>
          <w:szCs w:val="18"/>
          <w:color w:val="auto"/>
        </w:rPr>
      </w:pPr>
    </w:p>
    <w:p>
      <w:pPr>
        <w:ind w:left="580" w:hanging="37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Evaluate Acquisitions of Strategic Assets or Companies.</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for our liquidity, we had approximately $221 million of combined cash and cash equivalents, short-term investments and borrowing capacity at the end of 2024, which we believe provides us with ample liquidity to fund our operations and meet our current obligations. Also see discussions in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Strategically Located Chemical Assets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business benefits from highly advantageous locations with logistical and distribution benefits. We have access to the Nustar ammonia pipeline from the Gulf Coast of the United States at our El Dorado Facility, which provides low-cost transportation to distribution points. The El Dorado Facility also has rail access providing favorable freight logistics to our industrial and agricultural customers and cost advantages when selling a number of our products west of the Mississippi River. Our Cherokee Facility is located east of the Mississippi River, allowing it to reach customers that are not freight logical for our competitors. Our Cherokee Facility sits adjacent to the Tennessee River, providing barge receipt and shipping access, in addition to truck and rail delivery access. Our Pryor Facility is located in the heart of the Southern Plains with strategic rail and truck delivery access.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Advantaged Raw Material Cost Position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access to low-cost (relative to international markets) natural gas in the United States, which allows for significant cost advantages as compared to comparable production facilities in Europe and other parts of the world.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Diversified Sources of Revenue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business serves a broad range of agricultural and industrial end markets, which we believe diminishes the cyclicality of our financial performance. The flexible nature of our production process and storage capability allows us the ability to shift our product mix based on end market demand.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Agricultural Market Conditions</w:t>
      </w:r>
    </w:p>
    <w:p>
      <w:pPr>
        <w:spacing w:after="0" w:line="11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discussed in more detail under “</w:t>
      </w:r>
      <w:r>
        <w:rPr>
          <w:rFonts w:ascii="Times New Roman" w:cs="Times New Roman" w:eastAsia="Times New Roman" w:hAnsi="Times New Roman"/>
          <w:sz w:val="18"/>
          <w:szCs w:val="18"/>
          <w:i w:val="1"/>
          <w:iCs w:val="1"/>
          <w:color w:val="auto"/>
        </w:rPr>
        <w:t>Item 7. Management’s Discussion and Analysis of Financial Condition and Results of Operations–Key Industry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the price at which our agricultural products are ultimately sold depends on numerous factors, including the supply and demand for nitrogen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fertilizers which, in turn, depends upon world grain demand and production levels, the cost and availability of transportation and storage, weather conditions, competitive pricing and the availability of imports, all of which impact competition.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7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sell our agricultural products at the current spot market price for either immediate shipment or as part of forward sales commitments, depending on fertilizer seasonality and our forward pricing point of view.</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Looking forward to 2025, we expect ammonia pricing to moderate for a variety of reasons, including: the anticipated start-up of new production capacity in both the United States and internationally; an increase in Russian exports; and continued muted demand for nitrogen products from the global industrial sector, particularly in Asia. Upside to our pricing expectations could be driven by a variety of factors, including: a continued increase in energy prices; a strengthening Chinese economy driving increased industrial market demand; further delays in new production capacity coming online; gas curtailments in regions exporting ammonia; a lower interest rate environment; the potential impact of United States import tariffs; and supportive weather dynamics.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Agricultural Products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produce and sell UAN, HDAN and ammonia, all of which are nitrogen-based fertilizers. We sell these agricultural products to farmers, ranchers, fertilizer dealers and distributors primarily in the ranch land and grain production markets in the United States. Our nitrogen-based fertilizers are used to grow food crops, biofuel feedstock crops, and pasture forage for grazing livestock and forage production. We maintain long-term relationships with wholesale agricultural distributors and retailers and also sell directly to agricultural end-users through our wholesale and retail distribution centers.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demand for nitrogen fertilizer products in the agricultural industry is seasonal. If seasonal demand is less than we expect, we may be left with excess inventory that will have to be stored (in which case our results of operations will be negatively affected by any related increased storage costs) or liquidated (in which case the selling price may be below our production, procurement and storage costs).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Market Conditions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As discussed in more detail in “</w:t>
      </w:r>
      <w:r>
        <w:rPr>
          <w:rFonts w:ascii="Times New Roman" w:cs="Times New Roman" w:eastAsia="Times New Roman" w:hAnsi="Times New Roman"/>
          <w:sz w:val="18"/>
          <w:szCs w:val="18"/>
          <w:i w:val="1"/>
          <w:iCs w:val="1"/>
          <w:color w:val="auto"/>
        </w:rPr>
        <w:t>Item 7. Management’s Discussion and Analysis of Financial Condition and Results of Operations–Key Industry Factors</w:t>
      </w:r>
      <w:r>
        <w:rPr>
          <w:rFonts w:ascii="Times New Roman" w:cs="Times New Roman" w:eastAsia="Times New Roman" w:hAnsi="Times New Roman"/>
          <w:sz w:val="18"/>
          <w:szCs w:val="18"/>
          <w:color w:val="auto"/>
        </w:rPr>
        <w:t>,” in our industrial markets, our sales volumes are typically driven by changes in general economic conditions, energy prices, metals market prices and our contractual arrangements with certain large customers. For our other products, our sales volumes are typically driven by changes in the overall North American consumption levels of mining products, which can be impacted by weather. Additionally, changes in natural gas prices and demand in renewable power sources, such as wind and solar in the electrical generation sector, will impact demand for our other products and impact competition within the other sectors of this market.</w:t>
      </w:r>
    </w:p>
    <w:p>
      <w:pPr>
        <w:spacing w:after="0" w:line="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industrial business competes based upon service, price and location of production and distribution sites, product quality and performance as part of the value-added services offered to certain customers.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 w:name="page9"/>
    <w:bookmarkEnd w:id="8"/>
    <w:p>
      <w:pPr>
        <w:ind w:right="20"/>
        <w:spacing w:after="0" w:line="256" w:lineRule="auto"/>
        <w:rPr>
          <w:sz w:val="20"/>
          <w:szCs w:val="20"/>
          <w:color w:val="auto"/>
        </w:rPr>
      </w:pPr>
      <w:r>
        <w:rPr>
          <w:rFonts w:ascii="Times New Roman" w:cs="Times New Roman" w:eastAsia="Times New Roman" w:hAnsi="Times New Roman"/>
          <w:sz w:val="18"/>
          <w:szCs w:val="18"/>
          <w:color w:val="auto"/>
        </w:rPr>
        <w:t>Looking forward to 2025, we expect demand for our industrial products to be stable, despite persistent global economic challenges. We anticipate that nitric acid demand will remain steady, reflecting the strength of the United States economy and robust consumer spending levels. Demand for AN for use in mining applications should continue to benefit from positive exposure to copper, gold and iron ore mining, as well as continued attractive market fundamentals for aggregate production relating to infrastructure construction. While some degree of economic uncertainty persists, we believe that we have a meaningful degree of downside protection in our industrial business given our diverse customer base, the nature of our contracts and our ability to shift our production mix to products where demand and pricing are strongest.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 Products</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manufacture and sell industrial acids and other chemical products primarily to the polyurethane intermediates, paper, fibers, emission control, and electronics industries. In addition, we produce and sell blended and regular nitric acid and industrial and high purity ammonia for many specialty applications, including the reduction of air emissions from power plants.</w:t>
      </w:r>
    </w:p>
    <w:p>
      <w:pPr>
        <w:spacing w:after="0" w:line="6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Sales of our industrial products are generally made to customers pursuant to sales contracts or pricing arrangements on terms that include the cost of the primary raw materials as a pass-through component in the sales price. These contractual sales stabilize the effect of commodity cost changes and fluctuations in demand for these products due to the cyclicality of the end markets.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operate the Baytown Facility on behalf of Covestro and we believe it is one of the largest and most technologically advanced nitric acid manufacturing units in the United States. We operate and maintain this facility pursuant to a long-term operating contract in exchange for a management fee, which is not significant to our results of operations. The term of this agreement runs until October 2029 with options for renewal by mutual agreement between us and Covestro.</w:t>
      </w:r>
    </w:p>
    <w:p>
      <w:pPr>
        <w:spacing w:after="0" w:line="7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industrial products sales volumes are dependent upon general economic conditions, primarily in the housing, automotive, and paper industries. Our sale prices generally vary with the market price of ammonia, sulfur or natural gas, as applicable, in our pricing arrangements with customers.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also produce and sell LDAN, HDAN and AN solution for use in other applications, which are primarily used as AN fuel oil and specialty emulsions for usage in the quarry and the construction industries and for metals mining. We have signed long-term contracts with certain customers that provide for the annual sale of LDAN mostly under natural gas cost pass through pricing arrangements. One of our customers has a plant located at our El Dorado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products we manufacture at our facilities are primarily derived from natural gas. This raw material is a commodity and subject to price fluctuations. Natural gas is the primary raw material for producing ammonia, UAN, nitric acid and acid blends and other products at our El Dorado, Cherokee and Pryor Facilities. During 2024, we purchased approximately 28.4 million MMBtus of natural gas.</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chemical facilities’ natural gas requirements are generally purchased at spot market price. Periodically, we enter into volume purchase commitments and/or forward contracts to fix the cost of certain expected natural gas requirements primarily to match quantities needed to produce product that have been sold forward. At December 31, 2024, we had natural gas contracts of approximately 0.6 million MMBtus, at an average cost of $3.70 per MMBtu. These contracts extend through March 2025.</w:t>
      </w:r>
    </w:p>
    <w:p>
      <w:pPr>
        <w:spacing w:after="0" w:line="7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See further discussion relating to the outlook for our business under “</w:t>
      </w:r>
      <w:r>
        <w:rPr>
          <w:rFonts w:ascii="Times New Roman" w:cs="Times New Roman" w:eastAsia="Times New Roman" w:hAnsi="Times New Roman"/>
          <w:sz w:val="18"/>
          <w:szCs w:val="18"/>
          <w:i w:val="1"/>
          <w:iCs w:val="1"/>
          <w:color w:val="auto"/>
        </w:rPr>
        <w:t>Item 7.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Key Industry Factors.”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operate in a highly competitive market with many other larger chemical companies, such as CF Industries Holdings, Inc., CVR Partners, Dyno Nobel, a subsidiary of Incitec Pivot Limited, Eurochem North America, Helm AG, Koch Industries, Macro-Source L.L.C., Nutrien, Orica Limited, and Yara International (some of whom are our customers), many of whom have greater financial and other resources than we do. We believe that competition within the markets we serve is primarily based upon service, price, location of production and distribution sites, and product quality and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principal customers for our products are distributors and end customers, such as farmers, ranchers, and fertilizer dealers and industrial users. Sales are generated by our internal marketing and sales force. For 2024, five customers accounted for approximately 30% of our consolidated net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NOL Rights Agreement</w:t>
      </w:r>
    </w:p>
    <w:p>
      <w:pPr>
        <w:spacing w:after="0" w:line="121"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are party to an Amended and Restated Section 382 Rights Agreement (as amended, the “NOL Rights Agreement”) with Computershare Trust Company, N.A., as rights agent.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 w:name="page10"/>
    <w:bookmarkEnd w:id="9"/>
    <w:p>
      <w:pPr>
        <w:ind w:right="80"/>
        <w:spacing w:after="0" w:line="255" w:lineRule="auto"/>
        <w:rPr>
          <w:sz w:val="20"/>
          <w:szCs w:val="20"/>
          <w:color w:val="auto"/>
        </w:rPr>
      </w:pPr>
      <w:r>
        <w:rPr>
          <w:rFonts w:ascii="Times New Roman" w:cs="Times New Roman" w:eastAsia="Times New Roman" w:hAnsi="Times New Roman"/>
          <w:sz w:val="18"/>
          <w:szCs w:val="18"/>
          <w:color w:val="auto"/>
        </w:rPr>
        <w:t>The purpose of the NOL Rights Agreement is to facilitate our ability to preserve our NOLs and other tax attributes in order to be able to offset potential future income taxes for federal income tax purposes. Our ability to use these NOLs and other tax attributes would be substantially limited if we experience an “ownership change,” as defined in Section 382 of the Internal Revenue Code of 1986, as amended (the “Code”). A company generally experiences an ownership change if the percentage of the value of its stock owned by certain 5% stockholders, as defined in Section 382 of the Code, increases by more than 50% points over a rolling three-year period. The NOL Rights Agreement is intended to reduce the likelihood of an ownership change under Section 382 of the Code by deterring any person (as defined in the NOL Rights Agreement) or group of affiliated or associated persons from acquiring beneficial ownership of 4.9% or more of our outstanding shares of common stock.</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rights issued under the NOL Rights Agreement will expire on the earliest to occur of (i) the date on which our Board of Directors (the “Board”) determines in its sole discretion that (x) the NOL Rights Agreement is no longer necessary for the preservation of material valuable NOLs or tax attributes or (y) the NOLs and tax attributes have been fully utilized and may no longer be carried forward and (ii) the close of business on August 22, 2026.</w:t>
      </w:r>
    </w:p>
    <w:p>
      <w:pPr>
        <w:spacing w:after="0" w:line="6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Board may, in its discretion, determine that a person, entity or a certain transaction is exempt from the operation of the NOL Rights Agreement or amend the terms of the rights.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employed 583 persons, 164 of whom are represented by unions under collective bargaining agreements. We have three union contracts, one of which was ratified in 2024 and the remaining two of which were last ratified in 2022 and are scheduled to be considered for ratification in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&amp; Management</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success depends on the capabilities and strength of our workforce. Our Chief Human Resources Officer (“CHRO”) is responsible for developing and executing our human capital strategy. This strategy includes the acquisition, development, and retention of talent as well as the enhancement of benefits and employee experience to deliver on our overall strategy. Our CHRO regularly updates our Board on the operation and status of these human capital activities including:</w:t>
      </w:r>
    </w:p>
    <w:p>
      <w:pPr>
        <w:spacing w:after="0" w:line="70" w:lineRule="exact"/>
        <w:rPr>
          <w:sz w:val="20"/>
          <w:szCs w:val="20"/>
          <w:color w:val="auto"/>
        </w:rPr>
      </w:pPr>
    </w:p>
    <w:p>
      <w:pPr>
        <w:ind w:left="600" w:hanging="292"/>
        <w:spacing w:after="0" w:line="261"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Training &amp; Development</w:t>
      </w:r>
      <w:r>
        <w:rPr>
          <w:rFonts w:ascii="Times New Roman" w:cs="Times New Roman" w:eastAsia="Times New Roman" w:hAnsi="Times New Roman"/>
          <w:sz w:val="18"/>
          <w:szCs w:val="18"/>
          <w:color w:val="auto"/>
        </w:rPr>
        <w:t>– We are committed to the continued development of our employees through training opportunities, annual reviews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action plans. We provide formal training to our frontline supervisors focusing on foundational leadership capabilities. Annual reviews of talent occur across all operational business units and corporate functions. It is the responsibility of the CEO, CHRO and the executive staff to review talent data on an annual basis and plan development actions to ensure succession and continuous improvement and growth.</w:t>
      </w:r>
    </w:p>
    <w:p>
      <w:pPr>
        <w:spacing w:after="0" w:line="71" w:lineRule="exact"/>
        <w:rPr>
          <w:rFonts w:ascii="Times New Roman" w:cs="Times New Roman" w:eastAsia="Times New Roman" w:hAnsi="Times New Roman"/>
          <w:sz w:val="18"/>
          <w:szCs w:val="18"/>
          <w:color w:val="auto"/>
        </w:rPr>
      </w:pPr>
    </w:p>
    <w:p>
      <w:pPr>
        <w:ind w:left="600" w:hanging="292"/>
        <w:spacing w:after="0" w:line="258"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Engagement </w:t>
      </w:r>
      <w:r>
        <w:rPr>
          <w:rFonts w:ascii="Times New Roman" w:cs="Times New Roman" w:eastAsia="Times New Roman" w:hAnsi="Times New Roman"/>
          <w:sz w:val="18"/>
          <w:szCs w:val="18"/>
          <w:color w:val="auto"/>
        </w:rPr>
        <w:t>– We believe that we have favorable relations with our employees. We take proactive measures, such as conducting employee surveys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focus groups, to help us understand employee engagement. We then implement programs, based on the results, such as employee recognition and operationally-focused communications, that are specifically directed at improving engagement. Additionally, we conduct annual benefit benchmarking studies in an effort to ensure that any changes to benefits are improvements or add value for employees. Each of our business units conducts roundtable discussions to develop action plans to improve the work environment and culture.</w:t>
      </w:r>
    </w:p>
    <w:p>
      <w:pPr>
        <w:spacing w:after="0" w:line="75" w:lineRule="exact"/>
        <w:rPr>
          <w:rFonts w:ascii="Times New Roman" w:cs="Times New Roman" w:eastAsia="Times New Roman" w:hAnsi="Times New Roman"/>
          <w:sz w:val="18"/>
          <w:szCs w:val="18"/>
          <w:color w:val="auto"/>
        </w:rPr>
      </w:pPr>
    </w:p>
    <w:p>
      <w:pPr>
        <w:ind w:left="600" w:hanging="292"/>
        <w:spacing w:after="0" w:line="255"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Health and Safety </w:t>
      </w:r>
      <w:r>
        <w:rPr>
          <w:rFonts w:ascii="Times New Roman" w:cs="Times New Roman" w:eastAsia="Times New Roman" w:hAnsi="Times New Roman"/>
          <w:sz w:val="18"/>
          <w:szCs w:val="18"/>
          <w:color w:val="auto"/>
        </w:rPr>
        <w:t>– Our Health and Safety Management System continues to build to establish a consistent and robust approach to enhance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culture of compliance at each business unit. This system is guided by an executive committee that provides focus and priority to compliance and industry best practices that protect our employees while performing work within our operations. Each business team is responsible for evaluating its unique operations and applying the defined controls to engage employees and manage risk. We use leading and lagging metrics, such as near miss tracking, assigning potential risk consequences to events, incident tracking, and releases to monitor our performance and effectiveness across our operations and individual business teams. Events are investigated based on risk using root cause analysis tools and corrective actions are tracked to ensure prevention. In addition, the management system includes periodic third-party audits and internal self-assessment to continuously improve.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Our facilities and operations are subject to numerous federal, state and local laws and regulations regarding environmental, health and safety, including laws and regulations relating to the generation and handling of hazardous substances and wastes, the introduction of new chemicals or substances to the market, the investigation and remediation of contamination, spills or releases and the discharge or emissions of regulated substances to the air, water or soils. These laws and regulations provide for certain performance obligations and in some cases require us to obtain and maintain permits for our operations. The failure to comply with these laws and regulations can result in substantial administrative, civil and criminal fines, injunctive relief and criminal sanctions. Compliance with and changes to these laws and regulations may adversely affect our business, results or operations and financial condition.</w:t>
      </w:r>
    </w:p>
    <w:p>
      <w:pPr>
        <w:spacing w:after="0" w:line="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Certain of these laws and regulations impose strict liability as well as joint and several liability for costs required to remediate and restore sites that we own or operate or that we have formerly owned or operated, as well as sites where hazardous substances,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 w:name="page11"/>
    <w:bookmarkEnd w:id="10"/>
    <w:p>
      <w:pPr>
        <w:spacing w:after="0" w:line="266" w:lineRule="auto"/>
        <w:rPr>
          <w:sz w:val="20"/>
          <w:szCs w:val="20"/>
          <w:color w:val="auto"/>
        </w:rPr>
      </w:pPr>
      <w:r>
        <w:rPr>
          <w:rFonts w:ascii="Times New Roman" w:cs="Times New Roman" w:eastAsia="Times New Roman" w:hAnsi="Times New Roman"/>
          <w:sz w:val="18"/>
          <w:szCs w:val="18"/>
          <w:color w:val="auto"/>
        </w:rPr>
        <w:t>hydrocarbons, solid wastes or other materials from our operations have been stored, disposed or released, regardless of whether such contamination resulted from the conduct of others or from consequences of our own actions that were in compliance with all applicable laws at the time those actions were taken.</w:t>
      </w:r>
    </w:p>
    <w:p>
      <w:pPr>
        <w:spacing w:after="0" w:line="6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may incur material costs or liabilities in complying with such laws and pay fines or penalties for violation of such laws. Our insurance may not cover all environmental risks and costs or may not provide sufficient coverage if an environmental claim is made against us. These laws and regulations (including enforcement policies thereunder) have in the past resulted, and could in the future result, in significant compliance expenses, cleanup costs (for our sites or third-party sites where we disposed our wastes), penalties or other liabilities relating to the handling, manufacture, use, emission, discharge or disposal of materials at or from our facilities or the use or disposal of certain of its chemical products. Historically, we have incurred significant expenditures in order to comply with these laws and regulations and are reasonably expected to do so in the future. Changes in these laws and regulations, and changes in the interpretations of such laws and regulations by the regulatory bodies impact the costs of compliance and may impact the demands for our products. We will also be obligated to manage certain discharge water outlets and monitor groundwater contaminants at our chemical facilities should we discontinue the operations of a facility.</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obtained and maintain numerous environmental permits and approvals in connection with the operations of our facilities. Changes to our facilities or new facilities or operations may require new or amended permits, and many of our existing permits require periodic renewal. If the regulatory body were to deny or delay issuing a permit or permit amendment or were to modify an existing permit or approval, we could experience a material adverse impact on our ability to operate or the costs of our operations. The requirement to obtain permits and authorizations may also impact our ability to construct new operations or to make changes to existing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see discussions concerning our risk factors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of this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make available free of charge through our Internet website (www.lsbindustries.com) or by calling Investor Relations (405) 510-3550 our Annual Reports on Form 10-K, Quarterly Reports on Form 10-Q, Current Reports on Form 8-K and, if applicable, amendments to those reports filed or furnished pursuant to Section 13(a) of the Exchange Act of 1934, as amended (the “Exchange Act”) as soon as reasonably practicable after we electronically file such material with, or furnish it to, the Securities and Exchange Commission (the “SEC”). In addition to the reports filed or furnished with the SEC, we publicly disclose material information from time to time in press releases, at annual meetings of stockholders, in publicly accessible conferences and investor presentations, and through our website. The information included on our website does not constitute part of this Annual Report on Form 10-K.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and the lack of availability of raw materials could materially affect our profitability.</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sales and profits are heavily affected by the costs and availability of primary raw materials. These primary raw materials are typically subject to considerable price volatility, and recent global supply chain disruptions and increased inflation in the United States have led to further heightened volatility. Historically, when there have been rapid increases in the cost of these primary raw materials, we have sometimes been unable to timely increase our sales prices to cover all of the higher costs incurred. While we periodically enter into futures/forward contracts to economically hedge against price increases in certain of these raw materials, we may not effectively manage against price fluctuations in those raw materials.</w:t>
      </w:r>
    </w:p>
    <w:p>
      <w:pPr>
        <w:spacing w:after="0" w:line="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Natural gas represents the primary raw material in the production of most of our chemical products. Although we enter into contracts with certain customers that provide for the pass-through of raw material costs, we have a substantial amount of sales that do not provide for the pass-through of raw material costs. Also, the spot sales prices of our agricultural products may not correlate to the cost of natural gas but rather reflect market conditions for similar and competing nitrogen sources. This lack of correlation can compromise our ability to recover our full cost to produce the products in this market. As a result, in the future, we may not be able to pass along to all of our customers the full amount of any increases in raw material costs. Future price fluctuations in our raw materials may have an adverse effect on our business, financial condition, liquidity and results of operations.</w:t>
      </w:r>
    </w:p>
    <w:p>
      <w:pPr>
        <w:spacing w:after="0" w:line="7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Additionally, we depend on certain vendors to deliver natural gas and other key components that are required in the production of our products. Any disruption in the supply of natural gas and other key components could result in lost production or delayed shipments.</w:t>
      </w:r>
    </w:p>
    <w:p>
      <w:pPr>
        <w:spacing w:after="0" w:line="5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price of natural gas in North America and worldwide has been volatile in recent years and had declined on average due in part to the development of significant natural gas reserves, including shale gas, and the rapid improvement in shale gas extraction techniques, such as hydraulic fracturing and horizontal drilling. However, recent disruptions in the global supply chain may continue to have an impact in the near term in fiscal year 2025. Future production of natural gas from shale formations could be reduced by regulatory changes that restrict drilling or hydraulic fracturing or increase its cost or by reduction in oil exploration and development prompted by lower oil prices and resulting in production of less associated natural gas. Additionally, increased demand for natural gas, particularly in the Gulf Coast Region, due to increased industrial demand and increased natural gas exports could result in increased natural gas prices.</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suspended in the past, and could suspend in the future, production at our chemical facilities due to, among other things, the high cost or lack of availability of natural gas and other key components, which could adversely affect our competitiveness in the markets we serve. Accordingly, our business, financial condition, liquidity and results of operations could be materially affected in the future by the lack of availability of natural gas and other key components and increase costs relating to the purchase of natural gas and other key components.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reliant on a limited number of key facilities.</w:t>
      </w:r>
    </w:p>
    <w:p>
      <w:pPr>
        <w:spacing w:after="0" w:line="1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We manufacture products at four facilities. Operational disruptions could occur for many reasons, including natural disaster, weather, unplanned maintenance and other manufacturing problems, disease, strikes or other labor unrest or transportation interruptions. Extreme weather events, including temperature extremes, depending on the severity and location, have the potential not only to damage our facilities and disrupt our operations, but also to affect adversely the distribution of our products. Moreover, our facilities may be subject to failure of equipment that may be difficult to replace or have long delivery lead times, due in part to a limited number of suppliers and could result in operational disruptions. The suspension of operations at any of these facilities, or significant impacts on any of their operations as a result of supply chain disruption, could adversely affect our ability to produce our products and fulfill our commitments and could have a material adverse effect on our liquidity, financial condition, results of operations and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age of our chemical manufacturing facilities increases the risk for unplanned downtime, which may be significant.</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business is comprised of operating units of various ages and levels of automated control. While we have continued to make significant annual capital improvements, potential age or control-related issues have occurred in the past and may occur in the future, which could cause damage to the equipment and ancillary facilities. As a result, we have experienced and may continue to experience additional downtime at our chemical facilities in the future.</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equipment required for the manufacture of our products is specialized, and the time for replacement of such equipment can be lengthy, resulting in extended downtime in the affected unit. In addition, the cost for such equipment could be influenced by changes in regulatory policies (including tariffs) of foreign governments, as well as the U.S. laws and policies affecting foreign trade and investment. Although we use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affect our liquidity, operating results and financial condition.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Our operations and the production and handling of our products involve significant risks and hazards.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operations are subject to hazards inherent in the manufacture, transportation, storage and distribution of chemical products, including some products that are highly toxic and corrosive. These hazards include, among other things, explosions; fires; severe weather and natural disasters; train derailments, collisions, vessel groundings and other transportation and maritime incidents; leaks and ruptures involving storage tanks, pipelines and rail cars; spills, discharges and releases of toxic or hazardous substances or gases; deliberate sabotage and terrorist incidents; mechanical failures; unscheduled plant downtime; labor difficulties and other risks. Some of these hazards can cause bodily injury and loss of life, severe damage to or destruction of property and equipment and environmental damage and may result in suspension of operations for an extended period of time and/or the imposition of civil or criminal penalties and liabilities. We periodically experience minor releases of ammonia related to leaks from our equipment. Similar events may occur in the future. As a result, such events could have a material adverse effect on our results of operations and financial condition.</w:t>
      </w:r>
    </w:p>
    <w:p>
      <w:pPr>
        <w:spacing w:after="0" w:line="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Our transportation and distribution activities rely on third-party providers, which subject us to risks and uncertainties beyond our control that may adversely affect our operations.</w:t>
      </w:r>
    </w:p>
    <w:p>
      <w:pPr>
        <w:spacing w:after="0" w:line="5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rely on railroad, trucking, pipeline and other transportation service providers to transport raw materials to our manufacturing facilities, to coordinate and deliver finished products to our storage and distribution system and our retail centers and to ship finished products to our customers. These transportation operations, equipment and services are subject to various hazards, including adverse operating conditions, extreme weather conditions, system failures, work stoppages, equipment and personnel shortages, delays, accidents such as spills and derailments and other accidents and operating hazards.</w:t>
      </w:r>
    </w:p>
    <w:p>
      <w:pPr>
        <w:spacing w:after="0" w:line="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the event of a disruption of existing transportation or terminaling facilities for our products or raw materials, alternative transportation and terminaling facilities may not have sufficient capacity to fully serve all of our customers or facilities. An extended interruption in the delivery of our products to our customers or the supply of natural gas, ammonia or sulfur to our production facilities could adversely affect sales volumes and margins.</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These transportation operations, equipment and services are also subject to environmental, safety, and regulatory oversight. Due to concerns related to accidents, terrorism or increasing concerns regarding transportation of potentially hazardous substances, local, provincial, state and federal governments could implement new regulations affecting the transportation of raw materials or our finished products. If transportation of our products is delayed or we are unable to obtain raw materials as a result of any third party’s failure to operate properly or the other hazards described above, or if new and more stringent regulatory requirements are implemented affecting transportation operations or equipment, or if there are significant increases in the cost of these services or equipment, our revenues and cost of operations could be adversely affected. In addition, we may experience increases in our transportation costs, or changes in such costs relative to transportation costs incurred by our competitors.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successful in the development and implementation of our low carbon ammonia projects in a timely or economic manner, or at all.</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currently evaluating and developing projects and other investments that could enable us to become a producer and marketer of low carbon ammonia and other derivative products. The success of these projects is dependent on a number of factors, many of which are beyond our control.</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example, the market for low carbon ammonia remains nascent, and is continuing to develop and evolve. We cannot be certain that the market will grow to the size or at the rate we expect. The demand for low carbon ammonia is dependent in part on the developing market for low carbon hydrogen, for which ammonia can serve as a transport and storage molecule. These markets are heavily influenced by demand for clean energy, technology advancement and a range of domestic and international laws, regulations and policies related to carbon emissions, clean energy, tax benefits and other incentives and corporate accountability.</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Recently, many other proposed low carbon ammonia projects have been announced or considered, and future hydrogen, energy, or environmental/carbon policies may support development of additional nitrogen production in locations outside North America, including Europe, Australia, and the Middle East. In the event that the growth in supply of low carbon ammonia and low carbon hydrogen exceeds the growth in demand for those products, the resulting unfavorable supply and demand balance could lead to lower selling prices than we expect, which could negatively affect our business, financial condition, results of operations and cash flows. The recognition and acceptance of low carbon ammonia as a transport and storage molecule for low carbon hydrogen, the use of low carbon ammonia as a fuel in its own right, and the development and growth of end market demand and applications for hydrogen and ammonia are uncertain. Such matters depend on many factors outside of our control, such as the extent and rate at which cost competitive global renewable energy capacity increases, the price of traditional and alternative sources of energy, the implementation of taxes on carbon emissions, the realization of technological improvements required to increase the efficiency and lower the costs of production of ammonia, the regulatory environment, and the success of the projects described above to provide ammonia offerings cost-effectively. In addition, further development of alternative decarbonization technologies may result in viable alternatives to the use of low carbon ammonia for many potential decarbonization applications, resulting in lower than expected market demand growth relative to our current expectations.</w:t>
      </w:r>
    </w:p>
    <w:p>
      <w:pPr>
        <w:spacing w:after="0" w:line="8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success of our low carbon ammonia projects also depends on the realization of certain technical improvements required to increase the efficiency and lower the costs of production of low carbon ammonia. Over time, we may face operational difficulties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3" w:name="page14"/>
    <w:bookmarkEnd w:id="13"/>
    <w:p>
      <w:pPr>
        <w:ind w:right="20"/>
        <w:spacing w:after="0" w:line="256" w:lineRule="auto"/>
        <w:rPr>
          <w:sz w:val="20"/>
          <w:szCs w:val="20"/>
          <w:color w:val="auto"/>
        </w:rPr>
      </w:pPr>
      <w:r>
        <w:rPr>
          <w:rFonts w:ascii="Times New Roman" w:cs="Times New Roman" w:eastAsia="Times New Roman" w:hAnsi="Times New Roman"/>
          <w:sz w:val="18"/>
          <w:szCs w:val="18"/>
          <w:color w:val="auto"/>
        </w:rPr>
        <w:t>execution risks related to design, development and construction. If our assumptions about the engineering and project execution requirements necessary to successfully build or convert the facility capacity that we are contemplating and to scale up to larger production quantities prove to be incorrect, we may be unable to produce substantial quantities of low carbon ammonia, and the cost to construct such low carbon ammonia facilities, or the production costs associated with the operation of such facilities, may be higher than we project. The production of low carbon ammonia depends to a large extent upon the ability of third parties to develop class VI carbon sequestration wells, which currently do not exist at large scale and are subject to a permitting process and operational risks, which may result in delays, impact viability in some or all situations, or create long-term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intense competition in the markets we serve.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Substantially all of the markets in which we participate are highly competitive with respect to product quality, price, distribution, service, and reliability. We compete with many companies, domestic and foreign, that have greater financial, marketing and other resources. Competitive factors could require us to reduce prices or increase spending on product development, marketing and sales, which could have a material adverse effect on our business, results of operation and financial condition.</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compete with many U.S. producers and producers in other countries, including state-owned and government-subsidized entities. Some competitors have greater total resources and are less dependent on earnings from chemical sales, which makes them less vulnerable to industry downturns and better positioned to pursue new expansion and development opportunities. Our competitive position could suffer to the extent we are not able to expand our own resources sufficiently either through investments in new or existing operations or through acquisitions, joint ventures or partnerships. An inability to compete successfully could result in the loss of customers, which could adversely affect our sales and profitability.</w:t>
      </w:r>
    </w:p>
    <w:p>
      <w:pPr>
        <w:spacing w:after="0" w:line="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addition, future technological innovation, such as the development of seeds that require less crop nutrients, or developments in the application of crop nutrients, if they occur, could have the potential to adversely affect the demand for our products and results of operations.</w:t>
      </w:r>
    </w:p>
    <w:p>
      <w:pPr>
        <w:spacing w:after="0" w:line="5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A major factor underlying the current high level of demand for our nitrogen-based fertilizer products is the production of ethanol. A decrease in ethanol production or an increase in ethanol imports could have a material adverse effect on our results of operations and financial condition.</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 major factor underlying the solid level of demand for our nitrogen-based fertilizer products is the production of ethanol in the United States and the use of corn in ethanol production. Ethanol production in the United States is highly dependent upon a myriad of federal statutes and regulations and is made significantly more competitive by various federal and state incentives and mandated usage of renewable fuels pursuant to the federal renewable fuel standards (“RFS”). To date, the RFS has been satisfied primarily with fuel ethanol blended into gasoline. However, a number of factors, including the continuing “food versus fuel” debate and studies showing that expanded ethanol usage may increase the level of greenhouse gases in the environment as well as be unsuitable for small engine use, have resulted in calls to reduce subsidies for ethanol, allow increased ethanol imports and to repeal or waive (in whole or in part) the current RFS, any of which could have an adverse effect on corn-based ethanol production, planted corn acreage and fertilizer demand. Therefore, ethanol incentive programs may not be renewed, or if renewed, they may be renewed on terms significantly less favorable to ethanol producers when compared with current incentive programs. Consequently, a decrease in ethanol production or an increase in ethanol imports could have a material adverse effect on our overall business, results of operations, financial condition and liquidity.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can adversely affect our business.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Demand for nitrogen fertilizer products in the agricultural industry is seasonal. If seasonal demand is less than we expect, we may be left with excess inventory that will have to be stored (in which case our results of operations will be negatively affected by any related increased storage costs) or liquidated (in which case the selling price may be below our production, procurement and storage costs). The risks associated with excess inventory and product shortages are exacerbated by the volatility of natural gas and nitrogen fertilizer prices and the relatively brief periods during which farmers can apply nitrogen fertilizers. If prices for our products rapidly decrease, we may be subject to inventory write-downs, adversely affecting our operating results. If seasonal demand is greater than we expect, we may experience product shortages, and customers of ours may turn to our competitors for products that they would otherwise have purchased from us.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substantial portion of our sales is dependent upon a limited number of customers.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2024, five customers accounted for approximately 30% of our consolidated net sales. The loss of, or a material reduction in purchase levels by, one or more of these customers could have a material adverse effect on our business, results of operations, financial condition and liquidity if we are unable to replace one or more customers with other sales on substantially similar terms.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 w:name="page15"/>
    <w:bookmarkEnd w:id="14"/>
    <w:p>
      <w:pPr>
        <w:jc w:val="both"/>
        <w:ind w:right="440"/>
        <w:spacing w:after="0" w:line="268" w:lineRule="auto"/>
        <w:rPr>
          <w:sz w:val="20"/>
          <w:szCs w:val="20"/>
          <w:color w:val="auto"/>
        </w:rPr>
      </w:pPr>
      <w:r>
        <w:rPr>
          <w:rFonts w:ascii="Times New Roman" w:cs="Times New Roman" w:eastAsia="Times New Roman" w:hAnsi="Times New Roman"/>
          <w:sz w:val="18"/>
          <w:szCs w:val="18"/>
          <w:b w:val="1"/>
          <w:bCs w:val="1"/>
          <w:color w:val="auto"/>
        </w:rPr>
        <w:t>A change in the volume of products that our customers purchase on a forward basis, or the percentage of our sales volume that is sold to our customers on a forward basis, could increase our exposure to fluctuations in our profit margins and materially adversely affect our business, financial condition, results of operations and cash flows.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From time-to-time, we offer our customers the opportunity to purchase products from us on a forward basis at prices and delivery dates we propose. Under our forward sales programs, customers generally make an initial cash down payment at the time of order and pay the remaining portion of the contract sales under their usual invoice terms when the performance obligation is satisfied. Forward sales improve our liquidity due to the cash payments received from customers in advance of shipment of the product and allow us to improve our production scheduling and planning and the utilization of our manufacturing and distribution assets. Any cash payments received in advance from customers in connection with forward sales are reflected on our consolidated balance sheets as a current liability until the related performance obligations are satisfied, which can take up to several months. We believe the ability to purchase products on a forward basis is most appealing to our customers during periods of generally increasing prices for nitrogen fertilizers. Our customers may be less willing, or even unwilling, to purchase products on a forward basis during periods of generally decreasing or stable prices or during periods of relatively high fertilizer prices due to the expectation of lower prices in the future or limited capital resources. In periods of rising fertilizer prices, selling our nitrogen fertilizers on a forward basis may result in lower profit margins than if we had not sold fertilizer on a forward basis. Conversely, in periods of declining fertilizer prices, selling our nitrogen fertilizers on a forward basis may result in higher profit margins than if we had not sold fertilizer on a forward basis. In addition, fixing the selling prices of our products, often months in advance of their ultimate delivery to customers, typically causes our reported selling prices and margins to differ from spot market prices and margins available at the time the performance obligation is satisfied.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subject to risks involving derivatives and the risk that our hedging activities might not be effective.</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From time to time, we may utilize natural gas derivatives to economically hedge our financial exposure to the price volatility of natural gas, the principal raw material used in the production of nitrogen-based products. We use futures, financial swaps and option contracts traded in the over-the-counter markets or on exchanges to hedge our risk. Our use of derivatives can result in volatility in reported earnings due to the unrealized mark-to-market adjustments that occur from changes in the value of the derivatives that do not qualify for, or to which we do not apply, hedge accounting. To the extent that our derivative positions lose value, we may be required to post collateral with our counterparties, adversely affecting our liquidity. We have also used fixed-price, physical purchase and sales contracts to hedge our exposure to natural gas price volatility. Hedging arrangements are imperfect and unhedged risks will always exist. In addition, our hedging activities may themselves give rise to various risks that could adversely affect us. For example, we are exposed to counterparty credit risk when our derivatives are in a net asset position. The counterparties to our derivatives are multi-national commercial banks, major financial institutions or large energy companies. Our liquidity could be negatively impacted by a counterparty default on settlement of one or more of our derivative financial instruments or by the trigger of any cross-default provisions or credit support requirements. Additionally, the International Swaps and Derivative Association master netting arrangements for most of our derivative instruments contain credit-risk-related contingent features, such as cross-default and/or acceleration provisions and credit support requirements. In the event of certain defaults or a credit ratings downgrade, our counterparty may request early termination and net settlement of certain derivative trades or may require us to collateralize derivatives in a net liability position. At other times we may not utilize derivatives or derivative strategies to hedge certain risks or to reduce the financial exposure of price volatility. As a result, we may not prevent certain material adverse impacts that could have been mitigated through the use of derivative strategies.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risks could adversely affect our business.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As we continue to increase our dependence on information technologies to conduct our operations the risks associated with cybersecurity also increase. Cybersecurity breaches may be the result of, among other things, negligent or unauthorized activity by our employees or by third parties who use cyber-attack techniques involving malware, ransomware, hacking and phishing. Such cyber-attacks continue to increase in frequency and potential harm, and the methods used to gain unauthorized access evolve, making it increasingly difficult to anticipate, prevent, and detect incidents. We rely on our enterprise resource planning software and other information systems, among other things, to manage our manufacturing, supply chain, accounting and financial functions. Additionally, third parties on whose systems we place significant reliance for the conduct of our business are also subject to cybersecurity risks. We are significantly dependent upon internet connectivity and a third-party cloud hosting vendor. We have implemented security procedures and measures in order to protect our information from being vulnerable to theft, loss, damage or interruption from a number of potential sources or events. Although we believe these measures and procedures are appropriate, we may not have the resources or technical sophistication to anticipate, prevent, or recover from rapidly evolving types of cyber-attacks. Compromises to our information systems could have an adverse effect on our business, results of operations, liquidity and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engage in certain strategic transactions which may adversely affect our financial condition.</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An important part of our business strategy is the acquisition of strategic assets or companies. Our management is currently evaluating and pursuing certain such opportunities, and from time to time separately provides indications of interest in respect of similar transactions, which may be significant. Any such discussions may or may not result in the consummation of a transaction, and we may not be able to identify or complete any of these potential acquisitions. We cannot predict the effect, if any, that any announcement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5" w:name="page16"/>
    <w:bookmarkEnd w:id="15"/>
    <w:p>
      <w:pPr>
        <w:ind w:right="200"/>
        <w:spacing w:after="0" w:line="282" w:lineRule="auto"/>
        <w:rPr>
          <w:sz w:val="20"/>
          <w:szCs w:val="20"/>
          <w:color w:val="auto"/>
        </w:rPr>
      </w:pPr>
      <w:r>
        <w:rPr>
          <w:rFonts w:ascii="Times New Roman" w:cs="Times New Roman" w:eastAsia="Times New Roman" w:hAnsi="Times New Roman"/>
          <w:sz w:val="18"/>
          <w:szCs w:val="18"/>
          <w:color w:val="auto"/>
        </w:rPr>
        <w:t>consummation of a transaction would have on the price of our securities. While the documents governing our indebtedness include certain restrictions on our ability to finance any acquisitions of new assets, such restrictions contain various exceptions and limitations.</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is no guarantee that any such transactions will be successful or, even if consummated, improve our operating results. We may incur costs, breakage fees or other expenses in connection with any such transactions or may not be able to obtain the necessary financing for such transactions on acceptable terms. Accordingly, any such transactions may ultimately have a material adverse effect on our operating results.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any future acquisitions could present a number of risks, including:</w:t>
      </w:r>
    </w:p>
    <w:p>
      <w:pPr>
        <w:spacing w:after="0" w:line="2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using management time and resources to pursue acquisitions that are not successfully completed;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incorrect assumptions regarding the future results of acquired operations or business;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failing to integrate the operations or management of any acquired operations or assets successfully and timely;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diversion of management’s attention from existing operations or other priorities.</w:t>
      </w:r>
    </w:p>
    <w:p>
      <w:pPr>
        <w:spacing w:after="0" w:line="9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we are unsuccessful in integrating acquisitions in a timely and cost-effective manner, our financial condition and results of operations could be adversely affected.</w:t>
      </w:r>
    </w:p>
    <w:p>
      <w:pPr>
        <w:spacing w:after="0" w:line="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Industry and Markets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and customers are sensitive to adverse economic cycles and a prolonged deterioration of global market and economic conditions could have a material adverse effect on our business, financial condition, results of operations and cash flow.</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From time to time, our business is affected by cyclical factors such as inflation, currency exchange rates, global energy policy and costs, regulatory policies (including tariffs), global market conditions and economic downturns in specific industries. Certain sales are sensitive to the level of activity in the agricultural, mining, automotive and housing industries. Therefore, substantial changes in these factors could adversely affect our operating results, liquidity, financial condition and capital resources.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slowdown of, or persistent weakness in, economic activity caused by a deterioration of global market and economic conditions could adversely affect our business in the following ways, among others: conditions in the credit markets could impact the ability of our customers and their customers to obtain sufficient credit to support their operations; the failure of our customers to fulfill their purchase obligations could result in increases in bad debts and affect our working capital; and the failure of certain key suppliers could increase our exposure to disruptions in supply or to financial losses. We also may experience declining demand and falling prices for some of our products due to our customers’ reluctance to replenish inventories. The overall impact of a global economic downturn or reduced overall global trade on us is difficult to predict, and our business could be materially adversely impacted.</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conditions in the international market for nitrogen fertilizer significantly influence our operating results. The international market for fertilizers is influenced by such factors as the relative value of the U.S. currency and its impact on the importation of fertilizers, foreign agricultural policies, the existence of, or changes in, import or foreign currency exchange barriers in certain foreign markets and other regulatory policies (including tariffs) of foreign governments, as well as the U.S. laws and policies affecting foreign trade and investment.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increase of imported agricultural products could adversely affect our business.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Russia, Ukraine and Trinidad have substantial capacity to produce and export fertilizers. Producers in these countries also benefit from below-market prices for natural gas, due to government regulation and other factors.</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producers in China have substantial capacity to produce and export urea. Depending on various factors, including prevailing prices from other exporters, the price of coal and regulatory policies, including the price of China’s export tariff, higher volumes of urea from China could be imported into the U.S. at prices that could have an adverse effect on the selling prices of other nitrogen products, including the nitrogen products we manufacture and sell.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and regional inflation trends, increased interest rates and other factors could lead to the erosion of economies and adversely impact us.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Both the U.S. and many other countries are experiencing inflation, which, in turn, is leading to increased costs in multiple industry segments, including agriculture and related industries. The persistence of inflation has led central bankers to increase interest rates within their regions. There is no guarantee that these measures will arrest the inflationary trend. Further, these factors, taken together with reduced productivity and constraints on the labor supply could lead to recessionary periods in the regions in which the Company does business. While we will take measures within our control to manage the effects of inflation, higher interest rates and other factors, ultimately, they are outside of our control. Further, the persistence and/or severity of one or more of them could adversely affect our financial performance and/or operations.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Adverse weather conditions and climate change could adversely affect our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products (primarily agricultural) produced and sold by us have been in the past, and could be in the future, materially affected by adverse weather conditions (such as excessive rain or drought) in the primary markets for our fertilizer and related agricultural products. In addition, weather can cause an interruption to the operations of our chemical facilities. Over the course of the past several years, global climate conditions have become increasingly inconsistent, volatile and unpredictable. Many of the regions in which we do business have variously experienced excessive moisture, cold, drought and/or heat of an unprecedented nature at various times of the year. In some cases, these conditions have either reduced or obviated the need for our products, particularly in the agriculture space, whether pre-plant, at-plant, post-emergent or at harvest. Due to the unpredictable nature of these conditions, we have observed growers and distributors becoming increasingly conservative in procurement practices and the accumulation of inventory. Further, the unpredictable nature of climactic change has made it increasingly difficult to forecast market demand and, consequently, financial performance, from year-to-year. There is no guarantee that climate change or its impacts will abate in the near future, and it is possible that such change will continue to hinder, or significantly further hinder, our ability to forecast sales performance with accuracy and otherwise adversely affect our financial performance.</w:t>
      </w:r>
    </w:p>
    <w:p>
      <w:pPr>
        <w:spacing w:after="0" w:line="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Some scientists have concluded that increasing concentrations of greenhouse gases in the Earth’s atmosphere may produce climate changes that have significant physical effects, such as increased frequency and severity of storms, droughts and floods and other climatic events. If any such effects, whether anthropogenic or otherwise, were to occur in areas where we or our clients operate, they could have an adverse effect on our business, financial condition and results of operations. These climate changes might also occur as the result of other phenomena that human activity is unable to influence, including changes in solar activity and volcanic activity. Regardless of the cause, if any of these adverse weather events occur, or occur with greater frequency, during the primary seasons for sales of our agricultural products (March-June and September-November), this could have a material adverse effect on our agricultural sales and our financial condition and results of operations.</w:t>
      </w:r>
    </w:p>
    <w:p>
      <w:pPr>
        <w:spacing w:after="0" w:line="8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Natural disasters may also directly affect our physical facilities, especially our chemical facilities, or those of our suppliers or customers and could affect our sales, our production capability and our ability to deliver products to our customers. In the past, hurricanes affecting the Gulf Coast of the U.S. have negatively affected our operations and those of our customers. Any future natural disasters affecting the areas in which we or our suppliers or customers operation could negatively affect our business operations and financial performance.</w:t>
      </w:r>
    </w:p>
    <w:p>
      <w:pPr>
        <w:spacing w:after="0" w:line="68" w:lineRule="exact"/>
        <w:rPr>
          <w:sz w:val="20"/>
          <w:szCs w:val="20"/>
          <w:color w:val="auto"/>
        </w:rPr>
      </w:pPr>
    </w:p>
    <w:p>
      <w:pPr>
        <w:jc w:val="both"/>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Geopolitical conditions, including political turmoil and volatility, regional conflicts, terrorism and war have negatively affected and could negatively affect U.S. and foreign companies, the financial markets, the industries where we operate, our operations and our profitability.</w:t>
      </w:r>
    </w:p>
    <w:p>
      <w:pPr>
        <w:spacing w:after="0" w:line="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Geopolitical events, instability and terrorist attacks in the United States and elsewhere, including events like Russia’s occupation of Ukraine and ongoing conflict in the Middle East, have in the past and can in the future negatively affect our operations. While the occupation of Ukraine has had an effect on commodity prices and fertilizer supply (primarily ammonia and urea from Russia), there is no guarantee that the current conflict will not draw military intervention from other countries or further retaliation from Russia, which, in turn, could lead to a much larger conflict. It is possible that supply chain, trade routes and the markets we currently serve could be further adversely affected, which, in turn, could materially, adversely affect our business operations and financial performance.</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Like other companies with major industrial facilities, we may be targets of terrorist activities. Many of our plants and facilities store significant quantities of ammonia and other materials that can be dangerous if mishandled. Any damage to infrastructure facilities, such as electric generation, transmission and distribution facilities, or injury to employees, who could be direct targets or indirect casualties of an act of terrorism, may affect our operations. Any disruption of our ability to produce or distribute our products could result in a significant decrease in revenues and significant additional costs to replace, repair or insure our assets, which could have a material adverse effect on our business, financial condition, results of operations and cash flows.</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Liquidity and Debt</w:t>
      </w:r>
    </w:p>
    <w:p>
      <w:pPr>
        <w:spacing w:after="0" w:line="11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generate sufficient cash to service our debt and may be required to take other actions to satisfy the obligations under our debt agreements, which may not be successful.</w:t>
      </w:r>
    </w:p>
    <w:p>
      <w:pPr>
        <w:spacing w:after="0" w:line="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ability to make scheduled payments on our debt obligations depends on our financial condition and operating performance, prevailing economic and competitive conditions, and certain financial, business and other factors, some of which may be beyond our control.</w:t>
      </w:r>
    </w:p>
    <w:p>
      <w:pPr>
        <w:spacing w:after="0" w:line="54"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For example, we may not be able to maintain a level of cash flows sufficient to pay the principal and interest on our debt, including the $478 million principal amount of our 6.25% senior secured notes due 2028 (the “Senior Secured Notes”). In addition, if we were to draw on our Revolving Credit Facility, such borrowings would be at variable rates of interest and expose us to interest rate risk.</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cash flows and capital resources are insufficient to fund our debt obligations, we could face substantial liquidity problems and will need to seek additional capital through the issuance of debt, the issuance of equity, asset sales or a combination of the foregoing. If we are unsuccessful, we will need to reduce or delay investments and capital expenditures, dispose of other assets or operations, seek</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7" w:name="page18"/>
    <w:bookmarkEnd w:id="17"/>
    <w:p>
      <w:pPr>
        <w:ind w:right="180"/>
        <w:spacing w:after="0" w:line="256" w:lineRule="auto"/>
        <w:rPr>
          <w:sz w:val="20"/>
          <w:szCs w:val="20"/>
          <w:color w:val="auto"/>
        </w:rPr>
      </w:pPr>
      <w:r>
        <w:rPr>
          <w:rFonts w:ascii="Times New Roman" w:cs="Times New Roman" w:eastAsia="Times New Roman" w:hAnsi="Times New Roman"/>
          <w:sz w:val="18"/>
          <w:szCs w:val="18"/>
          <w:color w:val="auto"/>
        </w:rPr>
        <w:t>additional capital, or restructure or refinance debt. These alternative measures may not be successful, may not be completed on economically attractive terms, or may not be adequate for us to meet our debt obligations when due. Additionally, our debt agreements limit the use of the proceeds from many dispositions of assets or operations. As a result, we may not be permitted to use the proceeds from these dispositions to satisfy our debt obligations.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 In such an event, we may not have sufficient assets to repay all of our debt.</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if we suffer or appear to suffer from a lack of available liquidity, the evaluation of our creditworthiness by counterparties and rating agencies and the willingness of third parties to do business with us could be materially and adversely affected. In particular, our credit ratings could be lowered, suspended or withdrawn entirely at any time by the rating agencies. Downgrades in long-term debt ratings generally cause borrowing costs to increase and the potential pool of investors and funding sources to decrease and could trigger liquidity demands pursuant to the terms of contracts, leases or other agreements. Any future transactions by us, including the issuance of additional debt, the sale of any operating assets, or any other transaction to manage our liquidity, could result in temporary or permanent downgrades of our credit ratings.</w:t>
      </w:r>
    </w:p>
    <w:p>
      <w:pPr>
        <w:spacing w:after="0" w:line="7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Our substantial indebtedness level could limit our financial and operating activities, and adversely affect our ability to incur additional debt to fund future needs.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a substantial amount of indebtedness. As a result, this level could, among other things:</w:t>
      </w:r>
    </w:p>
    <w:p>
      <w:pPr>
        <w:spacing w:after="0" w:line="27" w:lineRule="exact"/>
        <w:rPr>
          <w:sz w:val="20"/>
          <w:szCs w:val="20"/>
          <w:color w:val="auto"/>
        </w:rPr>
      </w:pPr>
    </w:p>
    <w:p>
      <w:pPr>
        <w:ind w:left="1020" w:right="1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to the payment of principal and interest, thereby reducing the funds available for operations and future business opportunities;</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including our repurchase obligations;</w:t>
      </w:r>
    </w:p>
    <w:p>
      <w:pPr>
        <w:spacing w:after="0" w:line="9" w:lineRule="exact"/>
        <w:rPr>
          <w:rFonts w:ascii="Times New Roman" w:cs="Times New Roman" w:eastAsia="Times New Roman" w:hAnsi="Times New Roman"/>
          <w:sz w:val="18"/>
          <w:szCs w:val="18"/>
          <w:color w:val="auto"/>
        </w:rPr>
      </w:pPr>
    </w:p>
    <w:p>
      <w:pPr>
        <w:ind w:left="1020" w:right="54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money if needed for other purposes, including working capital, capital expenditures, debt service requirements, acquisitions and general corporate or other purposes, on satisfactory terms or at all;</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adjust to changing economic, business and competitive conditions;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with competitors who may have less indebtedness or greater access to financing;</w:t>
      </w:r>
    </w:p>
    <w:p>
      <w:pPr>
        <w:spacing w:after="0" w:line="9" w:lineRule="exact"/>
        <w:rPr>
          <w:rFonts w:ascii="Times New Roman" w:cs="Times New Roman" w:eastAsia="Times New Roman" w:hAnsi="Times New Roman"/>
          <w:sz w:val="18"/>
          <w:szCs w:val="18"/>
          <w:color w:val="auto"/>
        </w:rPr>
      </w:pPr>
    </w:p>
    <w:p>
      <w:pPr>
        <w:ind w:left="1020" w:right="78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an increase in interest rates, a downturn in our operating performance or a decline in general economic conditions; and</w:t>
      </w:r>
    </w:p>
    <w:p>
      <w:pPr>
        <w:ind w:left="1020" w:right="100" w:hanging="503"/>
        <w:spacing w:after="0" w:line="26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susceptible to changes in credit ratings, which could affect our ability to obtain financing in the future and increase the cost of such financing.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adversely affect our liquidity, operating results and financial condition.</w:t>
      </w:r>
    </w:p>
    <w:p>
      <w:pPr>
        <w:spacing w:after="0" w:line="11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Our debt agreements and the Exchange Agreement contain covenants and impose restrictions on our business operations, and any breach of these covenants or restrictions could result in an event of default under one or more of our debt agreements or contracts at different entities within our capital structure, including as a result of cross acceleration or default provisions.</w:t>
      </w:r>
    </w:p>
    <w:p>
      <w:pPr>
        <w:spacing w:after="0" w:line="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debt agreements and the Exchange Agreement contain various covenants and other restrictions that, among other things, limit flexibility in operating our businesses. These covenants and other restrictions limit our ability to, among other things:</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issue preferred shares;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capital stock, or make other restricted payments;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certain capital expenditures;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 to secure debt;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corporate changes or changes to our business activities;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material acquisitions;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our assets;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subsidiaries as unrestricted subsidiaries;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repurchase or modify certain subordinated and other material debt.</w:t>
      </w:r>
    </w:p>
    <w:p>
      <w:pPr>
        <w:spacing w:after="0" w:line="9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Revolving Credit Facility also contains certain affirmative covenants and requires the borrowers to comply with a fixed charge coverage ratio (as defined in the Revolving Credit Facility) if their excess availability (as defined in the Revolving Credit Facility) falls below a certain level.</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covenants and restrictions could affect our ability to operate our business and may limit our ability to react to market conditions or take advantage of potential business opportunities as they arise. Additionally, our ability to comply with these covenants may be affected by events beyond our control, including general economic and credit conditions and industry downturns. A breach of any of these covenants or restrictions could result in a significant portion of our debt becoming due and payable or could result in significant contractual liability.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certain failures to make payments when due on, or the acceleration of, significant indebtedness constitutes a default under some of our debt instruments, including the Indenture governing the Senior Secured Notes. Further, a breach of any of the covenants or restrictions in a debt instrument could result in an event of default under such debt instrument. Upon the occurrence of an event of default under one of these debt instruments, our lenders or noteholders could elect to declare all amounts outstanding under such debt instrument to be immediately due and payable and/or terminate all commitments to extend further credit. Such actions by those lenders or noteholders could cause cross defaults or accelerations under our other debt. If we were unable to repay those amounts, the lenders or noteholders could proceed against any collateral granted to them to secure such debt. In the case of a default under debt that is guaranteed, holders of such debt could also seek to enforce the guarantees. If lenders or noteholders accelerate the repayment of all borrowings, we would likely not have sufficient assets and funds to repay those borrowings. Such occurrence could result in our or our applicable subsidiary going into bankruptcy, liquidation or insolvency.</w:t>
      </w:r>
    </w:p>
    <w:p>
      <w:pPr>
        <w:spacing w:after="0" w:line="7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Despite our current levels of debt, we may still incur more debt ranking senior or equal in right of payment with our existing obligations, including secured debt, which would increase the risks described herein.</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agreements relating to our debt, including the Indenture governing the Senior Secured Notes and the credit agreement governing our Revolving Credit Facility, limit but do not prohibit our ability to incur additional debt, including additional secured debt. Notwithstanding the fact that the Indenture governing the Senior Secured Notes and the credit agreement governing our Revolving Credit Facility limit our ability to incur additional debt or grant certain liens on our assets, the restrictions on the incurrence of additional indebtedness and liens are subject to a number of important qualifications and exceptions, and the additional indebtedness and liens incurred in compliance with these restrictions could be substantial. If new debt is added to our current debt levels, the related risks that we now face could intensify.</w:t>
      </w:r>
    </w:p>
    <w:p>
      <w:pPr>
        <w:spacing w:after="0" w:line="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Legal, Regulatory and Compliance Matters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Current and future legislative or regulatory requirements affecting our business may result in increased costs and decreased revenues, cash flows and liquidity or could have other negative effects on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business is subject to numerous health, safety, security and environmental laws and regulations. The manufacture and distribution of chemical products and our other activities entail health, safety and environmental risks and impose obligations under health, safety and environmental laws and regulations, many of which provide for substantial fines, injunctive relief and potential criminal sanctions for violations. Although we believe we have established processes to monitor, review and manage our businesses to comply with the numerous health, safety and environmental laws and regulations, we previously were, and in the future, may be, subject to fines, penalties, sanctions and injunctive relief for violations and substantial expenditures for cleanup costs and other liabilities relating to the handling, manufacture, use, emission, discharge or disposal of wastes, effluents, emission and other materials at or from our present and former chemical facilities. Further, a number of our facilities are dependent on environmental permits to operate, the loss, or inability to renew or modification of which could have a material adverse effect on their operations and our results of operation and financial condition. These operating permits are subject to modification, renewal and revocation. In addition, third parties may contest our ability to receive or renew certain permits that we need to operate, which can lengthen the application process or even prevent us from obtaining necessary permits. Delays in obtaining permits or unanticipated permit conditions could delay projects, increase the costs of operations or make operations unfeasible. We regularly monitor and review our operations, procedures and policies for compliance with permits, laws and regulations. Despite these compliance efforts, risk of noncompliance, the risk of loss or modification of permits or changing regulatory or permit interpretation is inherent in the operation of our business.</w:t>
      </w:r>
    </w:p>
    <w:p>
      <w:pPr>
        <w:spacing w:after="0" w:line="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There can be no assurance as to the amount or timing of future expenditures for environmental compliance or remediation, and actual future expenditures may be different from the amounts we currently anticipate. Environmental requirements change frequently and are subject to interpretation. New requirements or interpretations along with the expanding scope of regulation may increase our future expenditures to comply with environmental requirements. We try to anticipate future regulatory requirements that might be imposed and plan accordingly to remain in compliance with changing environmental laws and regulations and to minimize the costs of compliance.</w:t>
      </w:r>
    </w:p>
    <w:p>
      <w:pPr>
        <w:spacing w:after="0" w:line="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Changes to the production equipment at our chemical facilities that are required in order to comply with health, safety and environmental regulations may require substantial capital expenditures.</w:t>
      </w:r>
    </w:p>
    <w:p>
      <w:pPr>
        <w:spacing w:after="0" w:line="5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Explosions and/or losses at other chemical facilities that we do not own (such as the April 2013 explosion in West, Texas) could also result in new or additional legislation or regulatory changes, particularly relating to public health, safety or any of the products manufactured and/or sold by us or the inability on the part of our customers to obtain or maintain insurance as to certain products manufactured and/or sold by us, which could have a negative effect on our revenues, cash flow and liquidity.</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summary, new or changed laws and regulations or the inability of our customers to obtain or maintain insurance in connection with any of our chemical products could have an adverse effect on our operating results, liquidity and financial condition.</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Additionally, under CERCLA or similar state statutes, we may be required to conduct environmental investigation and remediation (and pay for natural resource damages) at presently or formerly owned or operated sites or at sites at which materials from our operations have been disposed or released. Such liability is often strict and joint and several, meaning that we may be required to pay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ind w:right="120"/>
        <w:spacing w:after="0" w:line="256" w:lineRule="auto"/>
        <w:rPr>
          <w:sz w:val="20"/>
          <w:szCs w:val="20"/>
          <w:color w:val="auto"/>
        </w:rPr>
      </w:pPr>
      <w:r>
        <w:rPr>
          <w:rFonts w:ascii="Times New Roman" w:cs="Times New Roman" w:eastAsia="Times New Roman" w:hAnsi="Times New Roman"/>
          <w:sz w:val="18"/>
          <w:szCs w:val="18"/>
          <w:color w:val="auto"/>
        </w:rPr>
        <w:t>disproportionate share of remediation costs if other responsible parties are unable to pay. Additionally, we could be required to conduct additional cleanup at sites where we previously participated in remediation efforts in response to new information or new regulatory requirements. Although we cannot presently provide a precise estimate of the ultimate cost of the exposure with respect to investigation and remediation obligations, we make accruals as warranted and we do not believe that the reasonably possible range of loss in excess of accruals would be material to our operations. However, given the uncertainties inherent to any estimation of remediation costs, potential changing regulations, the uncertainties of litigation and other factors, the ultimate amounts that we pay or expend could vary significantly from the amount we accrue and have a material impact on our business and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have adequate insurance.</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While we maintain liability, property and business interruption insurance, including certain coverage for environmental contamination, it is subject to coverage limits and policies that may exclude coverage for some types of damages. Although there may currently be sources from which such coverage may be obtained, the coverage may not continue to be available to us on commercially reasonable terms or the possible types of liabilities that may be incurred by us may not be covered by our insurance. In addition, our insurance carriers may not be able to meet their obligations under the policies, or the dollar amount of the liabilities may exceed our policy limits. Even a partially uninsured claim, if successful and of significant magnitude, could have a material adverse effect on our business, results of operations, financial condition and liquidity.</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Furthermore, we are subject to litigation for which we could be obligated to bear legal, settlement and other costs, which may be in excess of any available insurance coverage. If we are required to incur all or a portion of the costs arising out of any litigation or investigation as a result of inadequate insurance proceeds, if any, our business, results of operations, financial condition and liquidity could be materially adversely affected. For further discussion of our litigation, please see “Other Pending, Threatened or Settled Litigation” in Note 7 – Commitments and Contingencies to the Consolidated Financial Statements included in this report.</w:t>
      </w:r>
    </w:p>
    <w:p>
      <w:pPr>
        <w:spacing w:after="0" w:line="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We may be required to modify or expand our operating, sales and reporting procedures and to install additional equipment in order to comply with current and possible future government regulations.</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chemical industry in general, and producers and distributors of ammonia and AN specifically, are scrutinized by the government, industry and public on security issues. Under current and proposed regulations, we may be required to incur substantial additional costs relating to security at our chemical facilities and distribution centers, as well as in the transportation of our products. These costs could have a material effect on our results of operations, financial condition, and liquidity. The cost of such regulatory changes, if significant, could lead some of our customers to choose other products over ammonia and AN, which may have a significant adverse effect on our business.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“Secure Handling of Ammonium Nitrate Act of 2007” was enacted by the U.S. Congress, and subsequently the U.S. Department of Homeland Security (“DHS”) published a notice of proposed rulemaking in 2011. This regulation proposes to require sellers, buyers, their agents and transporters of solid AN and certain solid mixtures containing AN to possess a valid registration issued by DHS, keep certain records, report the theft or unexplained loss of regulated materials, and comply with certain other new requirements. We and others affected by this proposal have submitted appropriate comments to DHS regarding the proposed regulation. It is possible that DHS could significantly revise the requirements currently being proposed. Depending on the provisions of the final regulation to be promulgated by DHS and on our ability to pass these costs to our customers, these requirements may have a negative effect on the profitability of our AN business and may result in fewer distributors who are willing to handle the product. DHS has not finalized this rule, and has indicated that its next action, and the timing of such an action, is undetermined.</w:t>
      </w:r>
    </w:p>
    <w:p>
      <w:pPr>
        <w:spacing w:after="0" w:line="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August 1, 2013, U.S. President Obama issued an executive order addressing the safety and security of chemical facilities in response to recent incidents involving chemicals such as the explosion at West, Texas. The President directed federal agencies to enhance existing regulations and make recommendations to the U.S. Congress to develop new laws that may affect our business. In January 2016, the U.S. Chemical Safety and Hazard Investigation Board (“CSB”) released its final report on the West, Texas incident. The CSB report identifies several federal and state regulations and standards that could be strengthened to reduce the risk of a similar incident occurring in the future. While the CSB does not have authority to directly regulate our business, the findings in this report, and other activities taken in response to the West, Texas incident by federal, state, and local regulators may result in additional regulation of our processes and products.</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2024, the U.S. EPA finalized revisions to its Risk Management Program (“RMP”) under Section 112(r) of the Clean Air Act. The revisions are the results of many years of back-and-forth among changing administrations. The current RMP rule includes requirements for certain facilities to perform hazard analyses including a safer technologies and alternatives analysis, an analysis of natural hazards, third-party auditing in certain circumstances, increased transparency (including incident reports and making certain information publicly available), and new emergency response requirements. Although the new rule was effective in 2024, many of the new requirements have a 2027 implementation timeline. The Occupational Safety and Health Administration is likewise considering changes to its Process Safety Management standards. In addition, DHS, the EPA, and the Bureau of Alcohol, Tobacco, Firearms and Explosives updated a joint chemical advisory on the safe storage, handling, and management of AN. While these actions may result in additional regulatory requirements or changes to our operators, it is difficult to predict at this time how these and any other possible regulations, if and when adopted, will affect our business, operations, liquidity or financial results.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Proposed and existing governmental laws and regulations relating to greenhouse gas and other air emissions may subject certain of our operations and customers to significant new costs and restrictions on their operations and may reduce sales of our products.</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chemical manufacturing facilities use significant amounts of electricity, natural gas and other raw materials necessary for the production of their chemical products that result, or could result, in certain greenhouse gas emissions into the environment. Federal and state legislatures and administrative agencies, including the EPA, are considering the scope and scale of greenhouse gas or other air emission regulation. Legislation and administrative actions have been considered that would regulate greenhouse gas emissions at some point in the future for our facilities, and existing and possible actions have already affected certain of our customers, leading to closure or rate reductions of certain facilities.</w:t>
      </w:r>
    </w:p>
    <w:p>
      <w:pPr>
        <w:spacing w:after="0" w:line="7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In response to findings that emissions of carbon dioxide, methane and other greenhouse gases present an endangerment to public health and the environment, the EPA adopted regulations pursuant to the federal Clean Air Act to reduce greenhouse gas emissions from various sources. For example, the EPA requires certain large stationary sources to obtain preconstruction and operating permits for pollutants regulated under the Prevention of Significant Deterioration and Title V programs of the Clean Air Act. Facilities required to obtain preconstruction permits for such pollutants are also required to meet “best available control technology” standards that are being established by the states. These regulatory requirements could adversely affect our operations and restrict or delay our ability to obtain air permits for new or modified sources. The Trump administration has directed EPA to reevaluate its endangerment finding relating to greenhouse gases and has generally signaled a desire to engage in less regulation targeted at climate change. The ultimate outcome of the new administration’s position and its impact on our operations or the operations of our customers cannot be predicted at this time.</w:t>
      </w:r>
    </w:p>
    <w:p>
      <w:pPr>
        <w:spacing w:after="0" w:line="6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Greenhouse gas regulation could: increase the price of the electricity and other energy sources purchased by our chemical facilities; increase costs for natural gas and other raw materials (such as ammonia); potentially restrict access to or the use of certain raw materials necessary to produce our chemical products; and require us to incur substantial expenditures to retrofit our chemical facilities to comply with the proposed new laws and regulations regulating greenhouse gas emissions. Federal, state and local governments may also pass laws mandating the use of alternative energy sources, such as wind power and solar energy, which may increase the cost of energy use in certain of our chemical and other manufacturing operations. For example, over time, the EPA has promulgated rules seeking to limit greenhouse gases from electric power plants. Various of these rules have been either struck down in court or repealed with changes in administration. The EPA’s most recent attempt to limit greenhouse gasses from power plants was finalized in 2024 and was subject to immediate legal challenge. Should the rule be upheld, it could result in increased electricity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Laws, regulations or other issues related to climate change could have a material adverse effect on us.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or other companies with which we do business become subject to laws or regulations related to climate change, it could have a material adverse effect on us. The United States may enact new laws, regulations and interpretations relating to climate change, including potential cap-and-trade systems, carbon taxes and other requirements relating to reduction of carbon footprints and/or greenhouse gas emissions. Other countries have enacted climate change laws and regulations, and the United States has been involved in discussions regarding international climate change treaties, although the continued commitment to such treaties is uncertain under the Trump administration. The federal government and some of the states and localities in which we operate have considered or have enacted certain climate change laws and regulations relating to greenhouse gas emissions or requiring disclosure of greenhouse gas emissions. Although these laws and regulations have not had any known material adverse effect on us to date, they could result in substantial costs, including compliance costs, monitoring and reporting costs and capital. Furthermore, our reputation could be damaged if we violate climate change laws or regulations. We cannot predict how future laws and regulations, or future interpretations of current laws and regulations, related to climate change will affect our business, results of operations, liquidity and financial condition. Lastly, the potential physical impacts of climate change on our operations are highly uncertain and would be particular to the geographic circumstances in areas in which we operate. These may include changes in rainfall and storm patterns and intensities, water shortages and changing temperatures. Any of these matters could have a material adverse effect on us.</w:t>
      </w:r>
    </w:p>
    <w:p>
      <w:pPr>
        <w:spacing w:after="0" w:line="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Human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of key personnel and other employees, including those with engineering and technical expertise, could negatively affect our business.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performance has been and will continue to be dependent upon the efforts of our executive officers. We cannot ensure that our executive officers will continue to be available. Although we have employment agreements with certain of our executive officers, including Mark T. Behrman and Cheryl A. Maguire, we do not have employment agreements with all of our key personnel. The loss of any of our executive officers could have a material adverse effect on us. We believe that our future success will depend in large part on our continued ability to attract and retain highly skilled and qualified personnel.</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our success depends upon our attracting and retaining skilled engineering personnel and others with technical expertise. Competition for such skilled personnel in our industry is high, especially for engineers and project managers who must reside in proximity to our facilities, which are in rural and less populated areas. As a result, we may experience higher than anticipated levels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1" w:name="page22"/>
    <w:bookmarkEnd w:id="21"/>
    <w:p>
      <w:pPr>
        <w:ind w:right="180"/>
        <w:spacing w:after="0" w:line="266" w:lineRule="auto"/>
        <w:rPr>
          <w:sz w:val="20"/>
          <w:szCs w:val="20"/>
          <w:color w:val="auto"/>
        </w:rPr>
      </w:pPr>
      <w:r>
        <w:rPr>
          <w:rFonts w:ascii="Times New Roman" w:cs="Times New Roman" w:eastAsia="Times New Roman" w:hAnsi="Times New Roman"/>
          <w:sz w:val="18"/>
          <w:szCs w:val="18"/>
          <w:color w:val="auto"/>
        </w:rPr>
        <w:t>employee attrition and may not be able to hire sufficiently qualified personnel in adequate numbers to meet our needs. Employee turnover and associated costs of rehiring, the loss of human capital and expertise through attrition and the reduced ability to attract talent could impair our ability to operate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collective bargaining agreements with certain employees.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Approximately 28% of our employees are covered by collective bargaining agreements. We may not be able to renew our collective bargaining agreements on terms similar to current terms or renegotiate collective bargaining agreements on terms acceptable to us. The prolonged failure to renew or renegotiate a collective bargaining agreement could result in work stoppages. Additionally, if a collective bargaining agreement is negotiated at higher-than-anticipated cost, absorbing those costs or passing them through to customers in the form of higher prices may make us less competitive.</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Stockholders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Todd Boehly (“Boehly”), through an affiliate, has a significant influence over us, which could limit other stockholders’ ability to influence the outcome of key transactions, including a change of control.</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TLB-LSB, LLC (“TLB-LSB”), which is an affiliate of Boehly, beneficially owns, in the aggregate approximately 21% of our outstanding common stock as of December 31, 2024. Additionally, pursuant to the Board Representation and Standstill Agreement, as amended, TLB-LSB has certain board member nomination rights based on the size of our Board and TLB-LSB’s holdings. For as long as TLB-LSB continues to beneficially own a substantial percentage of the voting power of our outstanding common stock, Boehly and his affiliates will continue to have significant influence over us. For example, they will be able to strongly influence the election of all of the members of our Board and our business and affairs, including certain determinations with respect to mergers or other business combinations, the acquisition or disposition of assets, the incurrence of additional indebtedness, the issuance of additional shares of common stock or other equity securities, the repurchase or redemption of shares of our common stock and the payment of dividends.</w:t>
      </w:r>
    </w:p>
    <w:p>
      <w:pPr>
        <w:spacing w:after="0" w:line="8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Additionally, Boehly and his affiliates manage businesses across a range of industries and may acquire and hold interests in businesses that compete directly or indirectly with us. Boehly and his affiliates may also pursue acquisition opportunities that may be complementary to our business, and, as a result, those acquisition opportunities may not be available to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can be no assurance that we will repurchase shares of common stock or that we will repurchase shares at favorable prices.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2023, our Board authorized a $150 million stock repurchase program. Total repurchase authority remaining under the repurchase program was $109 million as of December 31, 2024. The repurchase program may be suspended, terminated or modified at any time for any reason, including market conditions, the cost of repurchasing securities, the availability of alternative investment opportunities, liquidity, and other factors deemed appropriate. Under the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 The repurchase program does not obligate us to purchase any particular number or type of securities. During 2024, we repurchased approximately 1.5 million shares of common stock at an average cost of $8.13 per share.</w:t>
      </w:r>
    </w:p>
    <w:p>
      <w:pPr>
        <w:spacing w:after="0" w:line="8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stock repurchases will depend upon, among other factors, our cash balances and potential future capital requirements, results of operations, financial condition, and other factors that we may deem relevant. We can provide no assurance that we will repurchase stock at favorable prices, if at all.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a variety of factors that could discourage other parties from attempting to acquire us.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for a staggered Board and, except in limited circumstances, a two-thirds vote of outstanding voting shares to approve a merger, consolidation or sale of all, or substantially all, of our assets. In addition, we have entered into severance agreements with our executive officers and some of the executive officers of certain subsidiaries that provide, among other things, that if, within a specified period of time after the occurrence of a change in control of LSB, these officers are terminated, other than for cause, or the officer terminates his employment for good reason, the officer would be entitled to certain severance benefits. Certain of our debt instruments also provide special rights in a change of control, including in some cases the ability to be repaid in full or redeemed.</w:t>
      </w:r>
    </w:p>
    <w:p>
      <w:pPr>
        <w:spacing w:after="0" w:line="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authorized and unissued (including shares held in treasury) approximately 78.4 million shares of common stock and approximately 5.2 million shares of preferred stock as of December 31, 2024. These unissued shares could be used by our management to make it more difficult, and thereby discourage an attempt to acquire control of us.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foregoing provisions and agreements may discourage a third-party tender offer, proxy contest, or other attempts to acquire control of us and could have the effect of making it more difficult to remove incumbent management. In addition, Boehly, through his affiliates, has significant voting power and the Golsen Holders and Boehly, through his affiliates, have rights to designate board representatives, all of which may further discourage a third-party tender offer, proxy contest, or other attempts to acquire control of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2" w:name="page23"/>
    <w:bookmarkEnd w:id="22"/>
    <w:p>
      <w:pPr>
        <w:ind w:right="80"/>
        <w:spacing w:after="0" w:line="261" w:lineRule="auto"/>
        <w:rPr>
          <w:sz w:val="20"/>
          <w:szCs w:val="20"/>
          <w:color w:val="auto"/>
        </w:rPr>
      </w:pPr>
      <w:r>
        <w:rPr>
          <w:rFonts w:ascii="Times New Roman" w:cs="Times New Roman" w:eastAsia="Times New Roman" w:hAnsi="Times New Roman"/>
          <w:sz w:val="18"/>
          <w:szCs w:val="18"/>
          <w:color w:val="auto"/>
        </w:rPr>
        <w:t>Delaware has adopted an anti-takeover law which, among other things, will delay for three years business combinations with acquirers of 15% or more of the outstanding voting stock of publicly-held companies (such as us), unless:</w:t>
      </w:r>
    </w:p>
    <w:p>
      <w:pPr>
        <w:ind w:left="1020" w:right="420" w:hanging="503"/>
        <w:spacing w:after="0" w:line="250"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the corporation approved the business combination that results in the stockholder becoming an invested stockholder;</w:t>
      </w: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acquirer owned at least 85% of the outstanding voting stock of such company prior to commencement of the transaction;</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stockholders, other than the acquirer, vote to approve the business combination after approval thereof by the Board; or</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corporation amend its articles of incorporation or by-laws electing not to be governed by this provision.</w:t>
      </w:r>
    </w:p>
    <w:p>
      <w:pPr>
        <w:spacing w:after="0" w:line="9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Future issuances or potential issuances of our common stock or preferred stock could adversely affect the price of our common stock and our ability to raise funds in new stock offerings and could dilute the percentage ownership or voting power of our common stockholders.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Future sales of substantial amounts of our common stock, preferred stock or equity-related securities in the public market, or the perception that such sales could occur, could adversely affect prevailing trading prices of our common stock and could dilute the value of common stock held by our existing stockholders. No prediction can be made as to the effect, if any, that future sales of common stock, preferred stock, or equity-related securities, or the availability of shares of common stock for future sale will have on the trading price of our common stock. Such future sales could also significantly reduce the percentage ownership and voting power of our existing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terms used in this report.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Board</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Board of Directors of the Company.</w:t>
            </w:r>
          </w:p>
        </w:tc>
      </w:tr>
      <w:tr>
        <w:trPr>
          <w:trHeight w:val="275"/>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Board Representation and</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Representation and Standstill Agreement by and among LSB Industries, Inc., LSB Funding LLC,</w:t>
            </w:r>
          </w:p>
        </w:tc>
      </w:tr>
      <w:tr>
        <w:trPr>
          <w:trHeight w:val="23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Standstill Agreement</w:t>
            </w:r>
          </w:p>
        </w:tc>
        <w:tc>
          <w:tcPr>
            <w:tcW w:w="50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Benefit Corporation, Todd Boehly and the Golsen Holders.</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EDA</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 Dorado Ammonia L.L.C. (now merged into LSB Chemical, L.L.C. a subsidiary of LSB Industries, Inc.).</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EDC</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 Dorado Chemical Company (now merged into LSB Chemical, L.L.C. a subsidiary of LSB Industries, Inc.).</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EPA</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United States Environmental Protection Agency.</w:t>
            </w:r>
          </w:p>
        </w:tc>
      </w:tr>
      <w:tr>
        <w:trPr>
          <w:trHeight w:val="27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Exchange Agreement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Securities Exchange Agreement between LSB Funding L.L.C. and affiliate of Eldridge Industries, L.L.C.</w:t>
            </w:r>
          </w:p>
        </w:tc>
      </w:tr>
      <w:tr>
        <w:trPr>
          <w:trHeight w:val="234"/>
        </w:trPr>
        <w:tc>
          <w:tcPr>
            <w:tcW w:w="2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LSB.</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Global</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Industrial, Inc., a subcontractor asserting mechanics liens for work rendered to LSB and EDC.</w:t>
            </w:r>
          </w:p>
        </w:tc>
      </w:tr>
      <w:tr>
        <w:trPr>
          <w:trHeight w:val="27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Golsen Holders</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Jack E. Golsen, Barry H. Golsen and certain of their related parties, as defined in the Board Representation and</w:t>
            </w:r>
          </w:p>
        </w:tc>
      </w:tr>
      <w:tr>
        <w:trPr>
          <w:trHeight w:val="234"/>
        </w:trPr>
        <w:tc>
          <w:tcPr>
            <w:tcW w:w="2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Standstill Agreement, as amended.</w:t>
            </w:r>
          </w:p>
        </w:tc>
      </w:tr>
      <w:tr>
        <w:trPr>
          <w:trHeight w:val="27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Indenture</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agreement governing the Senior Secured Notes, dated as of October 14, 2021, by and among LSB, the</w:t>
            </w:r>
          </w:p>
        </w:tc>
      </w:tr>
      <w:tr>
        <w:trPr>
          <w:trHeight w:val="216"/>
        </w:trPr>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subsidiary guarantors which includes all of LSB’s consolidated subsidiaries named therein, and Wilmington</w:t>
            </w:r>
          </w:p>
        </w:tc>
      </w:tr>
      <w:tr>
        <w:trPr>
          <w:trHeight w:val="234"/>
        </w:trPr>
        <w:tc>
          <w:tcPr>
            <w:tcW w:w="2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 National Association, a national banking association, as trustee and collateral agent.</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 Golsen</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Jack E. Golsen.</w:t>
            </w:r>
          </w:p>
        </w:tc>
      </w:tr>
      <w:tr>
        <w:trPr>
          <w:trHeight w:val="27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secured revolving credit facility entered into during December 2023 that provides for a secured revolving</w:t>
            </w:r>
          </w:p>
        </w:tc>
      </w:tr>
      <w:tr>
        <w:trPr>
          <w:trHeight w:val="216"/>
        </w:trPr>
        <w:tc>
          <w:tcPr>
            <w:tcW w:w="2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facility in an initial maximum principal amount of up to $75 million, with an option to increase the</w:t>
            </w:r>
          </w:p>
        </w:tc>
      </w:tr>
      <w:tr>
        <w:trPr>
          <w:trHeight w:val="234"/>
        </w:trPr>
        <w:tc>
          <w:tcPr>
            <w:tcW w:w="2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maximum principal amount by up to $25 million (which amount is uncommitted).</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NOL</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PBRSU</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Performance-based restricted stock unit.</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PCC</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Pryor Chemical Company (now merged into LSB Chemical, L.L.C. a subsidiary of LSB Industries, Inc.).</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RSU</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unit.</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United States Securities and Exchange Commission.</w:t>
            </w:r>
          </w:p>
        </w:tc>
      </w:tr>
      <w:tr>
        <w:trPr>
          <w:trHeight w:val="275"/>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Secured Financing Agreement due </w:t>
            </w: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secured financing arrangement between EDA and an affiliate of LSB Funding which matures in August</w:t>
            </w:r>
          </w:p>
        </w:tc>
      </w:tr>
      <w:tr>
        <w:trPr>
          <w:trHeight w:val="238"/>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r>
      <w:tr>
        <w:trPr>
          <w:trHeight w:val="27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Notes</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senior secured notes issued on October 14, 2021 and March 8, 2022, with an interest rate of 6.25%, which</w:t>
            </w:r>
          </w:p>
        </w:tc>
      </w:tr>
      <w:tr>
        <w:trPr>
          <w:trHeight w:val="234"/>
        </w:trPr>
        <w:tc>
          <w:tcPr>
            <w:tcW w:w="2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mature in October 2028.</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Turnaround</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planned major maintenance activity.</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USDA</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2005 Agreement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 death benefit agreement with Jack E. Golsen.</w:t>
            </w:r>
          </w:p>
        </w:tc>
      </w:tr>
      <w:tr>
        <w:trPr>
          <w:trHeight w:val="29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2016 Plan</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2016 Long Term Incentive Plan.</w:t>
            </w:r>
          </w:p>
        </w:tc>
      </w:tr>
      <w:tr>
        <w:trPr>
          <w:trHeight w:val="648"/>
        </w:trPr>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3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24</w:t>
            </w:r>
          </w:p>
        </w:tc>
      </w:tr>
      <w:tr>
        <w:trPr>
          <w:trHeight w:val="763"/>
        </w:trPr>
        <w:tc>
          <w:tcPr>
            <w:tcW w:w="2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recognize the importance of developing, implementing, and maintaining robust cybersecurity measures to maintain the security, confidentiality, integrity, and availability of our business systems and commercially sensitive or confidential information. Our business depends on the proper functioning and availability of our information technology platforms, including communications and data processing systems. We are also required to effect electronic transmissions with third parties including clients, vendors and others with whom we do business, and with our Board. We also recognize that, as we continue to increase our dependence on information technologies to conduct our operations the risks associated with cybersecurity also increase.</w:t>
      </w:r>
    </w:p>
    <w:p>
      <w:pPr>
        <w:spacing w:after="0" w:line="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utilize an enterprise-wide risk management process to identify, assess, track and manage risks faced by our organization. The Company’s Enterprise Risk Management Committee (“ERM Committee”), is designated with the responsibility to direct our risk management program and to execute our risk management strategy, including cyber, technology, and third-party risk. To protect our information systems and operations from risks and to execute our cyber strategy, we use various security processes and technology tools that help identify, investigate, assess, prevent, and resolve potential vulnerabilities and security incidents in a timely manner. These include, but are not limited to, detection, monitoring and reporting processes and tools. Our team uses widely adopted methods and models to identify, evaluate, prioritize, and manage cyber and technology risks and develop and implement related information security safeguards. In partnership with third party advisors and consultants, we conduct regular reviews and tests of our program and leverage audits, penetration and vulnerability testing, cyber risk tabletops and security awareness trainings, and other business resilience exercises to evaluate the effectiveness of our program and improve our security measures. Our information security policies are designed to address current applicable legal requirements and to align with industry-recognized frameworks for cyber risk management. These standards cover physical, administrative, and technical safeguards and address a wide range of current cyber threats, including from third-party service providers. These policies and standards are reviewed and updated on a regular basis in order to respond to the constantly changing threat landscape.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Board of Directors considers cybersecurity to be a business risk and oversees enterprise-wide risks through the Audit Committee. The Audit Committee is designated by the Board with the responsibility for monitoring and reporting on management’s cybersecurity and risk management processes. The ERM Committee is the management-entity designated by the Chief Executive Officer with the responsibility to direct and execute our risk governance and strategy, including cyber risk. This ERM Committee is composed of the Company’s Executive Vice Presidents and each of the Company’s Senior Vice Presidents. Our Senior Vice President and Treasurer chairs the ERM Committee. The Vice President for Information Technology (“IT”) leads the information security program, manages cyber governance and incident management. The Vice President of IT and the Director of Infrastructure and Security have over forty-five years of combined information technology experience and over a decade of cybersecurity experience. The ERM Committee and Vice President for IT assess cyber risk and provide recommendations for management. The Chair of the ERM Committee and the Vice President for IT brief the Audit Committee regularly. These updates include an overview of cyber risk management activities, cyber threats, and key information security processes and mitigation efforts. The Chair of the Audit Committee provides regular reports to the Board on critical cyber risk and security topics presented to the Audit Committee by management. In addition, informal and ad hoc conversations about cyber risk and industry developments frequently occur among Board members and management.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Incident Management</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implemented security procedures and measures in order to protect our information from theft, loss, damage or interruption from a number of potential sources or events. LSB maintains and tests an incident response plan that outlines steps for the containment, investigation of, response to and recovery from cybersecurity incidents. The plan also includes information pertaining to roles, responsibilities, and reporting process. This plan is a part of our formal, enterprise-wide crisis management process, which outlines a communication plan with executive leadership as well as guidelines for communication with the Board. During 2024, we did not experience a cybersecurity incident that resulted in a material adverse effect on our business strategy, results of operations, or financial condition; however, there can be no guarantee that we will not experience such an incident in the future. Although we make extensive efforts to maintain the security and integrity of our information systems and technology operations, these systems are subject to the cyber risk of incident or disruption, and there can be no assurance that our security safeguards, and those of our third-party providers, will prevent incidents to our or our third-party providers’ systems that could adversely affect our business. For a discussion of these risks, see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General Risk Factors.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owned properties consist primarily of production facilities and wholesale and retail distribution facilities. The following table presents our significant production facilities as of December 31, 2024:</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El Dorado Facility</w:t>
            </w:r>
          </w:p>
        </w:tc>
        <w:tc>
          <w:tcPr>
            <w:tcW w:w="24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Cherokee Facility</w:t>
            </w:r>
          </w:p>
        </w:tc>
        <w:tc>
          <w:tcPr>
            <w:tcW w:w="2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Pryor Facility</w:t>
            </w:r>
          </w:p>
        </w:tc>
        <w:tc>
          <w:tcPr>
            <w:tcW w:w="100" w:type="dxa"/>
            <w:vAlign w:val="bottom"/>
          </w:tcPr>
          <w:p>
            <w:pPr>
              <w:spacing w:after="0"/>
              <w:rPr>
                <w:sz w:val="15"/>
                <w:szCs w:val="15"/>
                <w:color w:val="auto"/>
              </w:rPr>
            </w:pPr>
          </w:p>
        </w:tc>
      </w:tr>
      <w:tr>
        <w:trPr>
          <w:trHeight w:val="210"/>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Location</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El Dorado, AR</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Cherokee, AL</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Pryor, OK</w:t>
            </w: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Plant Area (acres)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Site Area (acres)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18"/>
                <w:szCs w:val="18"/>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Site Status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4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2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Owned</w:t>
            </w:r>
          </w:p>
        </w:tc>
      </w:tr>
      <w:tr>
        <w:trPr>
          <w:trHeight w:val="21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Annual Ammonia Production Capacity (tons)</w:t>
            </w:r>
          </w:p>
        </w:tc>
        <w:tc>
          <w:tcPr>
            <w:tcW w:w="1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493,000 (A)</w:t>
            </w:r>
          </w:p>
        </w:tc>
        <w:tc>
          <w:tcPr>
            <w:tcW w:w="240" w:type="dxa"/>
            <w:vAlign w:val="bottom"/>
            <w:shd w:val="clear" w:color="auto" w:fill="CFF0FC"/>
          </w:tcPr>
          <w:p>
            <w:pPr>
              <w:spacing w:after="0"/>
              <w:rPr>
                <w:sz w:val="18"/>
                <w:szCs w:val="18"/>
                <w:color w:val="auto"/>
              </w:rPr>
            </w:pP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188,000 (B)</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rPr>
              <w:t>246,000 (C)</w:t>
            </w:r>
          </w:p>
        </w:tc>
      </w:tr>
      <w:tr>
        <w:trPr>
          <w:trHeight w:val="140"/>
        </w:trPr>
        <w:tc>
          <w:tcPr>
            <w:tcW w:w="616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w:t>
            </w: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170"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ammonia production capacity is based on 1,350 tons per day of production for the year. The El Dorado Facility did not perform a Turnaround during 2024.</w:t>
      </w:r>
    </w:p>
    <w:p>
      <w:pPr>
        <w:spacing w:after="0" w:line="26"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ammonia production capacity is based on 515 tons per day of production for the year but excludes 40 Turnaround days during 2024.</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ammonia production capacity is based on 675 tons per day of production for the year but excludes 42 Turnaround days during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2024, our facilities produced approximately 757,000 tons of ammonia, a decrease from the prior year as a result of two Turnarounds in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distribute our agricultural products through two owned wholesale and retail distribution centers, with one located in Texas and one located in Missouri.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currently lease the office space housing our headquarters in Oklahoma City, Oklahoma.</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Most of our real property and equipment located at our chemical facilities are pledged as collateral to secure our long-term debt. All of the properties utilized by our businesses are suitable and adequate to meet the current needs of that business and relate to domestic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under Note 7 – Commitments and Contingencies to the Consolidated Financial Statements included in this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trading on the New York Stock Exchange under the symbol “LXU.”</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February 21, 2025, we had approximately 303 record holders of our common stock. This number is based on the actual number of holders registered at such date and does not include holders whose shares are held in “street name” by brokers and other nominees.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Discussions relating to our equity compensation plans under Item 12 of Part III are incorporated by reference to our definitive proxy statement which we intend to file with the SEC no later than 120 days after the end of the fiscal year covered by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not paid cash dividends on our outstanding common stock in many years, and we do not currently anticipate paying cash dividends on our outstanding common stock in the near future. Our Board has not made a decision whether or not to pay dividends on our common stock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sales of unregistered securities during the year ended December 31, 2024 that were not previously reported on a Quarterly Report on Form 10-Q or a Current Report on Form 8-K.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were no repurchases of our common stock during the three months ended December 31,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discussion is intended to provide a reader of our financial statements with management’s perspective on our financial condition, results of operations, liquidity, and certain other factors that may affect our future results. Investors should read the following discussion and analysis in conjunction with the consolidated financial statements and related notes included in “</w:t>
      </w:r>
      <w:r>
        <w:rPr>
          <w:rFonts w:ascii="Times New Roman" w:cs="Times New Roman" w:eastAsia="Times New Roman" w:hAnsi="Times New Roman"/>
          <w:sz w:val="18"/>
          <w:szCs w:val="18"/>
          <w:i w:val="1"/>
          <w:iCs w:val="1"/>
          <w:color w:val="auto"/>
        </w:rPr>
        <w:t>Item 8. Financial Statements and Supplementary Data.</w:t>
      </w:r>
      <w:r>
        <w:rPr>
          <w:rFonts w:ascii="Times New Roman" w:cs="Times New Roman" w:eastAsia="Times New Roman" w:hAnsi="Times New Roman"/>
          <w:sz w:val="18"/>
          <w:szCs w:val="18"/>
          <w:color w:val="auto"/>
        </w:rPr>
        <w:t>” Notes referenced in this discussion and analysis refer to the notes to consolidated financial statements that are found in “</w:t>
      </w:r>
      <w:r>
        <w:rPr>
          <w:rFonts w:ascii="Times New Roman" w:cs="Times New Roman" w:eastAsia="Times New Roman" w:hAnsi="Times New Roman"/>
          <w:sz w:val="18"/>
          <w:szCs w:val="18"/>
          <w:i w:val="1"/>
          <w:iCs w:val="1"/>
          <w:color w:val="auto"/>
        </w:rPr>
        <w:t>Item 8. Financial Statements and Supplementary Data—Notes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Certain statements contained in this discussion may be deemed to be forward-looking statements.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Actual results could differ materially from those discussed in or implied by forward-looking statements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various factors, including those discussed below and elsewhere in this Annual Report on Form 10-K, particularly in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Unless we state otherwise or the context otherwise requires, the terms “we,” “us,” “our” and the “Company” refer to LSB Industries, Inc.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subsidiaries.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LSB is headquartered in Oklahoma City, Oklahoma and we manufacture and sell chemical products for the agricultural and industrial markets. We own and operate three multi-plant facilities in Cherokee, Alabama, El Dorado, Arkansas and Pryor, Oklahoma, and operate a facility on behalf of Covestro LLC in Baytown, Texas. Our products are sold through distributors and directly to end customers, primarily throughout the United States and parts of Canada, and to explosives manufacturers in the United States and other parts of North America.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Initiatives for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future results of operations and financial condition to benefit from the following key initiatives:</w:t>
      </w:r>
    </w:p>
    <w:p>
      <w:pPr>
        <w:spacing w:after="0" w:line="115" w:lineRule="exact"/>
        <w:rPr>
          <w:sz w:val="20"/>
          <w:szCs w:val="20"/>
          <w:color w:val="auto"/>
        </w:rPr>
      </w:pPr>
    </w:p>
    <w:p>
      <w:pPr>
        <w:ind w:left="660" w:hanging="502"/>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Investing to improve Environmental, Health &amp; Safety and Reliability at our Facilities while Supplying our Customers with Products of the Highest Quality.</w:t>
      </w:r>
    </w:p>
    <w:p>
      <w:pPr>
        <w:spacing w:after="0" w:line="65" w:lineRule="exact"/>
        <w:rPr>
          <w:rFonts w:ascii="Times New Roman" w:cs="Times New Roman" w:eastAsia="Times New Roman" w:hAnsi="Times New Roman"/>
          <w:sz w:val="18"/>
          <w:szCs w:val="18"/>
          <w:color w:val="auto"/>
        </w:rPr>
      </w:pPr>
    </w:p>
    <w:p>
      <w:pPr>
        <w:ind w:left="1020" w:right="100" w:hanging="503"/>
        <w:spacing w:after="0" w:line="258"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our operational progress over the past several years represents proof that high safety standards not only enable us to protect what matters, which is the well-being of our employees, but also translates into improved plant performance. In 2025, we remain focused on our efforts to further the progress we have made with our safety programs to move closer to attaining zero injuries. We have been investing and plan to continue to invest additional capital at all three of our facilities during 2025 to build upon the success we have had in implementing enhanced safety programs during the last several years.</w:t>
      </w:r>
    </w:p>
    <w:p>
      <w:pPr>
        <w:spacing w:after="0" w:line="75"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multiple initiatives underway focused on continuing to improve the reliability of our plants as we advance towards our ammonia on-stream operating rate target and increase our production volumes of ammonia and other downstream products. Progress towards these targets would enable us to produce greater volumes of product for sale while lowering our unit cost of production thereby increasing our overall profitability. Additionally, our product quality program continues to focus on providing products to our customers that meet our quality standards.</w:t>
      </w:r>
    </w:p>
    <w:p>
      <w:pPr>
        <w:spacing w:after="0" w:line="73" w:lineRule="exact"/>
        <w:rPr>
          <w:rFonts w:ascii="Times New Roman" w:cs="Times New Roman" w:eastAsia="Times New Roman" w:hAnsi="Times New Roman"/>
          <w:sz w:val="18"/>
          <w:szCs w:val="18"/>
          <w:color w:val="auto"/>
        </w:rPr>
      </w:pPr>
    </w:p>
    <w:p>
      <w:pPr>
        <w:ind w:left="660" w:right="40" w:hanging="502"/>
        <w:spacing w:after="0" w:line="25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Optimization and Increase the Breadth of Distribution of our Product Mix. </w:t>
      </w:r>
      <w:r>
        <w:rPr>
          <w:rFonts w:ascii="Times New Roman" w:cs="Times New Roman" w:eastAsia="Times New Roman" w:hAnsi="Times New Roman"/>
          <w:sz w:val="18"/>
          <w:szCs w:val="18"/>
          <w:color w:val="auto"/>
        </w:rPr>
        <w:t>We have initiatives underway to increase the distribution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products within our industrial end markets, among other product mix optimization strategies. We believe that these initiatives and strategies, combined with continued expansion of our customer relationships, the robust market analysis capabilities we have developed, and the establishment of in-market tank storage and distribution terminals, will make us more effective in identifying and capitalizing on the most profitable distribution opportunities for our products, while making our financial results more stable and predictable. Additionally, we have completed and are advancing several capital improvement projects with the intention of increasing our sales volumes of higher value downstream products resulting in improvements in our overall profit margins.</w:t>
      </w:r>
    </w:p>
    <w:p>
      <w:pPr>
        <w:spacing w:after="0" w:line="74" w:lineRule="exact"/>
        <w:rPr>
          <w:rFonts w:ascii="Times New Roman" w:cs="Times New Roman" w:eastAsia="Times New Roman" w:hAnsi="Times New Roman"/>
          <w:sz w:val="18"/>
          <w:szCs w:val="18"/>
          <w:color w:val="auto"/>
        </w:rPr>
      </w:pPr>
    </w:p>
    <w:p>
      <w:pPr>
        <w:ind w:left="660" w:right="40" w:hanging="502"/>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Development of Low Carbon Ammonia and Clean Energy Projects. </w:t>
      </w:r>
      <w:r>
        <w:rPr>
          <w:rFonts w:ascii="Times New Roman" w:cs="Times New Roman" w:eastAsia="Times New Roman" w:hAnsi="Times New Roman"/>
          <w:sz w:val="18"/>
          <w:szCs w:val="18"/>
          <w:color w:val="auto"/>
        </w:rPr>
        <w:t>The reduction of greenhouse gas emissions, particularly related to carbon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dioxide, has been and we expect will increasingly become a global environmental priority. Ammonia has continued to emerge as one of the more viable alternatives to serve as a hydrogen-based energy source for a variety of applications due to its higher energy density and ease of storage relative to hydrogen gas. Low carbon ammonia can be used as a coal and natural gas substitute in power generation, a zero-carbon fuel in the maritime sector, and as a carbon free fertilizer. If low carbon ammonia were to be adopted for these and other energy needs globally, some studies have indicated that future demand could increase from current levels of global annual production of ammonia.</w:t>
      </w:r>
    </w:p>
    <w:p>
      <w:pPr>
        <w:spacing w:after="0" w:line="76" w:lineRule="exact"/>
        <w:rPr>
          <w:rFonts w:ascii="Times New Roman" w:cs="Times New Roman" w:eastAsia="Times New Roman" w:hAnsi="Times New Roman"/>
          <w:sz w:val="18"/>
          <w:szCs w:val="18"/>
          <w:color w:val="auto"/>
        </w:rPr>
      </w:pPr>
    </w:p>
    <w:p>
      <w:pPr>
        <w:ind w:left="660" w:right="2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carbon ammonia is produced using natural gas and conventional processes but includes an additional stage where the carbon dioxide emissions are captured and permanently stored in deep underground rock formations. We believe that the resulting low carbon emission product can be sold at a premium to conventional ammonia to customers seeking to reduce their carbon footprint, particularly in the power generation, marine, industrial, mining and agricultural end markets. Additionally, we believe that producers of low carbon ammonia will be eligible for government incentives aimed at promoting carbon capture and sequestration (CCS).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ind w:left="660"/>
        <w:spacing w:after="0" w:line="254" w:lineRule="auto"/>
        <w:rPr>
          <w:sz w:val="20"/>
          <w:szCs w:val="20"/>
          <w:color w:val="auto"/>
        </w:rPr>
      </w:pPr>
      <w:r>
        <w:rPr>
          <w:rFonts w:ascii="Times New Roman" w:cs="Times New Roman" w:eastAsia="Times New Roman" w:hAnsi="Times New Roman"/>
          <w:sz w:val="18"/>
          <w:szCs w:val="18"/>
          <w:color w:val="auto"/>
        </w:rPr>
        <w:t>We believe we are well-positioned to capitalize on this opportunity and become a market leader given our potential to retrofit our existing plants, which we believe can reduce our time to market for low carbon ammonia and also reduce the upfront capital expenditures necessary to enable us to produce this product. Additionally, we are collaborating with other energy-related companies to develop greenfield projects where we expect to mitigate risk through shared investment of capital as well as by negotiating potential offtake agreements from customers for the output of these plants. We are currently continuing to evaluate and develop projects that could enable us to become a producer and marketer of low carbon ammonia and other derivative products. These include a low carbon ammonia project at our El Dorado Facility in collaboration with Lapis Energy and a low carbon ammonia project on the Houston Ship Channel in conjunction with INPEX Corporation (“INPEX”), Air Liquide Group (“Air Liquide”) and Vopak Exolum Houston LLC (f/k/a Vopak Moda Houston LLC), a joint venture between Royal Vopak and Exolum (“Vopak Exolum”).</w:t>
      </w:r>
    </w:p>
    <w:p>
      <w:pPr>
        <w:spacing w:after="0" w:line="78" w:lineRule="exact"/>
        <w:rPr>
          <w:sz w:val="20"/>
          <w:szCs w:val="20"/>
          <w:color w:val="auto"/>
        </w:rPr>
      </w:pPr>
    </w:p>
    <w:p>
      <w:pPr>
        <w:ind w:left="660" w:right="20" w:hanging="502"/>
        <w:spacing w:after="0" w:line="258"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Evaluate and Pursue Organic Capacity Expansion. </w:t>
      </w:r>
      <w:r>
        <w:rPr>
          <w:rFonts w:ascii="Times New Roman" w:cs="Times New Roman" w:eastAsia="Times New Roman" w:hAnsi="Times New Roman"/>
          <w:sz w:val="18"/>
          <w:szCs w:val="18"/>
          <w:color w:val="auto"/>
        </w:rPr>
        <w:t>We have been evaluating opportunities across all our facilities to increase production capacity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implementation of several potential debottlenecking projects, particularly at our El Dorado Facility. Initial feasibility studies have pointed to potentially attractive returns for some of these projects. However, given the current high-cost environment and limited resources, coupled with our outlook for moderating selling prices, during 2024 we elected to put the El Dorado expansion projects on hold. We plan to reevaluate these projects over the course of 2025 to determine our prospects of moving forward with one or more of them in the future.</w:t>
      </w:r>
    </w:p>
    <w:p>
      <w:pPr>
        <w:spacing w:after="0" w:line="77" w:lineRule="exact"/>
        <w:rPr>
          <w:rFonts w:ascii="Times New Roman" w:cs="Times New Roman" w:eastAsia="Times New Roman" w:hAnsi="Times New Roman"/>
          <w:sz w:val="18"/>
          <w:szCs w:val="18"/>
          <w:color w:val="auto"/>
        </w:rPr>
      </w:pPr>
    </w:p>
    <w:p>
      <w:pPr>
        <w:ind w:left="660" w:hanging="50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undertook several smaller projects that we expect to enhance our profitability during 2025. These projects include:</w:t>
      </w:r>
    </w:p>
    <w:p>
      <w:pPr>
        <w:spacing w:after="0" w:line="117" w:lineRule="exact"/>
        <w:rPr>
          <w:rFonts w:ascii="Times New Roman" w:cs="Times New Roman" w:eastAsia="Times New Roman" w:hAnsi="Times New Roman"/>
          <w:sz w:val="18"/>
          <w:szCs w:val="18"/>
          <w:color w:val="auto"/>
        </w:rPr>
      </w:pPr>
    </w:p>
    <w:p>
      <w:pPr>
        <w:ind w:left="1080" w:right="340" w:hanging="503"/>
        <w:spacing w:after="0" w:line="266" w:lineRule="auto"/>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additional AN solution storage and new AN solution rail loading capability at our El Dorado Facility to significantly increase the volume of AN solution sales and increase product optionality at the site. We expect this project to be completed in the third quarter of 2025;</w:t>
      </w:r>
    </w:p>
    <w:p>
      <w:pPr>
        <w:spacing w:after="0" w:line="67" w:lineRule="exact"/>
        <w:rPr>
          <w:rFonts w:ascii="Times New Roman" w:cs="Times New Roman" w:eastAsia="Times New Roman" w:hAnsi="Times New Roman"/>
          <w:sz w:val="18"/>
          <w:szCs w:val="18"/>
          <w:color w:val="auto"/>
        </w:rPr>
      </w:pPr>
    </w:p>
    <w:p>
      <w:pPr>
        <w:ind w:left="1080" w:right="400" w:hanging="503"/>
        <w:spacing w:after="0" w:line="282" w:lineRule="auto"/>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5,000 tons of additional nitric acid storage at our El Dorado Facility was completed in the latter part of 2024 to help us optimize our product sales mix; and</w:t>
      </w:r>
    </w:p>
    <w:p>
      <w:pPr>
        <w:spacing w:after="0" w:line="53" w:lineRule="exact"/>
        <w:rPr>
          <w:rFonts w:ascii="Times New Roman" w:cs="Times New Roman" w:eastAsia="Times New Roman" w:hAnsi="Times New Roman"/>
          <w:sz w:val="18"/>
          <w:szCs w:val="18"/>
          <w:color w:val="auto"/>
        </w:rPr>
      </w:pPr>
    </w:p>
    <w:p>
      <w:pPr>
        <w:ind w:left="1080" w:right="40" w:hanging="503"/>
        <w:spacing w:after="0" w:line="266" w:lineRule="auto"/>
        <w:tabs>
          <w:tab w:leader="none" w:pos="10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urea capacity at our Pryor Facility, to enable to use a portion of the facility’s ammonia output to upgrade to approximately 75,000 additional tons of UAN per year. This project was completed in late 2024 and we expect it to lead to increased UAN sales volumes during 2025.</w:t>
      </w:r>
    </w:p>
    <w:p>
      <w:pPr>
        <w:spacing w:after="0" w:line="65" w:lineRule="exact"/>
        <w:rPr>
          <w:rFonts w:ascii="Times New Roman" w:cs="Times New Roman" w:eastAsia="Times New Roman" w:hAnsi="Times New Roman"/>
          <w:sz w:val="18"/>
          <w:szCs w:val="18"/>
          <w:color w:val="auto"/>
        </w:rPr>
      </w:pPr>
    </w:p>
    <w:p>
      <w:pPr>
        <w:ind w:left="660" w:hanging="502"/>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Evaluate Acquisitions of Strategic Assets or Companies. </w:t>
      </w:r>
      <w:r>
        <w:rPr>
          <w:rFonts w:ascii="Times New Roman" w:cs="Times New Roman" w:eastAsia="Times New Roman" w:hAnsi="Times New Roman"/>
          <w:sz w:val="18"/>
          <w:szCs w:val="18"/>
          <w:color w:val="auto"/>
        </w:rPr>
        <w:t>We may evaluate opportunities to acquire strategic assets or companies where we believe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acquisitions will enhance the value of the Company and provide attractive returns. We may consider assets and companies that can provide us with geographic expansion, extend an existing product line, add one or more new product lines, leverage our existing ammonia production capabilities, or complement our existing business lines, among other accretive opportunities.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Advanced Low Carbon Ammonia Initiatives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May 2024, we announced an agreement to supply, for a five-year period commencing January 1, 2025, up to 150,000 short tons per year of low carbon ammonium nitrate solution (“ANS”) to Freeport Minerals Corporation (“Freeport”). In early 2025 we began supplying conventional ANS to Freeport from our El Dorado Facility, and expect to phase in the low carbon contracted volume in the next year. Freeport intends to use the low carbon ANS purchased from us for its United States copper mining operations.</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October 2023, we announced a collaboration with INPEX, Air Liquide and Vopak Exolum to conduct a pre-FEED for the development of a large-scale, low carbon ammonia production and export project on the Houston Ship Channel. If the development proceeds, the project’s first phase is targeted to produce more than 1.1 million metric tons per year of low carbon ammonia by early 2029, with options for future production expansions. The pre-FEED study was completed in the fourth quarter of 2024. The next phase consists of a FEED study with a goal to commence in 2025, pending the outcome of conversations with potential customers regarding off-take from the proposed facility. A final investment decision is expected by mid-2026.</w:t>
      </w:r>
    </w:p>
    <w:p>
      <w:pPr>
        <w:spacing w:after="0" w:line="7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The parties completed a feasibility study on the project during the first quarter of 2023 and the proposed facility’s location on the Houston Ship Channel, the second largest petrochemical corridor in the world, leverages existing infrastructure assets. Vopak Exolum has invested in storage and handling infrastructure for bulk liquid products and currently operates an ammonia terminal that includes storage tanks and a newbuild dock with multiple deep-water berths. The project also has access to utilities and would be near multiple pipelines that could supply raw materials like natural gas and water.</w:t>
      </w:r>
    </w:p>
    <w:p>
      <w:pPr>
        <w:spacing w:after="0" w:line="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project partners will bring complementary expertise to the production, operation, storage and export for the advancement of low carbon ammonia production in the United States:</w:t>
      </w:r>
    </w:p>
    <w:p>
      <w:pPr>
        <w:spacing w:after="0" w:line="54" w:lineRule="exact"/>
        <w:rPr>
          <w:sz w:val="20"/>
          <w:szCs w:val="20"/>
          <w:color w:val="auto"/>
        </w:rPr>
      </w:pPr>
    </w:p>
    <w:p>
      <w:pPr>
        <w:ind w:left="1020" w:right="3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Liquide, a world leader in industrial gas production, and INPEX, Japan’s largest energy exploration and production company, would collaborate on low carbon hydrogen production. Air Liquide would supply its Autothermal Reforming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9" w:name="page30"/>
    <w:bookmarkEnd w:id="29"/>
    <w:p>
      <w:pPr>
        <w:ind w:left="1020" w:right="140"/>
        <w:spacing w:after="0" w:line="232" w:lineRule="auto"/>
        <w:rPr>
          <w:sz w:val="20"/>
          <w:szCs w:val="20"/>
          <w:color w:val="auto"/>
        </w:rPr>
      </w:pPr>
      <w:r>
        <w:rPr>
          <w:rFonts w:ascii="Times New Roman" w:cs="Times New Roman" w:eastAsia="Times New Roman" w:hAnsi="Times New Roman"/>
          <w:sz w:val="18"/>
          <w:szCs w:val="18"/>
          <w:color w:val="auto"/>
        </w:rPr>
        <w:t>(“ATR”) technology, an ideal solution for large-scale hydrogen production projects, combined with its proprietary carbon capture technology. The combination of ATR technology with carbon capture aims to capture at least 95% of direct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emissions from hydrogen production with approximately 1.6 million metric tons per year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captured and permanently sequestered from this project. Air Liquide would also be responsible for onsite nitrogen and oxygen production, using its proprietary Air Separation Unit technology.</w:t>
      </w:r>
    </w:p>
    <w:p>
      <w:pPr>
        <w:spacing w:after="0" w:line="92" w:lineRule="exact"/>
        <w:rPr>
          <w:sz w:val="20"/>
          <w:szCs w:val="20"/>
          <w:color w:val="auto"/>
        </w:rPr>
      </w:pPr>
    </w:p>
    <w:p>
      <w:pPr>
        <w:jc w:val="both"/>
        <w:ind w:left="1020" w:right="18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INPEX and LSB would collaborate on low carbon ammonia production. We led the selection of KBR Inc. as the ammonia loop technology provider, and led or will lead the pre-FEED study, engineering, procurement and construction of the facility. We would also be responsible for the day-to-day operation of the ammonia loop.</w:t>
      </w:r>
    </w:p>
    <w:p>
      <w:pPr>
        <w:spacing w:after="0" w:line="67"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INPEX and LSB would sell the low carbon ammonia and finalize off-take agreements with the numerous parties that have expressed interest and could also further partner in the project. The ammonia from this facility is intended to be used as a clean fuel for power generation, a hydrogen carrier, an industrial chemical feedstock, and as a marine fuel in a variety of domestic and international markets. INPEX, with stakes in both hydrogen and ammonia production, will likely be the largest investor in the overall project across the entire value chain, from production to export.</w:t>
      </w:r>
    </w:p>
    <w:p>
      <w:pPr>
        <w:spacing w:after="0" w:line="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Vopak Exolum currently operates ammonia storage and handling infrastructure from its Very Large Gas Carriers-capable deepwater berth located in the deepest part of the Houston Ship Channel. Vopak Exolum will maintain its ownership of the existing infrastructure and plans to build additional storage capacity as required to handle the low carbon ammonia production from the proposed new facility.</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May 2023, we entered into a non-binding memorandum of understanding (the "MOU") with Amogy Inc. (“Amogy”) aimed at developing the adoption of low carbon ammonia as a marine fuel, initially for the United States inland waterways transportation sector. Through joint efforts, we and Amogy will focus on advancing the understanding, utilization, and advocacy of low carbon ammonia as a sustainable fuel. Pursuant to the MOU, the companies will collaborate on the evaluation and development of a pilot program that integrates our low carbon ammonia and Amogy’s ammonia-to-power solution. Upon successful completion of the evaluation and pilot program, the companies expect to further collaborate at a larger-scale, including exploration of opportunities for development of an end-to-end supply chain of low carbon ammonia and deployment of Amogy technology across multiple applications, including maritime vessels. The evaluation and pilot program includes potential engagement with other parties across the ammonia value chain. Amogy successfully completed a pilot program test retrofitting a tugboat with a power unit using ammonia as a fuel source during the third quarter of 2024. We will also collaborate on various advocacy, education, and outreach efforts regarding the use of ammonia as a fuel.</w:t>
      </w:r>
    </w:p>
    <w:p>
      <w:pPr>
        <w:spacing w:after="0" w:line="21"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18"/>
          <w:szCs w:val="18"/>
          <w:color w:val="auto"/>
        </w:rPr>
        <w:t>In April 2022, we entered into an agreement with Lapis Energy to develop a project to capture and sequester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at our El Dorado Facility. Lapis, backed by Cresta Fund Management, a Dallas-based middle-market infrastructure investment firm, will invest the majority of the capital required for project development. The project is expected to be completed and operational in 2026, subject to the approval of a Class VI permit, at which time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injections are expected to begin. Once operational, the project at the El Dorado site will initially capture and sequester approximately 400,000 to 500,000 metric tons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per year in underground saline aquifers. The sequestered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generated from the facility’s ammonia production is expected to qualify for federal tax credits under Internal Revenue Code Section 45Q, which are $85 per metric ton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captured and sequestered. Lapis, as the majority owner of the carbon capture and sequestration equipment, will earn the 45Q tax credits and will pay us a fee for each ton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captured and sequestered beginning in 2026. Once in operation, the sequestered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is expected to reduce our overall scope 1 GHG emissions by approximately 25% from current levels. In addition, sequestering approximately 400,000 to 500,000 metric tons of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annually is expected to enable us to produce approximately 305,000 to 380,000 metric tons of low carbon ammonia annually, a product that could potentially be sold at higher price levels than conventional ammonia. In February 2023, a key milestone was achieved in the advancement of our low carbon ammonia project at El Dorado by filing a pre-construction Class VI permit application with the United States Environmental Protection Agency (the “EPA”). The EPA recognized the application as complete in March 2023 and is currently in the review process.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2024 Sales Volumes Down Only Slightly Despite Two Turnarounds and Lower Selling Prices But Results Partially Offset by Lower Natural Gas Costs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Total sales volumes of our products were down only slightly in 2024 as compared to 2023 despite the turnarounds we performed at our Pryor and Cherokee facilities in 2024, while we had no significant turnarounds in 2023. These results reflect the improved operating performance of our downstream plants, including the expansion of our UAN capacity at our Pryor Facility. Average selling prices for full year 2024 were lower than average selling prices for full year 2023, largely due to first quarter pricing. Pricing in the first quarter of 2024 was down significantly from the first quarter of 2023 when prices were coming down off 2022 record highs resulting predominantly from elevated natural gas prices in Europe. The impact of slightly lower sales volumes and lower average selling prices was partially offset by lower natural gas raw material costs throughout 2024 versus 2023.</w:t>
      </w:r>
    </w:p>
    <w:p>
      <w:pPr>
        <w:spacing w:after="0" w:line="7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Ammonia prices strengthened during the second half of 2024, supported by a combination of global factors, including: tight United States and West-of-Suez canal supply-demand dynamics driven by global supply disruptions; geopolitical concerns over conflict in the Middle East leading to higher natural gas raw material costs for European ammonia producers; extended turnarounds, outages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right="140"/>
        <w:spacing w:after="0" w:line="266" w:lineRule="auto"/>
        <w:rPr>
          <w:sz w:val="20"/>
          <w:szCs w:val="20"/>
          <w:color w:val="auto"/>
        </w:rPr>
      </w:pPr>
      <w:r>
        <w:rPr>
          <w:rFonts w:ascii="Times New Roman" w:cs="Times New Roman" w:eastAsia="Times New Roman" w:hAnsi="Times New Roman"/>
          <w:sz w:val="18"/>
          <w:szCs w:val="18"/>
          <w:color w:val="auto"/>
        </w:rPr>
        <w:t>limited spot availability across the Middle East, North Africa and Trinidad that reduced global inventories; ongoing disruptions in the Suez Canal limiting ammonia imports into Europe from the Middle East; and the delayed startup of new production capacity in the United States Gulf and export terminal in Russia.</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Ammonia pricing could be challenged in 2025 for a variety of reasons, including: the anticipated start-up of new production capacity in both the United States and internationally; an increase in Russian exports; and continued muted demand for nitrogen products from the global industrial sector, particularly in Asia; however, we could see upside to ammonia pricing driven by a variety of factors, including: a continued increase in energy prices; a strengthening Chinese economy driving increased industrial market demand; further delays in new production capacity coming online; gas curtailments in regions exporting ammonia; a lower interest rate environment; the potential impact of United States import tariffs; and supportive weather dynamics.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Demand for our industrial products is stable despite persistent global economic challenges. Nitric acid demand has been steady, reflecting the strength of the United States economy and robust consumer spending levels. Demand for AN for use in mining applications has been bolstered by positive exposure to copper, gold and iron ore, as well as continued attractive market fundamentals for aggregate production relating to infrastructure construction. While some degree of economic uncertainty persists, we believe that we have a meaningful degree of downside protection in our industrial business given our diverse customer base, the nature of our contracts and our ability to shift our production mix to products where demand and pricing are strongest.</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With respect to trends in our agricultural markets, corn prices have rebounded from August 2024 levels reflecting recent revisions by the United States Department of Agriculture (“USDA”) for smaller than previously estimated United States corn supplies and a decline in ending stocks and production challenges in certain international growing regions. While currently above average 2024 levels, corn prices sit below 2023 levels due largely to the impact on corn supply of the multi-year high United States corn harvest in 2023. The USDA is currently estimating that United States farmers planted approximately 90.6 million acres of corn during the Spring 2024 planting season, down from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 more detailed discussion below under “Key Industry Factors”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Industry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and Demand</w:t>
      </w:r>
    </w:p>
    <w:p>
      <w:pPr>
        <w:spacing w:after="0" w:line="11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Fertilizer. </w:t>
      </w:r>
      <w:r>
        <w:rPr>
          <w:rFonts w:ascii="Times New Roman" w:cs="Times New Roman" w:eastAsia="Times New Roman" w:hAnsi="Times New Roman"/>
          <w:sz w:val="18"/>
          <w:szCs w:val="18"/>
          <w:color w:val="auto"/>
        </w:rPr>
        <w:t>The price at which our agricultural products are ultimately sold depends on numerous factors, including the supply and demand for nitrogen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spacing w:after="0" w:line="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From a farmers’ perspective, the demand for fertilizer is affected by the aggregate crop planting decisions and farm economics, weather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7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Additionally, changes in corn, soybean, cotton and wheat prices can affect the number of acres of corn planted in a given year, and the number of acres planted will drive the level of nitrogen fertilizer consumption, likely affecting prices.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According to the World Agricultural Supply and Demand Estimates Report (“WASDE Report”) dated February 11, 2025 (the “February Report”), farmers planted approximately 90.6 million acres of corn in 2024, down 4.2% compared to the 2023 planting season. According to the February Report, the USDA estimates the United States ending stocks for the 2024 Harvest will be approximately 39.1 million metric tons, a 12.7% decrease from the 2023 Harvest. The USDA's expected yield for the 2024 Harvest is 179.3, up approximately 1.1% from a year ago.</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February 2025 estimates are associated with the corn market: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Crop</w:t>
            </w:r>
          </w:p>
        </w:tc>
        <w:tc>
          <w:tcPr>
            <w:tcW w:w="22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Crop</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2023 Crop</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 Harvest)</w:t>
            </w:r>
          </w:p>
        </w:tc>
        <w:tc>
          <w:tcPr>
            <w:tcW w:w="22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(2023 Harvest)</w:t>
            </w:r>
          </w:p>
        </w:tc>
        <w:tc>
          <w:tcPr>
            <w:tcW w:w="20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740" w:type="dxa"/>
            <w:vAlign w:val="bottom"/>
          </w:tcPr>
          <w:p>
            <w:pPr>
              <w:jc w:val="center"/>
              <w:ind w:left="37"/>
              <w:spacing w:after="0" w:line="149" w:lineRule="exact"/>
              <w:rPr>
                <w:sz w:val="20"/>
                <w:szCs w:val="20"/>
                <w:color w:val="auto"/>
              </w:rPr>
            </w:pPr>
            <w:r>
              <w:rPr>
                <w:rFonts w:ascii="Times New Roman" w:cs="Times New Roman" w:eastAsia="Times New Roman" w:hAnsi="Times New Roman"/>
                <w:sz w:val="14"/>
                <w:szCs w:val="14"/>
                <w:b w:val="1"/>
                <w:bCs w:val="1"/>
                <w:color w:val="auto"/>
              </w:rPr>
              <w:t>(2022 Harvest)</w:t>
            </w:r>
          </w:p>
        </w:tc>
        <w:tc>
          <w:tcPr>
            <w:tcW w:w="22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Report (1)</w:t>
            </w:r>
          </w:p>
        </w:tc>
        <w:tc>
          <w:tcPr>
            <w:tcW w:w="2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February Report (1)</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 (2)</w:t>
            </w:r>
          </w:p>
        </w:tc>
        <w:tc>
          <w:tcPr>
            <w:tcW w:w="260" w:type="dxa"/>
            <w:vAlign w:val="bottom"/>
          </w:tcPr>
          <w:p>
            <w:pPr>
              <w:spacing w:after="0"/>
              <w:rPr>
                <w:sz w:val="15"/>
                <w:szCs w:val="15"/>
                <w:color w:val="auto"/>
              </w:rPr>
            </w:pPr>
          </w:p>
        </w:tc>
        <w:tc>
          <w:tcPr>
            <w:tcW w:w="174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February Report (1)</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 (3)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U.S. Area Planted </w:t>
            </w:r>
            <w:r>
              <w:rPr>
                <w:rFonts w:ascii="Times New Roman" w:cs="Times New Roman" w:eastAsia="Times New Roman" w:hAnsi="Times New Roman"/>
                <w:sz w:val="14"/>
                <w:szCs w:val="14"/>
                <w:i w:val="1"/>
                <w:iCs w:val="1"/>
                <w:color w:val="auto"/>
              </w:rPr>
              <w:t>(Million acres)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U.S. Yield per Acre </w:t>
            </w:r>
            <w:r>
              <w:rPr>
                <w:rFonts w:ascii="Times New Roman" w:cs="Times New Roman" w:eastAsia="Times New Roman" w:hAnsi="Times New Roman"/>
                <w:sz w:val="14"/>
                <w:szCs w:val="14"/>
                <w:i w:val="1"/>
                <w:iCs w:val="1"/>
                <w:color w:val="auto"/>
              </w:rPr>
              <w:t>(Bushels)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U.S. Production </w:t>
            </w:r>
            <w:r>
              <w:rPr>
                <w:rFonts w:ascii="Times New Roman" w:cs="Times New Roman" w:eastAsia="Times New Roman" w:hAnsi="Times New Roman"/>
                <w:sz w:val="14"/>
                <w:szCs w:val="14"/>
                <w:i w:val="1"/>
                <w:iCs w:val="1"/>
                <w:color w:val="auto"/>
              </w:rPr>
              <w:t>(Million bushels)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15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13,651</w:t>
            </w:r>
          </w:p>
        </w:tc>
        <w:tc>
          <w:tcPr>
            <w:tcW w:w="16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U.S. Ending Stocks </w:t>
            </w:r>
            <w:r>
              <w:rPr>
                <w:rFonts w:ascii="Times New Roman" w:cs="Times New Roman" w:eastAsia="Times New Roman" w:hAnsi="Times New Roman"/>
                <w:sz w:val="14"/>
                <w:szCs w:val="14"/>
                <w:i w:val="1"/>
                <w:iCs w:val="1"/>
                <w:color w:val="auto"/>
              </w:rPr>
              <w:t>(Million metric tons)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(12.7 %)</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191"/>
        </w:trPr>
        <w:tc>
          <w:tcPr>
            <w:tcW w:w="28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 xml:space="preserve">World Ending Stocks </w:t>
            </w:r>
            <w:r>
              <w:rPr>
                <w:rFonts w:ascii="Times New Roman" w:cs="Times New Roman" w:eastAsia="Times New Roman" w:hAnsi="Times New Roman"/>
                <w:sz w:val="14"/>
                <w:szCs w:val="14"/>
                <w:i w:val="1"/>
                <w:iCs w:val="1"/>
                <w:color w:val="auto"/>
              </w:rPr>
              <w:t>(Million metric</w:t>
            </w:r>
          </w:p>
        </w:tc>
        <w:tc>
          <w:tcPr>
            <w:tcW w:w="1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58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(8.1 %)</w:t>
            </w:r>
          </w:p>
        </w:tc>
        <w:tc>
          <w:tcPr>
            <w:tcW w:w="1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600" w:type="dxa"/>
            <w:vAlign w:val="bottom"/>
            <w:gridSpan w:val="3"/>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173"/>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i w:val="1"/>
                <w:iCs w:val="1"/>
                <w:color w:val="auto"/>
              </w:rPr>
              <w:t>tons)</w:t>
            </w:r>
          </w:p>
        </w:tc>
        <w:tc>
          <w:tcPr>
            <w:tcW w:w="1640" w:type="dxa"/>
            <w:vAlign w:val="bottom"/>
            <w:vMerge w:val="continue"/>
            <w:shd w:val="clear" w:color="auto" w:fill="CFF0FC"/>
          </w:tcPr>
          <w:p>
            <w:pPr>
              <w:spacing w:after="0"/>
              <w:rPr>
                <w:sz w:val="15"/>
                <w:szCs w:val="15"/>
                <w:color w:val="auto"/>
              </w:rPr>
            </w:pPr>
          </w:p>
        </w:tc>
        <w:tc>
          <w:tcPr>
            <w:tcW w:w="1860" w:type="dxa"/>
            <w:vAlign w:val="bottom"/>
            <w:gridSpan w:val="2"/>
            <w:vMerge w:val="continue"/>
            <w:shd w:val="clear" w:color="auto" w:fill="CFF0FC"/>
          </w:tcPr>
          <w:p>
            <w:pPr>
              <w:spacing w:after="0"/>
              <w:rPr>
                <w:sz w:val="15"/>
                <w:szCs w:val="15"/>
                <w:color w:val="auto"/>
              </w:rPr>
            </w:pPr>
          </w:p>
        </w:tc>
        <w:tc>
          <w:tcPr>
            <w:tcW w:w="1580" w:type="dxa"/>
            <w:vAlign w:val="bottom"/>
            <w:gridSpan w:val="3"/>
            <w:vMerge w:val="continue"/>
            <w:shd w:val="clear" w:color="auto" w:fill="CFF0FC"/>
          </w:tcPr>
          <w:p>
            <w:pPr>
              <w:spacing w:after="0"/>
              <w:rPr>
                <w:sz w:val="15"/>
                <w:szCs w:val="15"/>
                <w:color w:val="auto"/>
              </w:rPr>
            </w:pPr>
          </w:p>
        </w:tc>
        <w:tc>
          <w:tcPr>
            <w:tcW w:w="1740" w:type="dxa"/>
            <w:vAlign w:val="bottom"/>
            <w:vMerge w:val="continue"/>
            <w:shd w:val="clear" w:color="auto" w:fill="CFF0FC"/>
          </w:tcPr>
          <w:p>
            <w:pPr>
              <w:spacing w:after="0"/>
              <w:rPr>
                <w:sz w:val="15"/>
                <w:szCs w:val="15"/>
                <w:color w:val="auto"/>
              </w:rPr>
            </w:pPr>
          </w:p>
        </w:tc>
        <w:tc>
          <w:tcPr>
            <w:tcW w:w="1600" w:type="dxa"/>
            <w:vAlign w:val="bottom"/>
            <w:gridSpan w:val="3"/>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648"/>
        </w:trPr>
        <w:tc>
          <w:tcPr>
            <w:tcW w:w="2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13" w:lineRule="exact"/>
        <w:rPr>
          <w:sz w:val="20"/>
          <w:szCs w:val="20"/>
          <w:color w:val="auto"/>
        </w:rPr>
      </w:pPr>
    </w:p>
    <w:p>
      <w:pPr>
        <w:ind w:left="520" w:right="280" w:hanging="512"/>
        <w:spacing w:after="0" w:line="259" w:lineRule="auto"/>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obtained from the February Report for the 2024/2025 (“2025 Crop”), 2023/2024 (“2024 Crop”) and 2022/2023 (“2023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1"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percentage change between the 2025 Crop amounts compared to the 2024 Crop amounts.</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percentage change between the 2025 Crop amounts compared to the 2023 Crop amounts.</w:t>
      </w:r>
    </w:p>
    <w:p>
      <w:pPr>
        <w:spacing w:after="0" w:line="1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According to the February Report, the USDA corn outlook for the United States is for supply and use to remain unchanged from the prior month report and projected season-average farm price to increase from the prior month by 10 cents to $4.35 per bushel, based on lower global supplies. The USDA reduced foreign exports and lowered ending stocks based on reduced production, trimming 1.8 million tons in global corn production citing weather-related yield declines in both Argentina and Brazil. From a demand perspective, we believe that corn prices will remain at a level that will further support demand for fertilizers during 2025.</w:t>
      </w:r>
    </w:p>
    <w:p>
      <w:pPr>
        <w:spacing w:after="0" w:line="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Industrial Products</w:t>
      </w:r>
      <w:r>
        <w:rPr>
          <w:rFonts w:ascii="Times New Roman" w:cs="Times New Roman" w:eastAsia="Times New Roman" w:hAnsi="Times New Roman"/>
          <w:sz w:val="18"/>
          <w:szCs w:val="18"/>
          <w:color w:val="auto"/>
        </w:rPr>
        <w:t>. Our industrial products sales volumes are dependent upon general economic conditions primarily in the housing, automotive,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 industries. According to the American Chemistry Council, the United States economic indicators for 2024 were largely flat as compared to 2023 but are expected to ramp up to an annual growth rate of 3% during 2025. Our sales prices generally vary with the market price of ammonia or natural gas, as applicable, in our pricing arrangements with customers.</w:t>
      </w:r>
    </w:p>
    <w:p>
      <w:pPr>
        <w:spacing w:after="0" w:line="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LDAN and AN solution are primarily used as AN fuel oil and specialty emulsions for usage in the quarry and the construction industries, for metals mining and to a lesser extent, for coal. Demand for AN for use in mining applications is robust due to attractive market fundamentals for quarrying and aggregate production and United States metals.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economic concerns persist for 2025, we believe that for our industrial products we have a meaningful degree of downside protection from the potential impacts of a recession given the nature of our contracts and our ability to shift our production mix to products where demand and pricing are strongest.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Prices</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Natural gas is the primary resource for conversion and manufacturing production of our nitrogen products. In recent years, United States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Historically, we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At December 31, 2024, we had natural gas contracts of approximately 0.6 million MMBtus, at an average cost of $3.70 per MMBtu. These contracts extend through March 2025. The following table shows the annual volume of natural gas we purchased and the average cost per MMBtu:</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Natural gas volumes (MMBtu in millions)</w:t>
            </w:r>
          </w:p>
        </w:tc>
        <w:tc>
          <w:tcPr>
            <w:tcW w:w="11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Natural gas average cost per MMBtu</w:t>
            </w:r>
          </w:p>
        </w:tc>
        <w:tc>
          <w:tcPr>
            <w:tcW w:w="1100" w:type="dxa"/>
            <w:vAlign w:val="bottom"/>
          </w:tcPr>
          <w:p>
            <w:pPr>
              <w:jc w:val="right"/>
              <w:ind w:right="899"/>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2.30</w:t>
            </w:r>
          </w:p>
        </w:tc>
        <w:tc>
          <w:tcPr>
            <w:tcW w:w="6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Transportation Costs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Costs for transporting nitrogen-based products can be significant relative to their selling price. We continue to evaluate the rising costs of freight domestically. As a result of increases in demand for available rail, truck and barge options to transport product, primarily during the spring and fall planting seasons, higher transportation costs have and could continue to impact our margins, where we are unable to fully pass through these costs to our customers. Additionally, truck driver shortages could impact our ability to fulfill customer demand. As a result, we continue to evaluate supply chain efficiencies to reduce or counter the impact of higher logistics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Reliability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Consistent, reliable and safe operations at our chemical plants are critical to our financial performance and results of operations. The financial effects of planned downtime at our plants, including Turnarounds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32" w:name="page33"/>
    <w:bookmarkEnd w:id="32"/>
    <w:p>
      <w:pPr>
        <w:ind w:right="120"/>
        <w:spacing w:after="0" w:line="282" w:lineRule="auto"/>
        <w:rPr>
          <w:sz w:val="20"/>
          <w:szCs w:val="20"/>
          <w:color w:val="auto"/>
        </w:rPr>
      </w:pPr>
      <w:r>
        <w:rPr>
          <w:rFonts w:ascii="Times New Roman" w:cs="Times New Roman" w:eastAsia="Times New Roman" w:hAnsi="Times New Roman"/>
          <w:sz w:val="18"/>
          <w:szCs w:val="18"/>
          <w:color w:val="auto"/>
        </w:rPr>
        <w:t>Our El Dorado Facility is currently on a three-year ammonia plant Turnaround cycle with the next ammonia plant Turnaround planned in the third quarter of 2025. However, we planned and completed a short plant outage in July 2024 to perform a catalyst change to return to maximum production rates.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Pryor Facility completed its scheduled full plant Turnaround, which commenced during the third quarter of 2024. Our Cherokee Facility completed its scheduled ammonia plant Turnaround during the fourth quarter of 2024. Following those Turnarounds, the Pryor Facility and the Cherokee Facility are expected to be on a two-year and three-year ammonia plant Turnaround cycle,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Ammonia Production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Ammonia is the basic product used to produce all of our upgraded products. The ammonia production rates of our plants affect the total cost per ton of each product produced and the overall sales of our products.</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Total ammonia production in 2024 was 757,000 tons which was lower due to significant planned turnaround activity at both our Pryor and Cherokee facilities. For 2025, we are targeting total ammonia production of approximately 790,000 tons to 820,000 tons which reflects planned turnaround work at our El Dorado Facility in the third quarter of 2025.</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believe that our focus on continuous improvement in reliability as discussed in our key operating initiatives underscores our focused goal of achieving a 95% ammonia on-stream operating rate goal and increasing our production volumes of downstream products.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Sales Contracts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certain instances, we may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for 2024</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consolidated net sales for 2024 were $522.4 million compared to $593.7 million for 2023. Our consolidated operating loss for 2024 was $5.5 million compared to consolidated operating income of $51.8 million for 2023. The items affecting our operating results are discussed below and under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Affecting Comparability of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Prices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2024 average selling prices for our ammonia, AN &amp; Nitric Acid, and UAN decreased compared to 2023. As discussed above under “Recent Business Developments,” the decrease was largely due to first quarter pricing, which was down significantly from the first quarter of 2023 when prices were coming down off 2022 record highs resulting predominantly from elevated natural gas prices in Europe.</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2024 average selling prices for most of our industrial products were also lower compared to 2023, primarily driven by lower natural gas prices in 2024 as many of our industrial contracts are indexed to the NYMEX natural gas benchmark price.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Turnaround Activities (2024 only)</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discussed above, we performed major Turnaround activities at our Pryor Facility in the third quarter of 2024 and at our Cherokee Facility in the fourth quarter of 2024. Additionally, we planned and executed a minor planned outage at our El Dorado Facility in July 2024 to change the catalyst in the ammonia plant to maximize production rates. When such activities are performed, overall results are negatively impacted. This impact includes lost contribution margin from lost sales, lost fixed cost absorption from lower production, and increased costs associated with repairs and maintenance. In addition, Turnaround related costs may be incurred in periods earlier than the actual outage of the plant for activities such as planning and procurement of materials.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Plant, Property and Equipment Write-off and Disposals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2024 and 2023, we recorded asset write-downs primarily related to assets no longer in use of $11.7 million and $3.6 million, respectively. These asset write-downs are included in Other expense (income), net on our consolidated statements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from Railcar Sublease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2024 and 2023, we subleased on a short-term basis certain railcars and recognized the corresponding revenue as a component of “Other (income) expense, net” on our consolidated statement of operations, which we discuss in Note 14 – Leases.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Extinguishment of Senior Secured Notes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auto"/>
        </w:rPr>
        <w:t>During 2024, we repurchased $96.6 million of our Senior Secured Notes through open market transactions for approximately $92.2 million. As a result, we recognized a gain on extinguishment of debt, net of issuance costs, of approximately $3.0 million.</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2023, we repurchased $125.0 million of our Senior Secured Notes through open market transactions for approximately $114.3 million. As a result, we recognized a gain on extinguishment of debt, net of issuance costs, of approximately $8.6 million. Both the 2023 and 2024 repurchase transactions also serve to reduce our interest expense.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67"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The following is a discussion and analysis of our consolidated results of operations for the year ended December 31, 2024 compared to the year ended December 31, 2023. For a discussion and analysis of our consolidated results of operations for the year ended December 31, 2023 compared to the year ended December 31, 2022, see Item 7, Management’s Discussion and Analysis and Results of Operations in our 2023 Form 10-K filed with the SEC on March 6, 2024.</w:t>
      </w:r>
    </w:p>
    <w:p>
      <w:pPr>
        <w:spacing w:after="0" w:line="1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Net sales to unaffiliated customers are reported in the consolidated financial statements and gross profit represents net sales less cost of sales. Net sales are reported on a gross basis with the cost of freight being recorded in cost of sales.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2024 Compared to Year Ended December 31, 2023</w:t>
      </w:r>
    </w:p>
    <w:p>
      <w:pPr>
        <w:spacing w:after="0" w:line="121" w:lineRule="exact"/>
        <w:rPr>
          <w:sz w:val="20"/>
          <w:szCs w:val="20"/>
          <w:color w:val="auto"/>
        </w:rPr>
      </w:pPr>
    </w:p>
    <w:p>
      <w:pPr>
        <w:ind w:right="240" w:firstLine="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financial information, the increase or decrease between those periods, the percentage increase or decrease between those periods with respect to each line item: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vMerge w:val="restart"/>
          </w:tcPr>
          <w:p>
            <w:pPr>
              <w:spacing w:after="0"/>
              <w:rPr>
                <w:sz w:val="13"/>
                <w:szCs w:val="1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60" w:type="dxa"/>
            <w:vAlign w:val="bottom"/>
            <w:gridSpan w:val="3"/>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 &amp; Nitric Acid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212,478</w:t>
            </w:r>
          </w:p>
        </w:tc>
        <w:tc>
          <w:tcPr>
            <w:tcW w:w="3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221,818</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(9,340 )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139,435</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154,206</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(14,771 )</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Ammonia</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136,662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166,581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(29,919 )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33,825</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(17,279 )</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522,400</w:t>
            </w:r>
          </w:p>
        </w:tc>
        <w:tc>
          <w:tcPr>
            <w:tcW w:w="3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593,709</w:t>
            </w:r>
          </w:p>
        </w:tc>
        <w:tc>
          <w:tcPr>
            <w:tcW w:w="3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(71,309 )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14"/>
                <w:szCs w:val="14"/>
                <w:color w:val="auto"/>
              </w:rPr>
              <w:t>(1)</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159,838</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157,075</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4"/>
                <w:szCs w:val="14"/>
                <w:color w:val="auto"/>
              </w:rPr>
              <w:t>(2)</w:t>
            </w:r>
          </w:p>
        </w:tc>
        <w:tc>
          <w:tcPr>
            <w:tcW w:w="320" w:type="dxa"/>
            <w:vAlign w:val="bottom"/>
          </w:tcPr>
          <w:p>
            <w:pPr>
              <w:spacing w:after="0"/>
              <w:rPr>
                <w:sz w:val="18"/>
                <w:szCs w:val="18"/>
                <w:color w:val="auto"/>
              </w:rPr>
            </w:pPr>
          </w:p>
        </w:tc>
        <w:tc>
          <w:tcPr>
            <w:tcW w:w="14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(74,260 )</w:t>
            </w:r>
          </w:p>
        </w:tc>
        <w:tc>
          <w:tcPr>
            <w:tcW w:w="32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(68,385 )</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(5,875 )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Turnaround expense</w:t>
            </w: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(37,781 )</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(2,430 )</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(35,351 )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gross profit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(38,463 )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41,767</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36,580</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(2,097 )</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(5,505 )</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51,777</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(57,282 )</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34,452</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(6,684 )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on extinguishments of debt</w:t>
            </w: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(3,013 )</w:t>
            </w:r>
          </w:p>
        </w:tc>
        <w:tc>
          <w:tcPr>
            <w:tcW w:w="3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(8,644 )</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other income, net</w:t>
            </w:r>
          </w:p>
        </w:tc>
        <w:tc>
          <w:tcPr>
            <w:tcW w:w="320" w:type="dxa"/>
            <w:vAlign w:val="bottom"/>
          </w:tcPr>
          <w:p>
            <w:pPr>
              <w:spacing w:after="0"/>
              <w:rPr>
                <w:sz w:val="18"/>
                <w:szCs w:val="18"/>
                <w:color w:val="auto"/>
              </w:rPr>
            </w:pPr>
          </w:p>
        </w:tc>
        <w:tc>
          <w:tcPr>
            <w:tcW w:w="14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(10,907 )</w:t>
            </w:r>
          </w:p>
        </w:tc>
        <w:tc>
          <w:tcPr>
            <w:tcW w:w="320" w:type="dxa"/>
            <w:vAlign w:val="bottom"/>
          </w:tcPr>
          <w:p>
            <w:pPr>
              <w:spacing w:after="0"/>
              <w:rPr>
                <w:sz w:val="18"/>
                <w:szCs w:val="18"/>
                <w:color w:val="auto"/>
              </w:rPr>
            </w:pPr>
          </w:p>
        </w:tc>
        <w:tc>
          <w:tcPr>
            <w:tcW w:w="14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(14,611 )</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(6,684 )</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(12,657 )</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(19,353 )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(47,276 )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 xml:space="preserve">Gross profit percentage </w:t>
            </w:r>
            <w:r>
              <w:rPr>
                <w:rFonts w:ascii="Times New Roman" w:cs="Times New Roman" w:eastAsia="Times New Roman" w:hAnsi="Times New Roman"/>
                <w:sz w:val="14"/>
                <w:szCs w:val="14"/>
                <w:color w:val="auto"/>
              </w:rPr>
              <w:t>(3)</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(5.4 )%</w:t>
            </w: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 xml:space="preserve">Adjusted gross profit percentage </w:t>
            </w:r>
            <w:r>
              <w:rPr>
                <w:rFonts w:ascii="Times New Roman" w:cs="Times New Roman" w:eastAsia="Times New Roman" w:hAnsi="Times New Roman"/>
                <w:sz w:val="14"/>
                <w:szCs w:val="14"/>
                <w:color w:val="auto"/>
              </w:rPr>
              <w:t>(1)(3)</w:t>
            </w: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30.6</w:t>
            </w:r>
          </w:p>
        </w:tc>
        <w:tc>
          <w:tcPr>
            <w:tcW w:w="380" w:type="dxa"/>
            <w:vAlign w:val="bottom"/>
          </w:tcPr>
          <w:p>
            <w:pPr>
              <w:jc w:val="right"/>
              <w:ind w:right="76"/>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26.5</w:t>
            </w:r>
          </w:p>
        </w:tc>
        <w:tc>
          <w:tcPr>
            <w:tcW w:w="36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4.1 %</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0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Property, plant and equipment expenditures</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92,294</w:t>
            </w: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67,603</w:t>
            </w:r>
          </w:p>
        </w:tc>
        <w:tc>
          <w:tcPr>
            <w:tcW w:w="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24,691</w:t>
            </w:r>
          </w:p>
        </w:tc>
        <w:tc>
          <w:tcPr>
            <w:tcW w:w="3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5100" w:type="dxa"/>
            <w:vAlign w:val="bottom"/>
            <w:tcBorders>
              <w:top w:val="single" w:sz="8" w:color="CFF0FC"/>
            </w:tcBorders>
          </w:tcPr>
          <w:p>
            <w:pPr>
              <w:spacing w:after="0" w:line="88" w:lineRule="exact"/>
              <w:rPr>
                <w:sz w:val="20"/>
                <w:szCs w:val="20"/>
                <w:color w:val="auto"/>
              </w:rPr>
            </w:pPr>
            <w:r>
              <w:rPr>
                <w:rFonts w:ascii="Times New Roman" w:cs="Times New Roman" w:eastAsia="Times New Roman" w:hAnsi="Times New Roman"/>
                <w:sz w:val="10"/>
                <w:szCs w:val="10"/>
                <w:color w:val="auto"/>
              </w:rPr>
              <w:t>_____________________________</w:t>
            </w:r>
          </w:p>
        </w:tc>
        <w:tc>
          <w:tcPr>
            <w:tcW w:w="3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380" w:type="dxa"/>
            <w:vAlign w:val="bottom"/>
            <w:tcBorders>
              <w:top w:val="single" w:sz="8" w:color="CFF0FC"/>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360" w:type="dxa"/>
            <w:vAlign w:val="bottom"/>
            <w:tcBorders>
              <w:top w:val="single" w:sz="8" w:color="CFF0FC"/>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360" w:type="dxa"/>
            <w:vAlign w:val="bottom"/>
            <w:tcBorders>
              <w:top w:val="single" w:sz="8" w:color="CFF0FC"/>
            </w:tcBorders>
          </w:tcPr>
          <w:p>
            <w:pPr>
              <w:spacing w:after="0"/>
              <w:rPr>
                <w:sz w:val="7"/>
                <w:szCs w:val="7"/>
                <w:color w:val="auto"/>
              </w:rPr>
            </w:pPr>
          </w:p>
        </w:tc>
        <w:tc>
          <w:tcPr>
            <w:tcW w:w="980" w:type="dxa"/>
            <w:vAlign w:val="bottom"/>
            <w:tcBorders>
              <w:top w:val="single" w:sz="8" w:color="CFF0FC"/>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N/M  Not meaningful.</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-3107055</wp:posOffset>
            </wp:positionV>
            <wp:extent cx="1460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-3107055</wp:posOffset>
            </wp:positionV>
            <wp:extent cx="1454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-3107055</wp:posOffset>
            </wp:positionV>
            <wp:extent cx="1543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-2249805</wp:posOffset>
            </wp:positionV>
            <wp:extent cx="1460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-2249805</wp:posOffset>
            </wp:positionV>
            <wp:extent cx="1454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-2249805</wp:posOffset>
            </wp:positionV>
            <wp:extent cx="1543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-1135380</wp:posOffset>
            </wp:positionV>
            <wp:extent cx="1460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-1135380</wp:posOffset>
            </wp:positionV>
            <wp:extent cx="1454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-1135380</wp:posOffset>
            </wp:positionV>
            <wp:extent cx="1543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-552450</wp:posOffset>
            </wp:positionV>
            <wp:extent cx="1460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-535305</wp:posOffset>
            </wp:positionV>
            <wp:extent cx="1460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-552450</wp:posOffset>
            </wp:positionV>
            <wp:extent cx="1454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-535305</wp:posOffset>
            </wp:positionV>
            <wp:extent cx="1454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-552450</wp:posOffset>
            </wp:positionV>
            <wp:extent cx="1543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-535305</wp:posOffset>
            </wp:positionV>
            <wp:extent cx="154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-226695</wp:posOffset>
            </wp:positionV>
            <wp:extent cx="1460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-209550</wp:posOffset>
            </wp:positionV>
            <wp:extent cx="1460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-226695</wp:posOffset>
            </wp:positionV>
            <wp:extent cx="1454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-209550</wp:posOffset>
            </wp:positionV>
            <wp:extent cx="1454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-226695</wp:posOffset>
            </wp:positionV>
            <wp:extent cx="15430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-209550</wp:posOffset>
            </wp:positionV>
            <wp:extent cx="1543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ind w:left="520" w:right="80" w:hanging="512"/>
        <w:spacing w:after="0" w:line="264" w:lineRule="auto"/>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non-GAAP measure. The amounts exclude unallocated depreciation and amortization and Turnaround expenses, which we believe are not reflective of our operating performance in a given period.</w:t>
      </w: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amount classified as cost of sales.</w:t>
      </w:r>
    </w:p>
    <w:p>
      <w:pPr>
        <w:spacing w:after="0" w:line="1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percentage of total net sales.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provide key operating metrics for the fertilizer and major industrial products, the increase or decrease between those periods, and the percentage increase or decrease between those periods with respect to each line item:</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Product (tons sold)</w:t>
            </w:r>
          </w:p>
        </w:tc>
        <w:tc>
          <w:tcPr>
            <w:tcW w:w="320" w:type="dxa"/>
            <w:vAlign w:val="bottom"/>
          </w:tcPr>
          <w:p>
            <w:pPr>
              <w:spacing w:after="0"/>
              <w:rPr>
                <w:sz w:val="15"/>
                <w:szCs w:val="15"/>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5140" w:type="dxa"/>
            <w:vAlign w:val="bottom"/>
            <w:tcBorders>
              <w:right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AN &amp; Nitric Acid</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553,613</w:t>
            </w: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528,895</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24,718</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482,775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483,139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140" w:type="dxa"/>
            <w:vAlign w:val="bottom"/>
            <w:tcBorders>
              <w:right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Ammonia</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321,300</w:t>
            </w:r>
          </w:p>
        </w:tc>
        <w:tc>
          <w:tcPr>
            <w:tcW w:w="2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375,478</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(54,178 )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4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Borders>
              <w:left w:val="single" w:sz="8" w:color="CFF0FC"/>
              <w:right w:val="single" w:sz="8" w:color="auto"/>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1,357,688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1,387,512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(29,824 )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Average Selling Prices (price per ton)</w:t>
            </w:r>
          </w:p>
        </w:tc>
        <w:tc>
          <w:tcPr>
            <w:tcW w:w="2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5140" w:type="dxa"/>
            <w:vAlign w:val="bottom"/>
            <w:tcBorders>
              <w:right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AN &amp; Nitric Acid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5140" w:type="dxa"/>
            <w:vAlign w:val="bottom"/>
            <w:tcBorders>
              <w:right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Ammonia</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Average Benchmark Prices (price per ton)</w:t>
            </w:r>
          </w:p>
        </w:tc>
        <w:tc>
          <w:tcPr>
            <w:tcW w:w="2700" w:type="dxa"/>
            <w:vAlign w:val="bottom"/>
            <w:gridSpan w:val="2"/>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5140" w:type="dxa"/>
            <w:vAlign w:val="bottom"/>
            <w:tcBorders>
              <w:right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Tampa Ammonia Benchmark</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tcBorders>
              <w:left w:val="single" w:sz="8" w:color="CFF0FC"/>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(22 )</w:t>
            </w: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NOLA UAN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(30 )</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-1559560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-1559560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-1559560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noted in the table above, we recorded net sales of $522.4 million in 2024, compared to $593.7 million for 2023, or a $71.3 million reduction. Net sales of our primary products decreased during 2024 compared to 2023 driven by the impact of lower selling prices relative to 2023 for most of our products and lower ammonia sales volumes partially offset by higher AN and acids sales volumes. The increase in sales volume of AN and acids products was driven largely by stronger production at our facilities reflecting the investments made in plant reliability over the past several years and enhanced by our strategic commercial efforts.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noted in the table above, we recognized a gross profit of $47.8 million for 2024 compared to $86.3 million for 2023, or a $38.5 million reduction. Overall, our gross profit percentage was 9% for 2024 compared to 15% for 2023. Our adjusted gross profit percentage increased to 31% for 2024 from 27% for 2023.</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decrease in gross profit in 2024 was primarily driven by lower overall sales prices for our products and higher planned Turnaround expenses partially offset by lower natural gas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SG&amp;A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selling, general and administrative expenses were $41.8 million for 2024, an increase of $5.2 million compared to 2023. The net increase was primarily driven by increases in payroll related costs as well as professional service fees.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Other expense, net for 2024 consists primarily of asset write-downs primarily related to assets no longer in use, partially offset by short-term rental income from railcar subleases. The write-downs were higher and rental income was lower in 2024 compared to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Interest expense, net for 2024 was $34.5 million compared to $41.1 million for 2023. The decrease primarily relates to reduced interest expense as a result of repurchases of our Senior Secured Notes made beginning in the second quarter of 2023 and during 2024, along with a lower outstanding principal balance of our Secured Financing due 2025, partially offset by the reversal of interest accrued from a previous judgment awarded to Global Industrial, Inc. in the litigation discussed in Note 7 – Commitments and Contingencies, which included an interest component.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Extinguishment of Debt</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2024, we repurchased $96.6 million of our Senior Secured Notes through open market transactions for approximately $92.2 million. As a result, we recognized a gain on extinguishment of debt, net of issuance costs, of approximately $3.0 million.</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2023, we repurchased $125.0 million of our Senior Secured Notes through open market transactions for approximately $114.3 million. As a result, we recognized a gain on extinguishment of debt net of issuance costs of approximately $8.6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Other Income, net</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Non-operating other income for 2024 was $10.9 million compared to $14.6 million for 2023, primarily relating to interest income earned during both periods from our short-term investments.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benefit for income taxes for 2024 was $6.7 million compared to the provision for income taxes of $6.0 million for 2023. The resulting effective tax rate for 2024 was 25.7% on pre-tax loss compared to 17.7% for 2023 on pre-tax income. For 2024, the effective tax rate was higher than the statutory rate primarily due to changes to valuation allowances and remeasurement of state deferred balances as a result of changes to state apportionment. For 2023, the effective tax rate was less than the statutory rate primarily due to the impact of state tax law changes and the remeasurement of state deferred balances. Also see discussion in Note 6 – Income Taxes.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51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5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 operating activities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86,576</w:t>
            </w:r>
          </w:p>
        </w:tc>
        <w:tc>
          <w:tcPr>
            <w:tcW w:w="2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137,521</w:t>
            </w:r>
          </w:p>
        </w:tc>
        <w:tc>
          <w:tcPr>
            <w:tcW w:w="30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(50,945 )</w:t>
            </w:r>
          </w:p>
        </w:tc>
      </w:tr>
      <w:tr>
        <w:trPr>
          <w:trHeight w:val="223"/>
        </w:trPr>
        <w:tc>
          <w:tcPr>
            <w:tcW w:w="518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5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 investing activities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(53,080 )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57,400</w:t>
            </w:r>
          </w:p>
        </w:tc>
        <w:tc>
          <w:tcPr>
            <w:tcW w:w="30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(110,480 )</w:t>
            </w:r>
          </w:p>
        </w:tc>
      </w:tr>
      <w:tr>
        <w:trPr>
          <w:trHeight w:val="223"/>
        </w:trPr>
        <w:tc>
          <w:tcPr>
            <w:tcW w:w="5180" w:type="dxa"/>
            <w:vAlign w:val="bottom"/>
            <w:tcBorders>
              <w:top w:val="single" w:sz="8" w:color="CFF0FC"/>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 financing activities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(114,298 )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(157,658 )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43,360</w:t>
            </w:r>
          </w:p>
        </w:tc>
        <w:tc>
          <w:tcPr>
            <w:tcW w:w="100" w:type="dxa"/>
            <w:vAlign w:val="bottom"/>
            <w:shd w:val="clear" w:color="auto" w:fill="CFF0FC"/>
          </w:tcPr>
          <w:p>
            <w:pPr>
              <w:spacing w:after="0"/>
              <w:rPr>
                <w:sz w:val="20"/>
                <w:szCs w:val="20"/>
                <w:color w:val="auto"/>
              </w:rPr>
            </w:pP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-659130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-642620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-659130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-642620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-342265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-325120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-342265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-325120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Operating Activities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$86.6 million for 2024 compared to $137.5 million for 2023, a decrease of $50.9 million. The decrease was a result of a reduction in net sales and interest income from short term investments partially offset by lower cost of sales, sublease income received in 2024, and working capital changes.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Investing Activities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cash used by investing activities was $53.1 million for 2024 compared to $57.4 million provided by investing activities for 2023, a change of $110.5 million.</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2024, the net cash used primarily relates to purchases of short-term investments of $270.9 million and expenditures for plant, property and equipment of $92.3 million partially offset by proceeds from maturities of short-term investments of $310.3 million.</w:t>
      </w:r>
    </w:p>
    <w:p>
      <w:pPr>
        <w:spacing w:after="0" w:line="5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2023, the net cash provided primarily relates to proceeds from maturities of short-term investments of $389.9 million, partially offset by purchases of short-term investments of $264.4 million and expenditures for plant, property and equipment of $67.6 million.</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Net Cash Flow from 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by financing activities was $114.3 million for 2024 compared to $157.7 million used for 2023, a change of $43.4 million.</w:t>
      </w:r>
    </w:p>
    <w:p>
      <w:pPr>
        <w:spacing w:after="0" w:line="11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2024, the net cash used primarily consists of repurchases of our Senior Secured Notes of $92.2 million, payments on other long-term debt and short-term financing of $23.4 million and repurchases of $11.9 million of common stock partially offset by proceeds from short-term financing of $16.1 million.</w:t>
      </w:r>
    </w:p>
    <w:p>
      <w:pPr>
        <w:spacing w:after="0" w:line="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2023, the net cash used primarily consists of repurchases of our Senior Secured Notes of $114.3 million, payments on other long-term debt and short-term financing of $30.1 million, payments of $28.3 million for the purchase of treasury stock and other payments of $2.8 million, partially offset by proceeds from short-term financing of $17.8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total current cash, cash equivalents and short-term investments long-term debt and stockholders’ equity: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1040" w:type="dxa"/>
            <w:vAlign w:val="bottom"/>
            <w:tcBorders>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2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w w:val="93"/>
              </w:rPr>
              <w:t>Millions)</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and short-term investments</w:t>
            </w: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 and long-term debt:</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Senior Secured Notes due 2028 </w:t>
            </w:r>
            <w:r>
              <w:rPr>
                <w:rFonts w:ascii="Times New Roman" w:cs="Times New Roman" w:eastAsia="Times New Roman" w:hAnsi="Times New Roman"/>
                <w:sz w:val="9"/>
                <w:szCs w:val="9"/>
                <w:color w:val="auto"/>
              </w:rPr>
              <w:t>(1)</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Secured Financing Agreement due 2025</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Unamortized debt issuance costs </w:t>
            </w:r>
            <w:r>
              <w:rPr>
                <w:rFonts w:ascii="Times New Roman" w:cs="Times New Roman" w:eastAsia="Times New Roman" w:hAnsi="Times New Roman"/>
                <w:sz w:val="9"/>
                <w:szCs w:val="9"/>
                <w:color w:val="auto"/>
              </w:rPr>
              <w:t>(2)</w:t>
            </w:r>
          </w:p>
        </w:tc>
        <w:tc>
          <w:tcPr>
            <w:tcW w:w="1040" w:type="dxa"/>
            <w:vAlign w:val="bottom"/>
          </w:tcPr>
          <w:p>
            <w:pPr>
              <w:spacing w:after="0"/>
              <w:rPr>
                <w:sz w:val="18"/>
                <w:szCs w:val="18"/>
                <w:color w:val="auto"/>
              </w:rPr>
            </w:pPr>
          </w:p>
        </w:tc>
        <w:tc>
          <w:tcPr>
            <w:tcW w:w="8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(5.6 )</w:t>
            </w:r>
          </w:p>
        </w:tc>
        <w:tc>
          <w:tcPr>
            <w:tcW w:w="4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debt, including current portion, net</w:t>
            </w:r>
          </w:p>
        </w:tc>
        <w:tc>
          <w:tcPr>
            <w:tcW w:w="1040" w:type="dxa"/>
            <w:vAlign w:val="bottom"/>
            <w:tcBorders>
              <w:top w:val="single" w:sz="8" w:color="auto"/>
              <w:bottom w:val="single" w:sz="8" w:color="auto"/>
            </w:tcBorders>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2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stockholders' equity</w:t>
            </w:r>
          </w:p>
        </w:tc>
        <w:tc>
          <w:tcPr>
            <w:tcW w:w="1040" w:type="dxa"/>
            <w:vAlign w:val="bottom"/>
            <w:tcBorders>
              <w:bottom w:val="single" w:sz="8" w:color="auto"/>
            </w:tcBorders>
          </w:tcPr>
          <w:p>
            <w:pPr>
              <w:jc w:val="right"/>
              <w:ind w:right="85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491.6</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7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-1399540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-1382395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-1399540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-1382395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-267970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-251460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-251460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9"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discussion below relating to the debt repurchases.</w:t>
      </w:r>
    </w:p>
    <w:p>
      <w:pPr>
        <w:spacing w:after="0" w:line="26" w:lineRule="exact"/>
        <w:rPr>
          <w:rFonts w:ascii="Times New Roman" w:cs="Times New Roman" w:eastAsia="Times New Roman" w:hAnsi="Times New Roman"/>
          <w:sz w:val="16"/>
          <w:szCs w:val="16"/>
          <w:color w:val="auto"/>
        </w:rPr>
      </w:pPr>
    </w:p>
    <w:p>
      <w:pPr>
        <w:ind w:left="520" w:right="20" w:hanging="512"/>
        <w:spacing w:after="0" w:line="288" w:lineRule="auto"/>
        <w:tabs>
          <w:tab w:leader="none" w:pos="5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issuance costs as of December 31, 2024 and 2023 of approximately $0.6 million and $0.5 million, respectively, relating to our Revolving Credit Facility are not included in Unamortized debt issuance cost. These costs are included in our consolidated balance sheet in Intangible and other assets, net.</w:t>
      </w:r>
    </w:p>
    <w:p>
      <w:pPr>
        <w:spacing w:after="0" w:line="5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Revolving Credit Facility – </w:t>
      </w:r>
      <w:r>
        <w:rPr>
          <w:rFonts w:ascii="Times New Roman" w:cs="Times New Roman" w:eastAsia="Times New Roman" w:hAnsi="Times New Roman"/>
          <w:sz w:val="18"/>
          <w:szCs w:val="18"/>
          <w:color w:val="auto"/>
        </w:rPr>
        <w:t>In December 2023, we entered into a secured revolving credit facility (the “Revolving Credit Facility”) with the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identified on the signature pages thereof and JPMorgan Chase Bank, N.A, as administrative agent. The Revolving Credit Facility provides for borrowings up to an initial maximum of $75 million, with an option to increase the maximum by an additional $25 million (which amount is uncommitted). Availability under the Revolving Credit Facility is subject to a borrowing base and is subject to an availability block of $7.5 million, which is applied against the $75 million initially reducing the maximum (which can be removed by us at our sole discretion, subject to the satisfaction of certain conditions) (the “Availability Block”). The Revolving Credit Facility provides for a sub-facility for the issuance of letters of credit in an aggregate amount not to exceed $10 million, with the outstanding amount of any such letters of credit reducing availability for borrowings. As of December 31, 2024 our Revolving Credit Facility was undrawn and had approximately $37.2 million of availability.</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one financial covenant, which requires that, solely if we elect to remove the Availability Block, then we must maintain a minimum fixed charge coverage ratio of not less than 1.00:1.00. The financial covenant, if triggered, is tested monthly. The financial covenant was not triggered as of December 31, 2024.</w:t>
      </w:r>
    </w:p>
    <w:p>
      <w:pPr>
        <w:spacing w:after="0" w:line="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Senior Secured Notes due 2028 – </w:t>
      </w:r>
      <w:r>
        <w:rPr>
          <w:rFonts w:ascii="Times New Roman" w:cs="Times New Roman" w:eastAsia="Times New Roman" w:hAnsi="Times New Roman"/>
          <w:sz w:val="18"/>
          <w:szCs w:val="18"/>
          <w:color w:val="auto"/>
        </w:rPr>
        <w:t>As of December 31, 2024, we had $478.4 million outstanding in aggregate principal amount of Senior Secured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originated from the issuance at par of two tranches of $500 million and $200 million in aggregate principal of such notes in October 2021 and March 2022, respectively. During 2024, we repurchased $96.6 million of Senior Secured Notes through open market transactions for approximately $92.2 million. As a result, we recognized a gain on extinguishment of debt, net of issuance costs, of approximately $3.0 million. During 2023, we repurchased $125.0 million of Senior Secured Notes through open market transactions for approximately $114.3 million. As a result, we recognized a gain on extinguishment of debt, net of issuance costs, of approximately $8.6 million. The Senior Secured Notes have an interest rate of 6.25%, to be paid semiannually in arrears on May 15th and October 15th, and mature on October 15, 2028.</w:t>
      </w:r>
    </w:p>
    <w:p>
      <w:pPr>
        <w:spacing w:after="0" w:line="61"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Secured Financing Agreement due 2025 – </w:t>
      </w:r>
      <w:r>
        <w:rPr>
          <w:rFonts w:ascii="Times New Roman" w:cs="Times New Roman" w:eastAsia="Times New Roman" w:hAnsi="Times New Roman"/>
          <w:sz w:val="18"/>
          <w:szCs w:val="18"/>
          <w:color w:val="auto"/>
        </w:rPr>
        <w:t>We are party to a $30 million secured financing arrangement with an affiliate of Eldridge Industries,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(“Eldridge”). Principal and interest are payable in 60 equal monthly installments with a final balloon payment of approximately $5 million due in August 2025.</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Finance Leases – </w:t>
      </w:r>
      <w:r>
        <w:rPr>
          <w:rFonts w:ascii="Times New Roman" w:cs="Times New Roman" w:eastAsia="Times New Roman" w:hAnsi="Times New Roman"/>
          <w:sz w:val="18"/>
          <w:szCs w:val="18"/>
          <w:color w:val="auto"/>
        </w:rPr>
        <w:t>Our finance leases consist primarily of leases on railcars. Most of our railcar leases are classified as operating leases.</w:t>
      </w:r>
    </w:p>
    <w:p>
      <w:pPr>
        <w:spacing w:after="0" w:line="11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Capital Expenditures – </w:t>
      </w:r>
      <w:r>
        <w:rPr>
          <w:rFonts w:ascii="Times New Roman" w:cs="Times New Roman" w:eastAsia="Times New Roman" w:hAnsi="Times New Roman"/>
          <w:sz w:val="18"/>
          <w:szCs w:val="18"/>
          <w:color w:val="auto"/>
        </w:rPr>
        <w:t>Our capital expenditures during 2024 relating to plant, property and equipment were $92.3 million compared to $67.6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Of the expenditures in 2024, approximately $67 million was spent on projects to sustain our production capacity while approximately $25 million was spent on growth initiatives. Our capital expenditures were funded primarily from cash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ind w:right="60"/>
        <w:spacing w:after="0" w:line="282" w:lineRule="auto"/>
        <w:rPr>
          <w:sz w:val="20"/>
          <w:szCs w:val="20"/>
          <w:color w:val="auto"/>
        </w:rPr>
      </w:pPr>
      <w:r>
        <w:rPr>
          <w:rFonts w:ascii="Times New Roman" w:cs="Times New Roman" w:eastAsia="Times New Roman" w:hAnsi="Times New Roman"/>
          <w:sz w:val="18"/>
          <w:szCs w:val="18"/>
          <w:color w:val="auto"/>
        </w:rPr>
        <w:t>and working capital. We expect capital expenditures to be approximately $80 million - $90 million for 2025 of which $60 million - $65 million is expected to be spent on sustaining production with the remainder spent on growth initiatives.</w:t>
      </w:r>
    </w:p>
    <w:p>
      <w:pPr>
        <w:spacing w:after="0" w:line="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Liquidity – </w:t>
      </w:r>
      <w:r>
        <w:rPr>
          <w:rFonts w:ascii="Times New Roman" w:cs="Times New Roman" w:eastAsia="Times New Roman" w:hAnsi="Times New Roman"/>
          <w:sz w:val="18"/>
          <w:szCs w:val="18"/>
          <w:color w:val="auto"/>
        </w:rPr>
        <w:t>We believe that the combination of our cash and cash equivalents, short-term investments, the availability on our Revolving Credit Facility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cash flow from operations will be sufficient to fund our anticipated liquidity needs for the next 12 months.</w:t>
      </w:r>
    </w:p>
    <w:p>
      <w:pPr>
        <w:spacing w:after="0" w:line="5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$184.2 million in cash and cash equivalents and short-term investments. Our capital allocation strategy includes, from time to time, seeking to deploy capital through additional share repurchases or the retirement or purchase of outstanding debt. Such repurchases, those of which we describe below for 2024, may be made in open market purchases, privately negotiated transactions or otherwise and will depend on prevailing market conditions, our liquidity requirements, contractual restrictions and other factors.</w:t>
      </w:r>
    </w:p>
    <w:p>
      <w:pPr>
        <w:spacing w:after="0" w:line="68"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Equity and Debt Repurchases – </w:t>
      </w:r>
      <w:r>
        <w:rPr>
          <w:rFonts w:ascii="Times New Roman" w:cs="Times New Roman" w:eastAsia="Times New Roman" w:hAnsi="Times New Roman"/>
          <w:sz w:val="18"/>
          <w:szCs w:val="18"/>
          <w:color w:val="auto"/>
        </w:rPr>
        <w:t>In May 2023, our Board authorized a $150 million stock repurchase program. The program is intended as a means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maximize stockholder value by returning capital to stockholders. Under the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 The repurchase program does not obligate us to purchase any particular number or type of securities.</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2024, we repurchased approximately 1.5 million shares of common stock at an average cost of $8.13 per share for a total of $12.1 million. During our fiscal quarter ended December 31, 2024, we did not repurchase any of our outstanding common stock. Total repurchase authority remaining under the repurchase program was $109 million as of December 31, 2024. The repurchase program does not have a set expiration date, but may be suspended, terminated or modified at any time for any reason.</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2024, we repurchased $96.6 million of our Senior Secured Notes through open market transactions for approximately $92.2 million. The debt repurchase was intended as a means to deleverage our balance sheet and reduce future interest costs while maintaining a balanced capital allocation strategy that provides an appropriate level of liquidity to fund our operations and future growth opportunities.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Associated with Environmental Regulatory Compliance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subject to numerous federal, state and local laws and regulations, including matters regarding environmental, health and safety matters. As a result, we incurred expenses of $5.2 million in 2024 in connection with environmental projects, compared to $4.3 million in 2023. For 2025, we expect to incur expenses of approximately $5 million in connection with additional environmental projects. However, it is possible that the actual costs could be significantly different than our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have not paid cash dividends on our outstanding common stock in many years, and we do not currently anticipate paying cash dividends on our outstanding common stock in the near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believe sales of fertilizer products to the agricultural industry are seasonal while sales into the industrial sectors generally are less susceptible to seasonal conditions or cycles. The selling seasons for agricultural products are primarily during the spring and fall planting seasons, which typically extend from March through June and from September through November in the geographical markets where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and Payment Bonds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December 31, 2024, we have agreed to indemnify the sureties for payments, up to $10.3 million, made by them in respect of such bonds. All of these insurance bonds are expected to expire or be renewed in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in Item 303(a)(4)(ii) of Regulation S-K under the Securities Exchange Act of 1934.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Aggregate Contractual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our aggregate contractual obligations are summarized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00" w:type="dxa"/>
            <w:vAlign w:val="bottom"/>
            <w:vMerge w:val="restart"/>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in the Year Ending December 31,</w:t>
            </w: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280" w:type="dxa"/>
            <w:vAlign w:val="bottom"/>
          </w:tcPr>
          <w:p>
            <w:pPr>
              <w:spacing w:after="0"/>
              <w:rPr>
                <w:sz w:val="12"/>
                <w:szCs w:val="12"/>
                <w:color w:val="auto"/>
              </w:rPr>
            </w:pPr>
          </w:p>
        </w:tc>
        <w:tc>
          <w:tcPr>
            <w:tcW w:w="82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Secured Notes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478,440</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478,440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500" w:type="dxa"/>
            <w:vAlign w:val="bottom"/>
            <w:tcBorders>
              <w:bottom w:val="single" w:sz="8" w:color="CFF0FC"/>
            </w:tcBorders>
            <w:shd w:val="clear" w:color="auto" w:fill="CFF0FC"/>
          </w:tcPr>
          <w:p>
            <w:pPr>
              <w:ind w:left="200"/>
              <w:spacing w:after="0" w:line="202" w:lineRule="exact"/>
              <w:rPr>
                <w:sz w:val="20"/>
                <w:szCs w:val="20"/>
                <w:color w:val="auto"/>
              </w:rPr>
            </w:pPr>
            <w:r>
              <w:rPr>
                <w:rFonts w:ascii="Times New Roman" w:cs="Times New Roman" w:eastAsia="Times New Roman" w:hAnsi="Times New Roman"/>
                <w:sz w:val="18"/>
                <w:szCs w:val="18"/>
                <w:color w:val="auto"/>
              </w:rPr>
              <w:t>Secured financing and finance leases</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12,411</w:t>
            </w:r>
          </w:p>
        </w:tc>
        <w:tc>
          <w:tcPr>
            <w:tcW w:w="3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9,121</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490,851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478,897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payments on long-term debt (1)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106,688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30,532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30,188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30,150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15,164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34,669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5,047</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pipeline commitment (2)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contractual obligations (3)</w:t>
            </w:r>
          </w:p>
        </w:tc>
        <w:tc>
          <w:tcPr>
            <w:tcW w:w="2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8,343</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4,832</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1,567</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1,293</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647,218</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55,408</w:t>
            </w:r>
          </w:p>
        </w:tc>
        <w:tc>
          <w:tcPr>
            <w:tcW w:w="2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40,685</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38,583</w:t>
            </w:r>
          </w:p>
        </w:tc>
        <w:tc>
          <w:tcPr>
            <w:tcW w:w="280" w:type="dxa"/>
            <w:vAlign w:val="bottom"/>
          </w:tcPr>
          <w:p>
            <w:pPr>
              <w:spacing w:after="0"/>
              <w:rPr>
                <w:sz w:val="18"/>
                <w:szCs w:val="18"/>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499,297</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w:t>
            </w:r>
          </w:p>
        </w:tc>
        <w:tc>
          <w:tcPr>
            <w:tcW w:w="28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-979805</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-979805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-979805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-979805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-979805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-979805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-10795</wp:posOffset>
            </wp:positionV>
            <wp:extent cx="47231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-79375</wp:posOffset>
            </wp:positionV>
            <wp:extent cx="47231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23130" cy="8890"/>
                    </a:xfrm>
                    <a:prstGeom prst="rect">
                      <a:avLst/>
                    </a:prstGeom>
                    <a:noFill/>
                  </pic:spPr>
                </pic:pic>
              </a:graphicData>
            </a:graphic>
          </wp:anchor>
        </w:drawing>
      </w:r>
    </w:p>
    <w:p>
      <w:pPr>
        <w:spacing w:after="0" w:line="191" w:lineRule="exact"/>
        <w:rPr>
          <w:sz w:val="20"/>
          <w:szCs w:val="20"/>
          <w:color w:val="auto"/>
        </w:rPr>
      </w:pPr>
    </w:p>
    <w:p>
      <w:pPr>
        <w:ind w:left="860" w:right="160" w:hanging="478"/>
        <w:spacing w:after="0" w:line="253" w:lineRule="auto"/>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estimated interest payments are all based on fixed interest rates. As of December 31, 2024, we do not have any outstanding borrowings based on variable interest rates.</w:t>
      </w:r>
    </w:p>
    <w:p>
      <w:pPr>
        <w:spacing w:after="0" w:line="6" w:lineRule="exact"/>
        <w:rPr>
          <w:rFonts w:ascii="Times New Roman" w:cs="Times New Roman" w:eastAsia="Times New Roman" w:hAnsi="Times New Roman"/>
          <w:sz w:val="18"/>
          <w:szCs w:val="18"/>
          <w:color w:val="auto"/>
        </w:rPr>
      </w:pPr>
    </w:p>
    <w:p>
      <w:pPr>
        <w:ind w:left="860" w:hanging="478"/>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Our proportionate share of the minimum costs to ensure capacity relating to a gathering and pipeline system.</w:t>
      </w:r>
    </w:p>
    <w:p>
      <w:pPr>
        <w:spacing w:after="0" w:line="9" w:lineRule="exact"/>
        <w:rPr>
          <w:rFonts w:ascii="Times New Roman" w:cs="Times New Roman" w:eastAsia="Times New Roman" w:hAnsi="Times New Roman"/>
          <w:sz w:val="18"/>
          <w:szCs w:val="18"/>
          <w:color w:val="auto"/>
        </w:rPr>
      </w:pPr>
    </w:p>
    <w:p>
      <w:pPr>
        <w:ind w:left="860" w:hanging="478"/>
        <w:spacing w:after="0"/>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Includes commitments for utility purchases, natural gas transportation and forward contracts on natural gas.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 Summary of Significant Accounting Policies for recently adopted and issued accounting standards.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121"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 of assets, liabilities, revenues and expenses, and disclosures of contingencies and fair values. It is reasonably possible that the estimates and assumptions utilized as of December 31, 2024, could change in the near term. The more critical areas of financial reporting affected by management's judgment, estimates and assumptions include the following:</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 Certain conditions may exist which may result in a loss, but which will only be resolved when future events occur. We assess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liabilities, and such assessment inherently involves an exercise of judgment. If the assessment of a contingency indicates that it is probable that a loss has been incurred, we would accrue for such contingent loss when such loss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realizable and earned.</w:t>
      </w:r>
    </w:p>
    <w:p>
      <w:pPr>
        <w:spacing w:after="0" w:line="8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We are involved in various legal matters that require management to make estimates and assumptions as discussed in Note 7 – Commitments and Contingencies.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reasonably possible that the actual costs could be significantly different than our estimates.</w:t>
      </w:r>
    </w:p>
    <w:p>
      <w:pPr>
        <w:spacing w:after="0" w:line="11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Regulatory Compliance </w:t>
      </w:r>
      <w:r>
        <w:rPr>
          <w:rFonts w:ascii="Times New Roman" w:cs="Times New Roman" w:eastAsia="Times New Roman" w:hAnsi="Times New Roman"/>
          <w:sz w:val="18"/>
          <w:szCs w:val="18"/>
          <w:color w:val="auto"/>
        </w:rPr>
        <w:t>– As discussed under “</w:t>
      </w:r>
      <w:r>
        <w:rPr>
          <w:rFonts w:ascii="Times New Roman" w:cs="Times New Roman" w:eastAsia="Times New Roman" w:hAnsi="Times New Roman"/>
          <w:sz w:val="18"/>
          <w:szCs w:val="18"/>
          <w:i w:val="1"/>
          <w:iCs w:val="1"/>
          <w:color w:val="auto"/>
        </w:rPr>
        <w:t>Item 1 – Government Laws and Regulations</w:t>
      </w:r>
      <w:r>
        <w:rPr>
          <w:rFonts w:ascii="Times New Roman" w:cs="Times New Roman" w:eastAsia="Times New Roman" w:hAnsi="Times New Roman"/>
          <w:sz w:val="18"/>
          <w:szCs w:val="18"/>
          <w:color w:val="auto"/>
        </w:rPr>
        <w:t>” of this report, we are subject to numerous federal, state,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laws and regulations, including matters regarding environmental, health and safety matters. We have developed policies and procedures related to regulatory compliance. We must continually monitor whether we have maintained compliance with such laws and regulations and the operating implications, if any, and amount of penalties, fines and assessments that may result from noncompliance. We will also be obligated to manage certain discharge water outlets and monitor groundwater contaminants at our chemical facilities should we discontinue the operations of a facility. Certain conditions exist which may result in a loss, but which will only be resolved when future events occur relating to these matters. We are involved in various environmental matters that require management to make estimates and assumptions, including matters discussed in “ Note 7 – Commitments and Contingencies.” As of December 31, 2024 and 2023, liabilities totaling $0.6 million and $0.4 million, respectively, have been accrued relating to these matters. It is also reasonably possible that the estimates and assumptions utilized as of December 31, 2024 could change in the near term. Actual results could differ materially from these estimates and judgments, as additional information becomes known.</w:t>
      </w:r>
    </w:p>
    <w:p>
      <w:pPr>
        <w:spacing w:after="0" w:line="7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 – </w:t>
      </w:r>
      <w:r>
        <w:rPr>
          <w:rFonts w:ascii="Times New Roman" w:cs="Times New Roman" w:eastAsia="Times New Roman" w:hAnsi="Times New Roman"/>
          <w:sz w:val="18"/>
          <w:szCs w:val="18"/>
          <w:color w:val="auto"/>
        </w:rPr>
        <w:t>As discussed under “Income Taxes” in Note 1 – Summary of Significant Accounting Policies and in Note 6 – Income Taxes, income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 As of December 31, 2024 and 2023, our valuation allowance on deferred tax assets was $14.2 million and $15.2 million, respectively.</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 uses adjusted gross profit as a supplemental measure to review and assess the performance of our core business operations and for planning purposes. We define adjusted gross profit as gross profit excluding depreciation and amortization and Turnaround expenses associated with our cost of sales, which we believe are not reflective of our operating performance in a given period.</w:t>
      </w:r>
    </w:p>
    <w:p>
      <w:pPr>
        <w:spacing w:after="0" w:line="6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Adjusted gross profit is a metric that provides investors with greater transparency to the information used by management in its financial and operational decision-making. We believe this metric is useful to investors because it facilitates comparisons of our core business operations across periods on a consistent basis. Management believes that the non-GAAP measure presented in this Annual Report on Form 10-K, when viewed in combination with our results prepared in accordance with U.S. GAAP, provides a more complete understanding of the factors and trends affecting our business and performance.</w:t>
      </w:r>
    </w:p>
    <w:p>
      <w:pPr>
        <w:spacing w:after="0" w:line="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Adjusted gross profit is not a measure of financial performance under U.S. GAAP, and should not be considered a substitute for gross profit, which we consider to be the most directly comparable U.S. GAAP measure. Adjusted gross profit has limitations as an analytical tool, and when assessing our operating performance, investors should not consider adjusted gross profit in isolation, or as a substitute for gross profit prepared in accordance with U.S. GAAP. Adjusted gross profit may not be comparable to similarly titled measures of other companies and other companies may not calculate such measure in the same manner as we do.</w:t>
      </w:r>
    </w:p>
    <w:p>
      <w:pPr>
        <w:sectPr>
          <w:pgSz w:w="11900" w:h="16838" w:orient="portrait"/>
          <w:cols w:equalWidth="0" w:num="1">
            <w:col w:w="11180"/>
          </w:cols>
          <w:pgMar w:left="320" w:top="1089" w:right="39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gross profit to adjusted gross profit.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Reconciliation of Gross Profit to Adjusted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Turnaround expenses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gross profit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6485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8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2800" w:type="dxa"/>
            <w:vAlign w:val="bottom"/>
            <w:gridSpan w:val="3"/>
          </w:tcPr>
          <w:p>
            <w:pPr>
              <w:ind w:left="1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18"/>
                <w:szCs w:val="18"/>
                <w:color w:val="auto"/>
              </w:rPr>
            </w:pPr>
          </w:p>
        </w:tc>
      </w:tr>
      <w:tr>
        <w:trPr>
          <w:trHeight w:val="216"/>
        </w:trPr>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47,797</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86,260</w:t>
            </w:r>
          </w:p>
        </w:tc>
      </w:tr>
      <w:tr>
        <w:trPr>
          <w:trHeight w:val="216"/>
        </w:trPr>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74,260</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68,385</w:t>
            </w:r>
          </w:p>
        </w:tc>
      </w:tr>
      <w:tr>
        <w:trPr>
          <w:trHeight w:val="234"/>
        </w:trPr>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37,781</w:t>
            </w:r>
          </w:p>
        </w:tc>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10"/>
        </w:trPr>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159,838</w:t>
            </w:r>
          </w:p>
        </w:tc>
        <w:tc>
          <w:tcPr>
            <w:tcW w:w="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157,075</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40" w:space="720"/>
            <w:col w:w="4220"/>
          </w:cols>
          <w:pgMar w:left="320" w:top="1089" w:right="399" w:bottom="1440" w:gutter="0" w:footer="0" w:header="0"/>
          <w:type w:val="continuous"/>
        </w:sect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results of operations and operating cash flows are affected by changes in market prices of ammonia and natural gas and changes in market interest rates.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Sales Commitments</w:t>
      </w:r>
    </w:p>
    <w:p>
      <w:pPr>
        <w:spacing w:after="0" w:line="8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As of December 31, 2024, we had no embedded losses associated with sales commitments with firm sales prices.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such that these contracts are exempt from the accounting and reporting requirements relating to derivatives. As of December 31, 2024, these contracts included volume purchase commitments with fixed prices of approximately 0.6 million MMBtus of natural gas that cover a period from January 2025 through March 2025. The weighted-average price of the natural gas covered by these contracts was $3.70 per MMBtu, for a total of $2.1 million. Based on strip prices, the weighted-average market price of the fixed contracts was $3.82 per MMBtu for a total of $2.2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variable interest rate risk with respect to our Revolving Credit Facility. As of December 31, 2024, we had no outstanding borrowings on the Revolving Credit Facility and no other variable rate borrowings.</w:t>
      </w:r>
    </w:p>
    <w:p>
      <w:pPr>
        <w:spacing w:after="0" w:line="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have a substantial amount of short-term investments in treasury securities. As these securities mature, to the extent that the proceeds are not required to fund operations, we may roll the funds over by purchasing additional securities. When interest rates fluctuate, there is no assurance that future purchases of short-term debt instruments will provide similar yields to the yields of those that have matured.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have included the financial statements and supplementary financial information required by this item immediately following Part IV of this report and hereby incorporate by reference the relevant portions of those statements and information into this Item 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carried out an evaluation, with the participation of our Principal Executive Officer and Principal Financial Officer, of the effectiveness of our disclosure controls and procedures (as defined in Rule 13a-15 under the Exchange Act). Our disclosure controls and procedures are designed to provide reasonable assurance that the information required to be disclosed by the Company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this information is accumulated and communicated to our management, including our Principal Executive Officer and Principal Financial Officer, as appropriate to allow timely decisions regarding required disclosure. Based upon that evaluation, our Principal Executive Officer and our Principal Financial Officer have concluded that our disclosure controls and procedures were effective as of December 31, 2024. There were no changes to our internal control over financial reporting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3" w:name="page44"/>
    <w:bookmarkEnd w:id="4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 Our internal control system is a process, under the supervision of our Chief Executive Officer and Chief Financial Officer, designed to provide reasonable assurance to our management and Board of Directors regarding the reliability of financial reporting and the preparation of our financial statements for external purposes in accordance with accounting principles generally accepted in the United States.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7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assessed the effectiveness of our internal control over financial reporting as of December 31, 2024. In making this assessment, it used the criteria set forth by the Committee of Sponsoring Organizations of the Treadway Commission in Internal Control - Integrated Framework (2013 Framework). Based on this assessment, management concluded that our internal control over financial reporting was effective as of December 31, 2024.</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on our internal control over financial reporting. This report appears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44" w:name="page45"/>
    <w:bookmarkEnd w:id="44"/>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LSB Industries,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3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We have audited LSB Industries, Inc.’s internal control over financial reporting as of December 31, 2024, based on criteria established in Internal Control—Integrated Framework issued by the Committee of Sponsoring Organizations of the Treadway Commission (2013 framework) (the COSO criteria). In our opinion, LSB Industries, Inc. (the Company) maintained, in all material respects, effective internal control over financial reporting as of December 31, 2024, based on the COSO criteria.</w:t>
      </w:r>
    </w:p>
    <w:p>
      <w:pPr>
        <w:spacing w:after="0" w:line="6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2024 consolidated financial statements of the Company and our report dated February 27, 2025 expressed an unqualified opinion thereon.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3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6"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23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0"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Oklahoma City, Oklahoma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27, 2025</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Second Amended and Restated Bylaws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December 17, 2024, the Board of Directors approved an amendment (the “Bylaws Amendment”) to the Second Amended and Restated Bylaws of the Company, effective as of such date. The Bylaws Amendment modified the provision relating to the removal of directors by removing the conditions for which cause for removal would be deemed to exist.</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Prior to the Bylaws Amendment, the then-existing bylaws provided that cause for removal of a director would be deemed to exist only if the director being removed had been convicted of a felony by a court of competent jurisdiction or had been adjudged by a court of competent jurisdiction to be liable for intentional misconduct or knowing violation of law in the performance of such director’s duty to the Company and, in each case, such adjudication was no longer subject to direct appeal.</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copy of the Second Amended and Restated Bylaws, as amended by the Bylaws Amendment, is attached to this Annual Report on Form 10-K as Exhibit 3(ii).1.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10b5-1 Trading Plans by Our Officers and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Lynn F. White, Member Board of Directors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11, 2024, Lynn F. White, a member of our Board of Directors, entered into a Rule 10b5-1 trading plan that is intended to satisfy the affirmative defense of Rule 10b5-1(c) and provides that Mr. White, acting through a broker, may sell up to an aggregate of 40,000 shares of our common stock, subject to adjustments for stock splits, stock combinations, stock dividends and other similar changes to our common stock. Sales of shares under the plan may only occur from March 12, 2025 to December 31, 2025. The plan is scheduled to terminate on December 31, 2025, subject to earlier termination upon the sale of all shares subject to the plan or the expiration of all sale orders under the plan, upon termination by Mr. White or the broker, or as otherwise provided in the plan.</w:t>
      </w:r>
    </w:p>
    <w:p>
      <w:pPr>
        <w:spacing w:after="0" w:line="79"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Other than as described above, during the three months ended December 31, 2024, none of the Company’s directors or executive officers adopted or terminated a “Rule 10b5-1 trading arrangement” or “non-Rule 10b5-1 trading arrangement,” as each term is defined in Item 408(a) of Regulation S-K.</w:t>
      </w:r>
    </w:p>
    <w:p>
      <w:pPr>
        <w:spacing w:after="0" w:line="28" w:lineRule="exact"/>
        <w:rPr>
          <w:sz w:val="20"/>
          <w:szCs w:val="20"/>
          <w:color w:val="auto"/>
        </w:rPr>
      </w:pPr>
    </w:p>
    <w:p>
      <w:pPr>
        <w:ind w:right="3000"/>
        <w:spacing w:after="0" w:line="326"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10 is incorporated herein by reference to our definitive proxy statement to be filed with the SEC pursuant to Regulation 14A of the Exchange Act not later than 120 days after the end of the fiscal year covered by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response to this Item 11 (except for the information required by Item 402(v) of Regulation S-K) is incorporated herein by reference to our definitive proxy statement to be filed with the SEC pursuant to Regulation 14A of the Exchange Act not later than 120 days after the end of the fiscal year covered by this Annual Report on Form 10-K.</w:t>
      </w:r>
    </w:p>
    <w:p>
      <w:pPr>
        <w:spacing w:after="0" w:line="6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12 is incorporated herein by reference to our definitive proxy statement to be filed with the SEC pursuant to Regulation 14A of the Exchange Act not later than 120 days after the end of the fiscal year covered by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13 is incorporated herein by reference to our definitive proxy statement to be filed with the SEC pursuant to Regulation 14A of the Exchange Act not later than 120 days after the end of the fiscal year covered by this Annual Report on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required in response to this Item 14 is incorporated herein by reference to our definitive proxy statement to be filed with the SEC pursuant to Regulation 14A of the Exchange Act not later than 120 days after the end of the fiscal year covered by this Annual Report on Form 10-K.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6" w:name="page47"/>
    <w:bookmarkEnd w:id="46"/>
    <w:tbl>
      <w:tblPr>
        <w:tblLayout w:type="fixed"/>
        <w:tblInd w:w="10" w:type="dxa"/>
        <w:tblCellMar>
          <w:top w:w="0" w:type="dxa"/>
          <w:left w:w="0" w:type="dxa"/>
          <w:bottom w:w="0" w:type="dxa"/>
          <w:right w:w="0" w:type="dxa"/>
        </w:tblCellMar>
      </w:tblPr>
      <w:tr>
        <w:trPr>
          <w:trHeight w:val="238"/>
        </w:trPr>
        <w:tc>
          <w:tcPr>
            <w:tcW w:w="2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9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560" w:type="dxa"/>
            <w:vAlign w:val="bottom"/>
          </w:tcPr>
          <w:p>
            <w:pPr>
              <w:spacing w:after="0"/>
              <w:rPr>
                <w:sz w:val="20"/>
                <w:szCs w:val="20"/>
                <w:color w:val="auto"/>
              </w:rPr>
            </w:pPr>
          </w:p>
        </w:tc>
      </w:tr>
      <w:tr>
        <w:trPr>
          <w:trHeight w:val="432"/>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tc>
        <w:tc>
          <w:tcPr>
            <w:tcW w:w="560" w:type="dxa"/>
            <w:vAlign w:val="bottom"/>
          </w:tcPr>
          <w:p>
            <w:pPr>
              <w:spacing w:after="0"/>
              <w:rPr>
                <w:sz w:val="24"/>
                <w:szCs w:val="24"/>
                <w:color w:val="auto"/>
              </w:rPr>
            </w:pPr>
          </w:p>
        </w:tc>
      </w:tr>
      <w:tr>
        <w:trPr>
          <w:trHeight w:val="324"/>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 (1) Financial Statements</w:t>
            </w:r>
          </w:p>
        </w:tc>
        <w:tc>
          <w:tcPr>
            <w:tcW w:w="560" w:type="dxa"/>
            <w:vAlign w:val="bottom"/>
          </w:tcPr>
          <w:p>
            <w:pPr>
              <w:spacing w:after="0"/>
              <w:rPr>
                <w:sz w:val="24"/>
                <w:szCs w:val="24"/>
                <w:color w:val="auto"/>
              </w:rPr>
            </w:pPr>
          </w:p>
        </w:tc>
      </w:tr>
      <w:tr>
        <w:trPr>
          <w:trHeight w:val="324"/>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the Company appear immediately following this Part IV:</w:t>
            </w:r>
          </w:p>
        </w:tc>
        <w:tc>
          <w:tcPr>
            <w:tcW w:w="560" w:type="dxa"/>
            <w:vAlign w:val="bottom"/>
          </w:tcPr>
          <w:p>
            <w:pPr>
              <w:spacing w:after="0"/>
              <w:rPr>
                <w:sz w:val="24"/>
                <w:szCs w:val="24"/>
                <w:color w:val="auto"/>
              </w:rPr>
            </w:pPr>
          </w:p>
        </w:tc>
      </w:tr>
      <w:tr>
        <w:trPr>
          <w:trHeight w:val="432"/>
        </w:trPr>
        <w:tc>
          <w:tcPr>
            <w:tcW w:w="2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90"/>
        </w:trPr>
        <w:tc>
          <w:tcPr>
            <w:tcW w:w="42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20" w:type="dxa"/>
            <w:vAlign w:val="bottom"/>
            <w:tcBorders>
              <w:bottom w:val="single" w:sz="8" w:color="0000EE"/>
            </w:tcBorders>
          </w:tcPr>
          <w:p>
            <w:pPr>
              <w:spacing w:after="0"/>
              <w:rPr>
                <w:sz w:val="24"/>
                <w:szCs w:val="24"/>
                <w:color w:val="auto"/>
              </w:rPr>
            </w:pPr>
          </w:p>
        </w:tc>
        <w:tc>
          <w:tcPr>
            <w:tcW w:w="642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F-2</w:t>
            </w:r>
          </w:p>
        </w:tc>
      </w:tr>
      <w:tr>
        <w:trPr>
          <w:trHeight w:val="318"/>
        </w:trPr>
        <w:tc>
          <w:tcPr>
            <w:tcW w:w="472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596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F-3</w:t>
            </w:r>
          </w:p>
        </w:tc>
      </w:tr>
      <w:tr>
        <w:trPr>
          <w:trHeight w:val="318"/>
        </w:trPr>
        <w:tc>
          <w:tcPr>
            <w:tcW w:w="106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for each of the three years in the period ended December 31, 2024</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860" w:type="dxa"/>
            <w:vAlign w:val="bottom"/>
            <w:tcBorders>
              <w:left w:val="single" w:sz="8" w:color="0000EE"/>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44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8"/>
        </w:trPr>
        <w:tc>
          <w:tcPr>
            <w:tcW w:w="106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 for each of the three years in the period ended December 31, 2024</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F-5</w:t>
            </w:r>
          </w:p>
        </w:tc>
      </w:tr>
      <w:tr>
        <w:trPr>
          <w:trHeight w:val="318"/>
        </w:trPr>
        <w:tc>
          <w:tcPr>
            <w:tcW w:w="7700" w:type="dxa"/>
            <w:vAlign w:val="bottom"/>
            <w:tcBorders>
              <w:top w:val="single" w:sz="8" w:color="0000FF"/>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each of the three years in the period ended December 31, 2024</w:t>
            </w:r>
          </w:p>
        </w:tc>
        <w:tc>
          <w:tcPr>
            <w:tcW w:w="640" w:type="dxa"/>
            <w:vAlign w:val="bottom"/>
            <w:tcBorders>
              <w:top w:val="single" w:sz="8" w:color="0000FF"/>
            </w:tcBorders>
          </w:tcPr>
          <w:p>
            <w:pPr>
              <w:spacing w:after="0"/>
              <w:rPr>
                <w:sz w:val="24"/>
                <w:szCs w:val="24"/>
                <w:color w:val="auto"/>
              </w:rPr>
            </w:pPr>
          </w:p>
        </w:tc>
        <w:tc>
          <w:tcPr>
            <w:tcW w:w="23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F-6</w:t>
            </w:r>
          </w:p>
        </w:tc>
      </w:tr>
      <w:tr>
        <w:trPr>
          <w:trHeight w:val="318"/>
        </w:trPr>
        <w:tc>
          <w:tcPr>
            <w:tcW w:w="1068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2860" w:type="dxa"/>
            <w:vAlign w:val="bottom"/>
            <w:tcBorders>
              <w:left w:val="single" w:sz="8" w:color="0000EE"/>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746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01"/>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(a) (2) Financial Statement Schedule</w:t>
            </w:r>
          </w:p>
        </w:tc>
        <w:tc>
          <w:tcPr>
            <w:tcW w:w="560" w:type="dxa"/>
            <w:vAlign w:val="bottom"/>
          </w:tcPr>
          <w:p>
            <w:pPr>
              <w:spacing w:after="0"/>
              <w:rPr>
                <w:sz w:val="24"/>
                <w:szCs w:val="24"/>
                <w:color w:val="auto"/>
              </w:rPr>
            </w:pPr>
          </w:p>
        </w:tc>
      </w:tr>
      <w:tr>
        <w:trPr>
          <w:trHeight w:val="324"/>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Company has included the following schedule in this report:</w:t>
            </w:r>
          </w:p>
        </w:tc>
        <w:tc>
          <w:tcPr>
            <w:tcW w:w="560" w:type="dxa"/>
            <w:vAlign w:val="bottom"/>
          </w:tcPr>
          <w:p>
            <w:pPr>
              <w:spacing w:after="0"/>
              <w:rPr>
                <w:sz w:val="24"/>
                <w:szCs w:val="24"/>
                <w:color w:val="auto"/>
              </w:rPr>
            </w:pPr>
          </w:p>
        </w:tc>
      </w:tr>
      <w:tr>
        <w:trPr>
          <w:trHeight w:val="392"/>
        </w:trPr>
        <w:tc>
          <w:tcPr>
            <w:tcW w:w="28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II - Valuation and Qualifying Accounts</w:t>
            </w:r>
          </w:p>
        </w:tc>
        <w:tc>
          <w:tcPr>
            <w:tcW w:w="782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F-28</w:t>
            </w:r>
          </w:p>
        </w:tc>
      </w:tr>
      <w:tr>
        <w:trPr>
          <w:trHeight w:val="461"/>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We have omitted all other schedules because the conditions requiring their filing do not exist or because the required information appears in our</w:t>
            </w:r>
          </w:p>
        </w:tc>
        <w:tc>
          <w:tcPr>
            <w:tcW w:w="560" w:type="dxa"/>
            <w:vAlign w:val="bottom"/>
          </w:tcPr>
          <w:p>
            <w:pPr>
              <w:spacing w:after="0"/>
              <w:rPr>
                <w:sz w:val="24"/>
                <w:szCs w:val="24"/>
                <w:color w:val="auto"/>
              </w:rPr>
            </w:pPr>
          </w:p>
        </w:tc>
      </w:tr>
      <w:tr>
        <w:trPr>
          <w:trHeight w:val="234"/>
        </w:trPr>
        <w:tc>
          <w:tcPr>
            <w:tcW w:w="106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Financial Statements, including the notes to those statements.</w:t>
            </w:r>
          </w:p>
        </w:tc>
        <w:tc>
          <w:tcPr>
            <w:tcW w:w="560" w:type="dxa"/>
            <w:vAlign w:val="bottom"/>
          </w:tcPr>
          <w:p>
            <w:pPr>
              <w:spacing w:after="0"/>
              <w:rPr>
                <w:sz w:val="20"/>
                <w:szCs w:val="20"/>
                <w:color w:val="auto"/>
              </w:rPr>
            </w:pPr>
          </w:p>
        </w:tc>
      </w:tr>
      <w:tr>
        <w:trPr>
          <w:trHeight w:val="648"/>
        </w:trPr>
        <w:tc>
          <w:tcPr>
            <w:tcW w:w="7660" w:type="dxa"/>
            <w:vAlign w:val="bottom"/>
            <w:gridSpan w:val="6"/>
          </w:tcPr>
          <w:p>
            <w:pPr>
              <w:ind w:left="554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2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21"/>
          </w:tcPr>
          <w:p>
            <w:pPr>
              <w:ind w:left="440"/>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209"/>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3(i).1</w:t>
            </w:r>
          </w:p>
        </w:tc>
        <w:tc>
          <w:tcPr>
            <w:tcW w:w="120" w:type="dxa"/>
            <w:vAlign w:val="bottom"/>
          </w:tcPr>
          <w:p>
            <w:pPr>
              <w:spacing w:after="0"/>
              <w:rPr>
                <w:sz w:val="18"/>
                <w:szCs w:val="18"/>
                <w:color w:val="auto"/>
              </w:rPr>
            </w:pPr>
          </w:p>
        </w:tc>
        <w:tc>
          <w:tcPr>
            <w:tcW w:w="55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Restated Certificate of Incorporation of LSB Industries, Inc., dated January</w:t>
              </w:r>
            </w:hyperlink>
          </w:p>
        </w:tc>
        <w:tc>
          <w:tcPr>
            <w:tcW w:w="20" w:type="dxa"/>
            <w:vAlign w:val="bottom"/>
          </w:tcPr>
          <w:p>
            <w:pPr>
              <w:spacing w:after="0"/>
              <w:rPr>
                <w:sz w:val="18"/>
                <w:szCs w:val="18"/>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5"/>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21, 1977, as amended August 27, 1987</w:t>
              </w:r>
            </w:hyperlink>
          </w:p>
        </w:tc>
      </w:tr>
      <w:tr>
        <w:trPr>
          <w:trHeight w:val="20"/>
        </w:trPr>
        <w:tc>
          <w:tcPr>
            <w:tcW w:w="12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3(i).2</w:t>
            </w:r>
          </w:p>
        </w:tc>
        <w:tc>
          <w:tcPr>
            <w:tcW w:w="120" w:type="dxa"/>
            <w:vAlign w:val="bottom"/>
          </w:tcPr>
          <w:p>
            <w:pPr>
              <w:spacing w:after="0"/>
              <w:rPr>
                <w:sz w:val="20"/>
                <w:szCs w:val="20"/>
                <w:color w:val="auto"/>
              </w:rPr>
            </w:pPr>
          </w:p>
        </w:tc>
        <w:tc>
          <w:tcPr>
            <w:tcW w:w="5520" w:type="dxa"/>
            <w:vAlign w:val="bottom"/>
            <w:gridSpan w:val="25"/>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Certificate of Amendment to the Restated Certificate of Incorporation of</w:t>
              </w:r>
            </w:hyperlink>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LSB Industries, dated September 23, 2021</w:t>
              </w:r>
            </w:hyperlink>
          </w:p>
        </w:tc>
        <w:tc>
          <w:tcPr>
            <w:tcW w:w="2440" w:type="dxa"/>
            <w:vAlign w:val="bottom"/>
            <w:tcBorders>
              <w:top w:val="single" w:sz="8" w:color="0000FF"/>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3(ii).1(a)</w:t>
            </w:r>
          </w:p>
        </w:tc>
        <w:tc>
          <w:tcPr>
            <w:tcW w:w="120" w:type="dxa"/>
            <w:vAlign w:val="bottom"/>
          </w:tcPr>
          <w:p>
            <w:pPr>
              <w:spacing w:after="0"/>
              <w:rPr>
                <w:sz w:val="20"/>
                <w:szCs w:val="20"/>
                <w:color w:val="auto"/>
              </w:rPr>
            </w:pPr>
          </w:p>
        </w:tc>
        <w:tc>
          <w:tcPr>
            <w:tcW w:w="55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Second Amended and Restated Bylaws of LSB Industries, Inc., as amended</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tcBorders>
              <w:top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by the December 17, 2024 amendment</w:t>
            </w: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40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Specimen Certificate for the Company’s Common Stock</w:t>
              </w:r>
            </w:hyperlink>
          </w:p>
        </w:tc>
        <w:tc>
          <w:tcPr>
            <w:tcW w:w="20" w:type="dxa"/>
            <w:vAlign w:val="bottom"/>
            <w:tcBorders>
              <w:bottom w:val="single" w:sz="8" w:color="0000EE"/>
            </w:tcBorders>
          </w:tcPr>
          <w:p>
            <w:pPr>
              <w:spacing w:after="0"/>
              <w:rPr>
                <w:sz w:val="20"/>
                <w:szCs w:val="20"/>
                <w:color w:val="auto"/>
              </w:rPr>
            </w:pPr>
          </w:p>
        </w:tc>
        <w:tc>
          <w:tcPr>
            <w:tcW w:w="1420" w:type="dxa"/>
            <w:vAlign w:val="bottom"/>
            <w:gridSpan w:val="9"/>
          </w:tcPr>
          <w:p>
            <w:pPr>
              <w:spacing w:after="0"/>
              <w:rPr>
                <w:sz w:val="20"/>
                <w:szCs w:val="20"/>
                <w:color w:val="auto"/>
              </w:rPr>
            </w:pPr>
          </w:p>
        </w:tc>
      </w:tr>
      <w:tr>
        <w:trPr>
          <w:trHeight w:val="453"/>
        </w:trPr>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54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Amended and Restated Section 382 Rights Agreement, dated as of August</w:t>
              </w:r>
            </w:hyperlink>
          </w:p>
        </w:tc>
        <w:tc>
          <w:tcPr>
            <w:tcW w:w="12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22, 2023, between LSB Industries, Inc. and Computershare Trust Company,</w:t>
              </w:r>
            </w:hyperlink>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N.A., as rights agent</w:t>
              </w:r>
            </w:hyperlink>
          </w:p>
        </w:tc>
        <w:tc>
          <w:tcPr>
            <w:tcW w:w="4020" w:type="dxa"/>
            <w:vAlign w:val="bottom"/>
            <w:gridSpan w:val="23"/>
          </w:tcPr>
          <w:p>
            <w:pPr>
              <w:spacing w:after="0"/>
              <w:rPr>
                <w:sz w:val="17"/>
                <w:szCs w:val="17"/>
                <w:color w:val="auto"/>
              </w:rPr>
            </w:pPr>
          </w:p>
        </w:tc>
      </w:tr>
      <w:tr>
        <w:trPr>
          <w:trHeight w:val="237"/>
        </w:trPr>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55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First Amendment to Amended and Restated Section 382 Rights Agreement,</w:t>
              </w:r>
            </w:hyperlink>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dated as of May 2, 2024, by and between LSB Industries, Inc. and</w:t>
              </w:r>
            </w:hyperlink>
          </w:p>
        </w:tc>
        <w:tc>
          <w:tcPr>
            <w:tcW w:w="720" w:type="dxa"/>
            <w:vAlign w:val="bottom"/>
            <w:gridSpan w:val="8"/>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Computershare Trust Company, N.A., as rights agent</w:t>
              </w:r>
            </w:hyperlink>
          </w:p>
        </w:tc>
        <w:tc>
          <w:tcPr>
            <w:tcW w:w="1680" w:type="dxa"/>
            <w:vAlign w:val="bottom"/>
            <w:gridSpan w:val="11"/>
          </w:tcPr>
          <w:p>
            <w:pPr>
              <w:spacing w:after="0"/>
              <w:rPr>
                <w:sz w:val="17"/>
                <w:szCs w:val="17"/>
                <w:color w:val="auto"/>
              </w:rPr>
            </w:pPr>
          </w:p>
        </w:tc>
      </w:tr>
      <w:tr>
        <w:trPr>
          <w:trHeight w:val="236"/>
        </w:trPr>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52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Indenture, dated as of October 14, 2021, among LSB Industries, Inc., the</w:t>
              </w:r>
            </w:hyperlink>
          </w:p>
        </w:tc>
        <w:tc>
          <w:tcPr>
            <w:tcW w:w="240" w:type="dxa"/>
            <w:vAlign w:val="bottom"/>
            <w:gridSpan w:val="5"/>
          </w:tcPr>
          <w:p>
            <w:pPr>
              <w:spacing w:after="0"/>
              <w:rPr>
                <w:sz w:val="20"/>
                <w:szCs w:val="20"/>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subsidiary guarantors party thereto and Wilmington Trust, National</w:t>
              </w:r>
            </w:hyperlink>
          </w:p>
        </w:tc>
        <w:tc>
          <w:tcPr>
            <w:tcW w:w="62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Association, as trustee and collateral agent.</w:t>
              </w:r>
            </w:hyperlink>
          </w:p>
        </w:tc>
        <w:tc>
          <w:tcPr>
            <w:tcW w:w="2400" w:type="dxa"/>
            <w:vAlign w:val="bottom"/>
            <w:gridSpan w:val="15"/>
          </w:tcPr>
          <w:p>
            <w:pPr>
              <w:spacing w:after="0"/>
              <w:rPr>
                <w:sz w:val="17"/>
                <w:szCs w:val="17"/>
                <w:color w:val="auto"/>
              </w:rPr>
            </w:pPr>
          </w:p>
        </w:tc>
      </w:tr>
      <w:tr>
        <w:trPr>
          <w:trHeight w:val="236"/>
        </w:trPr>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0"/>
                <w:szCs w:val="20"/>
                <w:color w:val="auto"/>
              </w:rPr>
            </w:pPr>
          </w:p>
        </w:tc>
        <w:tc>
          <w:tcPr>
            <w:tcW w:w="53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Form of 6.250% Senior Secured Notes due 2028 (included in Exhibit 4.4).</w:t>
              </w:r>
            </w:hyperlink>
          </w:p>
        </w:tc>
        <w:tc>
          <w:tcPr>
            <w:tcW w:w="20" w:type="dxa"/>
            <w:vAlign w:val="bottom"/>
            <w:tcBorders>
              <w:bottom w:val="single" w:sz="8" w:color="0000EE"/>
            </w:tcBorders>
          </w:tcPr>
          <w:p>
            <w:pPr>
              <w:spacing w:after="0"/>
              <w:rPr>
                <w:sz w:val="20"/>
                <w:szCs w:val="20"/>
                <w:color w:val="auto"/>
              </w:rPr>
            </w:pPr>
          </w:p>
        </w:tc>
        <w:tc>
          <w:tcPr>
            <w:tcW w:w="140" w:type="dxa"/>
            <w:vAlign w:val="bottom"/>
            <w:gridSpan w:val="3"/>
          </w:tcPr>
          <w:p>
            <w:pPr>
              <w:spacing w:after="0"/>
              <w:rPr>
                <w:sz w:val="20"/>
                <w:szCs w:val="20"/>
                <w:color w:val="auto"/>
              </w:rPr>
            </w:pPr>
          </w:p>
        </w:tc>
      </w:tr>
      <w:tr>
        <w:trPr>
          <w:trHeight w:val="453"/>
        </w:trPr>
        <w:tc>
          <w:tcPr>
            <w:tcW w:w="1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5520" w:type="dxa"/>
            <w:vAlign w:val="bottom"/>
            <w:gridSpan w:val="25"/>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Description of Registrant’s Securities Registered Pursuant to Section 12 of</w:t>
              </w:r>
            </w:hyperlink>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the Securities Exchange Act of 1934</w:t>
              </w:r>
            </w:hyperlink>
          </w:p>
        </w:tc>
        <w:tc>
          <w:tcPr>
            <w:tcW w:w="286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380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LSB Industries, Inc. 2016 Long Term Incentive Plan</w:t>
              </w:r>
            </w:hyperlink>
          </w:p>
        </w:tc>
        <w:tc>
          <w:tcPr>
            <w:tcW w:w="20" w:type="dxa"/>
            <w:vAlign w:val="bottom"/>
            <w:tcBorders>
              <w:bottom w:val="single" w:sz="8" w:color="0000EE"/>
            </w:tcBorders>
          </w:tcPr>
          <w:p>
            <w:pPr>
              <w:spacing w:after="0"/>
              <w:rPr>
                <w:sz w:val="20"/>
                <w:szCs w:val="20"/>
                <w:color w:val="auto"/>
              </w:rPr>
            </w:pPr>
          </w:p>
        </w:tc>
        <w:tc>
          <w:tcPr>
            <w:tcW w:w="1700" w:type="dxa"/>
            <w:vAlign w:val="bottom"/>
            <w:gridSpan w:val="12"/>
          </w:tcPr>
          <w:p>
            <w:pPr>
              <w:spacing w:after="0"/>
              <w:rPr>
                <w:sz w:val="20"/>
                <w:szCs w:val="20"/>
                <w:color w:val="auto"/>
              </w:rPr>
            </w:pPr>
          </w:p>
        </w:tc>
      </w:tr>
      <w:tr>
        <w:trPr>
          <w:trHeight w:val="453"/>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55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Stock Option Agreement under the LSB Industries, Inc. 2016 Long</w:t>
              </w:r>
            </w:hyperlink>
          </w:p>
        </w:tc>
        <w:tc>
          <w:tcPr>
            <w:tcW w:w="2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5"/>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Term Incentive Plan</w:t>
              </w:r>
            </w:hyperlink>
          </w:p>
        </w:tc>
      </w:tr>
      <w:tr>
        <w:trPr>
          <w:trHeight w:val="20"/>
        </w:trPr>
        <w:tc>
          <w:tcPr>
            <w:tcW w:w="12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0"/>
                <w:szCs w:val="20"/>
                <w:color w:val="auto"/>
              </w:rPr>
            </w:pPr>
          </w:p>
        </w:tc>
        <w:tc>
          <w:tcPr>
            <w:tcW w:w="55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Restricted Stock Unit Agreement (Director Award) under the LSB</w:t>
              </w:r>
            </w:hyperlink>
          </w:p>
        </w:tc>
        <w:tc>
          <w:tcPr>
            <w:tcW w:w="20" w:type="dxa"/>
            <w:vAlign w:val="bottom"/>
          </w:tcPr>
          <w:p>
            <w:pPr>
              <w:spacing w:after="0"/>
              <w:rPr>
                <w:sz w:val="20"/>
                <w:szCs w:val="20"/>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gridSpan w:val="25"/>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Industries, Inc. 2016 Long Term Incentive Plan)</w:t>
              </w:r>
            </w:hyperlink>
          </w:p>
        </w:tc>
      </w:tr>
      <w:tr>
        <w:trPr>
          <w:trHeight w:val="20"/>
        </w:trPr>
        <w:tc>
          <w:tcPr>
            <w:tcW w:w="12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5520" w:type="dxa"/>
            <w:vAlign w:val="bottom"/>
            <w:gridSpan w:val="25"/>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Restricted Stock Agreement under the LSB Industries, Inc 2016</w:t>
              </w:r>
            </w:hyperlink>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Long Term Incentive Plan</w:t>
              </w:r>
            </w:hyperlink>
          </w:p>
        </w:tc>
        <w:tc>
          <w:tcPr>
            <w:tcW w:w="20" w:type="dxa"/>
            <w:vAlign w:val="bottom"/>
            <w:tcBorders>
              <w:top w:val="single" w:sz="8" w:color="0000FF"/>
              <w:bottom w:val="single" w:sz="8" w:color="0000EE"/>
            </w:tcBorders>
          </w:tcPr>
          <w:p>
            <w:pPr>
              <w:spacing w:after="0"/>
              <w:rPr>
                <w:sz w:val="17"/>
                <w:szCs w:val="17"/>
                <w:color w:val="auto"/>
              </w:rPr>
            </w:pPr>
          </w:p>
        </w:tc>
        <w:tc>
          <w:tcPr>
            <w:tcW w:w="3580" w:type="dxa"/>
            <w:vAlign w:val="bottom"/>
            <w:tcBorders>
              <w:top w:val="single" w:sz="8" w:color="0000FF"/>
            </w:tcBorders>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5520" w:type="dxa"/>
            <w:vAlign w:val="bottom"/>
            <w:gridSpan w:val="25"/>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Time-Based Restricted Stock Agreement under the LSB Industries,</w:t>
              </w:r>
            </w:hyperlink>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top w:val="single" w:sz="8" w:color="0000FF"/>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 2016 Long Term Incentive Plan</w:t>
              </w:r>
            </w:hyperlink>
          </w:p>
        </w:tc>
        <w:tc>
          <w:tcPr>
            <w:tcW w:w="2840" w:type="dxa"/>
            <w:vAlign w:val="bottom"/>
            <w:tcBorders>
              <w:top w:val="single" w:sz="8" w:color="0000FF"/>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0"/>
                <w:szCs w:val="20"/>
                <w:color w:val="auto"/>
              </w:rPr>
            </w:pPr>
          </w:p>
        </w:tc>
        <w:tc>
          <w:tcPr>
            <w:tcW w:w="55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Performance-Based Restricted Stock Agreement under the LSB</w:t>
              </w:r>
            </w:hyperlink>
          </w:p>
        </w:tc>
        <w:tc>
          <w:tcPr>
            <w:tcW w:w="20" w:type="dxa"/>
            <w:vAlign w:val="bottom"/>
          </w:tcPr>
          <w:p>
            <w:pPr>
              <w:spacing w:after="0"/>
              <w:rPr>
                <w:sz w:val="20"/>
                <w:szCs w:val="20"/>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Industries, Inc. 2016 Long Term Incentive Plan</w:t>
              </w:r>
            </w:hyperlink>
          </w:p>
        </w:tc>
        <w:tc>
          <w:tcPr>
            <w:tcW w:w="2040" w:type="dxa"/>
            <w:vAlign w:val="bottom"/>
            <w:gridSpan w:val="14"/>
          </w:tcPr>
          <w:p>
            <w:pPr>
              <w:spacing w:after="0"/>
              <w:rPr>
                <w:sz w:val="17"/>
                <w:szCs w:val="17"/>
                <w:color w:val="auto"/>
              </w:rPr>
            </w:pPr>
          </w:p>
        </w:tc>
      </w:tr>
      <w:tr>
        <w:trPr>
          <w:trHeight w:val="236"/>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10.7+(a)</w:t>
            </w:r>
          </w:p>
        </w:tc>
        <w:tc>
          <w:tcPr>
            <w:tcW w:w="120" w:type="dxa"/>
            <w:vAlign w:val="bottom"/>
          </w:tcPr>
          <w:p>
            <w:pPr>
              <w:spacing w:after="0"/>
              <w:rPr>
                <w:sz w:val="20"/>
                <w:szCs w:val="20"/>
                <w:color w:val="auto"/>
              </w:rPr>
            </w:pPr>
          </w:p>
        </w:tc>
        <w:tc>
          <w:tcPr>
            <w:tcW w:w="52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Form of Performance-Based Restricted Stock Unit Agreement under the</w:t>
            </w:r>
          </w:p>
        </w:tc>
        <w:tc>
          <w:tcPr>
            <w:tcW w:w="280" w:type="dxa"/>
            <w:vAlign w:val="bottom"/>
            <w:gridSpan w:val="6"/>
          </w:tcPr>
          <w:p>
            <w:pPr>
              <w:spacing w:after="0"/>
              <w:rPr>
                <w:sz w:val="20"/>
                <w:szCs w:val="20"/>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LSB Industries, Inc. 2016 Long Term Incentive Plan</w:t>
            </w:r>
          </w:p>
        </w:tc>
        <w:tc>
          <w:tcPr>
            <w:tcW w:w="1720" w:type="dxa"/>
            <w:vAlign w:val="bottom"/>
            <w:gridSpan w:val="13"/>
          </w:tcPr>
          <w:p>
            <w:pPr>
              <w:spacing w:after="0"/>
              <w:rPr>
                <w:sz w:val="17"/>
                <w:szCs w:val="17"/>
                <w:color w:val="auto"/>
              </w:rPr>
            </w:pPr>
          </w:p>
        </w:tc>
      </w:tr>
      <w:tr>
        <w:trPr>
          <w:trHeight w:val="236"/>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0"/>
                <w:szCs w:val="20"/>
                <w:color w:val="auto"/>
              </w:rPr>
            </w:pPr>
          </w:p>
        </w:tc>
        <w:tc>
          <w:tcPr>
            <w:tcW w:w="5520" w:type="dxa"/>
            <w:vAlign w:val="bottom"/>
            <w:gridSpan w:val="25"/>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Employment  Agreement,  dated  December  30,  2018,  between  LSB</w:t>
              </w:r>
            </w:hyperlink>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top w:val="single" w:sz="8" w:color="0000FF"/>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Industries, Inc. and Mark T. Behrman</w:t>
              </w:r>
            </w:hyperlink>
          </w:p>
        </w:tc>
        <w:tc>
          <w:tcPr>
            <w:tcW w:w="272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0"/>
                <w:szCs w:val="20"/>
                <w:color w:val="auto"/>
              </w:rPr>
            </w:pPr>
          </w:p>
        </w:tc>
        <w:tc>
          <w:tcPr>
            <w:tcW w:w="5520" w:type="dxa"/>
            <w:vAlign w:val="bottom"/>
            <w:gridSpan w:val="25"/>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Employment  Agreement,  dated  December  30,  2018,  between  LSB</w:t>
              </w:r>
            </w:hyperlink>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top w:val="single" w:sz="8" w:color="0000FF"/>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Industries, Inc. and Michael J. Foster</w:t>
              </w:r>
            </w:hyperlink>
          </w:p>
        </w:tc>
        <w:tc>
          <w:tcPr>
            <w:tcW w:w="2720" w:type="dxa"/>
            <w:vAlign w:val="bottom"/>
            <w:tcBorders>
              <w:top w:val="single" w:sz="8" w:color="0000FF"/>
            </w:tcBorders>
            <w:gridSpan w:val="16"/>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0"/>
                <w:szCs w:val="20"/>
                <w:color w:val="auto"/>
              </w:rPr>
            </w:pPr>
          </w:p>
        </w:tc>
        <w:tc>
          <w:tcPr>
            <w:tcW w:w="5520" w:type="dxa"/>
            <w:vAlign w:val="bottom"/>
            <w:gridSpan w:val="25"/>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Employment  Agreement,  dated  December  30,  2018,  between  LSB</w:t>
              </w:r>
            </w:hyperlink>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Borders>
              <w:top w:val="single" w:sz="8" w:color="0000FF"/>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Industries, Inc. and Cheryl Maguire</w:t>
              </w:r>
            </w:hyperlink>
          </w:p>
        </w:tc>
        <w:tc>
          <w:tcPr>
            <w:tcW w:w="2880" w:type="dxa"/>
            <w:vAlign w:val="bottom"/>
            <w:tcBorders>
              <w:top w:val="single" w:sz="8" w:color="0000FF"/>
            </w:tcBorders>
            <w:gridSpan w:val="19"/>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921385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26746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3(i).1 to the Company’s Form 10-K filed on February 28, 2013</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3(i).2 to the Company’s Registration Statement on Form S-3 filed on November 16, 2021</w:t>
      </w:r>
    </w:p>
    <w:p>
      <w:pPr>
        <w:spacing w:after="0" w:line="200" w:lineRule="exact"/>
        <w:rPr>
          <w:sz w:val="20"/>
          <w:szCs w:val="20"/>
          <w:color w:val="auto"/>
        </w:rPr>
      </w:pPr>
    </w:p>
    <w:p>
      <w:pPr>
        <w:spacing w:after="0" w:line="2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4.3 to the Company’s Registration Statement on Form S-3 ASR filed November 16, 2012</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4.1 to the Company’s Form 8-K filed August 25, 2023</w:t>
      </w:r>
    </w:p>
    <w:p>
      <w:pPr>
        <w:spacing w:after="0" w:line="20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Exhibit 4.1 to the Company’s Form 8-K filed May 3, 2024</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Exhibit 4.1 to the Company’s Form 8-K filed October 15, 2021</w:t>
      </w:r>
    </w:p>
    <w:p>
      <w:pPr>
        <w:spacing w:after="0" w:line="202"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color w:val="auto"/>
        </w:rPr>
        <w:t>Exhibit 4.2 to the Company’s Form 8-K filed October 15, 2021</w:t>
      </w:r>
    </w:p>
    <w:p>
      <w:pPr>
        <w:spacing w:after="0" w:line="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Exhibit 4.17 to the Company’s Form 10-K filed February 24, 2022</w:t>
      </w:r>
    </w:p>
    <w:p>
      <w:pPr>
        <w:spacing w:after="0" w:line="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4.8 to the Company’s Form S-8 filed June 28, 2016</w:t>
      </w:r>
    </w:p>
    <w:p>
      <w:pPr>
        <w:spacing w:after="0" w:line="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4.9 to the Company’s Form S-8 filed June 28, 2016</w:t>
      </w:r>
    </w:p>
    <w:p>
      <w:pPr>
        <w:spacing w:after="0" w:line="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4.10 to the Company’s Form S-8 filed June 28, 2016</w:t>
      </w:r>
    </w:p>
    <w:p>
      <w:pPr>
        <w:spacing w:after="0" w:line="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4.11 to the Company’s Form S-8 filed June 28, 2016</w:t>
      </w:r>
    </w:p>
    <w:p>
      <w:pPr>
        <w:spacing w:after="0" w:line="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10.4 to the Company’s Form 8-K filed January 3, 2019</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10.5 to the Company’s Form 8-K filed January 3, 2019</w:t>
      </w:r>
    </w:p>
    <w:p>
      <w:pPr>
        <w:spacing w:after="0" w:line="200" w:lineRule="exact"/>
        <w:rPr>
          <w:sz w:val="20"/>
          <w:szCs w:val="20"/>
          <w:color w:val="auto"/>
        </w:rPr>
      </w:pPr>
    </w:p>
    <w:p>
      <w:pPr>
        <w:spacing w:after="0" w:line="25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10.1 to the Company’s Form 8-K filed January 3, 2019</w:t>
      </w:r>
    </w:p>
    <w:p>
      <w:pPr>
        <w:spacing w:after="0" w:line="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10.3 to the Company’s Form 8-K filed January 3, 2019</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10.2 to the Company’s Form 8-K filed January 3, 2019</w:t>
      </w:r>
    </w:p>
    <w:p>
      <w:pPr>
        <w:sectPr>
          <w:pgSz w:w="11900" w:h="16838" w:orient="portrait"/>
          <w:cols w:equalWidth="0" w:num="2">
            <w:col w:w="6920" w:space="120"/>
            <w:col w:w="4180"/>
          </w:cols>
          <w:pgMar w:left="320" w:top="1413" w:right="359" w:bottom="1440" w:gutter="0" w:footer="0" w:header="0"/>
        </w:sectPr>
      </w:pPr>
    </w:p>
    <w:bookmarkStart w:id="48" w:name="page49"/>
    <w:bookmarkEnd w:id="48"/>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209"/>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00" w:type="dxa"/>
            <w:vAlign w:val="bottom"/>
            <w:gridSpan w:val="15"/>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Employment  Agreement,  dated  December  20,  2019,  between  LSB</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Industries, Inc. and John Burns</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Severance and Change in Control Agreement, dated April 6, 2020, between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LSB Industries, Inc. and Kristy Carver</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10.13(a)</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of Indemnification Agreement (Directors)</w:t>
            </w: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10.14+(a)</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Indemnification Agreement (Executive Officers)</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Stock Purchase Agreement by and among Consolidated Industries L.L.C.</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5"/>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The Climate Control Group, Inc., NIBE Energy Systems Inc. and, solely for</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5"/>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purposes of Sections 6.8, 6.19 and 11.15 therein, LSB Industries, Inc., and</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5"/>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solely for purposes of Section 11.16 therein, NIBE Industrier AB (publ),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tcBorders>
              <w:right w:val="single" w:sz="8" w:color="0000FF"/>
            </w:tcBorders>
            <w:gridSpan w:val="5"/>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dated as of May 11, 2016.</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Contract on the supply of Basic Engineering Package, Detail Engineering</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Package, Tagged Major Equipment and related Advisory Services, between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Weatherly Inc. and El Dorado Chemical Company, dated November 30,</w:t>
              </w:r>
            </w:hyperlink>
          </w:p>
        </w:tc>
      </w:tr>
      <w:tr>
        <w:trPr>
          <w:trHeight w:val="20"/>
        </w:trPr>
        <w:tc>
          <w:tcPr>
            <w:tcW w:w="128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80" w:type="dxa"/>
            <w:vAlign w:val="bottom"/>
            <w:gridSpan w:val="3"/>
          </w:tcPr>
          <w:p>
            <w:pPr>
              <w:ind w:left="120"/>
              <w:spacing w:after="0" w:line="196" w:lineRule="exact"/>
              <w:rPr>
                <w:rFonts w:ascii="Times New Roman" w:cs="Times New Roman" w:eastAsia="Times New Roman" w:hAnsi="Times New Roman"/>
                <w:sz w:val="18"/>
                <w:szCs w:val="18"/>
                <w:color w:val="0000FF"/>
                <w:w w:val="88"/>
              </w:rPr>
            </w:pPr>
            <w:hyperlink r:id="rId156">
              <w:r>
                <w:rPr>
                  <w:rFonts w:ascii="Times New Roman" w:cs="Times New Roman" w:eastAsia="Times New Roman" w:hAnsi="Times New Roman"/>
                  <w:sz w:val="18"/>
                  <w:szCs w:val="18"/>
                  <w:color w:val="0000FF"/>
                  <w:w w:val="88"/>
                </w:rPr>
                <w:t>2012</w:t>
              </w:r>
            </w:hyperlink>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Engineering, Procurement and Construction Agreement, dated August 12,</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2013, between El Dorado Ammonia L.L.C. and SAIC Constructors, LLC</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Construction Agreement-DMW2, dated November 6, 2013, between El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right w:val="single" w:sz="8" w:color="0000FF"/>
            </w:tcBorders>
            <w:gridSpan w:val="6"/>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Dorado Chemical Company and SAIC Constructors, LLC</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Construction Agreement – NACSAC, dated November 6, 2013, between El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Borders>
              <w:left w:val="single" w:sz="8" w:color="0000FF"/>
            </w:tcBorders>
            <w:gridSpan w:val="9"/>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Dorado Chemical Company and SAIC Constructors, LLC</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380" w:type="dxa"/>
            <w:vAlign w:val="bottom"/>
            <w:tcBorders>
              <w:left w:val="single" w:sz="8" w:color="0000FF"/>
              <w:right w:val="single" w:sz="8" w:color="0000EE"/>
            </w:tcBorders>
            <w:gridSpan w:val="6"/>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Engineering, Procurement and Construction Agreement, dated December</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Borders>
              <w:left w:val="single" w:sz="8" w:color="0000FF"/>
            </w:tcBorders>
            <w:gridSpan w:val="9"/>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31, 2013, between El Dorado Chemical Company and SAIC Constructors,</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Borders>
              <w:left w:val="single" w:sz="8" w:color="0000FF"/>
            </w:tcBorders>
            <w:gridSpan w:val="9"/>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LLC</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8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Engineering, Procurement and Construction Contract, Amendment No. 1</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Borders>
              <w:left w:val="single" w:sz="8" w:color="0000FF"/>
            </w:tcBorders>
            <w:gridSpan w:val="9"/>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dated October 20, 2015, by and between El Dorado Ammonia LLC and</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580" w:type="dxa"/>
            <w:vAlign w:val="bottom"/>
            <w:tcBorders>
              <w:left w:val="single" w:sz="8" w:color="0000FF"/>
            </w:tcBorders>
            <w:gridSpan w:val="9"/>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SAIC Constructors, LLC</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358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Consent Decree, dated May 28, 2014, by and among, LSB Industries, Inc.,</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El Dorado Chemical Co., Cherokee Nitrogen Co., Pryor Chemical Co., El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Dorado  Nitrogen,  L.P.,  the  U.S.  Department  of  Justice,  the  U.S.</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Environmental  Protection  Agency,  the  Alabama  Department  of</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Environmental  Management,  and  the  Oklahoma  Department  of</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10"/>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Environment Quality</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386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Intercreditor Agreement, dated August 7, 2013, by and among Wells Fargo</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380" w:type="dxa"/>
            <w:vAlign w:val="bottom"/>
            <w:gridSpan w:val="11"/>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Capital Finance, Inc., as agent and UMB Bank, n.a., as collateral agent, and</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380" w:type="dxa"/>
            <w:vAlign w:val="bottom"/>
            <w:gridSpan w:val="11"/>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acknowledged and agreed to by LSB Industries, Inc. and the other grantors</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380" w:type="dxa"/>
            <w:vAlign w:val="bottom"/>
            <w:gridSpan w:val="11"/>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named therein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380" w:type="dxa"/>
            <w:vAlign w:val="bottom"/>
            <w:gridSpan w:val="1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36"/>
        </w:trPr>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5"/>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Joinder Agreement to Intercreditor Agreement, dated November 9, 2015, by</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gridSpan w:val="1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5"/>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and among LSB Funding LLC, Wells Fargo Capital Finance, Inc., as ABL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400" w:right="420"/>
        <w:spacing w:after="0" w:line="282"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Agent, UMB Bank, N.A., as Notes Agent, LSB Industries, Inc. and the</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guarantors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-185420</wp:posOffset>
            </wp:positionV>
            <wp:extent cx="326834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3268345" cy="889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-48260</wp:posOffset>
            </wp:positionV>
            <wp:extent cx="109156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10915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26746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10.30 to the Company’s Form 10-K filed February 25, 2019</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10-Q filed May 7, 2020</w:t>
      </w:r>
    </w:p>
    <w:p>
      <w:pPr>
        <w:spacing w:after="0" w:line="200" w:lineRule="exact"/>
        <w:rPr>
          <w:sz w:val="20"/>
          <w:szCs w:val="20"/>
          <w:color w:val="auto"/>
        </w:rPr>
      </w:pPr>
    </w:p>
    <w:p>
      <w:pPr>
        <w:spacing w:after="0" w:line="29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May 13, 2016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99.2 to the Company’s Form 8-K filed December 6, 2012</w:t>
      </w:r>
    </w:p>
    <w:p>
      <w:pPr>
        <w:spacing w:after="0" w:line="200" w:lineRule="exact"/>
        <w:rPr>
          <w:sz w:val="20"/>
          <w:szCs w:val="20"/>
          <w:color w:val="auto"/>
        </w:rPr>
      </w:pPr>
    </w:p>
    <w:p>
      <w:pPr>
        <w:spacing w:after="0" w:line="21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10.1 to the Company’s Form 8-K filed August 15, 2013</w:t>
      </w:r>
    </w:p>
    <w:p>
      <w:pPr>
        <w:spacing w:after="0" w:line="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99.1 to the Company’s Form 8-K filed November 12, 2013</w:t>
      </w:r>
    </w:p>
    <w:p>
      <w:pPr>
        <w:spacing w:after="0" w:line="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Exhibit 99.2 to the Company’s Form 8-K filed November 12, 2013</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99.1 to the Company’s Form 8-K filed January 7, 2014</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October 26, 2015</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99.1 to the Company’s Form 8-K filed June 3,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99.1 to the Company’s Form 8-K filed August 14, 2013</w:t>
      </w:r>
    </w:p>
    <w:p>
      <w:pPr>
        <w:spacing w:after="0" w:line="200" w:lineRule="exact"/>
        <w:rPr>
          <w:sz w:val="20"/>
          <w:szCs w:val="20"/>
          <w:color w:val="auto"/>
        </w:rPr>
      </w:pPr>
    </w:p>
    <w:p>
      <w:pPr>
        <w:spacing w:after="0" w:line="2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Exhibit 10.4 to the Company’s Form 8-K filed November 16, 2015</w:t>
      </w:r>
    </w:p>
    <w:p>
      <w:pPr>
        <w:sectPr>
          <w:pgSz w:w="11900" w:h="16838" w:orient="portrait"/>
          <w:cols w:equalWidth="0" w:num="2">
            <w:col w:w="6920" w:space="120"/>
            <w:col w:w="4180"/>
          </w:cols>
          <w:pgMar w:left="320" w:top="1440" w:right="359" w:bottom="1440" w:gutter="0" w:footer="0" w:header="0"/>
        </w:sectPr>
      </w:pPr>
    </w:p>
    <w:bookmarkStart w:id="49" w:name="page50"/>
    <w:bookmarkEnd w:id="49"/>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15"/>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Title</w:t>
            </w:r>
          </w:p>
        </w:tc>
      </w:tr>
      <w:tr>
        <w:trPr>
          <w:trHeight w:val="209"/>
        </w:trPr>
        <w:tc>
          <w:tcPr>
            <w:tcW w:w="12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00" w:type="dxa"/>
            <w:vAlign w:val="bottom"/>
            <w:gridSpan w:val="1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Amendment No. 1 to Intercreditor Agreement, dated as of April 25, 2018,</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among Wells Fargo Capital Finance, LLC, UMB Bank, n.a. and</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Wilmington Trust, National Association, and acknowledged by LSB</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Industries, Inc. and the subsidiary guarantors party thereto</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9"/>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Joinder Agreement to Intercreditor Agreement, dated as of October 14,</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2021, by Wilmington Trust, National Association, as Notes Trustee, and</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acknowledged by Wilmington Trust, National Association, as Existing</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Notes Trustee, Wells Fargo Capital Finance, LLC, LSB</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2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9"/>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Joinder Agreement to Intercreditor Agreement, dated as of December 21,</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2023, by JPMorgan Chase Bank, N.A., as New ABL Agent, and</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acknowledged by Wells Fargo Capital Finance, LLC, as Existing ABL</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Agent, Wilmington Trust, National Association, as Notes Agent, LSB</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Industries, Inc. and the subsidiary guarantors party thereto</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2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9"/>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Credit Agreement, dated December 21, 2023, by and among LSB</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left w:val="single" w:sz="8" w:color="0000FF"/>
            </w:tcBorders>
            <w:gridSpan w:val="4"/>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Industries, Inc., the other loan parties from time to time party thereto, the</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gridSpan w:val="7"/>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lenders from time to time party thereto, and JPMorgan Chase Bank, N.A.,</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gridSpan w:val="7"/>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as the administrative agent</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2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9"/>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Pledge and Security Agreement dated December 21, 2023, among LSB</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tcBorders>
            <w:gridSpan w:val="7"/>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Industries, Inc., each of the other Guarantors and JPMorgan Chase Bank,</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left w:val="single" w:sz="8" w:color="0000FF"/>
            </w:tcBorders>
            <w:gridSpan w:val="8"/>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N.A., as administrative agent for the secured parties</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2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9"/>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Registration Rights Agreement by and between LSB Industries, Inc. and</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left w:val="single" w:sz="8" w:color="0000FF"/>
            </w:tcBorders>
            <w:gridSpan w:val="8"/>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LSB Funding LLC, dated as of December 4, 2015</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2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9"/>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Board  Representation  and  Standstill  Agreement  by  and  among  LSB</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260" w:type="dxa"/>
            <w:vAlign w:val="bottom"/>
            <w:tcBorders>
              <w:left w:val="single" w:sz="8" w:color="0000FF"/>
            </w:tcBorders>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Industries, Inc., LSB Funding LLC, Security Benefit Corporation, Todd</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260" w:type="dxa"/>
            <w:vAlign w:val="bottom"/>
            <w:tcBorders>
              <w:left w:val="single" w:sz="8" w:color="0000FF"/>
            </w:tcBorders>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Boehly and the Golsen Holders (as defined therein), dated as of December</w:t>
              </w:r>
            </w:hyperlink>
          </w:p>
        </w:tc>
      </w:tr>
      <w:tr>
        <w:trPr>
          <w:trHeight w:val="20"/>
        </w:trPr>
        <w:tc>
          <w:tcPr>
            <w:tcW w:w="128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680" w:type="dxa"/>
            <w:vAlign w:val="bottom"/>
            <w:gridSpan w:val="3"/>
          </w:tcPr>
          <w:p>
            <w:pPr>
              <w:ind w:left="120"/>
              <w:spacing w:after="0" w:line="196" w:lineRule="exact"/>
              <w:rPr>
                <w:rFonts w:ascii="Times New Roman" w:cs="Times New Roman" w:eastAsia="Times New Roman" w:hAnsi="Times New Roman"/>
                <w:sz w:val="18"/>
                <w:szCs w:val="18"/>
                <w:color w:val="0000FF"/>
                <w:w w:val="96"/>
              </w:rPr>
            </w:pPr>
            <w:hyperlink r:id="rId175">
              <w:r>
                <w:rPr>
                  <w:rFonts w:ascii="Times New Roman" w:cs="Times New Roman" w:eastAsia="Times New Roman" w:hAnsi="Times New Roman"/>
                  <w:sz w:val="18"/>
                  <w:szCs w:val="18"/>
                  <w:color w:val="0000FF"/>
                  <w:w w:val="96"/>
                </w:rPr>
                <w:t>4, 2015</w:t>
              </w:r>
            </w:hyperlink>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2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9"/>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Amendment to the Board Representation and Standstill Agreement, dated</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260" w:type="dxa"/>
            <w:vAlign w:val="bottom"/>
            <w:tcBorders>
              <w:left w:val="single" w:sz="8" w:color="0000FF"/>
            </w:tcBorders>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October 26, 2017, by and among LSB Industries, Inc., LSB Funding LLC,</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260" w:type="dxa"/>
            <w:vAlign w:val="bottom"/>
            <w:tcBorders>
              <w:left w:val="single" w:sz="8" w:color="0000FF"/>
            </w:tcBorders>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Security Benefit Corporation, Todd Boehly, Jack E. Golsen, Barry H.</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260" w:type="dxa"/>
            <w:vAlign w:val="bottom"/>
            <w:tcBorders>
              <w:left w:val="single" w:sz="8" w:color="0000FF"/>
            </w:tcBorders>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Golsen, Linda Golsen Rappaport, Golsen Family LLC, SBL LLC and</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1260" w:type="dxa"/>
            <w:vAlign w:val="bottom"/>
            <w:tcBorders>
              <w:left w:val="single" w:sz="8" w:color="0000FF"/>
            </w:tcBorders>
            <w:gridSpan w:val="8"/>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Golsen Petroleum Corp., dated as of December 4, 2015</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EE"/>
            </w:tcBorders>
            <w:gridSpan w:val="3"/>
            <w:shd w:val="clear" w:color="auto" w:fill="0000FF"/>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2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9"/>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Amendment to Board Representation and Standstill Agreement, dated as of</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11"/>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October 18, 2018, by and among LSB Industries, Inc., LSB Funding LLC,</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11"/>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Security Benefit Corporation, Todd Boehly and the Golsen Holders (as</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11"/>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defined therein)</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2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9"/>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Amendment and Waiver to Board Representation and Standstill Agreement,</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11"/>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dated as of September 27, 2021, by and among the Company, the Holder</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460" w:type="dxa"/>
            <w:vAlign w:val="bottom"/>
            <w:gridSpan w:val="11"/>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and the other parties thereto</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000" w:type="dxa"/>
            <w:vAlign w:val="bottom"/>
            <w:tcBorders>
              <w:right w:val="single" w:sz="8" w:color="0000EE"/>
            </w:tcBorders>
            <w:gridSpan w:val="4"/>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4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280" w:type="dxa"/>
            <w:vAlign w:val="bottom"/>
          </w:tcPr>
          <w:p>
            <w:pPr>
              <w:jc w:val="right"/>
              <w:ind w:right="672"/>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00" w:type="dxa"/>
            <w:vAlign w:val="bottom"/>
            <w:gridSpan w:val="19"/>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Securities Exchange Agreement, dated July 19, 2021, by and between LSB</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tcBorders>
              <w:right w:val="single" w:sz="8" w:color="0000FF"/>
            </w:tcBorders>
            <w:gridSpan w:val="5"/>
            <w:shd w:val="clear" w:color="auto" w:fill="0000FF"/>
          </w:tcPr>
          <w:p>
            <w:pPr>
              <w:spacing w:after="0" w:line="20" w:lineRule="exact"/>
              <w:rPr>
                <w:sz w:val="1"/>
                <w:szCs w:val="1"/>
                <w:color w:val="auto"/>
              </w:rPr>
            </w:pPr>
          </w:p>
        </w:tc>
        <w:tc>
          <w:tcPr>
            <w:tcW w:w="2640" w:type="dxa"/>
            <w:vAlign w:val="bottom"/>
            <w:gridSpan w:val="1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00" w:type="dxa"/>
            <w:vAlign w:val="bottom"/>
            <w:gridSpan w:val="19"/>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Industries, Inc. and LSB Funding LLC</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921385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Incorporated by Reference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26746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April 25, 2018</w:t>
      </w:r>
    </w:p>
    <w:p>
      <w:pPr>
        <w:spacing w:after="0" w:line="200" w:lineRule="exact"/>
        <w:rPr>
          <w:sz w:val="20"/>
          <w:szCs w:val="20"/>
          <w:color w:val="auto"/>
        </w:rPr>
      </w:pPr>
    </w:p>
    <w:p>
      <w:pPr>
        <w:spacing w:after="0" w:line="21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October 15, 2021</w:t>
      </w:r>
    </w:p>
    <w:p>
      <w:pPr>
        <w:spacing w:after="0" w:line="200" w:lineRule="exact"/>
        <w:rPr>
          <w:sz w:val="20"/>
          <w:szCs w:val="20"/>
          <w:color w:val="auto"/>
        </w:rPr>
      </w:pPr>
    </w:p>
    <w:p>
      <w:pPr>
        <w:spacing w:after="0" w:line="21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Exhibit 10.3 to the Company’s Form 8-K filed December 26,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December 26, 2023</w:t>
      </w:r>
    </w:p>
    <w:p>
      <w:pPr>
        <w:spacing w:after="0" w:line="200" w:lineRule="exact"/>
        <w:rPr>
          <w:sz w:val="20"/>
          <w:szCs w:val="20"/>
          <w:color w:val="auto"/>
        </w:rPr>
      </w:pPr>
    </w:p>
    <w:p>
      <w:pPr>
        <w:spacing w:after="0" w:line="21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Exhibit 10.2 to the Company’s Form 8-K filed December 26, 2023</w:t>
      </w:r>
    </w:p>
    <w:p>
      <w:pPr>
        <w:spacing w:after="0" w:line="202"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8"/>
          <w:szCs w:val="18"/>
          <w:color w:val="auto"/>
        </w:rPr>
        <w:t>Exhibit 10.4 to the Company’s Form 8-K filed December 8, 2015</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10.3 to the Company’s Form 8-K filed December 8, 2015</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on October 26, 2017</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10.2 to the Company’s Form 8-K filed October 19, 2018</w:t>
      </w:r>
    </w:p>
    <w:p>
      <w:pPr>
        <w:spacing w:after="0" w:line="200" w:lineRule="exact"/>
        <w:rPr>
          <w:sz w:val="20"/>
          <w:szCs w:val="20"/>
          <w:color w:val="auto"/>
        </w:rPr>
      </w:pPr>
    </w:p>
    <w:p>
      <w:pPr>
        <w:spacing w:after="0" w:line="2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September 27, 2021</w:t>
      </w:r>
    </w:p>
    <w:p>
      <w:pPr>
        <w:spacing w:after="0" w:line="20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July 19, 2021</w:t>
      </w:r>
    </w:p>
    <w:p>
      <w:pPr>
        <w:sectPr>
          <w:pgSz w:w="11900" w:h="16838" w:orient="portrait"/>
          <w:cols w:equalWidth="0" w:num="2">
            <w:col w:w="6920" w:space="120"/>
            <w:col w:w="4180"/>
          </w:cols>
          <w:pgMar w:left="320" w:top="1440" w:right="359" w:bottom="1440" w:gutter="0" w:footer="0" w:header="0"/>
        </w:sectPr>
      </w:pPr>
    </w:p>
    <w:bookmarkStart w:id="50" w:name="page51"/>
    <w:bookmarkEnd w:id="50"/>
    <w:p>
      <w:pPr>
        <w:spacing w:after="0" w:line="12"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8058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55" w:lineRule="exact"/>
        <w:rPr>
          <w:sz w:val="20"/>
          <w:szCs w:val="20"/>
          <w:color w:val="auto"/>
        </w:rPr>
      </w:pPr>
    </w:p>
    <w:p>
      <w:pPr>
        <w:ind w:left="112"/>
        <w:spacing w:after="0"/>
        <w:rPr>
          <w:sz w:val="20"/>
          <w:szCs w:val="20"/>
          <w:color w:val="auto"/>
        </w:rPr>
      </w:pPr>
      <w:r>
        <w:rPr>
          <w:rFonts w:ascii="Times New Roman" w:cs="Times New Roman" w:eastAsia="Times New Roman" w:hAnsi="Times New Roman"/>
          <w:sz w:val="18"/>
          <w:szCs w:val="18"/>
          <w:color w:val="auto"/>
        </w:rPr>
        <w:t>10.36</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wp:posOffset>
            </wp:positionV>
            <wp:extent cx="3514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8" w:lineRule="exact"/>
        <w:rPr>
          <w:sz w:val="20"/>
          <w:szCs w:val="20"/>
          <w:color w:val="auto"/>
        </w:rPr>
      </w:pPr>
    </w:p>
    <w:p>
      <w:pPr>
        <w:spacing w:after="0" w:line="258"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Written Consent of LSB Funding LLC approving of the incurrence of</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indebtedness by LSB Industries, Inc., dated September 22, 2021, as</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amended September 28, 2021, provided pursuant to the Securities Exchange</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Agreement, dated as of July 19, 2021, between LSB Industries, Inc. and</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LSB Funding LLC</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-582930</wp:posOffset>
            </wp:positionV>
            <wp:extent cx="32143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-445770</wp:posOffset>
            </wp:positionV>
            <wp:extent cx="31127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-308610</wp:posOffset>
            </wp:positionV>
            <wp:extent cx="3497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-171450</wp:posOffset>
            </wp:positionV>
            <wp:extent cx="33159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8">
                      <a:extLst>
                        <a:ext uri="{28A0092B-C50C-407E-A947-70E740481C1C}"/>
                      </a:extLst>
                    </a:blip>
                    <a:srcRect/>
                    <a:stretch>
                      <a:fillRect/>
                    </a:stretch>
                  </pic:blipFill>
                  <pic:spPr bwMode="auto">
                    <a:xfrm>
                      <a:off x="0" y="0"/>
                      <a:ext cx="33159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-34290</wp:posOffset>
            </wp:positionV>
            <wp:extent cx="8629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9" w:lineRule="exact"/>
        <w:rPr>
          <w:rFonts w:ascii="Times New Roman" w:cs="Times New Roman" w:eastAsia="Times New Roman" w:hAnsi="Times New Roman"/>
          <w:sz w:val="18"/>
          <w:szCs w:val="18"/>
          <w:u w:val="single" w:color="auto"/>
          <w:color w:val="0000FF"/>
        </w:rPr>
      </w:pPr>
    </w:p>
    <w:p>
      <w:pPr>
        <w:ind w:left="760"/>
        <w:spacing w:after="0"/>
        <w:rPr>
          <w:sz w:val="20"/>
          <w:szCs w:val="20"/>
          <w:color w:val="auto"/>
        </w:rPr>
      </w:pPr>
      <w:r>
        <w:rPr>
          <w:rFonts w:ascii="Times New Roman" w:cs="Times New Roman" w:eastAsia="Times New Roman" w:hAnsi="Times New Roman"/>
          <w:sz w:val="14"/>
          <w:szCs w:val="14"/>
          <w:b w:val="1"/>
          <w:bCs w:val="1"/>
          <w:color w:val="auto"/>
        </w:rPr>
        <w:t>Incorporated by Reference to the Following</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7620</wp:posOffset>
            </wp:positionV>
            <wp:extent cx="26746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8" w:lineRule="exact"/>
        <w:rPr>
          <w:rFonts w:ascii="Times New Roman" w:cs="Times New Roman" w:eastAsia="Times New Roman" w:hAnsi="Times New Roman"/>
          <w:sz w:val="18"/>
          <w:szCs w:val="18"/>
          <w:u w:val="single" w:color="auto"/>
          <w:color w:val="0000FF"/>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Exhibit 10.45 to the Company’s Form 10-K filed February 23, 2023</w:t>
      </w:r>
    </w:p>
    <w:p>
      <w:pPr>
        <w:spacing w:after="0" w:line="627"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1052" w:space="340"/>
            <w:col w:w="5500" w:space="140"/>
            <w:col w:w="4140"/>
          </w:cols>
          <w:pgMar w:left="328" w:top="1440" w:right="399" w:bottom="1440" w:gutter="0" w:footer="0" w:header="0"/>
        </w:sectPr>
      </w:pPr>
    </w:p>
    <w:tbl>
      <w:tblPr>
        <w:tblLayout w:type="fixed"/>
        <w:tblInd w:w="12" w:type="dxa"/>
        <w:tblCellMar>
          <w:top w:w="0" w:type="dxa"/>
          <w:left w:w="0" w:type="dxa"/>
          <w:bottom w:w="0" w:type="dxa"/>
          <w:right w:w="0" w:type="dxa"/>
        </w:tblCellMar>
      </w:tblPr>
      <w:tr>
        <w:trPr>
          <w:trHeight w:val="202"/>
        </w:trPr>
        <w:tc>
          <w:tcPr>
            <w:tcW w:w="140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10.37</w:t>
            </w:r>
          </w:p>
        </w:tc>
        <w:tc>
          <w:tcPr>
            <w:tcW w:w="5480" w:type="dxa"/>
            <w:vAlign w:val="bottom"/>
            <w:gridSpan w:val="13"/>
          </w:tcPr>
          <w:p>
            <w:pPr>
              <w:spacing w:after="0" w:line="201"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Written Consent of LSB Funding LLC approving of the incurrence of</w:t>
              </w:r>
            </w:hyperlink>
          </w:p>
        </w:tc>
      </w:tr>
      <w:tr>
        <w:trPr>
          <w:trHeight w:val="20"/>
        </w:trPr>
        <w:tc>
          <w:tcPr>
            <w:tcW w:w="140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5480" w:type="dxa"/>
            <w:vAlign w:val="bottom"/>
            <w:gridSpan w:val="13"/>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indebtedness by LSB Industries, Inc., dated March 2, 2022, provided</w:t>
              </w:r>
            </w:hyperlink>
          </w:p>
        </w:tc>
      </w:tr>
      <w:tr>
        <w:trPr>
          <w:trHeight w:val="20"/>
        </w:trPr>
        <w:tc>
          <w:tcPr>
            <w:tcW w:w="140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5480" w:type="dxa"/>
            <w:vAlign w:val="bottom"/>
            <w:gridSpan w:val="13"/>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pursuant to the Securities Exchange Agreement, dated as of July 19, 2021,</w:t>
              </w:r>
            </w:hyperlink>
          </w:p>
        </w:tc>
      </w:tr>
      <w:tr>
        <w:trPr>
          <w:trHeight w:val="20"/>
        </w:trPr>
        <w:tc>
          <w:tcPr>
            <w:tcW w:w="140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5480" w:type="dxa"/>
            <w:vAlign w:val="bottom"/>
            <w:gridSpan w:val="13"/>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between LSB Industries, Inc. and LSB Funding LLC</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10.38</w:t>
            </w:r>
          </w:p>
        </w:tc>
        <w:tc>
          <w:tcPr>
            <w:tcW w:w="5480" w:type="dxa"/>
            <w:vAlign w:val="bottom"/>
            <w:gridSpan w:val="13"/>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Board Representation Letter Agreement, dated as of August 10, 2022, by</w:t>
              </w:r>
            </w:hyperlink>
          </w:p>
        </w:tc>
      </w:tr>
      <w:tr>
        <w:trPr>
          <w:trHeight w:val="20"/>
        </w:trPr>
        <w:tc>
          <w:tcPr>
            <w:tcW w:w="140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5480" w:type="dxa"/>
            <w:vAlign w:val="bottom"/>
            <w:gridSpan w:val="13"/>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and among the Company, LSB Funding LLC, SBT Investors LLC and the</w:t>
              </w:r>
            </w:hyperlink>
          </w:p>
        </w:tc>
      </w:tr>
      <w:tr>
        <w:trPr>
          <w:trHeight w:val="20"/>
        </w:trPr>
        <w:tc>
          <w:tcPr>
            <w:tcW w:w="1400" w:type="dxa"/>
            <w:vAlign w:val="bottom"/>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5480" w:type="dxa"/>
            <w:vAlign w:val="bottom"/>
            <w:gridSpan w:val="13"/>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other parties thereto</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10.39</w:t>
            </w:r>
          </w:p>
        </w:tc>
        <w:tc>
          <w:tcPr>
            <w:tcW w:w="5480" w:type="dxa"/>
            <w:vAlign w:val="bottom"/>
            <w:gridSpan w:val="13"/>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Rights Letter Agreement, dated as of August 10, 2022, by and among the</w:t>
              </w:r>
            </w:hyperlink>
          </w:p>
        </w:tc>
      </w:tr>
      <w:tr>
        <w:trPr>
          <w:trHeight w:val="20"/>
        </w:trPr>
        <w:tc>
          <w:tcPr>
            <w:tcW w:w="1400" w:type="dxa"/>
            <w:vAlign w:val="bottom"/>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5480" w:type="dxa"/>
            <w:vAlign w:val="bottom"/>
            <w:gridSpan w:val="13"/>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Company, LSB Funding LLC and SBT Investors LLC</w:t>
              </w:r>
            </w:hyperlink>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10.40(a)</w:t>
            </w: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Rights Letter Agreement, dated as of November 14, 2023, by and among</w:t>
            </w:r>
          </w:p>
        </w:tc>
      </w:tr>
      <w:tr>
        <w:trPr>
          <w:trHeight w:val="20"/>
        </w:trPr>
        <w:tc>
          <w:tcPr>
            <w:tcW w:w="1400" w:type="dxa"/>
            <w:vAlign w:val="bottom"/>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54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the Company, LSB Funding LLC, SBT Investors LLC and TLB-LSB, LLC</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19.1(a)</w:t>
            </w: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LSB Industries, Inc Insider Trading Policy</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r>
      <w:tr>
        <w:trPr>
          <w:trHeight w:val="237"/>
        </w:trPr>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21.1(a)</w:t>
            </w: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r>
      <w:tr>
        <w:trPr>
          <w:trHeight w:val="237"/>
        </w:trPr>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23.1(a)</w:t>
            </w: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r>
      <w:tr>
        <w:trPr>
          <w:trHeight w:val="236"/>
        </w:trPr>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31.1(a)</w:t>
            </w: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Mark T. Behrman, Chief Executive Officer, pursuant to</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FF"/>
            </w:tcBorders>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54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 Section 302</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r>
      <w:tr>
        <w:trPr>
          <w:trHeight w:val="236"/>
        </w:trPr>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31.2(a)</w:t>
            </w: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Cheryl A. Maguire, Chief Financial Officer, pursuant to</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54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 Section 302</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r>
      <w:tr>
        <w:trPr>
          <w:trHeight w:val="236"/>
        </w:trPr>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32.1(a)(b)</w:t>
            </w: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Mark T. Behrman, Chief Executive Officer, furnished</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54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pursuant to Sarbanes-Oxley Act of 2002, Section 906</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r>
      <w:tr>
        <w:trPr>
          <w:trHeight w:val="236"/>
        </w:trPr>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32.2(a)(b)</w:t>
            </w: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Cheryl A. Maguire, Chief Financial Officer, furnished</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1840" w:type="dxa"/>
            <w:vAlign w:val="bottom"/>
            <w:gridSpan w:val="9"/>
            <w:shd w:val="clear" w:color="auto" w:fill="0000FF"/>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54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pursuant to Sarbanes-Oxley Act of 2002, Section 906</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r>
      <w:tr>
        <w:trPr>
          <w:trHeight w:val="236"/>
        </w:trPr>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97.1(a)</w:t>
            </w: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Policy for Recoupment of Incentive Compensation</w:t>
            </w:r>
          </w:p>
        </w:tc>
      </w:tr>
      <w:tr>
        <w:trPr>
          <w:trHeight w:val="20"/>
        </w:trPr>
        <w:tc>
          <w:tcPr>
            <w:tcW w:w="1400" w:type="dxa"/>
            <w:vAlign w:val="bottom"/>
            <w:tcBorders>
              <w:right w:val="single" w:sz="8" w:color="0000EE"/>
            </w:tcBorders>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r>
      <w:tr>
        <w:trPr>
          <w:trHeight w:val="49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101.INS(a)</w:t>
            </w: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3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101.SCH(a)</w:t>
            </w: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w:t>
            </w:r>
          </w:p>
        </w:tc>
      </w:tr>
      <w:tr>
        <w:trPr>
          <w:trHeight w:val="234"/>
        </w:trPr>
        <w:tc>
          <w:tcPr>
            <w:tcW w:w="1400" w:type="dxa"/>
            <w:vAlign w:val="bottom"/>
          </w:tcPr>
          <w:p>
            <w:pPr>
              <w:spacing w:after="0"/>
              <w:rPr>
                <w:sz w:val="20"/>
                <w:szCs w:val="20"/>
                <w:color w:val="auto"/>
              </w:rPr>
            </w:pP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3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104(a)</w:t>
            </w: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r>
      <w:tr>
        <w:trPr>
          <w:trHeight w:val="234"/>
        </w:trPr>
        <w:tc>
          <w:tcPr>
            <w:tcW w:w="1400" w:type="dxa"/>
            <w:vAlign w:val="bottom"/>
          </w:tcPr>
          <w:p>
            <w:pPr>
              <w:spacing w:after="0"/>
              <w:rPr>
                <w:sz w:val="20"/>
                <w:szCs w:val="20"/>
                <w:color w:val="auto"/>
              </w:rPr>
            </w:pPr>
          </w:p>
        </w:tc>
        <w:tc>
          <w:tcPr>
            <w:tcW w:w="54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 Exhibit 101)</w:t>
            </w:r>
          </w:p>
        </w:tc>
      </w:tr>
    </w:tbl>
    <w:p>
      <w:pPr>
        <w:spacing w:after="0" w:line="20" w:lineRule="exact"/>
        <w:rPr>
          <w:sz w:val="20"/>
          <w:szCs w:val="20"/>
          <w:color w:val="auto"/>
        </w:rPr>
      </w:pPr>
      <w:r>
        <w:rPr>
          <w:sz w:val="20"/>
          <w:szCs w:val="20"/>
          <w:color w:val="auto"/>
        </w:rPr>
        <w:br w:type="column"/>
      </w:r>
    </w:p>
    <w:p>
      <w:pPr>
        <w:ind w:right="620"/>
        <w:spacing w:after="0" w:line="282" w:lineRule="auto"/>
        <w:rPr>
          <w:sz w:val="20"/>
          <w:szCs w:val="20"/>
          <w:color w:val="auto"/>
        </w:rPr>
      </w:pPr>
      <w:r>
        <w:rPr>
          <w:rFonts w:ascii="Times New Roman" w:cs="Times New Roman" w:eastAsia="Times New Roman" w:hAnsi="Times New Roman"/>
          <w:sz w:val="18"/>
          <w:szCs w:val="18"/>
          <w:color w:val="auto"/>
        </w:rPr>
        <w:t>Exhibit 10.47 to the Company’s Form 10-K filed February 23, 2023</w:t>
      </w:r>
    </w:p>
    <w:p>
      <w:pPr>
        <w:spacing w:after="0" w:line="200" w:lineRule="exact"/>
        <w:rPr>
          <w:sz w:val="20"/>
          <w:szCs w:val="20"/>
          <w:color w:val="auto"/>
        </w:rPr>
      </w:pPr>
    </w:p>
    <w:p>
      <w:pPr>
        <w:spacing w:after="0" w:line="2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10.1 to the Company’s Form 8-K filed on August 15, 2022</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10.2 to the Company’s Form 8-K filed on August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 97.1 to the Company’s Form 10-K filed March 6, 2024</w:t>
      </w:r>
    </w:p>
    <w:p>
      <w:pPr>
        <w:spacing w:after="0" w:line="1365" w:lineRule="exact"/>
        <w:rPr>
          <w:sz w:val="20"/>
          <w:szCs w:val="20"/>
          <w:color w:val="auto"/>
        </w:rPr>
      </w:pPr>
    </w:p>
    <w:p>
      <w:pPr>
        <w:sectPr>
          <w:pgSz w:w="11900" w:h="16838" w:orient="portrait"/>
          <w:cols w:equalWidth="0" w:num="2">
            <w:col w:w="6892" w:space="140"/>
            <w:col w:w="4140"/>
          </w:cols>
          <w:pgMar w:left="328" w:top="1440" w:right="399" w:bottom="1440" w:gutter="0" w:footer="0" w:header="0"/>
          <w:type w:val="continuous"/>
        </w:sectPr>
      </w:pPr>
    </w:p>
    <w:p>
      <w:pPr>
        <w:spacing w:after="0" w:line="26" w:lineRule="exact"/>
        <w:rPr>
          <w:sz w:val="20"/>
          <w:szCs w:val="20"/>
          <w:color w:val="auto"/>
        </w:rPr>
      </w:pPr>
    </w:p>
    <w:p>
      <w:pPr>
        <w:ind w:left="432" w:hanging="432"/>
        <w:spacing w:after="0"/>
        <w:tabs>
          <w:tab w:leader="none" w:pos="432" w:val="left"/>
        </w:tabs>
        <w:numPr>
          <w:ilvl w:val="1"/>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contract or compensatory plan or arrangement.</w:t>
      </w:r>
    </w:p>
    <w:p>
      <w:pPr>
        <w:spacing w:after="0" w:line="5" w:lineRule="exact"/>
        <w:rPr>
          <w:rFonts w:ascii="Times New Roman" w:cs="Times New Roman" w:eastAsia="Times New Roman" w:hAnsi="Times New Roman"/>
          <w:sz w:val="15"/>
          <w:szCs w:val="15"/>
          <w:color w:val="auto"/>
        </w:rPr>
      </w:pPr>
    </w:p>
    <w:p>
      <w:pPr>
        <w:ind w:left="412" w:right="60" w:hanging="509"/>
        <w:spacing w:after="0" w:line="23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*Schedules and exhibits have been omitted pursuant to Item 601(a)(5) of Regulation S-K. LSB Industries, Inc. hereby undertakes to furnish supplementally copies of any of the omitted schedules and exhibits upon request by the SEC.</w:t>
      </w:r>
    </w:p>
    <w:p>
      <w:pPr>
        <w:spacing w:after="0" w:line="72" w:lineRule="exact"/>
        <w:rPr>
          <w:rFonts w:ascii="Times New Roman" w:cs="Times New Roman" w:eastAsia="Times New Roman" w:hAnsi="Times New Roman"/>
          <w:sz w:val="15"/>
          <w:szCs w:val="15"/>
          <w:color w:val="auto"/>
        </w:rPr>
      </w:pPr>
    </w:p>
    <w:p>
      <w:pPr>
        <w:ind w:left="1012" w:hanging="503"/>
        <w:spacing w:after="0"/>
        <w:tabs>
          <w:tab w:leader="none" w:pos="1012" w:val="left"/>
        </w:tabs>
        <w:numPr>
          <w:ilvl w:val="2"/>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97" w:lineRule="exact"/>
        <w:rPr>
          <w:rFonts w:ascii="Times New Roman" w:cs="Times New Roman" w:eastAsia="Times New Roman" w:hAnsi="Times New Roman"/>
          <w:sz w:val="15"/>
          <w:szCs w:val="15"/>
          <w:color w:val="auto"/>
        </w:rPr>
      </w:pPr>
    </w:p>
    <w:p>
      <w:pPr>
        <w:ind w:left="1012" w:right="620" w:hanging="503"/>
        <w:spacing w:after="0" w:line="261" w:lineRule="auto"/>
        <w:tabs>
          <w:tab w:leader="none" w:pos="1012" w:val="left"/>
        </w:tabs>
        <w:numPr>
          <w:ilvl w:val="2"/>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certifications attached as Exhibits 32.1 and 32.2 are not deemed “filed” with the SEC and are not to be incorporated by reference into any filing of LSB Industries, Inc. under the Securities Act or the Exchange Act, whether made before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857250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440" w:right="399" w:bottom="1440" w:gutter="0" w:footer="0" w:header="0"/>
          <w:type w:val="continuous"/>
        </w:sectPr>
      </w:pPr>
    </w:p>
    <w:bookmarkStart w:id="51" w:name="page52"/>
    <w:bookmarkEnd w:id="51"/>
    <w:p>
      <w:pPr>
        <w:spacing w:after="0" w:line="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5"/>
          <w:szCs w:val="15"/>
          <w:color w:val="auto"/>
        </w:rPr>
        <w:t>after the date of this Annual Report on Form 10-K, irrespective of any general incorporation language contained in such filing.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LSB INDUSTRIES, INC.</w:t>
            </w:r>
          </w:p>
        </w:tc>
        <w:tc>
          <w:tcPr>
            <w:tcW w:w="4640" w:type="dxa"/>
            <w:vAlign w:val="bottom"/>
          </w:tcPr>
          <w:p>
            <w:pPr>
              <w:spacing w:after="0"/>
              <w:rPr>
                <w:sz w:val="17"/>
                <w:szCs w:val="17"/>
                <w:color w:val="auto"/>
              </w:rPr>
            </w:pPr>
          </w:p>
        </w:tc>
      </w:tr>
      <w:tr>
        <w:trPr>
          <w:trHeight w:val="453"/>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1640" w:type="dxa"/>
            <w:vAlign w:val="bottom"/>
          </w:tcPr>
          <w:p>
            <w:pPr>
              <w:spacing w:after="0"/>
              <w:rPr>
                <w:sz w:val="24"/>
                <w:szCs w:val="24"/>
                <w:color w:val="auto"/>
              </w:rPr>
            </w:pPr>
          </w:p>
        </w:tc>
        <w:tc>
          <w:tcPr>
            <w:tcW w:w="660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By:  /s/ Mark T. Behrman</w:t>
            </w:r>
          </w:p>
        </w:tc>
      </w:tr>
      <w:tr>
        <w:trPr>
          <w:trHeight w:val="191"/>
        </w:trPr>
        <w:tc>
          <w:tcPr>
            <w:tcW w:w="2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February 27, 2025</w:t>
            </w:r>
          </w:p>
        </w:tc>
        <w:tc>
          <w:tcPr>
            <w:tcW w:w="1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20" w:type="dxa"/>
            <w:vAlign w:val="bottom"/>
            <w:tcBorders>
              <w:top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Mark T. Behrman, President, Chief Executive Officer and Chairman of the</w:t>
            </w:r>
          </w:p>
        </w:tc>
      </w:tr>
      <w:tr>
        <w:trPr>
          <w:trHeight w:val="234"/>
        </w:trPr>
        <w:tc>
          <w:tcPr>
            <w:tcW w:w="29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Board of Directors</w:t>
            </w:r>
          </w:p>
        </w:tc>
      </w:tr>
    </w:tbl>
    <w:p>
      <w:pPr>
        <w:spacing w:after="0" w:line="9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ectPr>
          <w:pgSz w:w="11900" w:h="16838" w:orient="portrait"/>
          <w:cols w:equalWidth="0" w:num="1">
            <w:col w:w="11240"/>
          </w:cols>
          <w:pgMar w:left="320" w:top="1440" w:right="339" w:bottom="1440" w:gutter="0" w:footer="0" w:header="0"/>
        </w:sectPr>
      </w:pPr>
    </w:p>
    <w:p>
      <w:pPr>
        <w:spacing w:after="0" w:line="162"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49"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66"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3"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3"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3"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3"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3"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3"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33" w:lineRule="exact"/>
        <w:rPr>
          <w:sz w:val="20"/>
          <w:szCs w:val="20"/>
          <w:color w:val="auto"/>
        </w:rPr>
      </w:pPr>
    </w:p>
    <w:p>
      <w:pPr>
        <w:ind w:left="20"/>
        <w:spacing w:after="0"/>
        <w:tabs>
          <w:tab w:leader="none" w:pos="51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7"/>
          <w:szCs w:val="17"/>
          <w:color w:val="auto"/>
        </w:rPr>
        <w:t>By:</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566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T. Behrman, President and Chief Executive Officer</w:t>
      </w:r>
    </w:p>
    <w:p>
      <w:pPr>
        <w:spacing w:after="0" w:line="23"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18"/>
          <w:szCs w:val="18"/>
          <w:color w:val="auto"/>
        </w:rPr>
        <w:t>(Principal Executive Officer) and Chairman of the Board of Directors /s/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-21590</wp:posOffset>
            </wp:positionV>
            <wp:extent cx="3566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right="300"/>
        <w:spacing w:after="0" w:line="273" w:lineRule="auto"/>
        <w:rPr>
          <w:sz w:val="20"/>
          <w:szCs w:val="20"/>
          <w:color w:val="auto"/>
        </w:rPr>
      </w:pPr>
      <w:r>
        <w:rPr>
          <w:rFonts w:ascii="Times New Roman" w:cs="Times New Roman" w:eastAsia="Times New Roman" w:hAnsi="Times New Roman"/>
          <w:sz w:val="18"/>
          <w:szCs w:val="18"/>
          <w:color w:val="auto"/>
        </w:rPr>
        <w:t>Cheryl A. Maguire, Executive Vice President and Chief Financial Officer (Principal Financial and Accounting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D. 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566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 Chandler,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S. Bobb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566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S. Bobb,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Barry H.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566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H. Golsen,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Kanna Kitamura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566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Kanna Kitamura,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L. Packebush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566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L. Packebush,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Diana M. Peninger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566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Diana M. Peninger,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S. Sanders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566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S. Sanders Jr., Director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Lynn 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566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Lynn F. White,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1030605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60" w:space="180"/>
            <w:col w:w="5600"/>
          </w:cols>
          <w:pgMar w:left="320" w:top="1440" w:right="339" w:bottom="1440" w:gutter="0" w:footer="0" w:header="0"/>
          <w:type w:val="continuous"/>
        </w:sectPr>
      </w:pPr>
    </w:p>
    <w:bookmarkStart w:id="52" w:name="page53"/>
    <w:bookmarkEnd w:id="52"/>
    <w:p>
      <w:pPr>
        <w:ind w:left="4900"/>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Schedule for Inclusion in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Fiscal Year ended December 31,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Page</w:t>
            </w:r>
          </w:p>
        </w:tc>
      </w:tr>
      <w:tr>
        <w:trPr>
          <w:trHeight w:val="291"/>
        </w:trPr>
        <w:tc>
          <w:tcPr>
            <w:tcW w:w="48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Financial Statements</w:t>
            </w:r>
          </w:p>
        </w:tc>
        <w:tc>
          <w:tcPr>
            <w:tcW w:w="5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
        </w:trPr>
        <w:tc>
          <w:tcPr>
            <w:tcW w:w="152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424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6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318"/>
        </w:trPr>
        <w:tc>
          <w:tcPr>
            <w:tcW w:w="48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212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284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20" w:type="dxa"/>
            <w:vAlign w:val="bottom"/>
            <w:tcBorders>
              <w:bottom w:val="single" w:sz="8" w:color="0000EE"/>
            </w:tcBorders>
          </w:tcPr>
          <w:p>
            <w:pPr>
              <w:spacing w:after="0"/>
              <w:rPr>
                <w:sz w:val="24"/>
                <w:szCs w:val="24"/>
                <w:color w:val="auto"/>
              </w:rPr>
            </w:pPr>
          </w:p>
        </w:tc>
        <w:tc>
          <w:tcPr>
            <w:tcW w:w="2000" w:type="dxa"/>
            <w:vAlign w:val="bottom"/>
            <w:gridSpan w:val="6"/>
          </w:tcPr>
          <w:p>
            <w:pPr>
              <w:spacing w:after="0"/>
              <w:rPr>
                <w:sz w:val="24"/>
                <w:szCs w:val="24"/>
                <w:color w:val="auto"/>
              </w:rPr>
            </w:pPr>
          </w:p>
        </w:tc>
        <w:tc>
          <w:tcPr>
            <w:tcW w:w="5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318"/>
        </w:trPr>
        <w:tc>
          <w:tcPr>
            <w:tcW w:w="48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5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318"/>
        </w:trPr>
        <w:tc>
          <w:tcPr>
            <w:tcW w:w="2900" w:type="dxa"/>
            <w:vAlign w:val="bottom"/>
            <w:tcBorders>
              <w:top w:val="single" w:sz="8" w:color="0000FF"/>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60" w:type="dxa"/>
            <w:vAlign w:val="bottom"/>
            <w:tcBorders>
              <w:top w:val="single" w:sz="8" w:color="0000FF"/>
            </w:tcBorders>
            <w:gridSpan w:val="2"/>
          </w:tcPr>
          <w:p>
            <w:pPr>
              <w:spacing w:after="0"/>
              <w:rPr>
                <w:sz w:val="24"/>
                <w:szCs w:val="24"/>
                <w:color w:val="auto"/>
              </w:rPr>
            </w:pPr>
          </w:p>
        </w:tc>
        <w:tc>
          <w:tcPr>
            <w:tcW w:w="1300" w:type="dxa"/>
            <w:vAlign w:val="bottom"/>
            <w:gridSpan w:val="3"/>
          </w:tcPr>
          <w:p>
            <w:pPr>
              <w:spacing w:after="0"/>
              <w:rPr>
                <w:sz w:val="24"/>
                <w:szCs w:val="24"/>
                <w:color w:val="auto"/>
              </w:rPr>
            </w:pPr>
          </w:p>
        </w:tc>
        <w:tc>
          <w:tcPr>
            <w:tcW w:w="5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318"/>
        </w:trPr>
        <w:tc>
          <w:tcPr>
            <w:tcW w:w="48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318"/>
        </w:trPr>
        <w:tc>
          <w:tcPr>
            <w:tcW w:w="3160" w:type="dxa"/>
            <w:vAlign w:val="bottom"/>
            <w:tcBorders>
              <w:top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1700" w:type="dxa"/>
            <w:vAlign w:val="bottom"/>
            <w:gridSpan w:val="4"/>
          </w:tcPr>
          <w:p>
            <w:pPr>
              <w:spacing w:after="0"/>
              <w:rPr>
                <w:sz w:val="24"/>
                <w:szCs w:val="24"/>
                <w:color w:val="auto"/>
              </w:rPr>
            </w:pPr>
          </w:p>
        </w:tc>
        <w:tc>
          <w:tcPr>
            <w:tcW w:w="5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
        </w:trPr>
        <w:tc>
          <w:tcPr>
            <w:tcW w:w="2160" w:type="dxa"/>
            <w:vAlign w:val="bottom"/>
            <w:tcBorders>
              <w:left w:val="single" w:sz="8" w:color="auto"/>
            </w:tcBorders>
            <w:gridSpan w:val="3"/>
            <w:shd w:val="clear" w:color="auto" w:fill="000000"/>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7"/>
        </w:trPr>
        <w:tc>
          <w:tcPr>
            <w:tcW w:w="486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5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F–28</w:t>
            </w:r>
          </w:p>
        </w:tc>
      </w:tr>
      <w:tr>
        <w:trPr>
          <w:trHeight w:val="885"/>
        </w:trPr>
        <w:tc>
          <w:tcPr>
            <w:tcW w:w="15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380" w:type="dxa"/>
            <w:vAlign w:val="bottom"/>
            <w:gridSpan w:val="2"/>
          </w:tcPr>
          <w:p>
            <w:pPr>
              <w:jc w:val="right"/>
              <w:ind w:right="5412"/>
              <w:spacing w:after="0"/>
              <w:rPr>
                <w:sz w:val="20"/>
                <w:szCs w:val="20"/>
                <w:color w:val="auto"/>
              </w:rPr>
            </w:pPr>
            <w:r>
              <w:rPr>
                <w:rFonts w:ascii="Times New Roman" w:cs="Times New Roman" w:eastAsia="Times New Roman" w:hAnsi="Times New Roman"/>
                <w:sz w:val="18"/>
                <w:szCs w:val="18"/>
                <w:color w:val="auto"/>
              </w:rPr>
              <w:t>F-1</w:t>
            </w:r>
          </w:p>
        </w:tc>
      </w:tr>
      <w:tr>
        <w:trPr>
          <w:trHeight w:val="763"/>
        </w:trPr>
        <w:tc>
          <w:tcPr>
            <w:tcW w:w="1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LSB Industries,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34"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LSB Industries, Inc. (the Company) as of December 31, 2024 and 2023, the related consolidated statements of operations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stockholders' equity and cash flows for each of the three years in the period ended December 31,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2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237" w:lineRule="exact"/>
        <w:rPr>
          <w:sz w:val="20"/>
          <w:szCs w:val="20"/>
          <w:color w:val="auto"/>
        </w:rPr>
      </w:pPr>
    </w:p>
    <w:p>
      <w:pPr>
        <w:jc w:val="both"/>
        <w:ind w:right="420"/>
        <w:spacing w:after="0" w:line="281" w:lineRule="auto"/>
        <w:rPr>
          <w:sz w:val="20"/>
          <w:szCs w:val="20"/>
          <w:color w:val="auto"/>
        </w:rPr>
      </w:pPr>
      <w:r>
        <w:rPr>
          <w:rFonts w:ascii="Times New Roman" w:cs="Times New Roman" w:eastAsia="Times New Roman" w:hAnsi="Times New Roman"/>
          <w:sz w:val="16"/>
          <w:szCs w:val="16"/>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1968.</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Oklahoma City, Oklahoma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27, 2025</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20,230</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18"/>
                <w:szCs w:val="18"/>
                <w:color w:val="auto"/>
              </w:rPr>
            </w:pPr>
          </w:p>
        </w:tc>
        <w:tc>
          <w:tcPr>
            <w:tcW w:w="14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163,971</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39,083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(323 )</w:t>
            </w: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(364 )</w:t>
            </w: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38,760</w:t>
            </w:r>
          </w:p>
        </w:tc>
        <w:tc>
          <w:tcPr>
            <w:tcW w:w="28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40,385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22,382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2,519</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inventories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24,901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Supplies, prepaid items and other:</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insurance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14,345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Precious metals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11,596</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Supplies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31,995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3,916</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supplies, prepaid items and other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61,852</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309,714</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847,570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assets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28,727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1,177</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assets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29,904</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1,187,188</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1,298,184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83,498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financing</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12,146</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30,874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9,116</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135,634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476,163</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575,874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21,387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accrued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61,908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$.10 par value per share; 150 million shares</w:t>
            </w:r>
          </w:p>
        </w:tc>
        <w:tc>
          <w:tcPr>
            <w:tcW w:w="36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9,117</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authorized, 91.2 million shares issued</w:t>
            </w:r>
          </w:p>
        </w:tc>
        <w:tc>
          <w:tcPr>
            <w:tcW w:w="360" w:type="dxa"/>
            <w:vAlign w:val="bottom"/>
            <w:shd w:val="clear" w:color="auto" w:fill="CFF0FC"/>
          </w:tcPr>
          <w:p>
            <w:pPr>
              <w:spacing w:after="0"/>
              <w:rPr>
                <w:sz w:val="20"/>
                <w:szCs w:val="20"/>
                <w:color w:val="auto"/>
              </w:rPr>
            </w:pPr>
          </w:p>
        </w:tc>
        <w:tc>
          <w:tcPr>
            <w:tcW w:w="120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504,578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207,662</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721,357</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treasury stock, at cost: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380"/>
              <w:spacing w:after="0" w:line="198" w:lineRule="exact"/>
              <w:rPr>
                <w:sz w:val="20"/>
                <w:szCs w:val="20"/>
                <w:color w:val="auto"/>
              </w:rPr>
            </w:pPr>
            <w:r>
              <w:rPr>
                <w:rFonts w:ascii="Times New Roman" w:cs="Times New Roman" w:eastAsia="Times New Roman" w:hAnsi="Times New Roman"/>
                <w:sz w:val="18"/>
                <w:szCs w:val="18"/>
                <w:color w:val="auto"/>
              </w:rPr>
              <w:t>Common stock, 19.5 million shares (18.1 million shares at</w:t>
            </w: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229,717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218,827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2023)</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491,640</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518,331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1,187,188</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-5751195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-5751195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-5194300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-5194300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-4362450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-4362450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-3522345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-3230880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-3213735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-2382520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-864870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20" w:type="dxa"/>
            <w:vAlign w:val="bottom"/>
            <w:gridSpan w:val="7"/>
          </w:tcPr>
          <w:p>
            <w:pPr>
              <w:jc w:val="center"/>
              <w:ind w:left="4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522,400</w:t>
            </w:r>
          </w:p>
        </w:tc>
        <w:tc>
          <w:tcPr>
            <w:tcW w:w="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593,709</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901,711</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474,603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507,449</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553,344</w:t>
            </w:r>
          </w:p>
        </w:tc>
        <w:tc>
          <w:tcPr>
            <w:tcW w:w="100" w:type="dxa"/>
            <w:vAlign w:val="bottom"/>
          </w:tcPr>
          <w:p>
            <w:pPr>
              <w:spacing w:after="0"/>
              <w:rPr>
                <w:sz w:val="18"/>
                <w:szCs w:val="18"/>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47,797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86,260</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348,367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36,580</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39,428</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11,535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(2,097 )</w:t>
            </w: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FF0FC"/>
          </w:tcPr>
          <w:p>
            <w:pPr>
              <w:spacing w:after="0"/>
              <w:rPr>
                <w:sz w:val="18"/>
                <w:szCs w:val="18"/>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(5,505 )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51,777</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308,378</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34,452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46,827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extinguishments of debt</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(3,013 )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(8,644 )</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Non-operating income, net</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(10,907 )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(14,611 )</w:t>
            </w:r>
          </w:p>
        </w:tc>
        <w:tc>
          <w:tcPr>
            <w:tcW w:w="4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(8,083 )</w:t>
            </w: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(benefit) provision for income taxes</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(26,037 )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269,521</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(6,684 )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39,174</w:t>
            </w:r>
          </w:p>
        </w:tc>
        <w:tc>
          <w:tcPr>
            <w:tcW w:w="100" w:type="dxa"/>
            <w:vAlign w:val="bottom"/>
            <w:shd w:val="clear" w:color="auto" w:fill="CFF0FC"/>
          </w:tcPr>
          <w:p>
            <w:pPr>
              <w:spacing w:after="0"/>
              <w:rPr>
                <w:sz w:val="18"/>
                <w:szCs w:val="18"/>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(19,353 )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230,347</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per common share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(0.27 )</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(0.27 )</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-1885315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-1885315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-1327785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-1327785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-1045210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-1045210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Treasury</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5"/>
              </w:rPr>
              <w:t>Retained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4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1"/>
                <w:szCs w:val="11"/>
                <w:color w:val="auto"/>
              </w:rPr>
            </w:pPr>
          </w:p>
        </w:tc>
        <w:tc>
          <w:tcPr>
            <w:tcW w:w="660" w:type="dxa"/>
            <w:vAlign w:val="bottom"/>
          </w:tcPr>
          <w:p>
            <w:pPr>
              <w:jc w:val="center"/>
              <w:ind w:right="54"/>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Capital in</w:t>
            </w:r>
          </w:p>
        </w:tc>
        <w:tc>
          <w:tcPr>
            <w:tcW w:w="120" w:type="dxa"/>
            <w:vAlign w:val="bottom"/>
          </w:tcPr>
          <w:p>
            <w:pPr>
              <w:spacing w:after="0"/>
              <w:rPr>
                <w:sz w:val="11"/>
                <w:szCs w:val="11"/>
                <w:color w:val="auto"/>
              </w:rPr>
            </w:pPr>
          </w:p>
        </w:tc>
        <w:tc>
          <w:tcPr>
            <w:tcW w:w="8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Earnings</w:t>
            </w:r>
          </w:p>
        </w:tc>
        <w:tc>
          <w:tcPr>
            <w:tcW w:w="140" w:type="dxa"/>
            <w:vAlign w:val="bottom"/>
          </w:tcPr>
          <w:p>
            <w:pPr>
              <w:spacing w:after="0"/>
              <w:rPr>
                <w:sz w:val="11"/>
                <w:szCs w:val="11"/>
                <w:color w:val="auto"/>
              </w:rPr>
            </w:pPr>
          </w:p>
        </w:tc>
        <w:tc>
          <w:tcPr>
            <w:tcW w:w="1080" w:type="dxa"/>
            <w:vAlign w:val="bottom"/>
            <w:gridSpan w:val="3"/>
          </w:tcPr>
          <w:p>
            <w:pPr>
              <w:jc w:val="center"/>
              <w:ind w:right="5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4200" w:type="dxa"/>
            <w:vAlign w:val="bottom"/>
          </w:tcPr>
          <w:p>
            <w:pPr>
              <w:spacing w:after="0"/>
              <w:rPr>
                <w:sz w:val="11"/>
                <w:szCs w:val="11"/>
                <w:color w:val="auto"/>
              </w:rPr>
            </w:pPr>
          </w:p>
        </w:tc>
        <w:tc>
          <w:tcPr>
            <w:tcW w:w="780" w:type="dxa"/>
            <w:vAlign w:val="bottom"/>
          </w:tcPr>
          <w:p>
            <w:pPr>
              <w:jc w:val="right"/>
              <w:ind w:right="91"/>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2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Common</w:t>
            </w:r>
          </w:p>
        </w:tc>
        <w:tc>
          <w:tcPr>
            <w:tcW w:w="120" w:type="dxa"/>
            <w:vAlign w:val="bottom"/>
          </w:tcPr>
          <w:p>
            <w:pPr>
              <w:spacing w:after="0"/>
              <w:rPr>
                <w:sz w:val="11"/>
                <w:szCs w:val="11"/>
                <w:color w:val="auto"/>
              </w:rPr>
            </w:pPr>
          </w:p>
        </w:tc>
        <w:tc>
          <w:tcPr>
            <w:tcW w:w="66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Excess of</w:t>
            </w:r>
          </w:p>
        </w:tc>
        <w:tc>
          <w:tcPr>
            <w:tcW w:w="100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40" w:type="dxa"/>
            <w:vAlign w:val="bottom"/>
          </w:tcPr>
          <w:p>
            <w:pPr>
              <w:spacing w:after="0"/>
              <w:rPr>
                <w:sz w:val="11"/>
                <w:szCs w:val="11"/>
                <w:color w:val="auto"/>
              </w:rPr>
            </w:pPr>
          </w:p>
        </w:tc>
        <w:tc>
          <w:tcPr>
            <w:tcW w:w="1080" w:type="dxa"/>
            <w:vAlign w:val="bottom"/>
            <w:gridSpan w:val="3"/>
          </w:tcPr>
          <w:p>
            <w:pPr>
              <w:jc w:val="center"/>
              <w:ind w:right="5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5"/>
        </w:trPr>
        <w:tc>
          <w:tcPr>
            <w:tcW w:w="420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Stock Shares</w:t>
            </w:r>
          </w:p>
        </w:tc>
        <w:tc>
          <w:tcPr>
            <w:tcW w:w="220" w:type="dxa"/>
            <w:vAlign w:val="bottom"/>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2"/>
                <w:szCs w:val="12"/>
                <w:b w:val="1"/>
                <w:bCs w:val="1"/>
                <w:color w:val="auto"/>
                <w:w w:val="96"/>
              </w:rPr>
              <w:t>Par Value</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2"/>
                <w:szCs w:val="12"/>
                <w:b w:val="1"/>
                <w:bCs w:val="1"/>
                <w:color w:val="auto"/>
                <w:w w:val="97"/>
              </w:rPr>
              <w:t>Common</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0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 as of December 31, 2021</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91,168</w:t>
            </w:r>
          </w:p>
        </w:tc>
        <w:tc>
          <w:tcPr>
            <w:tcW w:w="1260" w:type="dxa"/>
            <w:vAlign w:val="bottom"/>
            <w:gridSpan w:val="3"/>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(1,375 )</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9,117</w:t>
            </w:r>
          </w:p>
        </w:tc>
        <w:tc>
          <w:tcPr>
            <w:tcW w:w="3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493,161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(31,255 )</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(10,533 )</w:t>
            </w: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460,490</w:t>
            </w:r>
          </w:p>
        </w:tc>
        <w:tc>
          <w:tcPr>
            <w:tcW w:w="100" w:type="dxa"/>
            <w:vAlign w:val="bottom"/>
            <w:shd w:val="clear" w:color="auto" w:fill="CFF0FC"/>
          </w:tcPr>
          <w:p>
            <w:pPr>
              <w:spacing w:after="0"/>
              <w:rPr>
                <w:sz w:val="12"/>
                <w:szCs w:val="12"/>
                <w:color w:val="auto"/>
              </w:rPr>
            </w:pPr>
          </w:p>
        </w:tc>
      </w:tr>
      <w:tr>
        <w:trPr>
          <w:trHeight w:val="148"/>
        </w:trPr>
        <w:tc>
          <w:tcPr>
            <w:tcW w:w="4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230,347</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230,347</w:t>
            </w:r>
          </w:p>
        </w:tc>
        <w:tc>
          <w:tcPr>
            <w:tcW w:w="100" w:type="dxa"/>
            <w:vAlign w:val="bottom"/>
          </w:tcPr>
          <w:p>
            <w:pPr>
              <w:spacing w:after="0"/>
              <w:rPr>
                <w:sz w:val="12"/>
                <w:szCs w:val="12"/>
                <w:color w:val="auto"/>
              </w:rPr>
            </w:pP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4,025</w:t>
            </w:r>
          </w:p>
        </w:tc>
        <w:tc>
          <w:tcPr>
            <w:tcW w:w="100" w:type="dxa"/>
            <w:vAlign w:val="bottom"/>
            <w:shd w:val="clear" w:color="auto" w:fill="CFF0FC"/>
          </w:tcPr>
          <w:p>
            <w:pPr>
              <w:spacing w:after="0"/>
              <w:rPr>
                <w:sz w:val="12"/>
                <w:szCs w:val="12"/>
                <w:color w:val="auto"/>
              </w:rPr>
            </w:pPr>
          </w:p>
        </w:tc>
      </w:tr>
      <w:tr>
        <w:trPr>
          <w:trHeight w:val="149"/>
        </w:trPr>
        <w:tc>
          <w:tcPr>
            <w:tcW w:w="4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common stock</w:t>
            </w:r>
          </w:p>
        </w:tc>
        <w:tc>
          <w:tcPr>
            <w:tcW w:w="780" w:type="dxa"/>
            <w:vAlign w:val="bottom"/>
          </w:tcPr>
          <w:p>
            <w:pPr>
              <w:spacing w:after="0"/>
              <w:rPr>
                <w:sz w:val="12"/>
                <w:szCs w:val="12"/>
                <w:color w:val="auto"/>
              </w:rPr>
            </w:pPr>
          </w:p>
        </w:tc>
        <w:tc>
          <w:tcPr>
            <w:tcW w:w="12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(13,168 )</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(175,083 )</w:t>
            </w: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(175,083 )</w:t>
            </w: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(345 )</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(7 )</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(3,899 )</w:t>
            </w:r>
          </w:p>
        </w:tc>
        <w:tc>
          <w:tcPr>
            <w:tcW w:w="2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(3,906 )</w:t>
            </w:r>
          </w:p>
        </w:tc>
      </w:tr>
      <w:tr>
        <w:trPr>
          <w:trHeight w:val="20"/>
        </w:trPr>
        <w:tc>
          <w:tcPr>
            <w:tcW w:w="4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as of December 31, 2022</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91,168</w:t>
            </w:r>
          </w:p>
        </w:tc>
        <w:tc>
          <w:tcPr>
            <w:tcW w:w="220" w:type="dxa"/>
            <w:vAlign w:val="bottom"/>
          </w:tcPr>
          <w:p>
            <w:pPr>
              <w:spacing w:after="0"/>
              <w:rPr>
                <w:sz w:val="12"/>
                <w:szCs w:val="12"/>
                <w:color w:val="auto"/>
              </w:rPr>
            </w:pPr>
          </w:p>
        </w:tc>
        <w:tc>
          <w:tcPr>
            <w:tcW w:w="10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(14,888 )</w:t>
            </w: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497,179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199,092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(189,515 )</w:t>
            </w:r>
          </w:p>
        </w:tc>
        <w:tc>
          <w:tcPr>
            <w:tcW w:w="2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515,873</w:t>
            </w:r>
          </w:p>
        </w:tc>
        <w:tc>
          <w:tcPr>
            <w:tcW w:w="100" w:type="dxa"/>
            <w:vAlign w:val="bottom"/>
          </w:tcPr>
          <w:p>
            <w:pPr>
              <w:spacing w:after="0"/>
              <w:rPr>
                <w:sz w:val="12"/>
                <w:szCs w:val="12"/>
                <w:color w:val="auto"/>
              </w:rPr>
            </w:pP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27,923</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27,923</w:t>
            </w:r>
          </w:p>
        </w:tc>
        <w:tc>
          <w:tcPr>
            <w:tcW w:w="100" w:type="dxa"/>
            <w:vAlign w:val="bottom"/>
            <w:shd w:val="clear" w:color="auto" w:fill="CFF0FC"/>
          </w:tcPr>
          <w:p>
            <w:pPr>
              <w:spacing w:after="0"/>
              <w:rPr>
                <w:sz w:val="12"/>
                <w:szCs w:val="12"/>
                <w:color w:val="auto"/>
              </w:rPr>
            </w:pPr>
          </w:p>
        </w:tc>
      </w:tr>
      <w:tr>
        <w:trPr>
          <w:trHeight w:val="149"/>
        </w:trPr>
        <w:tc>
          <w:tcPr>
            <w:tcW w:w="4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5,353</w:t>
            </w:r>
          </w:p>
        </w:tc>
        <w:tc>
          <w:tcPr>
            <w:tcW w:w="100" w:type="dxa"/>
            <w:vAlign w:val="bottom"/>
          </w:tcPr>
          <w:p>
            <w:pPr>
              <w:spacing w:after="0"/>
              <w:rPr>
                <w:sz w:val="12"/>
                <w:szCs w:val="12"/>
                <w:color w:val="auto"/>
              </w:rPr>
            </w:pP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common stock</w:t>
            </w:r>
          </w:p>
        </w:tc>
        <w:tc>
          <w:tcPr>
            <w:tcW w:w="78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(3,094 )</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(28,510 )</w:t>
            </w:r>
          </w:p>
        </w:tc>
        <w:tc>
          <w:tcPr>
            <w:tcW w:w="2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(28,510 )</w:t>
            </w:r>
          </w:p>
        </w:tc>
      </w:tr>
      <w:tr>
        <w:trPr>
          <w:trHeight w:val="148"/>
        </w:trPr>
        <w:tc>
          <w:tcPr>
            <w:tcW w:w="4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(69 )</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(1,506 )</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(802 )</w:t>
            </w: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(2,308 )</w:t>
            </w:r>
          </w:p>
        </w:tc>
      </w:tr>
      <w:tr>
        <w:trPr>
          <w:trHeight w:val="20"/>
        </w:trPr>
        <w:tc>
          <w:tcPr>
            <w:tcW w:w="4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42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91,168</w:t>
            </w:r>
          </w:p>
        </w:tc>
        <w:tc>
          <w:tcPr>
            <w:tcW w:w="2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(18,051 )</w:t>
            </w: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9,117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501,026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227,015</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(218,827 )</w:t>
            </w: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518,331</w:t>
            </w:r>
          </w:p>
        </w:tc>
        <w:tc>
          <w:tcPr>
            <w:tcW w:w="100" w:type="dxa"/>
            <w:vAlign w:val="bottom"/>
            <w:shd w:val="clear" w:color="auto" w:fill="CFF0FC"/>
          </w:tcPr>
          <w:p>
            <w:pPr>
              <w:spacing w:after="0"/>
              <w:rPr>
                <w:sz w:val="12"/>
                <w:szCs w:val="12"/>
                <w:color w:val="auto"/>
              </w:rPr>
            </w:pPr>
          </w:p>
        </w:tc>
      </w:tr>
      <w:tr>
        <w:trPr>
          <w:trHeight w:val="149"/>
        </w:trPr>
        <w:tc>
          <w:tcPr>
            <w:tcW w:w="4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(19,353 )</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(19,353 )</w:t>
            </w: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6,607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6,607</w:t>
            </w:r>
          </w:p>
        </w:tc>
        <w:tc>
          <w:tcPr>
            <w:tcW w:w="100" w:type="dxa"/>
            <w:vAlign w:val="bottom"/>
            <w:shd w:val="clear" w:color="auto" w:fill="CFF0FC"/>
          </w:tcPr>
          <w:p>
            <w:pPr>
              <w:spacing w:after="0"/>
              <w:rPr>
                <w:sz w:val="12"/>
                <w:szCs w:val="12"/>
                <w:color w:val="auto"/>
              </w:rPr>
            </w:pPr>
          </w:p>
        </w:tc>
      </w:tr>
      <w:tr>
        <w:trPr>
          <w:trHeight w:val="148"/>
        </w:trPr>
        <w:tc>
          <w:tcPr>
            <w:tcW w:w="42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common stock</w:t>
            </w:r>
          </w:p>
        </w:tc>
        <w:tc>
          <w:tcPr>
            <w:tcW w:w="780" w:type="dxa"/>
            <w:vAlign w:val="bottom"/>
          </w:tcPr>
          <w:p>
            <w:pPr>
              <w:spacing w:after="0"/>
              <w:rPr>
                <w:sz w:val="12"/>
                <w:szCs w:val="12"/>
                <w:color w:val="auto"/>
              </w:rPr>
            </w:pPr>
          </w:p>
        </w:tc>
        <w:tc>
          <w:tcPr>
            <w:tcW w:w="12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(1,492 )</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(12,131 )</w:t>
            </w: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(12,131 )</w:t>
            </w:r>
          </w:p>
        </w:tc>
      </w:tr>
      <w:tr>
        <w:trPr>
          <w:trHeight w:val="148"/>
        </w:trPr>
        <w:tc>
          <w:tcPr>
            <w:tcW w:w="42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(3,055 )</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1,241</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(1,814 )</w:t>
            </w:r>
          </w:p>
        </w:tc>
      </w:tr>
      <w:tr>
        <w:trPr>
          <w:trHeight w:val="20"/>
        </w:trPr>
        <w:tc>
          <w:tcPr>
            <w:tcW w:w="42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4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91,168</w:t>
            </w:r>
          </w:p>
        </w:tc>
        <w:tc>
          <w:tcPr>
            <w:tcW w:w="220" w:type="dxa"/>
            <w:vAlign w:val="bottom"/>
          </w:tcPr>
          <w:p>
            <w:pPr>
              <w:spacing w:after="0"/>
              <w:rPr>
                <w:sz w:val="12"/>
                <w:szCs w:val="12"/>
                <w:color w:val="auto"/>
              </w:rPr>
            </w:pPr>
          </w:p>
        </w:tc>
        <w:tc>
          <w:tcPr>
            <w:tcW w:w="10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(19,528 )</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9,117</w:t>
            </w: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504,578</w:t>
            </w:r>
          </w:p>
        </w:tc>
        <w:tc>
          <w:tcPr>
            <w:tcW w:w="2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207,662</w:t>
            </w:r>
          </w:p>
        </w:tc>
        <w:tc>
          <w:tcPr>
            <w:tcW w:w="20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(229,717 )  $</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491,640</w:t>
            </w:r>
          </w:p>
        </w:tc>
        <w:tc>
          <w:tcPr>
            <w:tcW w:w="100" w:type="dxa"/>
            <w:vAlign w:val="bottom"/>
          </w:tcPr>
          <w:p>
            <w:pPr>
              <w:spacing w:after="0"/>
              <w:rPr>
                <w:sz w:val="12"/>
                <w:szCs w:val="12"/>
                <w:color w:val="auto"/>
              </w:rPr>
            </w:pPr>
          </w:p>
        </w:tc>
      </w:tr>
      <w:tr>
        <w:trPr>
          <w:trHeight w:val="20"/>
        </w:trPr>
        <w:tc>
          <w:tcPr>
            <w:tcW w:w="4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-1087755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-1087755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-1087755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-1087755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-1087755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-1087755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-128270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-128270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-128270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-128270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-128270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-128270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(19,353 )</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income to net cash</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(6,945 )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Depreciation and amortization of property, plant and</w:t>
            </w:r>
          </w:p>
        </w:tc>
        <w:tc>
          <w:tcPr>
            <w:tcW w:w="3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74,277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equipment</w:t>
            </w:r>
          </w:p>
        </w:tc>
        <w:tc>
          <w:tcPr>
            <w:tcW w:w="3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68,414</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Write-downs of property, plant and equipment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6,607</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short-term investments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(2,289 )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(3,341 )</w:t>
            </w: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debt issuance costs, including discounts</w:t>
            </w:r>
          </w:p>
        </w:tc>
        <w:tc>
          <w:tcPr>
            <w:tcW w:w="3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1,621</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premiums</w:t>
            </w:r>
          </w:p>
        </w:tc>
        <w:tc>
          <w:tcPr>
            <w:tcW w:w="3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extinguishments of debt</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(3,013 )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(8,644 )</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(1,434 )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provided (used) by changes in assets and liabilities: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(14,300 )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Supplies, prepaid items and other</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(1,215 )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(8,548 )</w:t>
            </w: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(264 )</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 and other liabilities</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(97 )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(7,615 )</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86,576</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137,521</w:t>
            </w: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345,654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(92,294 )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(67,603 )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(45,833 )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short-term investments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310,329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389,856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(270,912 )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(264,448 )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(486,091 )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(203 )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(405 )</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(53,080 )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(369,735 )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6.25% senior secured notes</w:t>
            </w:r>
          </w:p>
        </w:tc>
        <w:tc>
          <w:tcPr>
            <w:tcW w:w="3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Repurchases of 6.25% senior secured notes</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(92,216 )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(114,320 )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other long-term debt</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(6,045 )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(9,536 )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(13,750 )</w:t>
            </w: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Payments of debt-related costs, including</w:t>
            </w:r>
          </w:p>
        </w:tc>
        <w:tc>
          <w:tcPr>
            <w:tcW w:w="320" w:type="dxa"/>
            <w:vAlign w:val="bottom"/>
            <w:shd w:val="clear" w:color="auto" w:fill="CFF0FC"/>
          </w:tcPr>
          <w:p>
            <w:pPr>
              <w:spacing w:after="0"/>
              <w:rPr>
                <w:sz w:val="17"/>
                <w:szCs w:val="17"/>
                <w:color w:val="auto"/>
              </w:rPr>
            </w:pPr>
          </w:p>
        </w:tc>
        <w:tc>
          <w:tcPr>
            <w:tcW w:w="11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(705 )</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extinguishment costs</w:t>
            </w:r>
          </w:p>
        </w:tc>
        <w:tc>
          <w:tcPr>
            <w:tcW w:w="320" w:type="dxa"/>
            <w:vAlign w:val="bottom"/>
            <w:shd w:val="clear" w:color="auto" w:fill="CFF0FC"/>
          </w:tcPr>
          <w:p>
            <w:pPr>
              <w:spacing w:after="0"/>
              <w:rPr>
                <w:sz w:val="20"/>
                <w:szCs w:val="20"/>
                <w:color w:val="auto"/>
              </w:rPr>
            </w:pPr>
          </w:p>
        </w:tc>
        <w:tc>
          <w:tcPr>
            <w:tcW w:w="110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(94 )</w:t>
            </w:r>
          </w:p>
        </w:tc>
        <w:tc>
          <w:tcPr>
            <w:tcW w:w="3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(4,840 )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short-term financing</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short-term financing</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(17,396 )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(20,542 )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(16,725 )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of treasury stock, net</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(11,904 )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(28,305 )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(174,975 )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Taxes paid on equity awards</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(2,176 )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(2,666 )</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(4,012 )</w:t>
            </w:r>
          </w:p>
        </w:tc>
        <w:tc>
          <w:tcPr>
            <w:tcW w:w="0" w:type="dxa"/>
            <w:vAlign w:val="bottom"/>
          </w:tcPr>
          <w:p>
            <w:pPr>
              <w:spacing w:after="0"/>
              <w:rPr>
                <w:sz w:val="1"/>
                <w:szCs w:val="1"/>
                <w:color w:val="auto"/>
              </w:rPr>
            </w:pPr>
          </w:p>
        </w:tc>
      </w:tr>
      <w:tr>
        <w:trPr>
          <w:trHeight w:val="198"/>
        </w:trPr>
        <w:tc>
          <w:tcPr>
            <w:tcW w:w="66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Payments of costs to exchange redeemable preferred</w:t>
            </w:r>
          </w:p>
        </w:tc>
        <w:tc>
          <w:tcPr>
            <w:tcW w:w="3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21"/>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stocks for common stock</w:t>
            </w: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provided by financing activities</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(114,298 )</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(157,658 )</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(80,802 )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(18,375 )</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101,032</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63,769</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20,230</w:t>
            </w: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-3205480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-3205480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-2373630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-2373630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Consolidation </w:t>
      </w:r>
      <w:r>
        <w:rPr>
          <w:rFonts w:ascii="Times New Roman" w:cs="Times New Roman" w:eastAsia="Times New Roman" w:hAnsi="Times New Roman"/>
          <w:sz w:val="18"/>
          <w:szCs w:val="18"/>
          <w:color w:val="auto"/>
        </w:rPr>
        <w:t>– LSB Industries, Inc. (“LSB”) and its subsidiaries (the “Company”, “we”, “us”, or “our”) are consolidated in the accompanying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financial statements. All material intercompany accounts and transactions have been eliminated. Certain prior period amounts reported in our consolidated financial statements and notes thereto have been reclassified to conform to current period presentation.</w:t>
      </w:r>
    </w:p>
    <w:p>
      <w:pPr>
        <w:spacing w:after="0" w:line="6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We are engaged in the manufacture and sale of chemical products. The chemical products we primarily manufacture, market and sell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ammonia, fertilizer grade ammonium nitrate (“HDAN”) and urea ammonia nitrate (“UAN”) for agricultural applications, high purity and commercial grade ammonia, high purity ammonium nitrate, sulfuric acids, concentrated, blended and regular nitric acid, mixed nitrating acids, carbon dioxide, and industrial grade ammonium nitrate (“LDAN”) and ammonium nitrate (“AN”) solutions for industrial applications. We manufacture and distribute products in four facilities; three of which we own and are located in El Dorado, Arkansas (the “El Dorado Facility”); Cherokee, Alabama (the “Cherokee Facility”); and Pryor, Oklahoma (the “Pryor Facility”); and one of which we operate on behalf of Covestro LLC in Baytown, Texas (the “Baytown Facility”).</w:t>
      </w:r>
    </w:p>
    <w:p>
      <w:pPr>
        <w:spacing w:after="0" w:line="7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Sales to our customers include farmers, ranchers, fertilizer dealers and distributors primarily in the ranch land and grain production markets in the United States; industrial users of acids throughout the United States and parts of Canada; and explosive manufacturers in United States and other parts of North America.</w:t>
      </w:r>
    </w:p>
    <w:p>
      <w:pPr>
        <w:spacing w:after="0" w:line="6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consolidated financial statements in conformity with United States generally accepted accounting principles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Stockholders’ Equity – </w:t>
      </w:r>
      <w:r>
        <w:rPr>
          <w:rFonts w:ascii="Times New Roman" w:cs="Times New Roman" w:eastAsia="Times New Roman" w:hAnsi="Times New Roman"/>
          <w:sz w:val="18"/>
          <w:szCs w:val="18"/>
          <w:color w:val="auto"/>
        </w:rPr>
        <w:t>Amounts disclosed for “Purchase of common stock” represent repurchases of our common stock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open market (see discussion below). Amounts disclosed for “Other” include common stock repurchases for tax withholdings on vesting of equity incentive awards offset by treasury stock issuances under the Employee Stock Purchase Plan. See Note 10 – Employee Savings and Stock Purchase Plans, Collective Bargaining Agreements and Executive Benefit Agreement.</w:t>
      </w:r>
    </w:p>
    <w:p>
      <w:pPr>
        <w:spacing w:after="0" w:line="6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 Repurchase Program – </w:t>
      </w:r>
      <w:r>
        <w:rPr>
          <w:rFonts w:ascii="Times New Roman" w:cs="Times New Roman" w:eastAsia="Times New Roman" w:hAnsi="Times New Roman"/>
          <w:sz w:val="18"/>
          <w:szCs w:val="18"/>
          <w:color w:val="auto"/>
        </w:rPr>
        <w:t>In May 2023, our Board of Directors (our “Board”) authorized a $150 million stock repurchase program. During 2024,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approximately 1.5 million shares of common stock at an average cost of $8.13 per share for a total of $12.1 million. During our fiscal quarter ended December 31, 2024, we did not repurchase any of our outstanding common stock. Total repurchase authority remaining under the repurchase program was $109 million as of December 31, 2024. The repurchase program does not have a specified expiration date and may be suspended, terminated or modified at any time for any reason.</w:t>
      </w:r>
    </w:p>
    <w:p>
      <w:pPr>
        <w:spacing w:after="0" w:line="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Equity Awards </w:t>
      </w:r>
      <w:r>
        <w:rPr>
          <w:rFonts w:ascii="Times New Roman" w:cs="Times New Roman" w:eastAsia="Times New Roman" w:hAnsi="Times New Roman"/>
          <w:sz w:val="18"/>
          <w:szCs w:val="18"/>
          <w:color w:val="auto"/>
        </w:rPr>
        <w:t>– Equity award transactions with employees are measured based on the estimated fair value of the equity awards issued. For equity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only a service condition, the grant date fair value is based on the market price of our common stock and compensation is recognized so long as the service condition is met. For equity awards with a service and performance condition the grant date fair value is based on the market price of our common stock, and compensation is recognized so long as the service condition is met and it is probable the performance condition will be achieved. For equity awards with a service and market condition, the grant date fair value is based on a Monte Carlo simulation, and compensation cost is recognized so long as the service condition is met without regard to the outcome of the market condition. For equity awards with service conditions that have a graded vesting period, we recognize compensation cost on a straight-line basis over the requisite service period for the entire award. Forfeitures are accounted for as they occur. We may issue new shares of common stock or may use treasury shares to meet the settlement requirements upon vesting of equity awards.</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 </w:t>
      </w:r>
      <w:r>
        <w:rPr>
          <w:rFonts w:ascii="Times New Roman" w:cs="Times New Roman" w:eastAsia="Times New Roman" w:hAnsi="Times New Roman"/>
          <w:sz w:val="18"/>
          <w:szCs w:val="18"/>
          <w:color w:val="auto"/>
        </w:rPr>
        <w:t>Investments, which consist of highly liquid investments with original maturities of three months or less, are considered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 We classify cash that has been segregated or is otherwise limited in use as restricted. Our restricted cash as of December 31, 2023,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primarily to certain cash collateral held by Wells Fargo under the terminated Revolving Credit Facility discussed in Note 5 – Long-Term Debt for letters of credit outstanding, as we transitioned those items to our current Revolving Credit Facility. Our restricted cash was classified as a current asset and separately presented on the face of our consolidated balance sheet. We did not have any restricted cash as of December 31, 2024. The following table provides a reconciliation of cash and cash equivalents and restricted cash reported within the consolidated balance sheets to the total of the same such amounts shown in the consolidated statements of cash flows: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0"/>
        </w:trPr>
        <w:tc>
          <w:tcPr>
            <w:tcW w:w="8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3"/>
        </w:trPr>
        <w:tc>
          <w:tcPr>
            <w:tcW w:w="8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42"/>
        </w:trPr>
        <w:tc>
          <w:tcPr>
            <w:tcW w:w="8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20,230</w:t>
            </w:r>
          </w:p>
        </w:tc>
        <w:tc>
          <w:tcPr>
            <w:tcW w:w="6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98,500</w:t>
            </w:r>
          </w:p>
        </w:tc>
        <w:tc>
          <w:tcPr>
            <w:tcW w:w="100" w:type="dxa"/>
            <w:vAlign w:val="bottom"/>
            <w:shd w:val="clear" w:color="auto" w:fill="CFF0FC"/>
          </w:tcPr>
          <w:p>
            <w:pPr>
              <w:spacing w:after="0"/>
              <w:rPr>
                <w:sz w:val="18"/>
                <w:szCs w:val="18"/>
                <w:color w:val="auto"/>
              </w:rPr>
            </w:pPr>
          </w:p>
        </w:tc>
      </w:tr>
      <w:tr>
        <w:trPr>
          <w:trHeight w:val="216"/>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00" w:type="dxa"/>
            <w:vAlign w:val="bottom"/>
          </w:tcPr>
          <w:p>
            <w:pPr>
              <w:spacing w:after="0"/>
              <w:rPr>
                <w:sz w:val="18"/>
                <w:szCs w:val="18"/>
                <w:color w:val="auto"/>
              </w:rPr>
            </w:pPr>
          </w:p>
        </w:tc>
      </w:tr>
      <w:tr>
        <w:trPr>
          <w:trHeight w:val="250"/>
        </w:trPr>
        <w:tc>
          <w:tcPr>
            <w:tcW w:w="8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 of cash flows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20,230</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 Investments, which consist of United States treasury securities with remaining maturity at the time of purchase greater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but less than 12 months, are considered short-term investments and are classified as Level 1 under the fair value hierarchy. These investments are classified as held to maturity and we have no intention nor are we required to sell them prior to maturity. United States treasury bills with remaining maturity at the time of purchase of three month or less are included in cash and cash equivalents. Due to the nature of these investments as United States treasury securities, no impairment is anticipated. See “Note 8 – Derivatives, Hedges and Financial Instruments” for more information regarding our short-term investments.</w:t>
      </w:r>
    </w:p>
    <w:p>
      <w:pPr>
        <w:spacing w:after="0" w:line="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Substantially all of our accounts receivable consists of trade receivables from customers. We have recognized an appropriate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for estimated uncollectible accounts to reflect any estimate of expected credit losses. Our estimate is based on historical experience and periodic assessment, particularly on accounts that are past due (based upon the terms of the sale). Our periodic assessment is based on our best estimate of amounts that are not recoverable which includes a present collectability review and forward-looking assessment, where applicable. We write off accounts receivable when we deem them uncollectible and record recoveries of accounts receivable previously written off when received.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accounts receivable - allowance for doubtful accounts activity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60" w:type="dxa"/>
            <w:vAlign w:val="bottom"/>
          </w:tcPr>
          <w:p>
            <w:pPr>
              <w:spacing w:after="0"/>
              <w:rPr>
                <w:sz w:val="13"/>
                <w:szCs w:val="13"/>
                <w:color w:val="auto"/>
              </w:rPr>
            </w:pPr>
          </w:p>
        </w:tc>
        <w:tc>
          <w:tcPr>
            <w:tcW w:w="98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Charges to</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(Recovery of)</w:t>
            </w:r>
          </w:p>
        </w:tc>
        <w:tc>
          <w:tcPr>
            <w:tcW w:w="160" w:type="dxa"/>
            <w:vAlign w:val="bottom"/>
          </w:tcPr>
          <w:p>
            <w:pPr>
              <w:spacing w:after="0"/>
              <w:rPr>
                <w:sz w:val="12"/>
                <w:szCs w:val="12"/>
                <w:color w:val="auto"/>
              </w:rPr>
            </w:pPr>
          </w:p>
        </w:tc>
        <w:tc>
          <w:tcPr>
            <w:tcW w:w="9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Write-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660" w:type="dxa"/>
            <w:vAlign w:val="bottom"/>
            <w:vMerge w:val="restart"/>
          </w:tcPr>
          <w:p>
            <w:pPr>
              <w:jc w:val="right"/>
              <w:ind w:right="2195"/>
              <w:spacing w:after="0"/>
              <w:rPr>
                <w:sz w:val="20"/>
                <w:szCs w:val="20"/>
                <w:color w:val="auto"/>
              </w:rPr>
            </w:pPr>
            <w:r>
              <w:rPr>
                <w:rFonts w:ascii="Times New Roman" w:cs="Times New Roman" w:eastAsia="Times New Roman" w:hAnsi="Times New Roman"/>
                <w:sz w:val="14"/>
                <w:szCs w:val="14"/>
                <w:b w:val="1"/>
                <w:bCs w:val="1"/>
                <w:color w:val="auto"/>
              </w:rPr>
              <w:t>Accounts receivable - allowance for doubtful accounts: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60" w:type="dxa"/>
            <w:vAlign w:val="bottom"/>
          </w:tcPr>
          <w:p>
            <w:pPr>
              <w:spacing w:after="0"/>
              <w:rPr>
                <w:sz w:val="12"/>
                <w:szCs w:val="12"/>
                <w:color w:val="auto"/>
              </w:rPr>
            </w:pPr>
          </w:p>
        </w:tc>
        <w:tc>
          <w:tcPr>
            <w:tcW w:w="9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offs/Costs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400" w:type="dxa"/>
            <w:vAlign w:val="bottom"/>
            <w:gridSpan w:val="4"/>
            <w:shd w:val="clear" w:color="auto" w:fill="CFF0FC"/>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tcPr>
          <w:p>
            <w:pPr>
              <w:jc w:val="right"/>
              <w:ind w:right="5015"/>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jc w:val="right"/>
              <w:ind w:right="5015"/>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jc w:val="right"/>
              <w:ind w:right="5015"/>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Credit is extended to customers based on an evaluation of the customer’s financial condition and other factors. Customer payments are generally due thirty to sixty days after the invoice date. Concentrations of credit risk with respect to trade receivables are monitored and this risk is reduced due to short-term payment terms relating to most of our significant customers. Four customers (including their affiliates) accounted for approximately 38% of our total net receivables as of December 31, 2024.</w:t>
      </w:r>
    </w:p>
    <w:p>
      <w:pPr>
        <w:spacing w:after="0" w:line="6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Inventories are stated at the lower of cost (determined using the first-in, first-out basis) or net realizable value, which is the estimated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prices in the ordinary course of business, less reasonably predictable costs of completion, transportation or disposal. Finished goods include material, labor, and manufacturing overhead costs.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reserves associated with cost exceeding net realizable value were not material as of December 31, 2024 and 2023.</w:t>
      </w:r>
    </w:p>
    <w:p>
      <w:pPr>
        <w:spacing w:after="0" w:line="113"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 Property, plant and equipment (“PP&amp;E”) are stated at cost or fair market value in the case of assets acquired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or otherwise at reduced values to the extent there have been asset impairment write-downs, net of accumulated depreciation and amortization. Major renewals and improvements that increase the life, value, or productive capacity of assets are capitalized in PP&amp;E while maintenance, repairs and minor renewals, including planned maintenance turnarounds, are expensed as incurred. Interest cost related to the construction of qualifying assets is capitalized as part of the construction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financial reporting purposes, depreciation of the costs of PP&amp;E is computed using the straight-line method over the estimated useful lives of the assets. No provision for depreciation is made on construction in progress or capital spare parts until such time as the relevant assets are put into service. Depreciation expense is recognized in cost of sales or selling, general and administrative expenses within the consolidated statements of operations consistent with the utilization of the underlying assets.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PP&amp;E is retired, sold, or otherwise disposed, the asset’s carrying amount and related accumulated depreciation and amortization is removed from the accounts and any gain or loss is included in other (income) expense, net in our consolidated statements of operations.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operating lease assets, accrued and other liabilities and noncurrent operating lease liabilities in our consolidated balance sheets. Financing leases are included in property, plant and equipment, current portion of long-term debt, and long-term debt, net, in our consolidated balance sheets.</w:t>
      </w:r>
    </w:p>
    <w:p>
      <w:pPr>
        <w:spacing w:after="0" w:line="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 Long-lived assets are reviewed for impairment whenever events or changes in circumstances indicate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our asset groups are reviewed for impairment on a facility-by-facility basis (such as the Cherokee, El Dorado or Pryor Facility) unless it is determined that the asset being evaluated will generate cash flows that are independent from the rest of the facility.</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if the event or change in circumstance relates to the probable sale of an asset (or group of assets), the specific asset (or group of assets) is reviewed for impairment.</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2024, 2023 and 2022, we recorded asset write-downs of $11.7 million, $3.6 million and $1.2 million, respectively, primarily related to assets no longer in use. These write-downs are included in other expense (income), net on our consolidated statements of operations.</w:t>
      </w:r>
    </w:p>
    <w:p>
      <w:pPr>
        <w:spacing w:after="0" w:line="5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We determine if an arrangement is a lease at inception or modification of a contract and classify each lease as either an operating or finance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spacing w:after="0" w:line="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An operating lease asset represents our right to use the underlying asset as a lessee for the lease term and an operating lease liability represents our obligation to make lease payments arising from the lease. Currently, most of our leases are classified as operating leases and primarily relate to railcars, other equipment and office space. Our leases that are classified as finance leases primarily relate to railcars. Variable payments are excluded from the present value of lease payments and are recognized in the period in which the payment is made. We apply a practical expedient to include non-lease components in calculating the right of use asset and lease liability. Our current leases do not contain residual value guarantees. Most of our leases do not include options to extend or terminate the lease prior to the end of the term. Leases with a term of 12 months or less are not recognized in the balance sheet.</w:t>
      </w:r>
    </w:p>
    <w:p>
      <w:pPr>
        <w:spacing w:after="0" w:line="7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Since our leases generally do not provide an implicit rate, we use our incremental borrowing rate based on the lease term and other information available at the commencement date in determining the present value of lease payments. Lease expense is recognized on a straight-line basis over the applicable lease term.</w:t>
      </w:r>
    </w:p>
    <w:p>
      <w:pPr>
        <w:spacing w:after="0" w:line="6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Risks for Cash and Cash Equivalents </w:t>
      </w:r>
      <w:r>
        <w:rPr>
          <w:rFonts w:ascii="Times New Roman" w:cs="Times New Roman" w:eastAsia="Times New Roman" w:hAnsi="Times New Roman"/>
          <w:sz w:val="18"/>
          <w:szCs w:val="18"/>
          <w:color w:val="auto"/>
        </w:rPr>
        <w:t>– Financial instruments relating to cash and cash equivalents potentially subject us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concentrations of credit risk. These financial instruments were held by financial institutions within the United States</w:t>
      </w:r>
    </w:p>
    <w:p>
      <w:pPr>
        <w:spacing w:after="0" w:line="4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Short-Term Financing </w:t>
      </w:r>
      <w:r>
        <w:rPr>
          <w:rFonts w:ascii="Times New Roman" w:cs="Times New Roman" w:eastAsia="Times New Roman" w:hAnsi="Times New Roman"/>
          <w:sz w:val="18"/>
          <w:szCs w:val="18"/>
          <w:color w:val="auto"/>
        </w:rPr>
        <w:t>– Our short-term financing represents the short-term note related to financing of our insurance premiums, which are renewed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annually.</w:t>
      </w:r>
    </w:p>
    <w:p>
      <w:pPr>
        <w:spacing w:after="0" w:line="4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Income taxes are accounted for under the asset and liability method. Deferred tax assets and liabilities are measured using enacted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rates 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is met, we recognize a tax benefit measured at the largest amount of the tax benefit that, in our judgment, is greater than 50% likely to be realized. We record interest related to unrecognized tax positions in interest expense and penalties in operating other expense.</w:t>
      </w:r>
    </w:p>
    <w:p>
      <w:pPr>
        <w:spacing w:after="0" w:line="54"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Income tax benefits associated with amounts that are deductible for income tax purposes are recorded through the consolidated statement of operations. These benefits are principally generated from the vesting of restricted stock. We reduce income tax expense for investment tax credits in the period the credit arises and is earned.</w:t>
      </w:r>
    </w:p>
    <w:p>
      <w:pPr>
        <w:spacing w:after="0" w:line="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color w:val="auto"/>
        </w:rPr>
        <w:t>– Certain conditions may exist which may result in a loss, but which will only be resolved when future events occur. We assess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liabilities, and such assessment inherently involves an exercise of judgment. If the assessment of a contingency indicates that it is probable that a loss has been incurred, we accrue for such contingent loss when such loss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7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Asset Retirement Obligations </w:t>
      </w:r>
      <w:r>
        <w:rPr>
          <w:rFonts w:ascii="Times New Roman" w:cs="Times New Roman" w:eastAsia="Times New Roman" w:hAnsi="Times New Roman"/>
          <w:sz w:val="18"/>
          <w:szCs w:val="18"/>
          <w:color w:val="auto"/>
        </w:rPr>
        <w:t>– In general, we record the estimated fair value of an asset retirement obligation (“ARO”) associated with tangible long-lived assets in the period it is incurred and when there is sufficient information available to estimate the fair value. An ARO associated with long-lived assets is a legal obligation under existing or enacted law, statute, written or oral contract or legal construction. AROs, which are initially recorded based on estimated discounted cash flows, are accreted to full value over time through charges to cost of sales. In addition, we capitalize the corresponding asset retirement cost as plant, property and equipment, which cost is depreciated or depleted over the related asset’s respective useful life. We do not have any assets restricted for the purpose of settling our AROs. As of December 31, 2024 and 2023, our AROs were not material.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and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Performance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50"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We generally determine transfer of control based on when risk of loss is transferred, which could be at our facility or when the product reaches the buyer's destination. Most of our contracts contain a single performance obligation with the promise to transfer a specific product.</w:t>
      </w:r>
    </w:p>
    <w:p>
      <w:pPr>
        <w:spacing w:after="0" w:line="79"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Performance obligations from product sales are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Constraints and Variable Consideration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long term contracts, which are generally for periods of one year or greater, may contain terms with variable consideration related to both price and quantity. These contract prices are often based on published commodity prices (such as NYMEX natural gas price or the Tampa ammonia benchmark price) and the contract quantities are typically based on estimated ranges. The quantities become fixed and determinable over a period of time as each sale order is received from the customer.</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nature of our contracts also gives rise to other types of variable consideration, including volume discounts and rebates, make-whole provisions, other pricing concessions, short-fall charges and storage charges. We estimate these amounts based on the expected amount to be received from or provided to customers, which results in a transaction price adjustment increasing or decreasing revenue (net sales) when it is more likely than not that such adjustments will not be reversed. These estimates are based on historical experience, anticipated performance and our best judgment at the time. We reassess these estimates on a quarterly basis.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applied the following practical expedients and policy elections:</w:t>
      </w:r>
    </w:p>
    <w:p>
      <w:pPr>
        <w:spacing w:after="0" w:line="50" w:lineRule="exact"/>
        <w:rPr>
          <w:sz w:val="20"/>
          <w:szCs w:val="20"/>
          <w:color w:val="auto"/>
        </w:rPr>
      </w:pPr>
    </w:p>
    <w:p>
      <w:pPr>
        <w:ind w:left="1020" w:right="70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revenue in the amount we have the right to invoice relating to certain services that are performed for customers and not disclosing the value of unsatisfied performance obligations related to such services;</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disclosing the value of unsatisfied performance obligations for contracts with an original expected duration of one year or less;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as incurred any incremental costs of obtaining a contract if the associated period of benefit is one year or less;</w:t>
      </w:r>
    </w:p>
    <w:p>
      <w:pPr>
        <w:spacing w:after="0" w:line="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 from the measurement of the transaction price all taxes assessed by a governmental authority; and</w:t>
      </w:r>
    </w:p>
    <w:p>
      <w:pPr>
        <w:spacing w:after="0" w:line="3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for shipping and handling as activities to fulfill the promise to transfer the good.</w:t>
      </w:r>
    </w:p>
    <w:p>
      <w:pPr>
        <w:spacing w:after="0" w:line="11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 Cost of sales includes materials, labor and overhead costs, including depreciation, to manufacture the products sold plus inbound freight,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purchasing and receiving costs, inspection costs, internal transfer costs, loading and handling costs, warehousing costs, railcar lease costs and outbound freight. Precious metals used as a catalyst and consumed during the manufacturing process are included in cost of sales. Recoveries and gains from precious metals and business interruption insurance claims, if any, are reductions to cost of sales.</w:t>
      </w:r>
    </w:p>
    <w:p>
      <w:pPr>
        <w:spacing w:after="0" w:line="7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Turnarounds represent major maintenance activities that require the shutdown of significant parts of a plant to perform necessary inspections, cleanings, repairs, and replacements of assets. Maintenance, repairs and minor renewal costs relating to turnarounds are included in cost of sales in our consolidated statements of operations as they are incurred. Planned turnaround activities vary in frequency but generally occur every two to three years.</w:t>
      </w:r>
    </w:p>
    <w:p>
      <w:pPr>
        <w:spacing w:after="0" w:line="64"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 </w:t>
      </w:r>
      <w:r>
        <w:rPr>
          <w:rFonts w:ascii="Times New Roman" w:cs="Times New Roman" w:eastAsia="Times New Roman" w:hAnsi="Times New Roman"/>
          <w:sz w:val="18"/>
          <w:szCs w:val="18"/>
          <w:color w:val="auto"/>
        </w:rPr>
        <w:t>– Selling, general and administrative expense includes costs associated with the sales, marketing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functions. Such costs include personnel costs, including benefits, professional fees, office and occupancy costs associated with the sales, marketing and administrative functions. Also included in selling, general and administrative expense are any distribution fees paid to third parties to distribute our products.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Derivatives and Fair Value </w:t>
      </w:r>
      <w:r>
        <w:rPr>
          <w:rFonts w:ascii="Times New Roman" w:cs="Times New Roman" w:eastAsia="Times New Roman" w:hAnsi="Times New Roman"/>
          <w:sz w:val="18"/>
          <w:szCs w:val="18"/>
          <w:color w:val="auto"/>
        </w:rPr>
        <w:t>– In order to mitigate a portion of the commodity price risk associated with natural gas, which we utilize in our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 we periodically enter into natural gas forward contracts or volume purchase commitments. Such contracts are required to be accounted for as derivatives under applicable accounting guidance unless they are eligible for and we elect the normal purchase normal sale (“NPNS”) exception. We are eligible for the NPNS exception when these contracts provide for the purchase of natural gas that will be delivered in quantities expected to be used over a reasonable period of time in the normal course of business and are documented as such. In the event that we have natural gas derivatives that we do not elect or do not qualify for the NPNS exception, we would account for such contracts as derivatives by recognizing them in the balance sheet at fair value with changes in fair value recognized in the statement of operations. Such derivatives are not designated as hedges for accounting purposes.</w:t>
      </w:r>
    </w:p>
    <w:p>
      <w:pPr>
        <w:spacing w:after="0" w:line="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using the following hierarchy, which is based upon the transparency of inputs to the valuation as of the measurement date:</w:t>
      </w:r>
    </w:p>
    <w:p>
      <w:pPr>
        <w:spacing w:after="0" w:line="5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Valuations of contracts classified as Level 1 are based on quoted prices in active markets for identical contracts.</w:t>
      </w:r>
    </w:p>
    <w:p>
      <w:pPr>
        <w:spacing w:after="0" w:line="117" w:lineRule="exact"/>
        <w:rPr>
          <w:sz w:val="20"/>
          <w:szCs w:val="20"/>
          <w:color w:val="auto"/>
        </w:rPr>
      </w:pPr>
    </w:p>
    <w:p>
      <w:pPr>
        <w:ind w:left="380"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Valuations of contracts classified as Level 2 are based on quoted prices for similar contracts and valuation inputs other than quoted prices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are observable for these contracts.</w:t>
      </w:r>
    </w:p>
    <w:p>
      <w:pPr>
        <w:spacing w:after="0" w:line="47" w:lineRule="exact"/>
        <w:rPr>
          <w:sz w:val="20"/>
          <w:szCs w:val="20"/>
          <w:color w:val="auto"/>
        </w:rPr>
      </w:pPr>
    </w:p>
    <w:p>
      <w:pPr>
        <w:ind w:left="380" w:right="7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Valuations of assets and liabilities classified as Level 3 are based on prices or valuation techniques that require inputs that are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unobservable and significant to the overall fair value measurement.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ASU 2023-07 - </w:t>
      </w:r>
      <w:r>
        <w:rPr>
          <w:rFonts w:ascii="Times New Roman" w:cs="Times New Roman" w:eastAsia="Times New Roman" w:hAnsi="Times New Roman"/>
          <w:sz w:val="18"/>
          <w:szCs w:val="18"/>
          <w:color w:val="auto"/>
        </w:rPr>
        <w:t>In November 2023, the Financial Accounting Standards Board (“FASB”) issued Accounting Standards Update (“ASU”) 2023-07,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Reporting (Topic 280)—Improvements to Reportable Segment Disclosures, </w:t>
      </w:r>
      <w:r>
        <w:rPr>
          <w:rFonts w:ascii="Times New Roman" w:cs="Times New Roman" w:eastAsia="Times New Roman" w:hAnsi="Times New Roman"/>
          <w:sz w:val="18"/>
          <w:szCs w:val="18"/>
          <w:color w:val="auto"/>
        </w:rPr>
        <w:t>which improves reportable segment disclosure requirements through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The amendments include a new requirement to disclose significant segment expenses regularly provided to the chief operating decision maker (“CODM”), extend certain annual disclosures to interim periods, clarify single reportable segment entities must apply Accounting Standard Codification (“ASC”) 280 in its entirety, permit more than one measure of segment profit or loss to be reported under certain conditions and require disclosure of the title and position of the CODM. This ASU became effective for our fiscal year ended December, 31, 2024, and we have adopted the new disclosures within these financial statements. The adoption of this ASU did not have a material impact on our consolidated financial statements. See Note. 15 for further discussion.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ASU 2023-06 - </w:t>
      </w:r>
      <w:r>
        <w:rPr>
          <w:rFonts w:ascii="Times New Roman" w:cs="Times New Roman" w:eastAsia="Times New Roman" w:hAnsi="Times New Roman"/>
          <w:sz w:val="18"/>
          <w:szCs w:val="18"/>
          <w:color w:val="auto"/>
        </w:rPr>
        <w:t>In October 2023, the FASB issued ASU 2023-06,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Disclosure Improvements—Codification Amendments in Response to the SEC’s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Disclosure Update and Simplification Initiative</w:t>
      </w:r>
      <w:r>
        <w:rPr>
          <w:rFonts w:ascii="Times New Roman" w:cs="Times New Roman" w:eastAsia="Times New Roman" w:hAnsi="Times New Roman"/>
          <w:sz w:val="18"/>
          <w:szCs w:val="18"/>
          <w:color w:val="auto"/>
        </w:rPr>
        <w:t>, which modifies the disclosure or presentation requirements of a variety of topics in the codification.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the amendments represent clarifications to or technical corrections of the current requirements. For all entities, if by June 30, 2027, the SEC has not removed the applicable requirement from Regulation S-X or Regulation S-K, the pending content of the related amendment will be removed from the codification and will not become effective for any entity. These amendments should be applied prospectively. We are currently evaluating the timing and the effect of adoption of this ASU on our consolidated financial statements and related disclosures.</w:t>
      </w:r>
    </w:p>
    <w:p>
      <w:pPr>
        <w:spacing w:after="0" w:line="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ASU 2023-09 </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focuses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income tax disclosures around effective tax rates and cash income taxes paid. This ASU will be effective for us on a prospective basis for annual periods beginning after December 15, 2024. We will adopt this ASU prospectively for the period ending December 31, 2025, and it will impact only our disclosures with no impacts to our financial condition and results of operations. We do not expect the impact of this update to be material as the improvements are enhancements to existing disclosures in the financial statements.</w:t>
      </w:r>
    </w:p>
    <w:p>
      <w:pPr>
        <w:spacing w:after="0" w:line="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ASU 2024-03 - </w:t>
      </w:r>
      <w:r>
        <w:rPr>
          <w:rFonts w:ascii="Times New Roman" w:cs="Times New Roman" w:eastAsia="Times New Roman" w:hAnsi="Times New Roman"/>
          <w:sz w:val="18"/>
          <w:szCs w:val="18"/>
          <w:color w:val="auto"/>
        </w:rPr>
        <w:t>In November 2024, the FASB issued ASU 2024-03,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This ASU requires an entity to disclose the amounts of purchases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employee compensation, depreciation, and intangible asset amortization included in each relevant expense caption. It also requires an entity to include certain amounts that are already required to be disclosed under current U.S.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While this ASU will impact only our disclosures and not our financial condition and results of operations, we are currently evaluating the timing and effect of adopting this ASU.</w:t>
      </w:r>
    </w:p>
    <w:p>
      <w:pPr>
        <w:spacing w:after="0" w:line="8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Changes to U.S. GAAP are established by the FASB in the form of ASUs to the FASB’s Accounting Standards Codification. We considered all ASUs issued and outstanding or that became effective since January 1, 2024 through the date of these financial statements and determined them not to be applicable or materially impact our financial statements other than those ASUs specifically addressed above.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(Loss)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income per common share: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20" w:type="dxa"/>
            <w:vAlign w:val="bottom"/>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(19,353 )</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7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Numerator for basic and diluted net income (loss) per common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(19,353</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240" w:type="dxa"/>
            <w:vAlign w:val="bottom"/>
          </w:tcPr>
          <w:p>
            <w:pPr>
              <w:spacing w:after="0"/>
              <w:rPr>
                <w:sz w:val="18"/>
                <w:szCs w:val="18"/>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Denominator for basic net (loss) income per common</w:t>
            </w:r>
          </w:p>
        </w:tc>
        <w:tc>
          <w:tcPr>
            <w:tcW w:w="3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71,971</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share - weighted- average shares</w:t>
            </w:r>
          </w:p>
        </w:tc>
        <w:tc>
          <w:tcPr>
            <w:tcW w:w="320" w:type="dxa"/>
            <w:vAlign w:val="bottom"/>
            <w:shd w:val="clear" w:color="auto" w:fill="CFF0FC"/>
          </w:tcPr>
          <w:p>
            <w:pPr>
              <w:spacing w:after="0"/>
              <w:rPr>
                <w:sz w:val="20"/>
                <w:szCs w:val="20"/>
                <w:color w:val="auto"/>
              </w:rPr>
            </w:pPr>
          </w:p>
        </w:tc>
        <w:tc>
          <w:tcPr>
            <w:tcW w:w="102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74,536</w:t>
            </w:r>
          </w:p>
        </w:tc>
        <w:tc>
          <w:tcPr>
            <w:tcW w:w="2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Unvested restricted stock and stock units</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40" w:type="dxa"/>
            <w:vAlign w:val="bottom"/>
            <w:shd w:val="clear" w:color="auto" w:fill="CFF0FC"/>
          </w:tcPr>
          <w:p>
            <w:pPr>
              <w:ind w:left="200"/>
              <w:spacing w:after="0" w:line="191" w:lineRule="exact"/>
              <w:rPr>
                <w:sz w:val="20"/>
                <w:szCs w:val="20"/>
                <w:color w:val="auto"/>
              </w:rPr>
            </w:pPr>
            <w:r>
              <w:rPr>
                <w:rFonts w:ascii="Times New Roman" w:cs="Times New Roman" w:eastAsia="Times New Roman" w:hAnsi="Times New Roman"/>
                <w:sz w:val="18"/>
                <w:szCs w:val="18"/>
                <w:color w:val="auto"/>
              </w:rPr>
              <w:t>Denominator for diluted net (loss) income per common</w:t>
            </w:r>
          </w:p>
        </w:tc>
        <w:tc>
          <w:tcPr>
            <w:tcW w:w="32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71,971</w:t>
            </w:r>
          </w:p>
        </w:tc>
        <w:tc>
          <w:tcPr>
            <w:tcW w:w="2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75,100</w:t>
            </w:r>
          </w:p>
        </w:tc>
        <w:tc>
          <w:tcPr>
            <w:tcW w:w="2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40" w:type="dxa"/>
            <w:vAlign w:val="bottom"/>
            <w:tcBorders>
              <w:bottom w:val="single" w:sz="8" w:color="CFF0FC"/>
            </w:tcBorders>
            <w:shd w:val="clear" w:color="auto" w:fill="CFF0FC"/>
          </w:tcPr>
          <w:p>
            <w:pPr>
              <w:ind w:left="340"/>
              <w:spacing w:after="0" w:line="194" w:lineRule="exact"/>
              <w:rPr>
                <w:sz w:val="20"/>
                <w:szCs w:val="20"/>
                <w:color w:val="auto"/>
              </w:rPr>
            </w:pPr>
            <w:r>
              <w:rPr>
                <w:rFonts w:ascii="Times New Roman" w:cs="Times New Roman" w:eastAsia="Times New Roman" w:hAnsi="Times New Roman"/>
                <w:sz w:val="18"/>
                <w:szCs w:val="18"/>
                <w:color w:val="auto"/>
              </w:rPr>
              <w:t>share - adjusted weighted-average shares</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net (loss) income per common share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(0.27 )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7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net (loss) income per common share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(0.27 )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72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5050155</wp:posOffset>
            </wp:positionH>
            <wp:positionV relativeFrom="paragraph">
              <wp:posOffset>-1040765</wp:posOffset>
            </wp:positionV>
            <wp:extent cx="93980" cy="1797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6052820</wp:posOffset>
            </wp:positionH>
            <wp:positionV relativeFrom="paragraph">
              <wp:posOffset>-1040765</wp:posOffset>
            </wp:positionV>
            <wp:extent cx="9398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-1040765</wp:posOffset>
            </wp:positionV>
            <wp:extent cx="93980"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-625475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-607695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-625475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-607695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-625475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-325120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-307975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-325120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-307975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The following weighted-average shares of securities were not included in the computation of diluted net loss per common share as their effect would have been antidilutive: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6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and stock units</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tcPr>
          <w:p>
            <w:pPr>
              <w:spacing w:after="0"/>
              <w:rPr>
                <w:sz w:val="18"/>
                <w:szCs w:val="18"/>
                <w:color w:val="auto"/>
              </w:rPr>
            </w:pPr>
          </w:p>
        </w:tc>
      </w:tr>
      <w:tr>
        <w:trPr>
          <w:trHeight w:val="250"/>
        </w:trPr>
        <w:tc>
          <w:tcPr>
            <w:tcW w:w="66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4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Property, Plant and Equipment</w:t>
            </w: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6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Range of useful</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bottom w:val="single" w:sz="8" w:color="auto"/>
            </w:tcBorders>
          </w:tcPr>
          <w:p>
            <w:pPr>
              <w:jc w:val="center"/>
              <w:ind w:left="17"/>
              <w:spacing w:after="0" w:line="142" w:lineRule="exact"/>
              <w:rPr>
                <w:sz w:val="20"/>
                <w:szCs w:val="20"/>
                <w:color w:val="auto"/>
              </w:rPr>
            </w:pPr>
            <w:r>
              <w:rPr>
                <w:rFonts w:ascii="Times New Roman" w:cs="Times New Roman" w:eastAsia="Times New Roman" w:hAnsi="Times New Roman"/>
                <w:sz w:val="14"/>
                <w:szCs w:val="14"/>
                <w:b w:val="1"/>
                <w:bCs w:val="1"/>
                <w:color w:val="auto"/>
              </w:rPr>
              <w:t>lives in years</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equipment and automotive (1)</w:t>
            </w:r>
          </w:p>
        </w:tc>
        <w:tc>
          <w:tcPr>
            <w:tcW w:w="1360" w:type="dxa"/>
            <w:vAlign w:val="bottom"/>
            <w:gridSpan w:val="2"/>
            <w:shd w:val="clear" w:color="auto" w:fill="CFF0FC"/>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3 - 25</w:t>
            </w:r>
          </w:p>
        </w:tc>
        <w:tc>
          <w:tcPr>
            <w:tcW w:w="40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1,354,654</w:t>
            </w:r>
          </w:p>
        </w:tc>
        <w:tc>
          <w:tcPr>
            <w:tcW w:w="68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1,324,323</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3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15 - 30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38,041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38,086</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360" w:type="dxa"/>
            <w:vAlign w:val="bottom"/>
            <w:gridSpan w:val="2"/>
            <w:shd w:val="clear" w:color="auto" w:fill="CFF0FC"/>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7"/>
              </w:rPr>
              <w:t>20 - 35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10,443</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store equipment</w:t>
            </w:r>
          </w:p>
        </w:tc>
        <w:tc>
          <w:tcPr>
            <w:tcW w:w="136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b w:val="1"/>
                <w:bCs w:val="1"/>
                <w:color w:val="auto"/>
                <w:w w:val="99"/>
              </w:rPr>
              <w:t>3 - 25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2,648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 w:type="dxa"/>
            <w:vAlign w:val="bottom"/>
            <w:shd w:val="clear" w:color="auto" w:fill="CFF0FC"/>
          </w:tcPr>
          <w:p>
            <w:pPr>
              <w:spacing w:after="0"/>
              <w:rPr>
                <w:sz w:val="18"/>
                <w:szCs w:val="18"/>
                <w:color w:val="auto"/>
              </w:rPr>
            </w:pPr>
          </w:p>
        </w:tc>
        <w:tc>
          <w:tcPr>
            <w:tcW w:w="1320" w:type="dxa"/>
            <w:vAlign w:val="bottom"/>
            <w:shd w:val="clear" w:color="auto" w:fill="CFF0FC"/>
          </w:tcPr>
          <w:p>
            <w:pPr>
              <w:jc w:val="center"/>
              <w:ind w:left="17"/>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60,313</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41,086</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spare parts</w:t>
            </w:r>
          </w:p>
        </w:tc>
        <w:tc>
          <w:tcPr>
            <w:tcW w:w="40" w:type="dxa"/>
            <w:vAlign w:val="bottom"/>
          </w:tcPr>
          <w:p>
            <w:pPr>
              <w:spacing w:after="0"/>
              <w:rPr>
                <w:sz w:val="18"/>
                <w:szCs w:val="18"/>
                <w:color w:val="auto"/>
              </w:rPr>
            </w:pPr>
          </w:p>
        </w:tc>
        <w:tc>
          <w:tcPr>
            <w:tcW w:w="1320" w:type="dxa"/>
            <w:vAlign w:val="bottom"/>
          </w:tcPr>
          <w:p>
            <w:pPr>
              <w:jc w:val="center"/>
              <w:ind w:left="17"/>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26,652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21,256</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center"/>
              <w:ind w:left="17"/>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4,838</w:t>
            </w: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1,497,589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1,440,736</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650,019</w:t>
            </w: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605,438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32"/>
        </w:trPr>
        <w:tc>
          <w:tcPr>
            <w:tcW w:w="6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847,570</w:t>
            </w: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835,298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-2156460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-2139315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-2302510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-2156460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-2139315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-2302510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-2156460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-2139315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-441960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-441960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-159385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-13335</wp:posOffset>
            </wp:positionV>
            <wp:extent cx="18516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7">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-79375</wp:posOffset>
            </wp:positionV>
            <wp:extent cx="18516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8">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83" w:lineRule="exact"/>
        <w:rPr>
          <w:sz w:val="20"/>
          <w:szCs w:val="20"/>
          <w:color w:val="auto"/>
        </w:rPr>
      </w:pPr>
    </w:p>
    <w:p>
      <w:pPr>
        <w:ind w:left="520" w:right="200" w:hanging="512"/>
        <w:spacing w:after="0" w:line="298" w:lineRule="auto"/>
        <w:tabs>
          <w:tab w:leader="none" w:pos="33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Machinery, equipment and automotive primarily includes the categories of property and equipment and estimated useful lives as follows: processing plants and plant infrastructure (15-25 years); certain processing plant components (3-10 years); and trucks, automobiles, trailers, and other rolling stock (4-7 years).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Accrued and Other Liabilities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10,217</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7,477</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31,330</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noncurrent portion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accrued and other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30,874</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Long-Term Debt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7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Senior Secured Notes due 2028, with an interest</w:t>
            </w:r>
          </w:p>
        </w:tc>
        <w:tc>
          <w:tcPr>
            <w:tcW w:w="36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478,440</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rate of 6.25%</w:t>
            </w:r>
          </w:p>
        </w:tc>
        <w:tc>
          <w:tcPr>
            <w:tcW w:w="3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Secured Financing Agreement due 2025, with an interest</w:t>
            </w:r>
          </w:p>
        </w:tc>
        <w:tc>
          <w:tcPr>
            <w:tcW w:w="36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8,516</w:t>
            </w: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rate of 8.75%</w:t>
            </w:r>
          </w:p>
        </w:tc>
        <w:tc>
          <w:tcPr>
            <w:tcW w:w="360" w:type="dxa"/>
            <w:vAlign w:val="bottom"/>
            <w:shd w:val="clear" w:color="auto" w:fill="CFF0FC"/>
          </w:tcPr>
          <w:p>
            <w:pPr>
              <w:spacing w:after="0"/>
              <w:rPr>
                <w:sz w:val="20"/>
                <w:szCs w:val="20"/>
                <w:color w:val="auto"/>
              </w:rPr>
            </w:pPr>
          </w:p>
        </w:tc>
        <w:tc>
          <w:tcPr>
            <w:tcW w:w="120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3,895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(1)</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b w:val="1"/>
                <w:bCs w:val="1"/>
                <w:color w:val="auto"/>
              </w:rPr>
              <w:t>(5,572 )</w:t>
            </w: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(8,365 )</w:t>
            </w: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485,279</w:t>
            </w:r>
          </w:p>
        </w:tc>
        <w:tc>
          <w:tcPr>
            <w:tcW w:w="280" w:type="dxa"/>
            <w:vAlign w:val="bottom"/>
            <w:tcBorders>
              <w:top w:val="single" w:sz="8" w:color="CFF0F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581,721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9,116</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due after one year,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476,163</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_____________________________</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72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-2239645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-2222500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-2239645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-534035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-534035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-250825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-250825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520" w:right="20" w:hanging="512"/>
        <w:spacing w:after="0" w:line="298" w:lineRule="auto"/>
        <w:tabs>
          <w:tab w:leader="none" w:pos="5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Debt issuance costs as of December 31, 2024 and 2023 of approximately $0.6 million and $0.5 million, respectively, relating to our Revolving Credit Facility are not included in Unamortized debt issuance cost. They are included in our consolidated balance sheet in Intangible and other assets, net.</w:t>
      </w:r>
    </w:p>
    <w:p>
      <w:pPr>
        <w:spacing w:after="0" w:line="4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Revolving Credit Facility - </w:t>
      </w:r>
      <w:r>
        <w:rPr>
          <w:rFonts w:ascii="Times New Roman" w:cs="Times New Roman" w:eastAsia="Times New Roman" w:hAnsi="Times New Roman"/>
          <w:sz w:val="18"/>
          <w:szCs w:val="18"/>
          <w:color w:val="auto"/>
        </w:rPr>
        <w:t>The Revolving Credit Facility provides for borrowings up to an initial maximum of $75 million, with an option to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by an additional $25 million (which amount is uncommitted). Availability under the Revolving Credit Facility is subject to a borrowing base and is subject to an availability block of $7.5 million (which can be removed by us at our sole discretion, subject to the satisfaction of certain conditions) (the “Availability Block”). The Availability Block is applied against the $75 million maximum. The Revolving Credit Facility provides for a sub-facility for the issuance of letters of credit in an aggregate amount not to exceed $10 million, with the outstanding amount of any such letters of credit reducing availability for borrowings. As of December 31, 2024, our Revolving Credit Facility was undrawn and had approximately $37.2 million of availability.</w:t>
      </w:r>
    </w:p>
    <w:p>
      <w:pPr>
        <w:spacing w:after="0" w:line="7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Revolving Credit Facility matures on December 21, 2028, subject to springing maturity to the date that is 90 days prior to the stated maturity date of our existing Senior Secured Notes, which is currently October 15, 2028 (unless such Senior Secured Notes have been repaid or redeemed in full prior thereto). Borrowings outstanding under the Revolving Credit Facility will bear interest at a rate per annum equal to, at the option of us, either (a) term Secured Overnight Financing Rate (“SOFR”) for a period of one month (with a fallback to the prime rate if such rate is unavailable), plus 0.10%, plus an applicable margin of 1.625% or (b) term SOFR for a period of one, three or six months (at our election), plus 0.10%, plus an applicable margin of 1.625%, in each case with a floor of 0.00%.</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LSB Industries, Inc. and all of our subsidiaries (collectively, the “Borrowers”) are co-borrowers under the Revolving Credit Facility. Obligations under the Revolving Credit Facility are secured by a first priority security interest in substantially all of our current assets, including accounts receivable and inventory, subject to certain exceptions.</w:t>
      </w:r>
    </w:p>
    <w:p>
      <w:pPr>
        <w:spacing w:after="0" w:line="6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a financial covenant, which requires that, solely if we elect to remove the Availability Block, then the Borrowers must maintain a minimum fixed charge coverage ratio of not less than 1.00:1.00. The financial covenant, if triggered, is tested monthly. The financial covenant was not triggered as of December 31, 2024.</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Revolving Credit Facility includes other customary representations and warranties, affirmative covenants, negative covenants and events of default. Upon the occurrence of events of default, the obligations under the Revolving Credit Facility may be accelerated and the revolver commitments thereunder may be terminated.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Senior Secured Notes due 2028 - </w:t>
      </w:r>
      <w:r>
        <w:rPr>
          <w:rFonts w:ascii="Times New Roman" w:cs="Times New Roman" w:eastAsia="Times New Roman" w:hAnsi="Times New Roman"/>
          <w:sz w:val="18"/>
          <w:szCs w:val="18"/>
          <w:color w:val="auto"/>
        </w:rPr>
        <w:t>We previously issued at par an aggregate total of $700 million principal value of our Senior Secured Notes due 2028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Secured Notes”). The Senior Secured Notes, which mature in October 2028, bear interest at a rate of 6.25% paid in arrears on May 15 and October 15 of each year. From time to time, we have engaged in open market repurchases to extinguish a portion of the outstanding balance.</w:t>
      </w:r>
    </w:p>
    <w:p>
      <w:pPr>
        <w:spacing w:after="0" w:line="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2024, we repurchased $96.6 million of our Senior Secured Notes through open market transactions for approximately $92.2 million which was accounted for as an extinguishment of debt. Including our write-off of the associated remaining portion of unamortized debt issuance costs, we recognized a gain on extinguishment of debt, net of issuance costs, of approximately $3.0 million.</w:t>
      </w:r>
    </w:p>
    <w:p>
      <w:pPr>
        <w:spacing w:after="0" w:line="6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Senior Secured Notes mature on October 15, 2028, ranking senior in right of payment to all of our debt that is expressly subordinated in right of payment to the notes, and will rank pari passu in right of payment with all of our liabilities that are not so subordinated, including the Revolving Credit Facility. Our obligations under the Senior Secured Notes are jointly and severally guaranteed by the subsidiary guarantors named in the Indenture on a senior secured basis.</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Pursuant to the Indenture, we may redeem the Senior Secured Notes at our option, in whole or in part, at certain redemption prices, including a “make-whole” premium, as set forth in the Indenture but also includes redemption requirements associated with a change of control (as defined in the Indenture). The Senior Secured Notes do not have any conversion features. In addition, the Indenture contains customary covenants that limit, among other things, our ability to engage in certain transactions and also provides for customary events of default (subject in certain cases to customary grace and cure periods). Generally, if an event of default occurs and is continuing, the trustee or holders of at least 25% in principal amount of the then outstanding Senior Secured Notes may declare the principal of and accrued but unpaid interest on all the Senior Secured Notes to be due and payable.</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Indenture contains covenants that limit, among other things, our ability to (1) incur additional indebtedness; (2) declare or pay dividends, redeem stock or make other distributions to stockholders; (3) make other restricted payments, including investments; (4) create dividend and other payment restrictions affecting its subsidiaries; (5) create liens or use assets as security in other transactions; (6) merge or consolidate, or sell, transfer, lease or dispose of all or substantially all of our assets; and (7) enter into transactions with affiliates. Further, during any such time when the Senior Secured Notes are rated investment grade by each of Moody’s Investors Service, Inc. and Standard &amp; Poor’s Investors Ratings Services and no Default (as defined in the Indenture) has occurred and is continuing, certain of the covenants will be suspended with respect to the Senior Secured Notes.</w:t>
      </w:r>
    </w:p>
    <w:p>
      <w:pPr>
        <w:spacing w:after="0" w:line="7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Obligations in respect of the Senior Secured Notes are secured by a first priority security interest in substantially all of our fixed assets, subject to certain customary exceptions.</w:t>
      </w:r>
    </w:p>
    <w:p>
      <w:pPr>
        <w:spacing w:after="0" w:line="50"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Secured Financing Agreement due 2025 - </w:t>
      </w:r>
      <w:r>
        <w:rPr>
          <w:rFonts w:ascii="Times New Roman" w:cs="Times New Roman" w:eastAsia="Times New Roman" w:hAnsi="Times New Roman"/>
          <w:sz w:val="18"/>
          <w:szCs w:val="18"/>
          <w:color w:val="auto"/>
        </w:rPr>
        <w:t>In August 2020, we entered into a $30 million secured financing arrangement with an affiliate of Eldridge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Industries, L.L.C. (“Eldridge”). Principal and interest are payable in 60 equal monthly installments with a final balloon payment of approximately $5 million due in August 2025.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Finance Leases </w:t>
      </w:r>
      <w:r>
        <w:rPr>
          <w:rFonts w:ascii="Times New Roman" w:cs="Times New Roman" w:eastAsia="Times New Roman" w:hAnsi="Times New Roman"/>
          <w:sz w:val="18"/>
          <w:szCs w:val="18"/>
          <w:color w:val="auto"/>
        </w:rPr>
        <w:t>- Finance leases consist primarily of leases on railcars.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long-term debt for each of the five years after December 31, 2024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18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120" w:type="dxa"/>
            <w:vAlign w:val="bottom"/>
            <w:shd w:val="clear" w:color="auto" w:fill="CFF0FC"/>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8"/>
                <w:szCs w:val="18"/>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shd w:val="clear" w:color="auto" w:fill="CFF0FC"/>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478,897</w:t>
            </w:r>
          </w:p>
        </w:tc>
        <w:tc>
          <w:tcPr>
            <w:tcW w:w="120" w:type="dxa"/>
            <w:vAlign w:val="bottom"/>
          </w:tcPr>
          <w:p>
            <w:pPr>
              <w:spacing w:after="0"/>
              <w:rPr>
                <w:sz w:val="18"/>
                <w:szCs w:val="18"/>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4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FF0FC"/>
          </w:tcPr>
          <w:p>
            <w:pPr>
              <w:spacing w:after="0"/>
              <w:rPr>
                <w:sz w:val="18"/>
                <w:szCs w:val="18"/>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8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Pr>
          <w:p>
            <w:pPr>
              <w:spacing w:after="0"/>
              <w:rPr>
                <w:sz w:val="18"/>
                <w:szCs w:val="18"/>
                <w:color w:val="auto"/>
              </w:rPr>
            </w:pPr>
          </w:p>
        </w:tc>
      </w:tr>
      <w:tr>
        <w:trPr>
          <w:trHeight w:val="210"/>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Debt issuance costs</w:t>
            </w:r>
          </w:p>
        </w:tc>
        <w:tc>
          <w:tcPr>
            <w:tcW w:w="54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7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485,279</w:t>
            </w:r>
          </w:p>
        </w:tc>
        <w:tc>
          <w:tcPr>
            <w:tcW w:w="120" w:type="dxa"/>
            <w:vAlign w:val="bottom"/>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3740" w:type="dxa"/>
            <w:vAlign w:val="bottom"/>
          </w:tcPr>
          <w:p>
            <w:pPr>
              <w:spacing w:after="0"/>
              <w:rPr>
                <w:sz w:val="24"/>
                <w:szCs w:val="24"/>
                <w:color w:val="auto"/>
              </w:rPr>
            </w:pPr>
          </w:p>
        </w:tc>
        <w:tc>
          <w:tcPr>
            <w:tcW w:w="6180" w:type="dxa"/>
            <w:vAlign w:val="bottom"/>
            <w:gridSpan w:val="2"/>
          </w:tcPr>
          <w:p>
            <w:pPr>
              <w:jc w:val="right"/>
              <w:ind w:right="4030"/>
              <w:spacing w:after="0"/>
              <w:rPr>
                <w:sz w:val="20"/>
                <w:szCs w:val="20"/>
                <w:color w:val="auto"/>
              </w:rPr>
            </w:pPr>
            <w:r>
              <w:rPr>
                <w:rFonts w:ascii="Times New Roman" w:cs="Times New Roman" w:eastAsia="Times New Roman" w:hAnsi="Times New Roman"/>
                <w:sz w:val="18"/>
                <w:szCs w:val="18"/>
                <w:color w:val="auto"/>
              </w:rPr>
              <w:t>F-15</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provision for income taxes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84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w:t>
            </w:r>
          </w:p>
        </w:tc>
        <w:tc>
          <w:tcPr>
            <w:tcW w:w="8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4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18"/>
                <w:szCs w:val="18"/>
                <w:color w:val="auto"/>
              </w:rPr>
            </w:pPr>
          </w:p>
        </w:tc>
      </w:tr>
      <w:tr>
        <w:trPr>
          <w:trHeight w:val="210"/>
        </w:trPr>
        <w:tc>
          <w:tcPr>
            <w:tcW w:w="66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4"/>
              </w:rPr>
              <w:t>(4,908 )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43,217</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8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4"/>
              </w:rPr>
              <w:t>(2,037 )</w:t>
            </w: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(2,401 )</w:t>
            </w: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(6,363 )</w:t>
            </w:r>
          </w:p>
        </w:tc>
      </w:tr>
      <w:tr>
        <w:trPr>
          <w:trHeight w:val="20"/>
        </w:trPr>
        <w:tc>
          <w:tcPr>
            <w:tcW w:w="6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Deferred</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4"/>
              </w:rPr>
              <w:t>(6,945 )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36,854</w:t>
            </w:r>
          </w:p>
        </w:tc>
        <w:tc>
          <w:tcPr>
            <w:tcW w:w="100" w:type="dxa"/>
            <w:vAlign w:val="bottom"/>
            <w:shd w:val="clear" w:color="auto" w:fill="CFF0FC"/>
          </w:tcPr>
          <w:p>
            <w:pPr>
              <w:spacing w:after="0"/>
              <w:rPr>
                <w:sz w:val="18"/>
                <w:szCs w:val="18"/>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4"/>
              </w:rPr>
              <w:t>(6,684 )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2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39,174</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-1019175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-1019175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current (benefit) provision for federal and state income taxes shown above includes federal and state income tax after the consideration of permanent and temporary differences between income for U.S. GAAP and tax purposes.</w:t>
      </w:r>
    </w:p>
    <w:p>
      <w:pPr>
        <w:spacing w:after="0" w:line="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deferred tax (benefit) provision results from the recognition of changes in our prior year deferred tax assets and liabilities, and the utilization of federal and state NOL carryforwards and other temporary differences. We reduce income tax expense for tax credits in the year they arise and are earned. On December 31, 2024, our gross amount of tax credits available to offset state income taxes was $5.5 million ($4.3 million net of federal benefit). Most of these tax credits carryforward for 9 years and begin expiring in 2025. The gross amount of federal tax credits was $8.1million. These credits carryforward for 20 years and begin expiring in 2034.</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2024, we utilized approximately $30.8 million and $12.9 million of federal and state NOL carryforwards, respectively, to reduce tax liabilities. In 2023, we utilized approximately $76.7 million and $66.0 million of federal and state NOL carryforwards, respectively, to reduce tax liabilities. In 2022, we utilized approximately $240.0 million and $243.0 million of federal and state NOL carryforwards, respectively, to reduce tax liabilities. On December 31, 2024, we have remaining federal and state tax NOL carryforwards of $243.9 million and $342.7 million, respectively. The federal NOL carryforwards begin expiring in 2037 and the state NOL carryforwards begin expiring in 2026.</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considered both positive and negative evidence in our determination of the need for valuation allowances for the deferred tax assets associated with federal and state NOLs and federal credits and in conjunction with the IRC Section 382 limitation.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annual utilization limitations of interest expense and net operating losses and our results of operations. Based on our analysis, we believe that it is more-likely-than-not that all of our federal deferred tax assets will be utilized and a portion of our state deferred tax assets will not be able to be utilized. Information relating to our valuation allowance is included in the tables below. In 2024, the benefit for income taxes includes a net decrease of approximately $0.9 million of state valuation allowance primarily due to changes in state apportionment causing the remeasurement of state deferred balances partially offset by changes in future taxable income. There is no federal valuation allowance remaining as of December 31, 2024 or 2023.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include temporary differences and carryforwards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55"/>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760" w:type="dxa"/>
            <w:vAlign w:val="bottom"/>
            <w:gridSpan w:val="2"/>
          </w:tcPr>
          <w:p>
            <w:pPr>
              <w:jc w:val="right"/>
              <w:ind w:right="50"/>
              <w:spacing w:after="0" w:line="155"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3,242</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6,747</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12,692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operating loss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66,321</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73,891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12,663</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valuation allowance on deferred tax assets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(14,238 )</w:t>
            </w: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(15,175 )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87,595</w:t>
            </w:r>
          </w:p>
        </w:tc>
        <w:tc>
          <w:tcPr>
            <w:tcW w:w="280" w:type="dxa"/>
            <w:vAlign w:val="bottom"/>
            <w:tcBorders>
              <w:top w:val="single" w:sz="8" w:color="CFF0FC"/>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93,479</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60" w:type="dxa"/>
            <w:vAlign w:val="bottom"/>
          </w:tcPr>
          <w:p>
            <w:pPr>
              <w:spacing w:after="0"/>
              <w:rPr>
                <w:sz w:val="18"/>
                <w:szCs w:val="18"/>
                <w:color w:val="auto"/>
              </w:rPr>
            </w:pPr>
          </w:p>
        </w:tc>
        <w:tc>
          <w:tcPr>
            <w:tcW w:w="1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(139,524 )</w:t>
            </w:r>
          </w:p>
        </w:tc>
        <w:tc>
          <w:tcPr>
            <w:tcW w:w="4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(152,802 )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Right-of-use-assets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(6,731 )</w:t>
            </w: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and other insurance reserves</w:t>
            </w:r>
          </w:p>
        </w:tc>
        <w:tc>
          <w:tcPr>
            <w:tcW w:w="360" w:type="dxa"/>
            <w:vAlign w:val="bottom"/>
          </w:tcPr>
          <w:p>
            <w:pPr>
              <w:spacing w:after="0"/>
              <w:rPr>
                <w:sz w:val="18"/>
                <w:szCs w:val="18"/>
                <w:color w:val="auto"/>
              </w:rPr>
            </w:pPr>
          </w:p>
        </w:tc>
        <w:tc>
          <w:tcPr>
            <w:tcW w:w="14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(3,248 )</w:t>
            </w:r>
          </w:p>
        </w:tc>
        <w:tc>
          <w:tcPr>
            <w:tcW w:w="4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(3,593 )</w:t>
            </w:r>
          </w:p>
        </w:tc>
      </w:tr>
      <w:tr>
        <w:trPr>
          <w:trHeight w:val="249"/>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(149,503</w:t>
            </w:r>
          </w:p>
        </w:tc>
        <w:tc>
          <w:tcPr>
            <w:tcW w:w="280" w:type="dxa"/>
            <w:vAlign w:val="bottom"/>
            <w:tcBorders>
              <w:top w:val="single" w:sz="8" w:color="CFF0FC"/>
              <w:bottom w:val="single" w:sz="8" w:color="CFF0FC"/>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(162,332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772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(61,908</w:t>
            </w:r>
          </w:p>
        </w:tc>
        <w:tc>
          <w:tcPr>
            <w:tcW w:w="280" w:type="dxa"/>
            <w:vAlign w:val="bottom"/>
            <w:tcBorders>
              <w:bottom w:val="single" w:sz="8" w:color="CFF0FC"/>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(68,853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-1199515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-334010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-479425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of our income (loss) before taxes relates to domestic operations. Detailed below are the differences between the amount of the provision (benefit) for income taxes and the amount which would result from the application of the federal statutory rate to “Income (loss) before benefit for income taxes.”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6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Provision (benefit) for income taxes at federal</w:t>
            </w:r>
          </w:p>
        </w:tc>
        <w:tc>
          <w:tcPr>
            <w:tcW w:w="840" w:type="dxa"/>
            <w:vAlign w:val="bottom"/>
            <w:vMerge w:val="restart"/>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4"/>
              </w:rPr>
              <w:t>(5,468 )</w:t>
            </w:r>
          </w:p>
        </w:tc>
        <w:tc>
          <w:tcPr>
            <w:tcW w:w="1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statutory rate</w:t>
            </w:r>
          </w:p>
        </w:tc>
        <w:tc>
          <w:tcPr>
            <w:tcW w:w="840" w:type="dxa"/>
            <w:vAlign w:val="bottom"/>
            <w:vMerge w:val="continue"/>
            <w:shd w:val="clear" w:color="auto" w:fill="CFF0FC"/>
          </w:tcPr>
          <w:p>
            <w:pPr>
              <w:spacing w:after="0"/>
              <w:rPr>
                <w:sz w:val="20"/>
                <w:szCs w:val="20"/>
                <w:color w:val="auto"/>
              </w:rPr>
            </w:pPr>
          </w:p>
        </w:tc>
        <w:tc>
          <w:tcPr>
            <w:tcW w:w="74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current and deferred income tax provision (benefit)</w:t>
            </w:r>
          </w:p>
        </w:tc>
        <w:tc>
          <w:tcPr>
            <w:tcW w:w="8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4"/>
              </w:rPr>
              <w:t>(1,165 )</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Valuation allowance - Federal</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(12,701 )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 - State</w:t>
            </w:r>
          </w:p>
        </w:tc>
        <w:tc>
          <w:tcPr>
            <w:tcW w:w="8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(937 )</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(19,351 )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tax rate changes</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(3,499 )</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4"/>
              </w:rPr>
              <w:t>(6,684 )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uncertain tax positions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980" w:type="dxa"/>
            <w:vAlign w:val="bottom"/>
          </w:tcPr>
          <w:p>
            <w:pPr>
              <w:spacing w:after="0"/>
              <w:rPr>
                <w:sz w:val="18"/>
                <w:szCs w:val="18"/>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80" w:type="dxa"/>
            <w:vAlign w:val="bottom"/>
            <w:shd w:val="clear" w:color="auto" w:fill="CFF0FC"/>
          </w:tcPr>
          <w:p>
            <w:pPr>
              <w:spacing w:after="0"/>
              <w:rPr>
                <w:sz w:val="18"/>
                <w:szCs w:val="18"/>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expect that the amount of unrecognized tax benefits may change as the result of ongoing operations, the outcomes of audits, and the expiration of statute of limitations. This change is not expected to have a significant effect on our results of operations or financial condition. As of December 31, 2024, there is no remaining uncertain tax position.</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record interest related to unrecognized tax positions in interest expense and penalties in operating other expense. For 2024, 2023 and 2022, there were no accrued interest or penalties associated with unrecognized tax positions.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LSB and certain of its subsidiaries file income tax returns in the United States federal jurisdiction and various state jurisdictions. With few exceptions, the 2021-2024 years remain open for all purposes of examination by the United States Internal Revenue Service and other major tax jurisdictions. Additionally, the 2013-2020 years remain subject to examination for determining the amount of net operating loss and other carryforwards.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Sales Commitments </w:t>
      </w:r>
      <w:r>
        <w:rPr>
          <w:rFonts w:ascii="Times New Roman" w:cs="Times New Roman" w:eastAsia="Times New Roman" w:hAnsi="Times New Roman"/>
          <w:sz w:val="18"/>
          <w:szCs w:val="18"/>
          <w:color w:val="auto"/>
        </w:rPr>
        <w:t>– We have the following significant sales commitments.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Nitric acid supply agreement – We are party to an agreement with a customer to supply nitric acid. Under the agreement, we agreed to supply between 70,000 to 100,000 tons of nitric acid annually. The initial contract term began in 2021 and extends through 2027 but includes automatic one-year renewal terms unless terminated by either party in writing 180 days before the current contract expiration date.</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Low carbon ammonium nitrate solution agreement – We are a party to an agreement with a customer to supply low carbon ammonium nitrate solution. Under the agreement, we agreed to supply 150,000 tons of low carbon ammonium nitrate solution annually. The initial contract term began in 2025 with a phasing in of the low carbon contracted volume and extends through 2029. The contract may be terminated by mutual written agreement and the customer may terminate upon one years written notice subject to certain termination fees.</w:t>
      </w:r>
    </w:p>
    <w:p>
      <w:pPr>
        <w:spacing w:after="0" w:line="6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Outstanding Natural Gas Purchase Commitments – </w:t>
      </w:r>
      <w:r>
        <w:rPr>
          <w:rFonts w:ascii="Times New Roman" w:cs="Times New Roman" w:eastAsia="Times New Roman" w:hAnsi="Times New Roman"/>
          <w:sz w:val="18"/>
          <w:szCs w:val="18"/>
          <w:color w:val="auto"/>
        </w:rPr>
        <w:t>Certain of our natural gas contracts qualify as normal purchases under U.S. GAAP and thus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instruments for which we mark-to-market. At December 31, 2024, these contracts included volume purchase commitments with fixed prices of approximately 0.6 million MMBtus of natural gas that cover a period from January 2025 through March 2025. The weighted-average price of the natural gas covered by these contracts was $3.70 per MMBtu, for a total of $2.1 million. Based on strip prices, the weighted-average market price of the fixed contracts was $3.82 per MMBtu for a total of $2.2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standby letters of credit outstanding of approximately $0.4 million as of December 31, 2024.</w:t>
      </w:r>
    </w:p>
    <w:p>
      <w:pPr>
        <w:spacing w:after="0" w:line="11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Wastewater Pipeline Operating Agreement – </w:t>
      </w:r>
      <w:r>
        <w:rPr>
          <w:rFonts w:ascii="Times New Roman" w:cs="Times New Roman" w:eastAsia="Times New Roman" w:hAnsi="Times New Roman"/>
          <w:sz w:val="18"/>
          <w:szCs w:val="18"/>
          <w:color w:val="auto"/>
        </w:rPr>
        <w:t>We are party to an operating agreement for the right to use a pipeline to dispose certain wastewater.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contractually obligated to pay a portion of the annual operating costs of the pipeline, as incurred, which portion is estimated to be $60,000 to $90,000 annually. The initial term of the operating agreement is through December 2053.</w:t>
      </w:r>
    </w:p>
    <w:p>
      <w:pPr>
        <w:spacing w:after="0" w:line="6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Performance and Payment Bonds – </w:t>
      </w:r>
      <w:r>
        <w:rPr>
          <w:rFonts w:ascii="Times New Roman" w:cs="Times New Roman" w:eastAsia="Times New Roman" w:hAnsi="Times New Roman"/>
          <w:sz w:val="18"/>
          <w:szCs w:val="18"/>
          <w:color w:val="auto"/>
        </w:rPr>
        <w:t>We are contingently liable to sureties in respect of certain insurance bonds issued by the sureties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contracts entered into by certain subsidiaries in the normal course of business. These insurance bonds primarily represent guarantees of future performance of our subsidiaries. As of December 31, 2024, we have agreed to indemnify the sureties for payments, up to $10.3 million, made by them in respect of such bonds. All of these insurance bonds are expected to expire or be renewed in 2025.</w:t>
      </w:r>
    </w:p>
    <w:p>
      <w:pPr>
        <w:spacing w:after="0" w:line="68"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Employment and Severance Agreements - </w:t>
      </w:r>
      <w:r>
        <w:rPr>
          <w:rFonts w:ascii="Times New Roman" w:cs="Times New Roman" w:eastAsia="Times New Roman" w:hAnsi="Times New Roman"/>
          <w:sz w:val="18"/>
          <w:szCs w:val="18"/>
          <w:color w:val="auto"/>
        </w:rPr>
        <w:t>We have employment and severance agreements with several of our officers. The agreements,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annual base salaries, bonuses and other benefits commonly found in such agreements. In the event of termination of employment due to a change in control (as defined in the agreements), the agreements provide for payments aggregating $10.6 million as of December 31, 2024. Also see Note 10 – Employee Savings and Stock Purchase Plans, Collective Bargaining Agreements and Executive Benefit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addition, claims for damages to persons or property, including natural resources, may result from the environmental, health and safety effects of our operations.</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number of our facilities are dependent on environmental permits to operate, the loss or modification of which could have a material adverse effect on their operations and our financial condition.</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2024, our accrued liabilities for environmental matters totaled approximately $0.6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Discharge Water Matters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United States Environmental Protection Agency. These permits limit the type and volume of effluents that can be discharged and control the method of such discharge.</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2017, the Company filed a Permit Renewal Application for its Non-Hazardous Injection Well Permit at the Pryor Facility. Although the Injection Well Permit expired in 2018, we continue to operate the injection well in accordance with an executed November 2023 Consent Order with the Oklahoma Department of Environmental Quality (“ODEQ”) that allows for the continued use of the injection well until a wastewater treatment process is designed, built and operational. The Company continues to work with the ODEQ under the terms of the Consent Order. We have identified and selected a wastewater treatment technology using biological processes that can and will treat the nitrogen-containing wastewater streams at our Pryor Facility. We are unable to estimate the costs related to the replacement of the disposal well at this time as we are in the early stages of design for the wastewater treatment process with a wastewater process design engineering firm. We have also commenced preliminary discussions with the ODEQ on permitting the treated wastewater discharges but have not received any confirmation from the ODEQ on their preliminary acceptance of our treated wastewater stream.</w:t>
      </w:r>
    </w:p>
    <w:p>
      <w:pPr>
        <w:spacing w:after="0" w:line="8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2006, the Company entered into a Consent Administrative Order (“CAO”) that recognizes the presence of nitrate contamination in the shallow groundwater at our El Dorado Facility. The CAO required us to perform semi-annual groundwater monitoring, continue operation of a groundwater recovery system, submit a human health and ecological risk assessment and submit a remedial action plan. The risk assessment was submitted in 2007. In 2015, the Arkansas Department of Environmental Quality (“ADEQ”) stated that the El Dorado Facility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In August 2023, the Company received a Notice of Violation (“NOV”) for wastewater discharges from our El Dorado Facility. We have been in discussions with the ADEQ about our response to the NOV and the potential for financial penalties associated with the NOV. As of the date of this report, the ADEQ has provided no written indication or details regarding the financial penalty. No liability has been established as of December 31, 2024, in connection with this ADEQ matter.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Environmental Matters</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3"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final remedy, including the EUC, the finalization of the cost estimates and any required financial assurances remains under discussion with the KDHE. Pending the results from our discussions regarding the final remedy, we continue to accrue our allocable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spacing w:after="0" w:line="6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received a NOV for ten findings identified from an inspection conducted by the United States Environmental Protection Agency (“EPA”) Region IV at our Cherokee Facility in late 2022. We provided written responses to each finding in the inspection report issued in connection with such inspection and to the Notice of Potential Violations and held direct communications with the EPA related to the matter. A meeting was held with the EPA in January 2024 to discuss the NOV and our subsequent responsive actions. During the meeting, the EPA proposed two alternatives for the penalties related to the violations.</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We accepted one of the proposed alternatives, which included a cash fine and an investment in a community project, for which we accrued an estimate as of December 31, 2023.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Pending, Threatened or Settled Litigation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Industrial Matter</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2015, we and El Dorado Ammonia L.L.C. (“EDA”) received written notice from Global Industrial, Inc. (“Global”) of Global’s intention to assert mechanic liens for labor, service, or materials furnished under certain subcontract agreements for the improvement of the ammonia plant (“Ammonia Plant”) at our El Dorado Facility. Global was a subcontractor of Leidos Constructors, LLC (“Leidos”), the general contractor for EDA for the construction of the Ammonia Plant. Leidos terminated the services of Global with respect to their work performed at our El Dorado Facility.</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LSB and EDA are pursuing the recovery of any damage or loss caused by Global’s work performed through their contract with Leidos at our El Dorado Facility. In March 2016, EDC and LSB were served a summons in a case styled </w:t>
      </w:r>
      <w:r>
        <w:rPr>
          <w:rFonts w:ascii="Times New Roman" w:cs="Times New Roman" w:eastAsia="Times New Roman" w:hAnsi="Times New Roman"/>
          <w:sz w:val="18"/>
          <w:szCs w:val="18"/>
          <w:i w:val="1"/>
          <w:iCs w:val="1"/>
          <w:color w:val="auto"/>
        </w:rPr>
        <w:t>Global Industrial, Inc. d/b/a Global Turnaround vs. Leidos Constructors,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LLC et al., </w:t>
      </w:r>
      <w:r>
        <w:rPr>
          <w:rFonts w:ascii="Times New Roman" w:cs="Times New Roman" w:eastAsia="Times New Roman" w:hAnsi="Times New Roman"/>
          <w:sz w:val="18"/>
          <w:szCs w:val="18"/>
          <w:color w:val="auto"/>
        </w:rPr>
        <w:t>in the Circuit Court of Union County, Arkansas (the “Union County Trial Court”), wherein Global sought damages under breach of contract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claims. At the time of the summons, our accounts payable included invoices totaling approximately $3.5 million related to work performed by Global that is the subject of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spacing w:after="0" w:line="8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During 2018, the Union County Trial Court bifurcated the case into: (1) Global’s claims against Leidos and LSB and (2) the cross-claims between Leidos and LSB. Part (1) of the case was tried in the Union County Trial Court. In March 2020, the Union County Trial Court rendered a judgment and then an amended final judgment in April 2020. The amended final judgment awarded Global (i) approximately $7.4 million (including the $3.5 million referred to above) for labor, service and materials furnished relating to the Ammonia Plant on the basis of what the Union County Trial Court called a claim for “nonpayment of invoices,” (ii) approximately $1.3 million for prejudgment interest on the same claim, and (iii) a lien on certain property and foreclosure on the lien to satisfy the monetary obligations of the judgement. In addition, post-judgment interest will accrue at the annual rate of 4.25% until the judgment is paid. LSB appealed this judgment and on October 18, 2023, the Arkansas Court of Appeals reversed and remanded. The Arkansas Court of Appeal ruled that the lien was defective and therefore invalid, and that the claim for “nonpayment of invoices” was not a cause of action and reversed and remanded the judgment on that claim. In December 2023, the Arkansas Court of Appeal denied Global’s request for rehearing and the Arkansas Supreme Court declined to hear Global’s appeal. As a result, we do not expect to have any material continuing liability related to this matter and, in 2023, we reversed approximately $9.8 million of payables and accrued liabilities, which related to approximately $2.4 million in pre and post-judgement accrued interest and $7.4 million of gross plant, property and equipment. These adjustments also impacted our results of operations for the twelve months ended December 31, 2023, through the reversals of approximately $2.4 million of interest expense and of approximately $1.8 million in previously recognized depreciation expense (a component of cost of sales) on the related plant, property and equipment.</w:t>
      </w:r>
    </w:p>
    <w:p>
      <w:pPr>
        <w:spacing w:after="0" w:line="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LSB retains all of its claims against Leidos and intends to vigorously prosecute those claims and vigorously contest the cross-claims in Part (2) of the matter referred to above. We expect the trial to be set for the second half of 2025.</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No liability was established as of December 31, 2024, in connection with the cross-claims in Part (2) of the matter, except for certain invoices held in accounts payable.</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also involved in various other claims and legal actions (including matters involving gain contingencies) in the ordinary course of our business. While it is possible that the actual claims results could differ from our estimates, after consultation with legal counsel, we believe that any such differences will not have a material effect on our business, financial condition, results of operations or cash flows.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382 Rights Plan Litigation</w:t>
      </w:r>
    </w:p>
    <w:p>
      <w:pPr>
        <w:spacing w:after="0" w:line="11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A putative stockholder class action complaint, styled as </w:t>
      </w:r>
      <w:r>
        <w:rPr>
          <w:rFonts w:ascii="Times New Roman" w:cs="Times New Roman" w:eastAsia="Times New Roman" w:hAnsi="Times New Roman"/>
          <w:sz w:val="18"/>
          <w:szCs w:val="18"/>
          <w:i w:val="1"/>
          <w:iCs w:val="1"/>
          <w:color w:val="auto"/>
        </w:rPr>
        <w:t>Witmer v. Golsen, et al</w:t>
      </w:r>
      <w:r>
        <w:rPr>
          <w:rFonts w:ascii="Times New Roman" w:cs="Times New Roman" w:eastAsia="Times New Roman" w:hAnsi="Times New Roman"/>
          <w:sz w:val="18"/>
          <w:szCs w:val="18"/>
          <w:color w:val="auto"/>
        </w:rPr>
        <w:t>., C.A. No. 2024-035-PAF (the “Action”) was filed on April 3, 2024 in the Delaware Court of Chancery (the “Court of Chancery”). The plaintiff claimed, among other things, that the Board breached its fiduciary duty by adopting an Internal Revenue Code (“IRC”) Section 382 stockholder rights plan with antitakeover and entrenching measures designed to protect the Board’s incumbency. Specifically, the plaintiff alleged that the Company’s Section 382 rights plan (the “Amended NOL Rights Agreement”) was not narrowly tailored as it carried a 4.9% trigger and an allegedly overbroad definition of “Beneficial Ownership” that aggregated shares subject to “agreements, arrangements or understandings” between stockholders related to voting or influencing the Company. The plaintiff further alleged that the Board also issued a false and misleading proxy statement when soliciting stockholder approval of the Amended NOL Rights Agreement. The Company disagreed with plaintiff’s allegations, and asserts that terms of the Amended NOL Rights Agreement, including the definition of Beneficial Ownership, is a proportionate response to the threat of the occurrence of an “ownership change” under Section 382 of the IRC and the resulting risk of substantial impairment to its ability to benefit from its net operating loss carryforwards and its other tax attributes.</w:t>
      </w:r>
    </w:p>
    <w:p>
      <w:pPr>
        <w:spacing w:after="0" w:line="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May 14, 2024, the parties stipulated to dismissal of the Action after the Company voluntarily made limited technical amendments to the Amended NOL Rights Agreement and amendments to its proxy statement. The Company issued the amended proxy statement on May 3, 2024. The Court of Chancery dismissed the Action and retained jurisdiction solely for the purpose of deciding any application of the plaintiff’s counsel for an award of attorneys’ fees and expenses. On May 31, 2024, plaintiff’s counsel filed their motion for an award of attorneys’ fee and expenses in the amount of $2.4 million. The Company and the defendants in the Action opposed such relief. The parties fully briefed the motion and the Court held argument on October 4, 2024. On October 4, 2024, the Court awarded plaintiff $0.6 million in attorneys’ fees and expenses in the aggregate which has been paid as of December 31, 2024.</w:t>
      </w:r>
    </w:p>
    <w:p>
      <w:pPr>
        <w:spacing w:after="0" w:line="78" w:lineRule="exact"/>
        <w:rPr>
          <w:sz w:val="20"/>
          <w:szCs w:val="20"/>
          <w:color w:val="auto"/>
        </w:rPr>
      </w:pPr>
    </w:p>
    <w:p>
      <w:pPr>
        <w:ind w:left="200" w:right="7440" w:hanging="192"/>
        <w:spacing w:after="0" w:line="354" w:lineRule="auto"/>
        <w:tabs>
          <w:tab w:leader="none" w:pos="193"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Hedges and Financial Instruments Natural Gas Contracts</w:t>
      </w:r>
    </w:p>
    <w:p>
      <w:pPr>
        <w:spacing w:after="0" w:line="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Periodically, we enter into certain forward natural gas contracts or volume purchase commitments which are within the scope of derivative accounting. None of our natural gas contracts throughout 2024, 2023 and 2022 were accounted for as derivatives as we elected the normal purchase and normal sales scope exception on those contracts. Please see our discussion in Note 1 – Summary of Significant Accounting Policies regarding derivatives.</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242424"/>
        </w:rPr>
        <w:t xml:space="preserve">From time to time, when the Company exceeds the funding threshold in our natural gas purchase commitments, the Company is required to fund cash collateral to our counterparty. </w:t>
      </w:r>
      <w:r>
        <w:rPr>
          <w:rFonts w:ascii="Times New Roman" w:cs="Times New Roman" w:eastAsia="Times New Roman" w:hAnsi="Times New Roman"/>
          <w:sz w:val="18"/>
          <w:szCs w:val="18"/>
          <w:color w:val="000000"/>
        </w:rPr>
        <w:t>As of December 31, 2024, we had no counterparty cash collateral funding requirements.</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December 31, 2024 and 2023, we did not have any financial instruments with fair values materially different from their carrying amounts (which excludes issuance costs, if applicable) except for our Senior Secured Notes. The fair value of our Senior Secured Notes is classified as a Level 2 fair value measurement while the treasury securities that comprise our cash equivalents and short-term investments are a Level 1. The fair value of financial instruments is not indicative of the overall fair value of our assets and liabilities since financial instruments do not include all assets, including intangibles and all liabilities.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ind w:right="202"/>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jc w:val="right"/>
              <w:ind w:right="202"/>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20" w:type="dxa"/>
            <w:vAlign w:val="bottom"/>
          </w:tcPr>
          <w:p>
            <w:pPr>
              <w:spacing w:after="0"/>
              <w:rPr>
                <w:sz w:val="10"/>
                <w:szCs w:val="10"/>
                <w:color w:val="auto"/>
              </w:rPr>
            </w:pPr>
          </w:p>
        </w:tc>
      </w:tr>
      <w:tr>
        <w:trPr>
          <w:trHeight w:val="173"/>
        </w:trPr>
        <w:tc>
          <w:tcPr>
            <w:tcW w:w="58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ind w:left="7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89"/>
              </w:rPr>
              <w:t>Millions)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Secured Notes (1)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b w:val="1"/>
                <w:bCs w:val="1"/>
                <w:color w:val="auto"/>
                <w:w w:val="96"/>
              </w:rPr>
              <w:t>461</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FF0FC"/>
          </w:tcPr>
          <w:p>
            <w:pPr>
              <w:spacing w:after="0"/>
              <w:rPr>
                <w:sz w:val="18"/>
                <w:szCs w:val="18"/>
                <w:color w:val="auto"/>
              </w:rPr>
            </w:pPr>
          </w:p>
        </w:tc>
      </w:tr>
      <w:tr>
        <w:trPr>
          <w:trHeight w:val="202"/>
        </w:trPr>
        <w:tc>
          <w:tcPr>
            <w:tcW w:w="58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164</w:t>
            </w:r>
          </w:p>
        </w:tc>
        <w:tc>
          <w:tcPr>
            <w:tcW w:w="4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ind w:left="700"/>
              <w:spacing w:after="0" w:line="202" w:lineRule="exact"/>
              <w:rPr>
                <w:sz w:val="20"/>
                <w:szCs w:val="20"/>
                <w:color w:val="auto"/>
              </w:rPr>
            </w:pPr>
            <w:r>
              <w:rPr>
                <w:rFonts w:ascii="Times New Roman" w:cs="Times New Roman" w:eastAsia="Times New Roman" w:hAnsi="Times New Roman"/>
                <w:sz w:val="18"/>
                <w:szCs w:val="18"/>
                <w:b w:val="1"/>
                <w:bCs w:val="1"/>
                <w:color w:val="auto"/>
                <w:w w:val="96"/>
              </w:rPr>
              <w:t>164</w:t>
            </w:r>
          </w:p>
        </w:tc>
        <w:tc>
          <w:tcPr>
            <w:tcW w:w="52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207</w:t>
            </w:r>
          </w:p>
        </w:tc>
        <w:tc>
          <w:tcPr>
            <w:tcW w:w="4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7"/>
                <w:szCs w:val="17"/>
                <w:color w:val="auto"/>
              </w:rPr>
            </w:pPr>
          </w:p>
        </w:tc>
      </w:tr>
      <w:tr>
        <w:trPr>
          <w:trHeight w:val="140"/>
        </w:trPr>
        <w:tc>
          <w:tcPr>
            <w:tcW w:w="580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_____________________________</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89"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quoted price of 96.38 as of December 31, 2024 and 94.50 as of December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2016 Long Term Incentive Plan </w:t>
      </w:r>
      <w:r>
        <w:rPr>
          <w:rFonts w:ascii="Times New Roman" w:cs="Times New Roman" w:eastAsia="Times New Roman" w:hAnsi="Times New Roman"/>
          <w:sz w:val="18"/>
          <w:szCs w:val="18"/>
          <w:color w:val="auto"/>
        </w:rPr>
        <w:t>– Our equity award grants during the periods presented below were granted under the 2016 Long Term Incentive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“2016 Plan”), which replaced the 2008 Incentive Stock Plan. The 2016 Plan was approved by our stockholders in 2016 and subsequently amended in 2021. No awards may be granted under the 2016 Plan on and after the tenth anniversary of its effective date. The 2016 Plan is administered by the compensation committee (the “Committee”) of our Board and allows for, among others, the following types of awards: restricted stock, restricted stock units, and other stock and cash-based awards, stock appreciation rights and stock options. As of December 31, 2024, the maximum aggregate number of shares currently authorized for issuance under the 2016 Plan is 5,750,000 shares with 954,864 shares available to be issued.</w:t>
      </w:r>
    </w:p>
    <w:p>
      <w:pPr>
        <w:spacing w:after="0" w:line="7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Restricted Stock and Restricted Stock Units </w:t>
      </w:r>
      <w:r>
        <w:rPr>
          <w:rFonts w:ascii="Times New Roman" w:cs="Times New Roman" w:eastAsia="Times New Roman" w:hAnsi="Times New Roman"/>
          <w:sz w:val="18"/>
          <w:szCs w:val="18"/>
          <w:color w:val="auto"/>
        </w:rPr>
        <w:t>– During 2024, time-based restricted stock units (“RSUs”) and performance-based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(“PBRSUs”) were granted to certain executives and employees. Certain time-based (i.e., a “service condition”)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RSUs had graded vesting provisions of equal annual increments over three years while others had cliff vesting provisions of 100% at the end of three years. The PBRSUs granted in 2024 vest in three years and are based on a market condition. The 2023 time-based RSUs and PBRSUs were granted with similar vesting conditions as the RSUs and PBRSUs granted in 2024. The RSUs granted in 2022 have similar vesting timeframes to those granted in 2023 and</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2024 while the PBRSUs granted in that year include units that vest based on a performance condition tied to the Company’s cost structure and units that vest based on a market condition. Details of the market and performance conditions are discussed further below.</w:t>
      </w:r>
    </w:p>
    <w:p>
      <w:pPr>
        <w:spacing w:after="0" w:line="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generally grant RSUs to our non-employee directors annually. Vesting of our director grants occurs upon the earliest of: (i) the director’s separation from service, (ii) the first anniversary of the grant date, or (iii) the occurrence of a change of control, as defined by the agreement. Since the separation from service vesting provision effectively allows an award to vest with no minimum service requirement, these awards are fully expensed on the date they were granted.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equity award activity during 2024 is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980" w:type="dxa"/>
            <w:vAlign w:val="bottom"/>
            <w:gridSpan w:val="5"/>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 xml:space="preserve">Restricted Stock </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13"/>
                <w:szCs w:val="13"/>
                <w:color w:val="auto"/>
              </w:rPr>
            </w:pPr>
          </w:p>
        </w:tc>
        <w:tc>
          <w:tcPr>
            <w:tcW w:w="2000" w:type="dxa"/>
            <w:vAlign w:val="bottom"/>
            <w:gridSpan w:val="5"/>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240" w:type="dxa"/>
            <w:vAlign w:val="bottom"/>
          </w:tcPr>
          <w:p>
            <w:pPr>
              <w:spacing w:after="0"/>
              <w:rPr>
                <w:sz w:val="13"/>
                <w:szCs w:val="13"/>
                <w:color w:val="auto"/>
              </w:rPr>
            </w:pPr>
          </w:p>
        </w:tc>
        <w:tc>
          <w:tcPr>
            <w:tcW w:w="192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20" w:type="dxa"/>
            <w:vAlign w:val="bottom"/>
            <w:gridSpan w:val="2"/>
            <w:vMerge w:val="restart"/>
          </w:tcPr>
          <w:p>
            <w:pPr>
              <w:spacing w:after="0"/>
              <w:rPr>
                <w:sz w:val="13"/>
                <w:szCs w:val="13"/>
                <w:color w:val="auto"/>
              </w:rPr>
            </w:pPr>
          </w:p>
        </w:tc>
        <w:tc>
          <w:tcPr>
            <w:tcW w:w="20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Performance Based Restricted</w:t>
            </w: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6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1"/>
                <w:szCs w:val="11"/>
                <w:b w:val="1"/>
                <w:bCs w:val="1"/>
                <w:color w:val="auto"/>
                <w:w w:val="93"/>
              </w:rPr>
              <w:t>(1)(2)</w:t>
            </w:r>
          </w:p>
        </w:tc>
        <w:tc>
          <w:tcPr>
            <w:tcW w:w="24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jc w:val="center"/>
              <w:ind w:right="21"/>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gridSpan w:val="4"/>
            <w:shd w:val="clear" w:color="auto" w:fill="CFF0FC"/>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25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3"/>
            <w:shd w:val="clear" w:color="auto" w:fill="CFF0FC"/>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5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4"/>
            <w:shd w:val="clear" w:color="auto" w:fill="CFF0FC"/>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4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shd w:val="clear" w:color="auto" w:fill="CFF0FC"/>
          </w:tcPr>
          <w:p>
            <w:pPr>
              <w:spacing w:after="0"/>
              <w:rPr>
                <w:sz w:val="12"/>
                <w:szCs w:val="12"/>
                <w:color w:val="auto"/>
              </w:rPr>
            </w:pPr>
          </w:p>
        </w:tc>
        <w:tc>
          <w:tcPr>
            <w:tcW w:w="960" w:type="dxa"/>
            <w:vAlign w:val="bottom"/>
            <w:gridSpan w:val="3"/>
            <w:shd w:val="clear" w:color="auto" w:fill="CFF0FC"/>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5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shd w:val="clear" w:color="auto" w:fill="CFF0FC"/>
          </w:tcPr>
          <w:p>
            <w:pPr>
              <w:spacing w:after="0"/>
              <w:rPr>
                <w:sz w:val="15"/>
                <w:szCs w:val="15"/>
                <w:color w:val="auto"/>
              </w:rPr>
            </w:pPr>
          </w:p>
        </w:tc>
        <w:tc>
          <w:tcPr>
            <w:tcW w:w="106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shd w:val="clear" w:color="auto" w:fill="CFF0FC"/>
          </w:tcPr>
          <w:p>
            <w:pPr>
              <w:spacing w:after="0"/>
              <w:rPr>
                <w:sz w:val="15"/>
                <w:szCs w:val="15"/>
                <w:color w:val="auto"/>
              </w:rPr>
            </w:pPr>
          </w:p>
        </w:tc>
        <w:tc>
          <w:tcPr>
            <w:tcW w:w="1120" w:type="dxa"/>
            <w:vAlign w:val="bottom"/>
            <w:gridSpan w:val="2"/>
            <w:vMerge w:val="continue"/>
            <w:shd w:val="clear" w:color="auto" w:fill="CFF0FC"/>
          </w:tcPr>
          <w:p>
            <w:pPr>
              <w:spacing w:after="0"/>
              <w:rPr>
                <w:sz w:val="15"/>
                <w:szCs w:val="15"/>
                <w:color w:val="auto"/>
              </w:rPr>
            </w:pPr>
          </w:p>
        </w:tc>
        <w:tc>
          <w:tcPr>
            <w:tcW w:w="1020" w:type="dxa"/>
            <w:vAlign w:val="bottom"/>
            <w:gridSpan w:val="4"/>
            <w:shd w:val="clear" w:color="auto" w:fill="CFF0FC"/>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0" w:type="dxa"/>
            <w:vAlign w:val="bottom"/>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2"/>
        </w:trPr>
        <w:tc>
          <w:tcPr>
            <w:tcW w:w="2520" w:type="dxa"/>
            <w:vAlign w:val="bottom"/>
            <w:tcBorders>
              <w:top w:val="single" w:sz="8" w:color="CFF0FC"/>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Unvested outstanding beginning of</w:t>
            </w:r>
          </w:p>
        </w:tc>
        <w:tc>
          <w:tcPr>
            <w:tcW w:w="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year</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266,497</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142,395</w:t>
            </w:r>
          </w:p>
        </w:tc>
        <w:tc>
          <w:tcPr>
            <w:tcW w:w="140" w:type="dxa"/>
            <w:vAlign w:val="bottom"/>
          </w:tcPr>
          <w:p>
            <w:pPr>
              <w:spacing w:after="0"/>
              <w:rPr>
                <w:sz w:val="18"/>
                <w:szCs w:val="18"/>
                <w:color w:val="auto"/>
              </w:rPr>
            </w:pPr>
          </w:p>
        </w:tc>
        <w:tc>
          <w:tcPr>
            <w:tcW w:w="32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704,569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329,234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649,177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296,815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(266,497 )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(142,395 )</w:t>
            </w:r>
          </w:p>
        </w:tc>
        <w:tc>
          <w:tcPr>
            <w:tcW w:w="32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(255,048 )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Cancelled or forfeited</w:t>
            </w:r>
          </w:p>
        </w:tc>
        <w:tc>
          <w:tcPr>
            <w:tcW w:w="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(36,654 )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Unvested outstanding end of year</w:t>
            </w:r>
          </w:p>
        </w:tc>
        <w:tc>
          <w:tcPr>
            <w:tcW w:w="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1,062,044</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4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626,049</w:t>
            </w:r>
          </w:p>
        </w:tc>
        <w:tc>
          <w:tcPr>
            <w:tcW w:w="3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fair value per</w:t>
            </w: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stock/unit granted in 2023</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Weighted-average fair value per</w:t>
            </w:r>
          </w:p>
        </w:tc>
        <w:tc>
          <w:tcPr>
            <w:tcW w:w="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stock/unit granted in 2022</w:t>
            </w:r>
          </w:p>
        </w:tc>
        <w:tc>
          <w:tcPr>
            <w:tcW w:w="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4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Borders>
              <w:bottom w:val="single" w:sz="8" w:color="auto"/>
            </w:tcBorders>
            <w:gridSpan w:val="5"/>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40" w:type="dxa"/>
            <w:vAlign w:val="bottom"/>
          </w:tcPr>
          <w:p>
            <w:pPr>
              <w:spacing w:after="0"/>
              <w:rPr>
                <w:sz w:val="24"/>
                <w:szCs w:val="24"/>
                <w:color w:val="auto"/>
              </w:rPr>
            </w:pPr>
          </w:p>
        </w:tc>
        <w:tc>
          <w:tcPr>
            <w:tcW w:w="2000" w:type="dxa"/>
            <w:vAlign w:val="bottom"/>
            <w:tcBorders>
              <w:bottom w:val="single" w:sz="8" w:color="auto"/>
            </w:tcBorders>
            <w:gridSpan w:val="5"/>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40" w:type="dxa"/>
            <w:vAlign w:val="bottom"/>
          </w:tcPr>
          <w:p>
            <w:pPr>
              <w:spacing w:after="0"/>
              <w:rPr>
                <w:sz w:val="24"/>
                <w:szCs w:val="24"/>
                <w:color w:val="auto"/>
              </w:rPr>
            </w:pPr>
          </w:p>
        </w:tc>
        <w:tc>
          <w:tcPr>
            <w:tcW w:w="196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Borders>
              <w:bottom w:val="single" w:sz="8" w:color="auto"/>
            </w:tcBorders>
            <w:gridSpan w:val="4"/>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80" w:type="dxa"/>
            <w:vAlign w:val="bottom"/>
            <w:gridSpan w:val="4"/>
            <w:shd w:val="clear" w:color="auto" w:fill="CFF0FC"/>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Stock/unit vested in 2024</w:t>
            </w: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1,084</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2,263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3"/>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Stock/unit vested in 2023</w:t>
            </w:r>
          </w:p>
        </w:tc>
        <w:tc>
          <w:tcPr>
            <w:tcW w:w="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3,485</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0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Stock/unit vested in 2022</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-2241550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-2241550</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-2241550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-2241550</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-2241550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-2241550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-2241550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-2241550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-1590040</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-1590040</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-1590040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-1590040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94"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grant any restricted stock or performance based restricted stock awards during 2024, 2023 or 2022.</w:t>
      </w:r>
    </w:p>
    <w:p>
      <w:pPr>
        <w:spacing w:after="0" w:line="95" w:lineRule="exact"/>
        <w:rPr>
          <w:rFonts w:ascii="Times New Roman" w:cs="Times New Roman" w:eastAsia="Times New Roman" w:hAnsi="Times New Roman"/>
          <w:sz w:val="14"/>
          <w:szCs w:val="14"/>
          <w:color w:val="auto"/>
        </w:rPr>
      </w:pPr>
    </w:p>
    <w:p>
      <w:pPr>
        <w:ind w:left="520" w:right="20" w:hanging="512"/>
        <w:spacing w:after="0" w:line="261"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change of control event occurring during 2021 such shares of performance-based restricted stock are subject only to the time-based vesting conditions set forth in the applicable award agreement and the 2016 Plan.</w:t>
      </w:r>
    </w:p>
    <w:p>
      <w:pPr>
        <w:spacing w:after="0" w:line="5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payout on our 2024 PBRSU grants, which vest in three years, is based on our total shareholder return (“TSR”) relative to a peer group. The vesting criteria is measured annually relative to annual targets (with a minimum threshold and a maximum ceiling) with a final adjustment in the third year. Each annual measurement results in a number of shares that are independently earned (i.e. “banked”), with an upward final adjustment based on the relative three-year cumulative TSR or downward final adjustment due to a vesting cap at target when the cumulative absolute TSR is negative. As a result, the number of shares earned annually could be lower or higher than the annual target PBRSU shares. These awards granted require the grantee to be continuously employed through the end of the term for vesting purposes. The 2023 PBRSUs were granted with similar vesting provisions as the 2024 PBRSU grants.</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2022 PBRSU grants, which vest in three years, include units that vest based on a performance condition tied to the Company’s cost structure and units that vest based on a market condition as measured by our TSR on an absolute basis. Both performance condition and market condition units are measured annually relative to annual targets for each respective criteria (with a minimum threshold and a maximum ceiling) with a final adjustment in the third year. Each annual measurement results in a number of shares that are independently earned (i.e., “banked") and are not affected by the measurement in the other periods. Banked shares are used in the final calculation to determine the vested shares at the end of the three-year period. As a result, the number of shares earned annually could be lower or higher than the annual target PBRSU shares. These awards granted require the grantee to be continuously employed through the end of the term for vesting purposes.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our service condition and performance condition awards are based on the market price of our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the fair value of our market condition awards using a Monte Carlo simulation with the following assumptions:</w:t>
      </w:r>
    </w:p>
    <w:p>
      <w:pPr>
        <w:spacing w:after="0" w:line="2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stock price on the day preceding the grant;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prediction time horizon, the vesting term of the grant;</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three-year Treasury yield curve rate on the grant date; and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 deviation of historical daily returns for the length of the vesting term of the grant.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Valuation Date</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Valuation assumptions of market condition PBRSUs</w:t>
            </w:r>
          </w:p>
        </w:tc>
        <w:tc>
          <w:tcPr>
            <w:tcW w:w="140" w:type="dxa"/>
            <w:vAlign w:val="bottom"/>
          </w:tcPr>
          <w:p>
            <w:pPr>
              <w:spacing w:after="0"/>
              <w:rPr>
                <w:sz w:val="12"/>
                <w:szCs w:val="12"/>
                <w:color w:val="auto"/>
              </w:rPr>
            </w:pPr>
          </w:p>
        </w:tc>
        <w:tc>
          <w:tcPr>
            <w:tcW w:w="164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January 17, 2024</w:t>
            </w:r>
          </w:p>
        </w:tc>
        <w:tc>
          <w:tcPr>
            <w:tcW w:w="140" w:type="dxa"/>
            <w:vAlign w:val="bottom"/>
          </w:tcPr>
          <w:p>
            <w:pPr>
              <w:spacing w:after="0"/>
              <w:rPr>
                <w:sz w:val="12"/>
                <w:szCs w:val="12"/>
                <w:color w:val="auto"/>
              </w:rPr>
            </w:pPr>
          </w:p>
        </w:tc>
        <w:tc>
          <w:tcPr>
            <w:tcW w:w="160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January 25, 2023</w:t>
            </w:r>
          </w:p>
        </w:tc>
        <w:tc>
          <w:tcPr>
            <w:tcW w:w="140" w:type="dxa"/>
            <w:vAlign w:val="bottom"/>
          </w:tcPr>
          <w:p>
            <w:pPr>
              <w:spacing w:after="0"/>
              <w:rPr>
                <w:sz w:val="12"/>
                <w:szCs w:val="12"/>
                <w:color w:val="auto"/>
              </w:rPr>
            </w:pPr>
          </w:p>
        </w:tc>
        <w:tc>
          <w:tcPr>
            <w:tcW w:w="128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January 20, 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612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4.03 %</w:t>
            </w:r>
          </w:p>
        </w:tc>
        <w:tc>
          <w:tcPr>
            <w:tcW w:w="1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3.77 %</w:t>
            </w: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69.39 %</w:t>
            </w:r>
          </w:p>
        </w:tc>
        <w:tc>
          <w:tcPr>
            <w:tcW w:w="14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95.06 %</w:t>
            </w: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97.92 %</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Simulation period</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2.93 years</w:t>
            </w: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2.92 years</w:t>
            </w:r>
          </w:p>
        </w:tc>
        <w:tc>
          <w:tcPr>
            <w:tcW w:w="0" w:type="dxa"/>
            <w:vAlign w:val="bottom"/>
          </w:tcPr>
          <w:p>
            <w:pPr>
              <w:spacing w:after="0"/>
              <w:rPr>
                <w:sz w:val="1"/>
                <w:szCs w:val="1"/>
                <w:color w:val="auto"/>
              </w:rPr>
            </w:pPr>
          </w:p>
        </w:tc>
      </w:tr>
      <w:tr>
        <w:trPr>
          <w:trHeight w:val="238"/>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11.85</w:t>
            </w:r>
          </w:p>
        </w:tc>
        <w:tc>
          <w:tcPr>
            <w:tcW w:w="3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We have had no grants or stock-based compensation expense related to stock options during the past three years. We had 13,000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at a weighted average exercise price of $25.66, all of which expired out of the money in November 2024. As of December 31, 2024 there were no stock options outstanding.</w:t>
      </w:r>
    </w:p>
    <w:p>
      <w:pPr>
        <w:spacing w:after="0" w:line="6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Expense </w:t>
      </w:r>
      <w:r>
        <w:rPr>
          <w:rFonts w:ascii="Times New Roman" w:cs="Times New Roman" w:eastAsia="Times New Roman" w:hAnsi="Times New Roman"/>
          <w:sz w:val="18"/>
          <w:szCs w:val="18"/>
          <w:color w:val="auto"/>
        </w:rPr>
        <w:t>– A summary of our stock-based compensation expense recognized and related income tax benefit is 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w:t>
      </w:r>
    </w:p>
    <w:p>
      <w:pPr>
        <w:spacing w:after="0" w:line="4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Stock Based Compensation</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 Cost of sales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1,046</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 Selling, general</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5,561</w:t>
            </w: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 administrative expense</w:t>
            </w:r>
          </w:p>
        </w:tc>
        <w:tc>
          <w:tcPr>
            <w:tcW w:w="5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4"/>
              </w:rPr>
              <w:t>(1,548 )</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(1,250 )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(947 )</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December 31, 2024, unrecognized compensation cost related to outstanding awards was $8,144,000 with a weighted-average remaining vesting period of 1.4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Savings and Stock Purchase Plans, Collective Bargaining Agreements and Executive Benefit Agreement</w:t>
      </w:r>
    </w:p>
    <w:p>
      <w:pPr>
        <w:spacing w:after="0" w:line="11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Employee Savings Plans </w:t>
      </w:r>
      <w:r>
        <w:rPr>
          <w:rFonts w:ascii="Times New Roman" w:cs="Times New Roman" w:eastAsia="Times New Roman" w:hAnsi="Times New Roman"/>
          <w:sz w:val="18"/>
          <w:szCs w:val="18"/>
          <w:color w:val="auto"/>
        </w:rPr>
        <w:t>- We sponsor a savings plan under Section 401(k) of the Internal Revenue Code under which participation is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substantially all full-time employees. For full-time employees not covered by a collective bargaining agreement, beginning in April 2023 we match </w:t>
      </w:r>
      <w:r>
        <w:rPr>
          <w:rFonts w:ascii="Times New Roman" w:cs="Times New Roman" w:eastAsia="Times New Roman" w:hAnsi="Times New Roman"/>
          <w:sz w:val="18"/>
          <w:szCs w:val="18"/>
          <w:color w:val="242424"/>
        </w:rPr>
        <w:t>dollar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for dollar </w:t>
      </w:r>
      <w:r>
        <w:rPr>
          <w:rFonts w:ascii="Times New Roman" w:cs="Times New Roman" w:eastAsia="Times New Roman" w:hAnsi="Times New Roman"/>
          <w:sz w:val="18"/>
          <w:szCs w:val="18"/>
          <w:color w:val="000000"/>
        </w:rPr>
        <w:t>of an employee’s active contribution,</w:t>
      </w:r>
      <w:r>
        <w:rPr>
          <w:rFonts w:ascii="Times New Roman" w:cs="Times New Roman" w:eastAsia="Times New Roman" w:hAnsi="Times New Roman"/>
          <w:sz w:val="18"/>
          <w:szCs w:val="18"/>
          <w:color w:val="242424"/>
        </w:rPr>
        <w:t xml:space="preserve"> up to a total of 5% of pre-tax earnings </w:t>
      </w:r>
      <w:r>
        <w:rPr>
          <w:rFonts w:ascii="Times New Roman" w:cs="Times New Roman" w:eastAsia="Times New Roman" w:hAnsi="Times New Roman"/>
          <w:sz w:val="18"/>
          <w:szCs w:val="18"/>
          <w:color w:val="000000"/>
        </w:rPr>
        <w:t>for substantially all full-time employees. Prior to this we matched</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50% of an employee’s contribution, up to 8%. For 2024, 2023 and 2022, the amounts contributed to this plan were approximately $2.3 million, $1.9 million, and $1.3 million respectively.</w:t>
      </w:r>
    </w:p>
    <w:p>
      <w:pPr>
        <w:spacing w:after="0" w:line="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Employee Stock Purchase Plan </w:t>
      </w:r>
      <w:r>
        <w:rPr>
          <w:rFonts w:ascii="Times New Roman" w:cs="Times New Roman" w:eastAsia="Times New Roman" w:hAnsi="Times New Roman"/>
          <w:sz w:val="18"/>
          <w:szCs w:val="18"/>
          <w:color w:val="auto"/>
        </w:rPr>
        <w:t>- During 2022, our Board adopted and our shareholders approved our 2022 Employee Stock Purchase Plan (“ESPP”),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provides for payroll deductions by employees to purchase LSB stock directly from the Company at a discount to market price. The maximum number of shares reserved and available for issuance under the ESPP shall not exceed 4,500,000 shares. As of December 31, 2024 there were approximately 4,435,000 shares available for subsequent issuance under the ESPP. Eligibility in the ESPP is limited to our employees who have been continuously employed for a period of at least 30 days as of the first day of an offering and satisfy other requirements set forth in the ESPP. The ESPP offering period under the ESPP will be 6 months in duration and commence on the first business day of January and July of each year. Participants in the ESPP are subject to individual limits on (a) percentage of eligible compensation allocated toward purchases; (b) number of shares purchased and (c) in the event the participant holds stock option awards, total fair market value of purchases. The purchase price of each share will be 90 percent of the closing price of a share of our common stock on the exercise date. Shares purchased by the participant are issued from our treasury stock. During 2024, we had two offerings and approximately 32,000 shares were issued from our treasury stock to participants at an average price of $7.85 per share. During 2023, we had two offerings and approximately 24,000 shares were issued from our treasury stock to participants at an average price of $9.59 per share. During 2022, we had one offering and approximately 9,000 shares were issued from our treasury stock to participants at a closing price of $13.30 per share.</w:t>
      </w:r>
    </w:p>
    <w:p>
      <w:pPr>
        <w:spacing w:after="0" w:line="8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Collective Bargaining Agreements </w:t>
      </w:r>
      <w:r>
        <w:rPr>
          <w:rFonts w:ascii="Times New Roman" w:cs="Times New Roman" w:eastAsia="Times New Roman" w:hAnsi="Times New Roman"/>
          <w:sz w:val="18"/>
          <w:szCs w:val="18"/>
          <w:color w:val="auto"/>
        </w:rPr>
        <w:t>- As of December 31, 2024, we employed 583 persons, 164 whom are represented by unions under collective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bargaining agreements. We have three 3-year union contracts of which one was ratified in 2024 and the remaining two are scheduled to be ratified in 2025.</w:t>
      </w:r>
    </w:p>
    <w:p>
      <w:pPr>
        <w:spacing w:after="0" w:line="4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Death Benefit Agreement </w:t>
      </w:r>
      <w:r>
        <w:rPr>
          <w:rFonts w:ascii="Times New Roman" w:cs="Times New Roman" w:eastAsia="Times New Roman" w:hAnsi="Times New Roman"/>
          <w:sz w:val="18"/>
          <w:szCs w:val="18"/>
          <w:color w:val="auto"/>
        </w:rPr>
        <w:t>- We were party to a death benefit agreement (the “2005 Agreement”) with Jack E. Golsen (“J. Golsen”), who retired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2017.</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2005 Agreement provided that, upon J. Golsen’s death, we would pay to the designated beneficiary, a lump-sum payment of $2.5 million. J. Golsen passed away in April 2022. Further, we maintained and owned a life insurance policy with a face value of $3.0 million for which we were the beneficiary. The policy did not have any cash surrender value, premium payments were current, and the policy was in force at the time of J. Golsen’s death. We received the settlement payment of $3.0 million and paid the death benefit of $2.5 million in July 2022. We recorded $3.0 million in a settlement of life insurance presented within non-operating other expense (income), net within our consolidated statements of operations for the twelve months ended December 31, 2022. The settlement of life insurance is included in our consolidated statement of cash flows in “Other” investing activities.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2024 TLB-LSB, LLC, which is an affiliate of Todd Boehly, beneficially owns approximately 15.3 million shares of our outstanding common stock, or approximately 21% of our outstanding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have one outstanding financing arrangement with an affiliate of TLB-LSB, LLC as discussed in Note 5 – Long-Term Debt.</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2022, we exhausted our stock repurchase authorization, including by repurchasing 9.0 million shares at an average cost of $12.58 per share in connection with a public offerings by LSB Funding and SBT Investors, each of which is an affiliate of TLB-LSB, LLC.</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terms of the Board Representation and Standstill Agreement, as amended, our Board includes two directors that are employees of affiliates of Todd Boehly. During 2024 and 2023, we incurred director fees associated with these directors totaling approximately $0.4 million for each respective year and approximately $0.3 million for 2022.</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2024, 2023 and 2022, we incurred director fees associated with Barry H. Golsen totaling approximately $0.2 million during 2024 and 2023 for each respective year and approximately $0.1 million for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Supplemental Cash Flow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additional information relating to cash flow activities: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payments (refunds) for:</w:t>
            </w:r>
          </w:p>
        </w:tc>
        <w:tc>
          <w:tcPr>
            <w:tcW w:w="2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Interest on long-term debt and other, net of capitalized</w:t>
            </w:r>
          </w:p>
        </w:tc>
        <w:tc>
          <w:tcPr>
            <w:tcW w:w="2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34,088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44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42,921</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interest</w:t>
            </w:r>
          </w:p>
        </w:tc>
        <w:tc>
          <w:tcPr>
            <w:tcW w:w="2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net</w:t>
            </w:r>
          </w:p>
        </w:tc>
        <w:tc>
          <w:tcPr>
            <w:tcW w:w="2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2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Property, plant and equipment acquired and not yet</w:t>
            </w:r>
          </w:p>
        </w:tc>
        <w:tc>
          <w:tcPr>
            <w:tcW w:w="2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26,758</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paid at end of period</w:t>
            </w:r>
          </w:p>
        </w:tc>
        <w:tc>
          <w:tcPr>
            <w:tcW w:w="244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25,017</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loss on extinguishment of debt</w:t>
            </w:r>
          </w:p>
        </w:tc>
        <w:tc>
          <w:tcPr>
            <w:tcW w:w="2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(3,013 )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(8,644 )</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associated with debt-related costs</w:t>
            </w:r>
          </w:p>
        </w:tc>
        <w:tc>
          <w:tcPr>
            <w:tcW w:w="2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6"/>
        </w:trPr>
        <w:tc>
          <w:tcPr>
            <w:tcW w:w="4780" w:type="dxa"/>
            <w:vAlign w:val="bottom"/>
          </w:tcPr>
          <w:p>
            <w:pPr>
              <w:spacing w:after="0"/>
              <w:rPr>
                <w:sz w:val="24"/>
                <w:szCs w:val="24"/>
                <w:color w:val="auto"/>
              </w:rPr>
            </w:pPr>
          </w:p>
        </w:tc>
        <w:tc>
          <w:tcPr>
            <w:tcW w:w="244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color w:val="auto"/>
              </w:rPr>
              <w:t>F-24</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Net Sales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discussed in Note 1 – Summary of Significant Accounting Policies, we primarily derive our revenues from the sales of various chemical products. The following table presents our net sales disaggregated by certain of our products, which disaggregation is consistent with other financial information utilized or provided outside of our consolidated financial statements: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 &amp; Nitric Acid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212,478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221,818</w:t>
            </w:r>
          </w:p>
        </w:tc>
        <w:tc>
          <w:tcPr>
            <w:tcW w:w="5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Urea ammonium nitrate (UAN)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139,435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Ammonia</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136,662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166,581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33,825</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522,400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593,709</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901,711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Although most of our contracts have an original expected duration of one year or less, for our contracts with a duration greater than one year at contract inception, the average remaining expected duration was approximately 33 months as of December 31, 2024.</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$1.1 million and $1.0 million of contract liabilities as of December 31, 2024 and 2023, respectively which are reflected as accrued liabilities in our consolidated balance sheets. During 2024 and 2023, deferred revenues of $0.8 million and $1.6 million, respectively were recognized and included in the balance as of December 31, 2024 and 2023. Our contract assets consist of unconditional rights to payment from our customers, which are reflected as accounts receivable in our consolidated balance sheets.</w:t>
      </w:r>
    </w:p>
    <w:p>
      <w:pPr>
        <w:spacing w:after="0" w:line="7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As of December 31, 2024, we have remaining performance obligations with certain customer contracts, excluding contracts with original durations of less than one year and contracts with variable consideration for which we have elected the practical expedient for consideration recognized in revenue as invoiced. The remaining performance obligations total approximately $133.9 million, of which approximately 62% of this amount relates to 2025 through 2027, approximately 23% relates to 2028 through 2029, with the remainder thereafter.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2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leasing activity primarily consists of leasing railcars and office space, which includes leasing the office space housing our headquarters in Oklahoma City, Oklahoma. We have in excess of 1,300 railcars under lease. Typically, the initial term of our railcar leases ranges from 2 years to 10 years, and the majority do not include any renewal options. Most of our railcar leases are operating leases with a limited number classified as finance leases.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From time to time, when we have excess freight capacity, we may sublease a portion of our railcars fleet on a short term basis to other parties. The income for these subleases is recorded as a component of “Other (income) expense, net” in our consolidated statements of operations.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r>
      <w:tr>
        <w:trPr>
          <w:trHeight w:val="196"/>
        </w:trPr>
        <w:tc>
          <w:tcPr>
            <w:tcW w:w="6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lease expense:</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12,056</w:t>
            </w:r>
          </w:p>
        </w:tc>
        <w:tc>
          <w:tcPr>
            <w:tcW w:w="3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11,071</w:t>
            </w:r>
          </w:p>
        </w:tc>
        <w:tc>
          <w:tcPr>
            <w:tcW w:w="3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8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lease cost</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7,537</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8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Other cost </w:t>
            </w:r>
            <w:r>
              <w:rPr>
                <w:rFonts w:ascii="Times New Roman" w:cs="Times New Roman" w:eastAsia="Times New Roman" w:hAnsi="Times New Roman"/>
                <w:sz w:val="24"/>
                <w:szCs w:val="24"/>
                <w:color w:val="auto"/>
                <w:vertAlign w:val="superscript"/>
              </w:rPr>
              <w:t>(1)</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Sublease income</w:t>
            </w: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(853 )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(5,632 )</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8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19,576</w:t>
            </w:r>
          </w:p>
        </w:tc>
        <w:tc>
          <w:tcPr>
            <w:tcW w:w="3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3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8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information related to leases:</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11,878</w:t>
            </w:r>
          </w:p>
        </w:tc>
        <w:tc>
          <w:tcPr>
            <w:tcW w:w="3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3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10,552</w:t>
            </w:r>
          </w:p>
        </w:tc>
        <w:tc>
          <w:tcPr>
            <w:tcW w:w="18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8"/>
                <w:szCs w:val="18"/>
                <w:color w:val="auto"/>
              </w:rPr>
            </w:pPr>
          </w:p>
        </w:tc>
      </w:tr>
      <w:tr>
        <w:trPr>
          <w:trHeight w:val="249"/>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80" w:type="dxa"/>
            <w:vAlign w:val="bottom"/>
            <w:tcBorders>
              <w:bottom w:val="single" w:sz="8" w:color="auto"/>
            </w:tcBorders>
            <w:shd w:val="clear" w:color="auto" w:fill="CFF0FC"/>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12,520</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7"/>
        </w:trPr>
        <w:tc>
          <w:tcPr>
            <w:tcW w:w="6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080" w:type="dxa"/>
            <w:vAlign w:val="bottom"/>
            <w:tcBorders>
              <w:bottom w:val="single" w:sz="8" w:color="auto"/>
            </w:tcBorders>
            <w:shd w:val="clear" w:color="auto" w:fill="CFF0FC"/>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13,636</w:t>
            </w:r>
          </w:p>
        </w:tc>
        <w:tc>
          <w:tcPr>
            <w:tcW w:w="3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3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80" w:type="dxa"/>
            <w:vAlign w:val="bottom"/>
            <w:tcBorders>
              <w:bottom w:val="single" w:sz="8" w:color="CFF0FC"/>
            </w:tcBorders>
            <w:shd w:val="clear" w:color="auto" w:fill="CFF0FC"/>
          </w:tcPr>
          <w:p>
            <w:pPr>
              <w:spacing w:after="0"/>
              <w:rPr>
                <w:sz w:val="22"/>
                <w:szCs w:val="22"/>
                <w:color w:val="auto"/>
              </w:rPr>
            </w:pPr>
          </w:p>
        </w:tc>
      </w:tr>
      <w:tr>
        <w:trPr>
          <w:trHeight w:val="197"/>
        </w:trPr>
        <w:tc>
          <w:tcPr>
            <w:tcW w:w="6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1080" w:type="dxa"/>
            <w:vAlign w:val="bottom"/>
            <w:tcBorders>
              <w:bottom w:val="single" w:sz="8" w:color="auto"/>
            </w:tcBorders>
            <w:shd w:val="clear" w:color="auto" w:fill="CFF0FC"/>
          </w:tcPr>
          <w:p>
            <w:pPr>
              <w:jc w:val="right"/>
              <w:ind w:right="89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3,371</w:t>
            </w:r>
          </w:p>
        </w:tc>
        <w:tc>
          <w:tcPr>
            <w:tcW w:w="3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80" w:type="dxa"/>
            <w:vAlign w:val="bottom"/>
            <w:tcBorders>
              <w:bottom w:val="single" w:sz="8" w:color="CFF0FC"/>
            </w:tcBorders>
            <w:shd w:val="clear" w:color="auto" w:fill="CFF0FC"/>
          </w:tcPr>
          <w:p>
            <w:pPr>
              <w:spacing w:after="0"/>
              <w:rPr>
                <w:sz w:val="22"/>
                <w:szCs w:val="22"/>
                <w:color w:val="auto"/>
              </w:rPr>
            </w:pPr>
          </w:p>
        </w:tc>
      </w:tr>
      <w:tr>
        <w:trPr>
          <w:trHeight w:val="197"/>
        </w:trPr>
        <w:tc>
          <w:tcPr>
            <w:tcW w:w="6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lease-related information:</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10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 (in years)</w:t>
            </w:r>
          </w:p>
        </w:tc>
        <w:tc>
          <w:tcPr>
            <w:tcW w:w="10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80" w:type="dxa"/>
            <w:vAlign w:val="bottom"/>
          </w:tcPr>
          <w:p>
            <w:pPr>
              <w:spacing w:after="0"/>
              <w:rPr>
                <w:sz w:val="18"/>
                <w:szCs w:val="18"/>
                <w:color w:val="auto"/>
              </w:rPr>
            </w:pP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7.94 %</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8.26 %</w:t>
            </w:r>
          </w:p>
        </w:tc>
        <w:tc>
          <w:tcPr>
            <w:tcW w:w="2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8.25 %</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0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7.54 %</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7.53 %</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-1448435</wp:posOffset>
            </wp:positionV>
            <wp:extent cx="13716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-1430655</wp:posOffset>
            </wp:positionV>
            <wp:extent cx="137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-1448435</wp:posOffset>
            </wp:positionV>
            <wp:extent cx="12001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-1430655</wp:posOffset>
            </wp:positionV>
            <wp:extent cx="12001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-1448435</wp:posOffset>
            </wp:positionV>
            <wp:extent cx="12001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-1430655</wp:posOffset>
            </wp:positionV>
            <wp:extent cx="1200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-1148080</wp:posOffset>
            </wp:positionV>
            <wp:extent cx="1371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-1130935</wp:posOffset>
            </wp:positionV>
            <wp:extent cx="137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-1148080</wp:posOffset>
            </wp:positionV>
            <wp:extent cx="12001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-1130935</wp:posOffset>
            </wp:positionV>
            <wp:extent cx="1200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-1148080</wp:posOffset>
            </wp:positionV>
            <wp:extent cx="12001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-1130935</wp:posOffset>
            </wp:positionV>
            <wp:extent cx="1200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-848360</wp:posOffset>
            </wp:positionV>
            <wp:extent cx="1371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-830580</wp:posOffset>
            </wp:positionV>
            <wp:extent cx="1371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-848360</wp:posOffset>
            </wp:positionV>
            <wp:extent cx="1200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-830580</wp:posOffset>
            </wp:positionV>
            <wp:extent cx="1200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-848360</wp:posOffset>
            </wp:positionV>
            <wp:extent cx="12001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-830580</wp:posOffset>
            </wp:positionV>
            <wp:extent cx="1200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13"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variable lease costs, finance lease interest and amortization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future minimum lease payments due under ASC 842 are summarized by fiscal year in the table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0" w:type="dxa"/>
            <w:vAlign w:val="bottom"/>
          </w:tcPr>
          <w:p>
            <w:pPr>
              <w:spacing w:after="0"/>
              <w:rPr>
                <w:sz w:val="15"/>
                <w:szCs w:val="15"/>
                <w:color w:val="auto"/>
              </w:rPr>
            </w:pPr>
          </w:p>
        </w:tc>
      </w:tr>
      <w:tr>
        <w:trPr>
          <w:trHeight w:val="196"/>
        </w:trPr>
        <w:tc>
          <w:tcPr>
            <w:tcW w:w="7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0" w:type="dxa"/>
            <w:vAlign w:val="bottom"/>
            <w:gridSpan w:val="5"/>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FF0FC"/>
          </w:tcPr>
          <w:p>
            <w:pPr>
              <w:spacing w:after="0"/>
              <w:rPr>
                <w:sz w:val="21"/>
                <w:szCs w:val="2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FF0FC"/>
          </w:tcPr>
          <w:p>
            <w:pPr>
              <w:spacing w:after="0"/>
              <w:rPr>
                <w:sz w:val="21"/>
                <w:szCs w:val="21"/>
                <w:color w:val="auto"/>
              </w:rPr>
            </w:pPr>
          </w:p>
        </w:tc>
      </w:tr>
      <w:tr>
        <w:trPr>
          <w:trHeight w:val="24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Pr>
          <w:p>
            <w:pPr>
              <w:spacing w:after="0"/>
              <w:rPr>
                <w:sz w:val="21"/>
                <w:szCs w:val="21"/>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FF0FC"/>
          </w:tcPr>
          <w:p>
            <w:pPr>
              <w:spacing w:after="0"/>
              <w:rPr>
                <w:sz w:val="21"/>
                <w:szCs w:val="2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19"/>
                <w:szCs w:val="19"/>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34,669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100" w:type="dxa"/>
            <w:vAlign w:val="bottom"/>
            <w:shd w:val="clear" w:color="auto" w:fill="CFF0FC"/>
          </w:tcPr>
          <w:p>
            <w:pPr>
              <w:spacing w:after="0"/>
              <w:rPr>
                <w:sz w:val="20"/>
                <w:szCs w:val="20"/>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(5,876 )</w:t>
            </w:r>
          </w:p>
        </w:tc>
        <w:tc>
          <w:tcPr>
            <w:tcW w:w="2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(1,152 )</w:t>
            </w: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28,793</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2024, we have an executed finance lease with lease terms greater than one year, totaling approximately $1.6 million, which has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(continued)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are engaged in the manufacture and sale of nitrogen based chemical products. We manufacture and distribute products in four facilities; three of which we own and one of which we operate on behalf of a third party. Please see "Nature of business" in Note 1-Summary of Significant Accounting Policies for a description of our products and customers.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managed on a consolidated basis with a single reportable segment, chemical manufacturing, which is not an aggregation of individual operating segments. Our segment determination is based primarily on our approach in allocating resources, which is driven by the objective of maximizing profit to the consolidated entity. We do not have business activities outside of our single reportable segment. Hence, we manage our entire company on the same basis as our single reportable segment.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determined that the CODM function is held by our Chief Executive Officer, Mark Behrman, and our Chief Financial Officer, Cheryl Maguire.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measure of segment profit that is most consistent with U.S. GAAP measurement principles is consolidated net income, which our CODM uses to assess performance and allocate resources. The accounting policies for our single reportable segment are the same as those for the Company as a whole, which are described in “Note 1 – Summary of Significant Accounting Policies”.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uses the segment profit measure to assess actual versus forecasted performance, determine incentive compensation, evaluate growth opportunities and to make decisions such as whether and when to invest profits back into the business.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about reported segment revenue, measures of a segment’s profit or loss, significant segment expenses, and measure of a segment's assets: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600" w:type="dxa"/>
            <w:vAlign w:val="bottom"/>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522,400</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right"/>
              <w:ind w:right="92"/>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0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Cost of sales excluding depreciation, amortization</w:t>
            </w:r>
          </w:p>
        </w:tc>
        <w:tc>
          <w:tcPr>
            <w:tcW w:w="3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362,562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turnaround expense</w:t>
            </w:r>
          </w:p>
        </w:tc>
        <w:tc>
          <w:tcPr>
            <w:tcW w:w="3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74,260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68,385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Turnaround expense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37,781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cost of sales</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474,603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507,449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553,344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Wages and benefits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23,191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18,576</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41,767</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36,580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34,452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(Gain) loss on extinguishments of debt</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(3,013 )</w:t>
            </w: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(8,644 )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from asset write-down and disposals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11,703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(6,684 )</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segment items (a)</w:t>
            </w:r>
          </w:p>
        </w:tc>
        <w:tc>
          <w:tcPr>
            <w:tcW w:w="32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(11,075 )</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(20,321 )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(8,741 )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Segment net (loss) income</w:t>
            </w: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(19,353 )</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230,347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3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Consolidated net (loss) income</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(19,353</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-1985010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-1985010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-1985010</wp:posOffset>
            </wp:positionV>
            <wp:extent cx="6858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-1419225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-1419225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-1419225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-579120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-579120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-579120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631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98" w:lineRule="exact"/>
        <w:rPr>
          <w:sz w:val="20"/>
          <w:szCs w:val="20"/>
          <w:color w:val="auto"/>
        </w:rPr>
      </w:pPr>
    </w:p>
    <w:p>
      <w:pPr>
        <w:ind w:right="320" w:firstLine="8"/>
        <w:spacing w:after="0" w:line="282" w:lineRule="auto"/>
        <w:tabs>
          <w:tab w:leader="none" w:pos="2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and 2023, amount consisted primarily of interest and sublease income. In 2022, amount consisted primarily of interest income and proceeds from an insurance settlement.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 of our chemical business assets is reported on the balance sheet as total consolidated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our long-lived assets are located in the United States and substantially all net sales are to customers in the United States.</w:t>
      </w:r>
    </w:p>
    <w:p>
      <w:pPr>
        <w:spacing w:after="0" w:line="14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2024, 2023 and 2022 we had one customer with net sales exceeding more than 10% our total net sales. Net sales to the single customer were 16%, 14% and 21% of our total net sales, in 2024, 2023 and 2022, respectively.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color w:val="auto"/>
        </w:rPr>
        <w:t>LSB Industries,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2024, 2023, and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60" w:type="dxa"/>
            <w:vAlign w:val="bottom"/>
          </w:tcPr>
          <w:p>
            <w:pPr>
              <w:spacing w:after="0"/>
              <w:rPr>
                <w:sz w:val="13"/>
                <w:szCs w:val="13"/>
                <w:color w:val="auto"/>
              </w:rPr>
            </w:pPr>
          </w:p>
        </w:tc>
        <w:tc>
          <w:tcPr>
            <w:tcW w:w="98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Charges to</w:t>
            </w: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(Recovery of)</w:t>
            </w:r>
          </w:p>
        </w:tc>
        <w:tc>
          <w:tcPr>
            <w:tcW w:w="16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Write-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660" w:type="dxa"/>
            <w:vAlign w:val="bottom"/>
            <w:vMerge w:val="restart"/>
          </w:tcPr>
          <w:p>
            <w:pPr>
              <w:jc w:val="right"/>
              <w:ind w:right="2275"/>
              <w:spacing w:after="0"/>
              <w:rPr>
                <w:sz w:val="20"/>
                <w:szCs w:val="20"/>
                <w:color w:val="auto"/>
              </w:rPr>
            </w:pPr>
            <w:r>
              <w:rPr>
                <w:rFonts w:ascii="Times New Roman" w:cs="Times New Roman" w:eastAsia="Times New Roman" w:hAnsi="Times New Roman"/>
                <w:sz w:val="14"/>
                <w:szCs w:val="14"/>
                <w:b w:val="1"/>
                <w:bCs w:val="1"/>
                <w:color w:val="auto"/>
              </w:rPr>
              <w:t>Description (1)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6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offs/Costs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80" w:type="dxa"/>
            <w:vAlign w:val="bottom"/>
            <w:gridSpan w:val="3"/>
          </w:tcPr>
          <w:p>
            <w:pPr>
              <w:jc w:val="center"/>
              <w:ind w:right="717"/>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 - allowance for doubtful accounts:</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jc w:val="right"/>
              <w:ind w:right="5015"/>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jc w:val="right"/>
              <w:ind w:right="5015"/>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(164 )</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jc w:val="right"/>
              <w:ind w:right="5015"/>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 valuation allowance: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660" w:type="dxa"/>
            <w:vAlign w:val="bottom"/>
            <w:shd w:val="clear" w:color="auto" w:fill="CFF0FC"/>
          </w:tcPr>
          <w:p>
            <w:pPr>
              <w:jc w:val="right"/>
              <w:ind w:right="5015"/>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(754 )</w:t>
            </w: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60" w:type="dxa"/>
            <w:vAlign w:val="bottom"/>
            <w:shd w:val="clear" w:color="auto" w:fill="CFF0FC"/>
          </w:tcPr>
          <w:p>
            <w:pPr>
              <w:jc w:val="right"/>
              <w:ind w:right="5015"/>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60" w:type="dxa"/>
            <w:vAlign w:val="bottom"/>
            <w:shd w:val="clear" w:color="auto" w:fill="CFF0FC"/>
          </w:tcPr>
          <w:p>
            <w:pPr>
              <w:jc w:val="right"/>
              <w:ind w:right="5015"/>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46,968</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(28,268 )</w:t>
            </w:r>
          </w:p>
        </w:tc>
        <w:tc>
          <w:tcPr>
            <w:tcW w:w="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14,916</w:t>
            </w:r>
          </w:p>
        </w:tc>
        <w:tc>
          <w:tcPr>
            <w:tcW w:w="1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06"/>
        </w:trPr>
        <w:tc>
          <w:tcPr>
            <w:tcW w:w="566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1"/>
                <w:szCs w:val="11"/>
                <w:color w:val="auto"/>
              </w:rPr>
              <w:t>_____________________________</w:t>
            </w:r>
          </w:p>
        </w:tc>
        <w:tc>
          <w:tcPr>
            <w:tcW w:w="14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6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-704850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-687705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-704850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-687705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-704850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-687705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-704850</wp:posOffset>
            </wp:positionV>
            <wp:extent cx="774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-687705</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-405130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-387985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-405130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-387985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-405130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-387985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-405130</wp:posOffset>
            </wp:positionV>
            <wp:extent cx="7747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-387985</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-104775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-87630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-104775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-87630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-104775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-87630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-104775</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-87630</wp:posOffset>
            </wp:positionV>
            <wp:extent cx="774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520" w:hanging="512"/>
        <w:spacing w:after="0"/>
        <w:tabs>
          <w:tab w:leader="none" w:pos="5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Reduction in the consolidated balance sheet from the related assets to which the reserve applies.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valuation and qualifying accounts are detailed in our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0"/>
          <w:szCs w:val="20"/>
          <w:color w:val="auto"/>
        </w:rPr>
        <w:t>Exhibit 3(ii).1</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LSB INDUSTRIES,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AMENDED AND RESTATED BYLAWS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 through December 17,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Offices</w:t>
      </w:r>
    </w:p>
    <w:p>
      <w:pPr>
        <w:spacing w:after="0" w:line="225" w:lineRule="exact"/>
        <w:rPr>
          <w:sz w:val="20"/>
          <w:szCs w:val="20"/>
          <w:color w:val="auto"/>
        </w:rPr>
      </w:pPr>
    </w:p>
    <w:p>
      <w:pPr>
        <w:jc w:val="both"/>
        <w:ind w:right="140" w:firstLine="45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principal office of the Corporation shall be in Oklahoma City, County of Oklahoma, State of Oklahoma, and the Corporation may also have offices at such other places as the Board of Directors may from time to time appoint or at such other places as the business of the Corporation requires.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Seal</w:t>
      </w:r>
    </w:p>
    <w:p>
      <w:pPr>
        <w:spacing w:after="0" w:line="225" w:lineRule="exact"/>
        <w:rPr>
          <w:sz w:val="20"/>
          <w:szCs w:val="20"/>
          <w:color w:val="auto"/>
        </w:rPr>
      </w:pPr>
    </w:p>
    <w:p>
      <w:pPr>
        <w:ind w:right="20" w:firstLine="45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corporate seal shall be in such form as the Board of Directors may from time to time prescribe. Said seal may be used by causing it, or a facsimile thereof, to be impressed or affixed or reproduced or otherwise.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Stockholders; Business to be Conducted at Annual or Special Meeting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 Stockholders; and Stockholder Access to Corporation’s Proxy Statement</w:t>
      </w:r>
    </w:p>
    <w:p>
      <w:pPr>
        <w:spacing w:after="0" w:line="225" w:lineRule="exact"/>
        <w:rPr>
          <w:sz w:val="20"/>
          <w:szCs w:val="20"/>
          <w:color w:val="auto"/>
        </w:rPr>
      </w:pPr>
    </w:p>
    <w:p>
      <w:pPr>
        <w:ind w:right="94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Place</w:t>
      </w:r>
      <w:r>
        <w:rPr>
          <w:rFonts w:ascii="Times New Roman" w:cs="Times New Roman" w:eastAsia="Times New Roman" w:hAnsi="Times New Roman"/>
          <w:sz w:val="18"/>
          <w:szCs w:val="18"/>
          <w:color w:val="auto"/>
        </w:rPr>
        <w:t>. All meetings of the stockholders shall be held in Oklahoma City, Oklahoma, or at such other place as the directors may designate.</w:t>
      </w:r>
    </w:p>
    <w:p>
      <w:pPr>
        <w:spacing w:after="0" w:line="162" w:lineRule="exact"/>
        <w:rPr>
          <w:sz w:val="20"/>
          <w:szCs w:val="20"/>
          <w:color w:val="auto"/>
        </w:rPr>
      </w:pPr>
    </w:p>
    <w:p>
      <w:pPr>
        <w:ind w:right="12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An annual meeting of stockholders shall be held each calendar year on such date and at such time as shall be designated from time to time by the Board of Directors and stated in the notice of the meeting or in a duly executed waiver of notice of such meeting. At such meeting, the stockholders shall elect directors and transact such other business as may properly be brought before the meeting.</w:t>
      </w:r>
    </w:p>
    <w:p>
      <w:pPr>
        <w:spacing w:after="0" w:line="176" w:lineRule="exact"/>
        <w:rPr>
          <w:sz w:val="20"/>
          <w:szCs w:val="20"/>
          <w:color w:val="auto"/>
        </w:rPr>
      </w:pPr>
    </w:p>
    <w:p>
      <w:pPr>
        <w:ind w:right="20" w:firstLine="458"/>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holders of record of a majority of the stock issued and outstanding, and entitled to vote thereat, present in person, or represented by proxy, shall be requisite and shall constitute a quorum at all meetings of the stockholders for the transaction of business, except as otherwise provided by law, by the Certificate of Incorporation or by these Bylaws, but in the absence of a quorum the holders of record, present in person or represented by proxy at such meeting shall have power to adjourn the meeting from time to time, without notice other than announcement at the meeting, until the requisite amount of voting stock shall be present. At such adjourned meeting at which the requisite amount of voting stock shall be represented, any business may be transacted which might have been transacted at the meeting as originally notified.</w:t>
      </w:r>
    </w:p>
    <w:p>
      <w:pPr>
        <w:spacing w:after="0" w:line="187" w:lineRule="exact"/>
        <w:rPr>
          <w:sz w:val="20"/>
          <w:szCs w:val="20"/>
          <w:color w:val="auto"/>
        </w:rPr>
      </w:pPr>
    </w:p>
    <w:p>
      <w:pPr>
        <w:ind w:right="14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Except as otherwise provided by the laws of the State of Delaware or the Certificate of Incorporation of the Corporation or these Bylaws:</w:t>
      </w:r>
    </w:p>
    <w:p>
      <w:pPr>
        <w:spacing w:after="0" w:line="162" w:lineRule="exact"/>
        <w:rPr>
          <w:sz w:val="20"/>
          <w:szCs w:val="20"/>
          <w:color w:val="auto"/>
        </w:rPr>
      </w:pPr>
    </w:p>
    <w:p>
      <w:pPr>
        <w:ind w:right="720" w:firstLine="457"/>
        <w:spacing w:after="0" w:line="282" w:lineRule="auto"/>
        <w:tabs>
          <w:tab w:leader="none" w:pos="99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every meeting of the stockholders every shareholder having the right to vote shall be entitled to one vote for each share of capital stock having voting rights held by him.</w:t>
      </w:r>
    </w:p>
    <w:p>
      <w:pPr>
        <w:spacing w:after="0" w:line="161" w:lineRule="exact"/>
        <w:rPr>
          <w:rFonts w:ascii="Times New Roman" w:cs="Times New Roman" w:eastAsia="Times New Roman" w:hAnsi="Times New Roman"/>
          <w:sz w:val="18"/>
          <w:szCs w:val="18"/>
          <w:color w:val="auto"/>
        </w:rPr>
      </w:pPr>
    </w:p>
    <w:p>
      <w:pPr>
        <w:ind w:right="320" w:firstLine="457"/>
        <w:spacing w:after="0" w:line="266" w:lineRule="auto"/>
        <w:tabs>
          <w:tab w:leader="none" w:pos="101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entitled to vote at a meeting of stockholders or to express consent or dissent to corporate action in writing without a meeting may authorize another person or persons to act for him by proxy, but no such proxy shall be voted or acted upon after three years from its date, unless the proxy provides for a longer period.</w:t>
      </w:r>
    </w:p>
    <w:p>
      <w:pPr>
        <w:spacing w:after="0" w:line="175" w:lineRule="exact"/>
        <w:rPr>
          <w:rFonts w:ascii="Times New Roman" w:cs="Times New Roman" w:eastAsia="Times New Roman" w:hAnsi="Times New Roman"/>
          <w:sz w:val="18"/>
          <w:szCs w:val="18"/>
          <w:color w:val="auto"/>
        </w:rPr>
      </w:pPr>
    </w:p>
    <w:p>
      <w:pPr>
        <w:ind w:left="720" w:hanging="263"/>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matter properly presented to any meeting shall be decided by a majority of the votes cast on the matter.</w:t>
      </w:r>
    </w:p>
    <w:p>
      <w:pPr>
        <w:spacing w:after="0" w:line="225" w:lineRule="exact"/>
        <w:rPr>
          <w:rFonts w:ascii="Times New Roman" w:cs="Times New Roman" w:eastAsia="Times New Roman" w:hAnsi="Times New Roman"/>
          <w:sz w:val="18"/>
          <w:szCs w:val="18"/>
          <w:color w:val="auto"/>
        </w:rPr>
      </w:pPr>
    </w:p>
    <w:p>
      <w:pPr>
        <w:ind w:right="180" w:firstLine="457"/>
        <w:spacing w:after="0" w:line="266" w:lineRule="auto"/>
        <w:tabs>
          <w:tab w:leader="none" w:pos="101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 and the vote on any other matter presented to a meeting need not be by written ballots, but written ballots may be used if ordered by the chairman of the meeting or if so requested by any stockholder present or represented by proxy at the meeting entitled to vote in such election or on such matter, as the case may be.</w:t>
      </w:r>
    </w:p>
    <w:p>
      <w:pPr>
        <w:spacing w:after="0" w:line="176" w:lineRule="exact"/>
        <w:rPr>
          <w:sz w:val="20"/>
          <w:szCs w:val="20"/>
          <w:color w:val="auto"/>
        </w:rPr>
      </w:pPr>
    </w:p>
    <w:p>
      <w:pPr>
        <w:jc w:val="both"/>
        <w:ind w:right="32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Notice of Meeting</w:t>
      </w:r>
      <w:r>
        <w:rPr>
          <w:rFonts w:ascii="Times New Roman" w:cs="Times New Roman" w:eastAsia="Times New Roman" w:hAnsi="Times New Roman"/>
          <w:sz w:val="18"/>
          <w:szCs w:val="18"/>
          <w:color w:val="auto"/>
        </w:rPr>
        <w:t>. For each meeting of stockholders written notice shall be given stating the place, date and hour, and, in the case of a special meeting, the purpose or purposes for which the meeting is called and, if the list of stockholders required by Section 6 is not to be at the place of said meeting at least 10 days prior to the meeting, the place where said list will be. Except as otherwise provided by Delaware law, the written notice of any meeting shall be given not less than 10 nor more than 60 days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ind w:right="120"/>
        <w:spacing w:after="0" w:line="282" w:lineRule="auto"/>
        <w:rPr>
          <w:sz w:val="20"/>
          <w:szCs w:val="20"/>
          <w:color w:val="auto"/>
        </w:rPr>
      </w:pPr>
      <w:r>
        <w:rPr>
          <w:rFonts w:ascii="Times New Roman" w:cs="Times New Roman" w:eastAsia="Times New Roman" w:hAnsi="Times New Roman"/>
          <w:sz w:val="18"/>
          <w:szCs w:val="18"/>
          <w:color w:val="auto"/>
        </w:rPr>
        <w:t>date of the meeting to each stockholder entitled to vote at such meeting. If mailed, notice shall be deemed to be given when deposited in the United States mail, postage prepaid, directed to the stockholder at his address as it appears on the records of the Corporation.</w:t>
      </w:r>
    </w:p>
    <w:p>
      <w:pPr>
        <w:spacing w:after="0" w:line="162" w:lineRule="exact"/>
        <w:rPr>
          <w:sz w:val="20"/>
          <w:szCs w:val="20"/>
          <w:color w:val="auto"/>
        </w:rPr>
      </w:pPr>
    </w:p>
    <w:p>
      <w:pPr>
        <w:ind w:right="20" w:firstLine="458"/>
        <w:spacing w:after="0" w:line="25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List of Stockholders Entitled to Vote</w:t>
      </w:r>
      <w:r>
        <w:rPr>
          <w:rFonts w:ascii="Times New Roman" w:cs="Times New Roman" w:eastAsia="Times New Roman" w:hAnsi="Times New Roman"/>
          <w:sz w:val="18"/>
          <w:szCs w:val="18"/>
          <w:color w:val="auto"/>
        </w:rPr>
        <w:t>. At least 10 days before every meeting of stockholders a complete list of the stockholders entitled to vote at the meeting, arranged in alphabetical order, and showing the address of each stockholder and the number of shares registered in the name of each stockholder, shall be prepared and shall be open to the examination of any stockholder for any purpose germane to the meeting, during ordinary business hours, for a period of at least 10 days prior to the meeting, either at a place within the city where the meeting is to be held, which place shall be specified in the notice of the meeting, or, if not so specified, at the place where the meeting is to be held. Such list shall be produced and kept at the time and place of the meeting during the whole time thereof, and may be inspected by any stockholder who is present.</w:t>
      </w:r>
    </w:p>
    <w:p>
      <w:pPr>
        <w:spacing w:after="0" w:line="187" w:lineRule="exact"/>
        <w:rPr>
          <w:sz w:val="20"/>
          <w:szCs w:val="20"/>
          <w:color w:val="auto"/>
        </w:rPr>
      </w:pPr>
    </w:p>
    <w:p>
      <w:pPr>
        <w:ind w:right="100" w:firstLine="458"/>
        <w:spacing w:after="0" w:line="25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A special meeting of stockholders may be called at any time by the Chairman or by a majority of the directors then in office, and shall be called by the Chairman upon receipt of a written request to do so specifying the matter or matters, appropriate for action at such meeting, proposed to be presented at the meeting and signed by holders of record of two-thirds of the shares of stock that would be entitled to be voted on such matter or matters if the meeting was held on the day such request is received and the record date for such meeting was the close of business on the preceding day. Any such meeting shall be held at such time and at such place, within or without the State of Delaware, as shall be determined by the body or person calling such meeting and as shall be stated in the notice of such meeting.”</w:t>
      </w:r>
    </w:p>
    <w:p>
      <w:pPr>
        <w:spacing w:after="0" w:line="187" w:lineRule="exact"/>
        <w:rPr>
          <w:sz w:val="20"/>
          <w:szCs w:val="20"/>
          <w:color w:val="auto"/>
        </w:rPr>
      </w:pPr>
    </w:p>
    <w:p>
      <w:pPr>
        <w:ind w:firstLine="458"/>
        <w:spacing w:after="0" w:line="25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Chairman and Secretary at Meeting</w:t>
      </w:r>
      <w:r>
        <w:rPr>
          <w:rFonts w:ascii="Times New Roman" w:cs="Times New Roman" w:eastAsia="Times New Roman" w:hAnsi="Times New Roman"/>
          <w:sz w:val="18"/>
          <w:szCs w:val="18"/>
          <w:color w:val="auto"/>
        </w:rPr>
        <w:t>. At each meeting of stockholders, the Chairman of the Board of Directors or, in the absence or inability to serve by the Chairman of the Board of Directors, the Vice Chairman of the Board of Directors or, in the absence or inability to serve by both the Chairman of the Board of Directors and the Vice Chairman of the Board of Directors, the President or, in the absence or inability to serve by the Chairman of the Board of Directors, Vice Chairman of the Board of Directors and the President, the person designated in writing by the President or, if no person is so designated, then a person designated by the Board of Directors shall preside as Chairman of the meeting; if no person is so designated, then the Board of Directors shall choose a Chairman by plurality vote. The Secretary or in his absence a person designated by the Chairman of the meeting shall act as Secretary of the meeting.</w:t>
      </w:r>
    </w:p>
    <w:p>
      <w:pPr>
        <w:spacing w:after="0" w:line="189" w:lineRule="exact"/>
        <w:rPr>
          <w:sz w:val="20"/>
          <w:szCs w:val="20"/>
          <w:color w:val="auto"/>
        </w:rPr>
      </w:pPr>
    </w:p>
    <w:p>
      <w:pPr>
        <w:ind w:right="40"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Adjourned Meetings</w:t>
      </w:r>
      <w:r>
        <w:rPr>
          <w:rFonts w:ascii="Times New Roman" w:cs="Times New Roman" w:eastAsia="Times New Roman" w:hAnsi="Times New Roman"/>
          <w:sz w:val="18"/>
          <w:szCs w:val="18"/>
          <w:color w:val="auto"/>
        </w:rPr>
        <w:t>. A meeting of stockholders may be adjourned to another time or place as provided in Sections 3 or 4(d) of this Article III. Unless the Board of Directors fixes a new record date, stockholders of record for an adjourned meeting shall be as originally determined for the meeting from which the adjournment was taken. If the adjournment is for more than 30 days, or if after the adjournment, a new record date is fixed for the adjourned meeting, a notice of the adjourned meeting shall be given to each stockholder of record entitled to vote. At the adjourned meeting any business may be transacted that might have been transacted at the meeting as originally called.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Consent of Stockholders in Lieu of Meeting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58"/>
        <w:spacing w:after="0" w:line="25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Action by Written Consent</w:t>
      </w:r>
      <w:r>
        <w:rPr>
          <w:rFonts w:ascii="Times New Roman" w:cs="Times New Roman" w:eastAsia="Times New Roman" w:hAnsi="Times New Roman"/>
          <w:sz w:val="18"/>
          <w:szCs w:val="18"/>
          <w:color w:val="auto"/>
        </w:rPr>
        <w:t>. Any action which is required to be or may be taken at any annual or special meeting of stockholders of the Corporation may be taken without a meeting, without prior notice and without a vote, if consents in writing, setting forth the action so taken, shall have been signed by the holders of outstanding stock having not less than the minimum number of votes that would be necessary to authorize or to take such action at a meeting at which all shares entitled to vote thereon were present and voted; provided however, that prompt notice of the taking of the corporate action without a meeting and by less than unanimous written consent shall be given to those stockholders who have not consented in writing.</w:t>
      </w:r>
    </w:p>
    <w:p>
      <w:pPr>
        <w:spacing w:after="0" w:line="183" w:lineRule="exact"/>
        <w:rPr>
          <w:sz w:val="20"/>
          <w:szCs w:val="20"/>
          <w:color w:val="auto"/>
        </w:rPr>
      </w:pPr>
    </w:p>
    <w:p>
      <w:pPr>
        <w:ind w:right="20" w:firstLine="458"/>
        <w:spacing w:after="0" w:line="269"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Determination of Record Date of Action by Written Consent</w:t>
      </w:r>
      <w:r>
        <w:rPr>
          <w:rFonts w:ascii="Times New Roman" w:cs="Times New Roman" w:eastAsia="Times New Roman" w:hAnsi="Times New Roman"/>
          <w:sz w:val="17"/>
          <w:szCs w:val="17"/>
          <w:color w:val="auto"/>
        </w:rPr>
        <w:t>. In order to inform the Corporation’s stockholders and the investing public in advance that a record date for action by consent will occur and to comply with the procedures contained in the New York Stock Exchange (or such other exchange on which the Corporation’s securities are listed for trading) policies and rules, the record date for determining stockholders entitled to express consent to corporate action in writing without a meeting is fixed by the Board of Directors of the Corporation pursuant to Section 213 of the Delaware General Corporation Law as follows: The Board of Directors shall set as the record date the 10th day after (i) any stockholder of record seeking to have the stockholders authorize or take corporate action by written consent without a meeting shall, by written notice to the Secretary which may be given by telex or telecopy, advise the Corporation of the corporate action proposed for which consents will be sought and request from the Board of Directors a record date unless a later date is specified by such stockholder, or (ii) the Board of Directors determines that the Corporation should seek corporate action by written consent, unless a later record date is specified in the resolution of the Board of Directors containing such determination. In the event that the record date set as provided falls on a Saturday, Sunday or legal holiday, the record date shall be the first day next following such date that is not a Saturday, Sunday or legal holiday. Any record date determined pursuant to this Subsection 10.2 shall be announced by a press release prior to the opening of trading on the New York Stock Exchange (or such other exchange on which the Corporation’s securities are listed for trading) on the next trading day after a request for a record date pursuant to clause (i) above is received by the Secretary or a Board of Directors’ determination pursuant to clause (ii)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82" w:name="page83"/>
    <w:bookmarkEnd w:id="82"/>
    <w:p>
      <w:pPr>
        <w:ind w:firstLine="458"/>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Duration and Revocation of Consents</w:t>
      </w:r>
      <w:r>
        <w:rPr>
          <w:rFonts w:ascii="Times New Roman" w:cs="Times New Roman" w:eastAsia="Times New Roman" w:hAnsi="Times New Roman"/>
          <w:sz w:val="18"/>
          <w:szCs w:val="18"/>
          <w:color w:val="auto"/>
        </w:rPr>
        <w:t>. In order that the Corporation’s stockholders shall have an opportunity to receive and consider the information germane to an informed judgment as to whether to give a written consent and in accordance with the procedures contained in the New York Stock Exchange (or such other exchange on which the Corporation’s securities are listed for trading) policies and rules, the stockholders of the Corporation shall be given at least 20 days from the record date to give or revoke written consents. Consents to corporate action shall be valid for a maximum of 60 days after the record date. Consents may be revoked by written notice (i) to the Corporation, (ii) to the stockholder or stockholders soliciting consents or soliciting revocations in opposition to action by consent proposed by the Corporation (the “Soliciting Stockholders”), or (iii) to a proxy solicitor or other agent designated by the Corporation of the Soliciting Stockholder(s).</w:t>
      </w:r>
    </w:p>
    <w:p>
      <w:pPr>
        <w:spacing w:after="0" w:line="189" w:lineRule="exact"/>
        <w:rPr>
          <w:sz w:val="20"/>
          <w:szCs w:val="20"/>
          <w:color w:val="auto"/>
        </w:rPr>
      </w:pPr>
    </w:p>
    <w:p>
      <w:pPr>
        <w:ind w:right="20" w:firstLine="458"/>
        <w:spacing w:after="0" w:line="255"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Retention and Duties of Inspectors of Election</w:t>
      </w:r>
      <w:r>
        <w:rPr>
          <w:rFonts w:ascii="Times New Roman" w:cs="Times New Roman" w:eastAsia="Times New Roman" w:hAnsi="Times New Roman"/>
          <w:sz w:val="18"/>
          <w:szCs w:val="18"/>
          <w:color w:val="auto"/>
        </w:rPr>
        <w:t>. Within two business days after receipt of a request by a stockholder for the setting of a record date or a determination by the Board of Directors that the Corporation should seek corporate action by written consent, as the case may be, the Secretary of the Corporation shall engage nationally recognized independent inspectors of elections for the purpose of performing a ministerial review of the validity of the consents and revocations. The inspectors shall review all consents and revocations, determine whether the requisite number of valid and unrevoked consents has been obtained to authorize or take the action specified in the consents, and forthwith certify such determination for entry in the records of the Corporation kept for the purpose of recording the proceedings of meetings of stockholders. The cost of retaining inspectors of elections shall be borne by the party proposing the action by consent.</w:t>
      </w:r>
    </w:p>
    <w:p>
      <w:pPr>
        <w:spacing w:after="0" w:line="189" w:lineRule="exact"/>
        <w:rPr>
          <w:sz w:val="20"/>
          <w:szCs w:val="20"/>
          <w:color w:val="auto"/>
        </w:rPr>
      </w:pPr>
    </w:p>
    <w:p>
      <w:pPr>
        <w:ind w:right="540" w:firstLine="458"/>
        <w:spacing w:after="0" w:line="25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Procedures for Counting and Challenging Consents</w:t>
      </w:r>
      <w:r>
        <w:rPr>
          <w:rFonts w:ascii="Times New Roman" w:cs="Times New Roman" w:eastAsia="Times New Roman" w:hAnsi="Times New Roman"/>
          <w:sz w:val="18"/>
          <w:szCs w:val="18"/>
          <w:color w:val="auto"/>
        </w:rPr>
        <w:t>. Consents and revocations shall be delivered to the inspectors upon receipt by the Corporation, the Soliciting Stockholders or their proxy solicitors or other designated agents. As soon as consents and revocations are received, the inspectors shall review the consents and revocations and shall maintain a count of the number of valid and unrevoked consents. The inspectors shall keep such count confidential and shall not reveal the count to the Corporation, the Soliciting Stockholders or their representatives. As soon as practicable after the earlier of (i) 60 days after the record date for the consents or (ii) a request therefore by the Corporation or the Soliciting Stockholders (whichever is soliciting consents) made after expiration of the period for giving or revoking consents under</w:t>
      </w:r>
    </w:p>
    <w:p>
      <w:pPr>
        <w:spacing w:after="0" w:line="187"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Subsection 10.3 above, notice of which request shall be given to the party opposing the solicitation of consents, which request shall state that the Corporation or Soliciting Stockholder(s) (as the case may be) in good faith believe that it or they have received the requisite number of valid and unrevoked consents to authorize or take the action specified in the consents, the inspectors shall issue a preliminary report to the Corporation and the Soliciting Stockholders stating:</w:t>
      </w:r>
    </w:p>
    <w:p>
      <w:pPr>
        <w:spacing w:after="0" w:line="180" w:lineRule="exact"/>
        <w:rPr>
          <w:sz w:val="20"/>
          <w:szCs w:val="20"/>
          <w:color w:val="auto"/>
        </w:rPr>
      </w:pPr>
    </w:p>
    <w:p>
      <w:pPr>
        <w:ind w:left="1020" w:hanging="56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valid consents;</w:t>
      </w:r>
    </w:p>
    <w:p>
      <w:pPr>
        <w:spacing w:after="0" w:line="225" w:lineRule="exact"/>
        <w:rPr>
          <w:rFonts w:ascii="Times New Roman" w:cs="Times New Roman" w:eastAsia="Times New Roman" w:hAnsi="Times New Roman"/>
          <w:sz w:val="18"/>
          <w:szCs w:val="18"/>
          <w:color w:val="auto"/>
        </w:rPr>
      </w:pPr>
    </w:p>
    <w:p>
      <w:pPr>
        <w:ind w:left="1020" w:hanging="56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valid revocations;</w:t>
      </w:r>
    </w:p>
    <w:p>
      <w:pPr>
        <w:spacing w:after="0" w:line="225" w:lineRule="exact"/>
        <w:rPr>
          <w:rFonts w:ascii="Times New Roman" w:cs="Times New Roman" w:eastAsia="Times New Roman" w:hAnsi="Times New Roman"/>
          <w:sz w:val="18"/>
          <w:szCs w:val="18"/>
          <w:color w:val="auto"/>
        </w:rPr>
      </w:pPr>
    </w:p>
    <w:p>
      <w:pPr>
        <w:ind w:left="1020" w:hanging="56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valid and unrevoked consents;</w:t>
      </w:r>
    </w:p>
    <w:p>
      <w:pPr>
        <w:spacing w:after="0" w:line="225" w:lineRule="exact"/>
        <w:rPr>
          <w:rFonts w:ascii="Times New Roman" w:cs="Times New Roman" w:eastAsia="Times New Roman" w:hAnsi="Times New Roman"/>
          <w:sz w:val="18"/>
          <w:szCs w:val="18"/>
          <w:color w:val="auto"/>
        </w:rPr>
      </w:pPr>
    </w:p>
    <w:p>
      <w:pPr>
        <w:ind w:left="1020" w:hanging="56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invalid consents;</w:t>
      </w:r>
    </w:p>
    <w:p>
      <w:pPr>
        <w:spacing w:after="0" w:line="225" w:lineRule="exact"/>
        <w:rPr>
          <w:rFonts w:ascii="Times New Roman" w:cs="Times New Roman" w:eastAsia="Times New Roman" w:hAnsi="Times New Roman"/>
          <w:sz w:val="18"/>
          <w:szCs w:val="18"/>
          <w:color w:val="auto"/>
        </w:rPr>
      </w:pPr>
    </w:p>
    <w:p>
      <w:pPr>
        <w:ind w:left="1020" w:hanging="56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invalid revocations;</w:t>
      </w:r>
    </w:p>
    <w:p>
      <w:pPr>
        <w:spacing w:after="0" w:line="225" w:lineRule="exact"/>
        <w:rPr>
          <w:rFonts w:ascii="Times New Roman" w:cs="Times New Roman" w:eastAsia="Times New Roman" w:hAnsi="Times New Roman"/>
          <w:sz w:val="18"/>
          <w:szCs w:val="18"/>
          <w:color w:val="auto"/>
        </w:rPr>
      </w:pPr>
    </w:p>
    <w:p>
      <w:pPr>
        <w:ind w:left="1020" w:right="160" w:hanging="56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based on their preliminary count, the requisite number of valid and unrevoked consents has been obtained to authorize or take the action specified in the consents.</w:t>
      </w:r>
    </w:p>
    <w:p>
      <w:pPr>
        <w:spacing w:after="0" w:line="162" w:lineRule="exact"/>
        <w:rPr>
          <w:sz w:val="20"/>
          <w:szCs w:val="20"/>
          <w:color w:val="auto"/>
        </w:rPr>
      </w:pPr>
    </w:p>
    <w:p>
      <w:pPr>
        <w:ind w:right="20" w:firstLine="458"/>
        <w:spacing w:after="0" w:line="253" w:lineRule="auto"/>
        <w:rPr>
          <w:sz w:val="20"/>
          <w:szCs w:val="20"/>
          <w:color w:val="auto"/>
        </w:rPr>
      </w:pPr>
      <w:r>
        <w:rPr>
          <w:rFonts w:ascii="Times New Roman" w:cs="Times New Roman" w:eastAsia="Times New Roman" w:hAnsi="Times New Roman"/>
          <w:sz w:val="18"/>
          <w:szCs w:val="18"/>
          <w:color w:val="auto"/>
        </w:rPr>
        <w:t>Unless the Corporation and the Soliciting Stockholder(s) shall agree to a shorter or longer period, the Corporation and the Soliciting Stockholder(s) shall have 48 hours to review the consents and revocations and to advise the inspectors and the opposing party in writing as to whether they intend to challenge the preliminary report of the inspectors. If no written notice of an intention to challenge the preliminary report is received within 48 hours after the inspector’s issuance of the preliminary report, the inspectors shall issue to the Corporation and the Soliciting Stockholder(s) their final report containing the information from the inspectors’ determination with respect to whether the requisite number of valid and unrevoked consents was obtained to authorize and take the action specified in the consents. If the Corporation or the Soliciting Stockholder(s) issue written notice of an intention to challenge the inspectors’ preliminary report within 48 hours after the issuance of that report, a challenge session shall be scheduled by the inspectors as promptly as practicable. A transcript of the challenge session shall be recorded by a certified court reporter. Following completion of the challenge session, the inspectors shall as promptly as practicable issue their final report to the Corporation and the Soliciting Stockholder(s) containing the information included in the preliminary report, plus all changes in the vote totals as a result of the challenges and a certification of whether the requisite number of valid and unrevoked consents was obtained to authorize or take the action specified in the consents.</w:t>
      </w:r>
    </w:p>
    <w:p>
      <w:pPr>
        <w:spacing w:after="0" w:line="192" w:lineRule="exact"/>
        <w:rPr>
          <w:sz w:val="20"/>
          <w:szCs w:val="20"/>
          <w:color w:val="auto"/>
        </w:rPr>
      </w:pPr>
    </w:p>
    <w:p>
      <w:pPr>
        <w:ind w:right="320" w:firstLine="458"/>
        <w:spacing w:after="0" w:line="28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Notice of Results</w:t>
      </w:r>
      <w:r>
        <w:rPr>
          <w:rFonts w:ascii="Times New Roman" w:cs="Times New Roman" w:eastAsia="Times New Roman" w:hAnsi="Times New Roman"/>
          <w:sz w:val="18"/>
          <w:szCs w:val="18"/>
          <w:color w:val="auto"/>
        </w:rPr>
        <w:t>. The Corporation shall give prompt notice to the stockholders of the results of any consent solicitation or the taking of the corporate action without a meeting and by less than unanimous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3" w:name="page84"/>
    <w:bookmarkEnd w:id="83"/>
    <w:p>
      <w:pPr>
        <w:ind w:left="20" w:right="160" w:firstLine="458"/>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Fixing of 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to express consent to corporate action in writing without a meeting, or entitled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 If no record date is fixed,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the record date for determining stockholders entitled to express consent to corporate action in writing without a meeting, when no prior action by the Board of Directors is necessary, shall be the day on which the first written consent is expressed; and the record date for determining stockholders for any other purpose shall be at the close of business on the day on which the Board of Directors adopts the resolution relating thereto.</w:t>
      </w:r>
    </w:p>
    <w:p>
      <w:pPr>
        <w:spacing w:after="0" w:line="194" w:lineRule="exact"/>
        <w:rPr>
          <w:sz w:val="20"/>
          <w:szCs w:val="20"/>
          <w:color w:val="auto"/>
        </w:rPr>
      </w:pPr>
    </w:p>
    <w:p>
      <w:pPr>
        <w:ind w:left="20" w:right="280" w:firstLine="458"/>
        <w:spacing w:after="0" w:line="276"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Business to be Conducted at the Annual or Special Meeting of the Stockholders; Notice of Proposals</w:t>
      </w:r>
      <w:r>
        <w:rPr>
          <w:rFonts w:ascii="Times New Roman" w:cs="Times New Roman" w:eastAsia="Times New Roman" w:hAnsi="Times New Roman"/>
          <w:sz w:val="17"/>
          <w:szCs w:val="17"/>
          <w:color w:val="auto"/>
        </w:rPr>
        <w:t>. At any annual meeting of the stockholders, only such business shall be conducted as shall have been brought before the meeting (i) by or at the direction of the Board of Directors, or</w:t>
      </w:r>
    </w:p>
    <w:p>
      <w:pPr>
        <w:spacing w:after="0" w:line="1" w:lineRule="exact"/>
        <w:rPr>
          <w:sz w:val="20"/>
          <w:szCs w:val="20"/>
          <w:color w:val="auto"/>
        </w:rPr>
      </w:pPr>
    </w:p>
    <w:p>
      <w:pPr>
        <w:ind w:firstLine="8"/>
        <w:spacing w:after="0" w:line="253" w:lineRule="auto"/>
        <w:tabs>
          <w:tab w:leader="none" w:pos="50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of the Corporation who is entitled to vote with respect thereto and who: (a) was a stockholder of record (and, with respect to any beneficial owner, if different, on whose behalf such business as proposed, only if such beneficial owner was the beneficial owner of shares of the Corporation) both at the time of giving notice provided for in this Section 12 and at the time of the meeting; and (b) complies with the notice procedures set forth in this Section 12.</w:t>
      </w:r>
    </w:p>
    <w:p>
      <w:pPr>
        <w:spacing w:after="0" w:line="189" w:lineRule="exact"/>
        <w:rPr>
          <w:sz w:val="20"/>
          <w:szCs w:val="20"/>
          <w:color w:val="auto"/>
        </w:rPr>
      </w:pPr>
    </w:p>
    <w:p>
      <w:pPr>
        <w:ind w:left="20" w:right="200" w:firstLine="458"/>
        <w:spacing w:after="0" w:line="261" w:lineRule="auto"/>
        <w:rPr>
          <w:sz w:val="20"/>
          <w:szCs w:val="20"/>
          <w:color w:val="auto"/>
        </w:rPr>
      </w:pPr>
      <w:r>
        <w:rPr>
          <w:rFonts w:ascii="Times New Roman" w:cs="Times New Roman" w:eastAsia="Times New Roman" w:hAnsi="Times New Roman"/>
          <w:sz w:val="18"/>
          <w:szCs w:val="18"/>
          <w:color w:val="auto"/>
        </w:rPr>
        <w:t>Except for proposals properly made in accordance with Rule 14a-8 under the Securities Exchange Act of 1934, as amended, and the rules and regulations thereunder (as so amended and inclusive of such rules as regulations, the “Exchange Act”) and included in the notice of the meeting given by or at the direction of the Board of Directors, the foregoing clause (ii) will be the exclusive means for a stockholder to propose business to be brought before the annual meeting of stockholders.</w:t>
      </w:r>
    </w:p>
    <w:p>
      <w:pPr>
        <w:spacing w:after="0" w:line="180" w:lineRule="exact"/>
        <w:rPr>
          <w:sz w:val="20"/>
          <w:szCs w:val="20"/>
          <w:color w:val="auto"/>
        </w:rPr>
      </w:pPr>
    </w:p>
    <w:p>
      <w:pPr>
        <w:ind w:left="20" w:right="80" w:firstLine="458"/>
        <w:spacing w:after="0" w:line="255" w:lineRule="auto"/>
        <w:rPr>
          <w:sz w:val="20"/>
          <w:szCs w:val="20"/>
          <w:color w:val="auto"/>
        </w:rPr>
      </w:pPr>
      <w:r>
        <w:rPr>
          <w:rFonts w:ascii="Times New Roman" w:cs="Times New Roman" w:eastAsia="Times New Roman" w:hAnsi="Times New Roman"/>
          <w:sz w:val="18"/>
          <w:szCs w:val="18"/>
          <w:color w:val="auto"/>
        </w:rPr>
        <w:t>For business to be properly brought before the annual meeting by a stockholder, the Proposing Person (as defined below) must have given timely notice thereof in writing to the Secretary of the Corporation. The Proposing Person’s notice will be timely if delivered or mailed to and received at the principal executive offices at the Corporation not less than 120 nor more than 150 days before the date on which the Corporation first mailed its proxy materials for the prior year’s annual meeting of stockholders; provided however, that if the date of the annual meeting is more than 30 days before or more than 60 days after such date, notice by the stockholder timely must be so delivered, or mailed and received not later than the 90th day prior to such annual meeting, or if later, the 10th day following the date on which the public disclosure of the date of such annual meeting was such made. Any adjournment of an annual meeting or the announcement hereof will not commence a new time period for giving the notice described above.</w:t>
      </w:r>
    </w:p>
    <w:p>
      <w:pPr>
        <w:spacing w:after="0" w:line="189" w:lineRule="exact"/>
        <w:rPr>
          <w:sz w:val="20"/>
          <w:szCs w:val="20"/>
          <w:color w:val="auto"/>
        </w:rPr>
      </w:pPr>
    </w:p>
    <w:p>
      <w:pPr>
        <w:ind w:right="320" w:firstLine="458"/>
        <w:spacing w:after="0" w:line="282" w:lineRule="auto"/>
        <w:rPr>
          <w:sz w:val="20"/>
          <w:szCs w:val="20"/>
          <w:color w:val="auto"/>
        </w:rPr>
      </w:pPr>
      <w:r>
        <w:rPr>
          <w:rFonts w:ascii="Times New Roman" w:cs="Times New Roman" w:eastAsia="Times New Roman" w:hAnsi="Times New Roman"/>
          <w:sz w:val="18"/>
          <w:szCs w:val="18"/>
          <w:color w:val="auto"/>
        </w:rPr>
        <w:t>The Proposing Person’s notice to the Secretary shall set forth as to each matter such stockholder proposes to bring before the annual meeting, the following:</w:t>
      </w:r>
    </w:p>
    <w:p>
      <w:pPr>
        <w:spacing w:after="0" w:line="162" w:lineRule="exact"/>
        <w:rPr>
          <w:sz w:val="20"/>
          <w:szCs w:val="20"/>
          <w:color w:val="auto"/>
        </w:rPr>
      </w:pPr>
    </w:p>
    <w:p>
      <w:pPr>
        <w:ind w:left="1020" w:hanging="56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on the Corporation books, of the stockholder proposing such business;</w:t>
      </w:r>
    </w:p>
    <w:p>
      <w:pPr>
        <w:spacing w:after="0" w:line="225" w:lineRule="exact"/>
        <w:rPr>
          <w:rFonts w:ascii="Times New Roman" w:cs="Times New Roman" w:eastAsia="Times New Roman" w:hAnsi="Times New Roman"/>
          <w:sz w:val="18"/>
          <w:szCs w:val="18"/>
          <w:color w:val="auto"/>
        </w:rPr>
      </w:pPr>
    </w:p>
    <w:p>
      <w:pPr>
        <w:ind w:left="1000" w:right="100" w:hanging="543"/>
        <w:spacing w:after="0" w:line="26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the Corporation’s securities that are, directly or indirectly, owned of record or beneficially owned (within the meaning of Rule 13d-3 under the Exchange Act) by the Proposing Person, except the Proposing Person will be deemed to beneficially own any shares or class or series of the Corporation’s securities which the Proposing Person has a right to acquire beneficially ownership at any time in the future (collectively, the “Stockholder Information”);</w:t>
      </w:r>
    </w:p>
    <w:p>
      <w:pPr>
        <w:spacing w:after="0" w:line="179" w:lineRule="exact"/>
        <w:rPr>
          <w:rFonts w:ascii="Times New Roman" w:cs="Times New Roman" w:eastAsia="Times New Roman" w:hAnsi="Times New Roman"/>
          <w:sz w:val="18"/>
          <w:szCs w:val="18"/>
          <w:color w:val="auto"/>
        </w:rPr>
      </w:pPr>
    </w:p>
    <w:p>
      <w:pPr>
        <w:ind w:left="1000" w:right="40" w:hanging="543"/>
        <w:spacing w:after="0" w:line="26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item of business that the stockholder proposes to bring before the annual meeting, (A) a reasonably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w:t>
      </w:r>
    </w:p>
    <w:p>
      <w:pPr>
        <w:spacing w:after="0" w:line="179" w:lineRule="exact"/>
        <w:rPr>
          <w:rFonts w:ascii="Times New Roman" w:cs="Times New Roman" w:eastAsia="Times New Roman" w:hAnsi="Times New Roman"/>
          <w:sz w:val="18"/>
          <w:szCs w:val="18"/>
          <w:color w:val="auto"/>
        </w:rPr>
      </w:pPr>
    </w:p>
    <w:p>
      <w:pPr>
        <w:jc w:val="both"/>
        <w:ind w:left="1000" w:right="140" w:hanging="543"/>
        <w:spacing w:after="0" w:line="26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reasonably detailed description of all agreements, arrangements and understandings, oral or in writing (x) between or among any of the Proposing Persons or (y) between or among any Proposing Person and any other record or beneficial holder of the shares of any class or series of the Corporation (including their names) in connection with the proposal of such business by such stockholder or (z) between or among any Proposing Person and any other persons or entities (including their names) acting in concert with the Proposing Person.</w:t>
      </w:r>
    </w:p>
    <w:p>
      <w:pPr>
        <w:spacing w:after="0" w:line="180" w:lineRule="exact"/>
        <w:rPr>
          <w:sz w:val="20"/>
          <w:szCs w:val="20"/>
          <w:color w:val="auto"/>
        </w:rPr>
      </w:pPr>
    </w:p>
    <w:p>
      <w:pPr>
        <w:ind w:right="120" w:firstLine="458"/>
        <w:spacing w:after="0" w:line="282" w:lineRule="auto"/>
        <w:rPr>
          <w:sz w:val="20"/>
          <w:szCs w:val="20"/>
          <w:color w:val="auto"/>
        </w:rPr>
      </w:pPr>
      <w:r>
        <w:rPr>
          <w:rFonts w:ascii="Times New Roman" w:cs="Times New Roman" w:eastAsia="Times New Roman" w:hAnsi="Times New Roman"/>
          <w:sz w:val="18"/>
          <w:szCs w:val="18"/>
          <w:color w:val="auto"/>
        </w:rPr>
        <w:t>For purposes of this Section 12, the term “Proposing Person” shall mean (i) the stockholder providing the notice of business proposed to be brought before an annual meeting, (ii) the beneficial owner or beneficial owners, if different, on whose behalf the notice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4" w:name="page85"/>
    <w:bookmarkEnd w:id="84"/>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of the business proposed to be brought before the annual meeting is made, and (iii) any affiliate or associate (each within the meaning of Rule 12b-2 under the Exchange Act for purposes of these Bylaws) of such stockholder or beneficial owner; and (iv) any material interest of such stockholder with respect to such business.</w:t>
      </w:r>
    </w:p>
    <w:p>
      <w:pPr>
        <w:spacing w:after="0" w:line="176" w:lineRule="exact"/>
        <w:rPr>
          <w:sz w:val="20"/>
          <w:szCs w:val="20"/>
          <w:color w:val="auto"/>
        </w:rPr>
      </w:pPr>
    </w:p>
    <w:p>
      <w:pPr>
        <w:ind w:firstLine="458"/>
        <w:spacing w:after="0" w:line="256" w:lineRule="auto"/>
        <w:rPr>
          <w:sz w:val="20"/>
          <w:szCs w:val="20"/>
          <w:color w:val="auto"/>
        </w:rPr>
      </w:pPr>
      <w:r>
        <w:rPr>
          <w:rFonts w:ascii="Times New Roman" w:cs="Times New Roman" w:eastAsia="Times New Roman" w:hAnsi="Times New Roman"/>
          <w:sz w:val="18"/>
          <w:szCs w:val="18"/>
          <w:color w:val="auto"/>
        </w:rPr>
        <w:t>Notwithstanding anything in these Bylaws to the contrary, no business (other than nominations of directors, which must be made in compliance with, and shall be exclusively governed by, Article III, Section 13 of these Bylaws) shall be brought before or conducted at the annual meeting except in accordance with the provisions of this Section 12. The officer of the Corporation or other person presiding over the annual meeting shall, if the facts so warrant, determine and declare to the meeting that business was not properly brought before the meeting in accordance with the provisions of this Section 12 and, if he should so determine, he shall so declare to the meeting and any such business so determined to be not properly brought before the meeting shall not be transacted.</w:t>
      </w:r>
    </w:p>
    <w:p>
      <w:pPr>
        <w:spacing w:after="0" w:line="187" w:lineRule="exact"/>
        <w:rPr>
          <w:sz w:val="20"/>
          <w:szCs w:val="20"/>
          <w:color w:val="auto"/>
        </w:rPr>
      </w:pPr>
    </w:p>
    <w:p>
      <w:pPr>
        <w:ind w:right="80" w:firstLine="458"/>
        <w:spacing w:after="0" w:line="255" w:lineRule="auto"/>
        <w:rPr>
          <w:sz w:val="20"/>
          <w:szCs w:val="20"/>
          <w:color w:val="auto"/>
        </w:rPr>
      </w:pPr>
      <w:r>
        <w:rPr>
          <w:rFonts w:ascii="Times New Roman" w:cs="Times New Roman" w:eastAsia="Times New Roman" w:hAnsi="Times New Roman"/>
          <w:sz w:val="18"/>
          <w:szCs w:val="18"/>
          <w:color w:val="auto"/>
        </w:rPr>
        <w:t>A stockholder providing notice of business proposed to be brought before an annual meeting shall further update and supplement such notice, as needed, so that the information provided or required to be provided in such notice pursuant to this Section 12 shall be true and correct as of the record date for the meeting and as of the date that is 10 business days prior to the meeting or any adjournment or postponement thereof, and such update and supplement shall be delivered to, or mailed and received by, the Secretary of the Corporation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(in the case of the update and supplement required to be made as of 10 business days prior to the meeting or any adjournment or postponement thereof).</w:t>
      </w:r>
    </w:p>
    <w:p>
      <w:pPr>
        <w:spacing w:after="0" w:line="189" w:lineRule="exact"/>
        <w:rPr>
          <w:sz w:val="20"/>
          <w:szCs w:val="20"/>
          <w:color w:val="auto"/>
        </w:rPr>
      </w:pPr>
    </w:p>
    <w:p>
      <w:pPr>
        <w:ind w:right="120" w:firstLine="458"/>
        <w:spacing w:after="0" w:line="274" w:lineRule="auto"/>
        <w:rPr>
          <w:sz w:val="20"/>
          <w:szCs w:val="20"/>
          <w:color w:val="auto"/>
        </w:rPr>
      </w:pPr>
      <w:r>
        <w:rPr>
          <w:rFonts w:ascii="Times New Roman" w:cs="Times New Roman" w:eastAsia="Times New Roman" w:hAnsi="Times New Roman"/>
          <w:sz w:val="17"/>
          <w:szCs w:val="17"/>
          <w:color w:val="auto"/>
        </w:rPr>
        <w:t>This Section 12 is expressly intended to apply to any business proposed to be brought before an annual meeting of stockholders; except this Section 12 shall not apply to any proposal made pursuant to Rule 14a-8 of the Exchange Act, or to the nomination of persons for election to the Corporation’s Board of Directors at a meeting of stockholders at which directors are to be elected which shall be governed by Article III, Section 13 of these Bylaws. In addition to the requirements of this Section 12 with respect to any business proposed to be brought before an annual meeting, each Proposing Person shall comply with all applicable requirements of the Exchange Act with respect to any such business. Nothing in this Section 12 shall be deemed to affect the rights of stockholders to request inclusion of proposals in the Corporation’s proxy statement pursuant to Rule 14a-8 under the Exchange Act.</w:t>
      </w:r>
    </w:p>
    <w:p>
      <w:pPr>
        <w:spacing w:after="0" w:line="173" w:lineRule="exact"/>
        <w:rPr>
          <w:sz w:val="20"/>
          <w:szCs w:val="20"/>
          <w:color w:val="auto"/>
        </w:rPr>
      </w:pPr>
    </w:p>
    <w:p>
      <w:pPr>
        <w:ind w:right="440" w:firstLine="458"/>
        <w:spacing w:after="0" w:line="282" w:lineRule="auto"/>
        <w:rPr>
          <w:sz w:val="20"/>
          <w:szCs w:val="20"/>
          <w:color w:val="auto"/>
        </w:rPr>
      </w:pPr>
      <w:r>
        <w:rPr>
          <w:rFonts w:ascii="Times New Roman" w:cs="Times New Roman" w:eastAsia="Times New Roman" w:hAnsi="Times New Roman"/>
          <w:sz w:val="18"/>
          <w:szCs w:val="18"/>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62" w:lineRule="exact"/>
        <w:rPr>
          <w:sz w:val="20"/>
          <w:szCs w:val="20"/>
          <w:color w:val="auto"/>
        </w:rPr>
      </w:pPr>
    </w:p>
    <w:p>
      <w:pPr>
        <w:ind w:right="600" w:firstLine="458"/>
        <w:spacing w:after="0" w:line="266" w:lineRule="auto"/>
        <w:rPr>
          <w:sz w:val="20"/>
          <w:szCs w:val="20"/>
          <w:color w:val="auto"/>
        </w:rPr>
      </w:pPr>
      <w:r>
        <w:rPr>
          <w:rFonts w:ascii="Times New Roman" w:cs="Times New Roman" w:eastAsia="Times New Roman" w:hAnsi="Times New Roman"/>
          <w:sz w:val="18"/>
          <w:szCs w:val="18"/>
          <w:color w:val="auto"/>
        </w:rPr>
        <w:t>The officer of the Corporation or other person presiding at the meeting shall, if the facts so warrant, determine that business was not properly brought before the meeting in accordance with the procedures set forth in this Section 12, and, if he or she should so determine, he or she shall so declare to the meeting and any such business not properly brought before the meeting shall not be transacted.</w:t>
      </w:r>
    </w:p>
    <w:p>
      <w:pPr>
        <w:spacing w:after="0" w:line="176" w:lineRule="exact"/>
        <w:rPr>
          <w:sz w:val="20"/>
          <w:szCs w:val="20"/>
          <w:color w:val="auto"/>
        </w:rPr>
      </w:pPr>
    </w:p>
    <w:p>
      <w:pPr>
        <w:ind w:right="660" w:firstLine="458"/>
        <w:spacing w:after="0" w:line="282" w:lineRule="auto"/>
        <w:rPr>
          <w:sz w:val="20"/>
          <w:szCs w:val="20"/>
          <w:color w:val="auto"/>
        </w:rPr>
      </w:pPr>
      <w:r>
        <w:rPr>
          <w:rFonts w:ascii="Times New Roman" w:cs="Times New Roman" w:eastAsia="Times New Roman" w:hAnsi="Times New Roman"/>
          <w:sz w:val="18"/>
          <w:szCs w:val="18"/>
          <w:color w:val="auto"/>
        </w:rPr>
        <w:t>At any special meeting of the stockholders, only such business shall be conducted as shall have been brought before the meeting by or at the direction of the Board of Directors.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Election to the Board of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58"/>
        <w:spacing w:after="0" w:line="266" w:lineRule="auto"/>
        <w:rPr>
          <w:sz w:val="20"/>
          <w:szCs w:val="20"/>
          <w:color w:val="auto"/>
        </w:rPr>
      </w:pPr>
      <w:r>
        <w:rPr>
          <w:rFonts w:ascii="Times New Roman" w:cs="Times New Roman" w:eastAsia="Times New Roman" w:hAnsi="Times New Roman"/>
          <w:sz w:val="18"/>
          <w:szCs w:val="18"/>
          <w:color w:val="auto"/>
        </w:rPr>
        <w:t>13.1 Only persons who are nominated in accordance with the procedures set forth in these Bylaws shall be eligible for election as directors of the Corporation. Nominations of persons for election to the Board of Directors of the Corporation may be made at a meeting of stockholders at which directors are to be elected only:</w:t>
      </w:r>
    </w:p>
    <w:p>
      <w:pPr>
        <w:spacing w:after="0" w:line="176" w:lineRule="exact"/>
        <w:rPr>
          <w:sz w:val="20"/>
          <w:szCs w:val="20"/>
          <w:color w:val="auto"/>
        </w:rPr>
      </w:pPr>
    </w:p>
    <w:p>
      <w:pPr>
        <w:ind w:left="1020" w:hanging="56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of Directors; or</w:t>
      </w:r>
    </w:p>
    <w:p>
      <w:pPr>
        <w:spacing w:after="0" w:line="225" w:lineRule="exact"/>
        <w:rPr>
          <w:rFonts w:ascii="Times New Roman" w:cs="Times New Roman" w:eastAsia="Times New Roman" w:hAnsi="Times New Roman"/>
          <w:sz w:val="18"/>
          <w:szCs w:val="18"/>
          <w:color w:val="auto"/>
        </w:rPr>
      </w:pPr>
    </w:p>
    <w:p>
      <w:pPr>
        <w:ind w:left="1000" w:right="240" w:hanging="54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of the Corporation entitled to vote for the election of directors at the meeting who complies with the notice procedures set forth in Subsection 13.2 below.</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foregoing clause (ii) will be the exclusive means by which a stockholder may nominate a person for election to the Board of Directors.</w:t>
      </w:r>
    </w:p>
    <w:p>
      <w:pPr>
        <w:spacing w:after="0" w:line="225" w:lineRule="exact"/>
        <w:rPr>
          <w:sz w:val="20"/>
          <w:szCs w:val="20"/>
          <w:color w:val="auto"/>
        </w:rPr>
      </w:pPr>
    </w:p>
    <w:p>
      <w:pPr>
        <w:ind w:right="60" w:firstLine="458"/>
        <w:spacing w:after="0" w:line="256" w:lineRule="auto"/>
        <w:rPr>
          <w:sz w:val="20"/>
          <w:szCs w:val="20"/>
          <w:color w:val="auto"/>
        </w:rPr>
      </w:pPr>
      <w:r>
        <w:rPr>
          <w:rFonts w:ascii="Times New Roman" w:cs="Times New Roman" w:eastAsia="Times New Roman" w:hAnsi="Times New Roman"/>
          <w:sz w:val="18"/>
          <w:szCs w:val="18"/>
          <w:color w:val="auto"/>
        </w:rPr>
        <w:t>13.2 Nominations of election as a director of the Corporation, other than those made by or at the direction of the Board of Directors, shall be made by timely notice in writing to the Secretary of the Corporation. To be timely, a stockholder’s notice shall be delivered or mailed to and received at the principal executive offices of the Corporation not less than 120 nor more than 150 days prior to the anniversary date of the Corporation’s immediately preceding annual meeting of stockholders; provided, however, that in the event the date of the annual meeting is more than 30 days before or more than 60 days after such date, notice by the stockholder to be timely must be so delivered, or mailed and received not later than the 90th day prior to such annual meeting, or if later, the 10th day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5" w:name="page86"/>
    <w:bookmarkEnd w:id="85"/>
    <w:p>
      <w:pPr>
        <w:ind w:right="400"/>
        <w:spacing w:after="0" w:line="282" w:lineRule="auto"/>
        <w:rPr>
          <w:sz w:val="20"/>
          <w:szCs w:val="20"/>
          <w:color w:val="auto"/>
        </w:rPr>
      </w:pPr>
      <w:r>
        <w:rPr>
          <w:rFonts w:ascii="Times New Roman" w:cs="Times New Roman" w:eastAsia="Times New Roman" w:hAnsi="Times New Roman"/>
          <w:sz w:val="18"/>
          <w:szCs w:val="18"/>
          <w:color w:val="auto"/>
        </w:rPr>
        <w:t>the date on which the public disclosure of the date of such annual meeting was so made. Any adjournment of an annual meeting or the announcement hereof will not commence a new time period for giving the timely notice described above. Such stockholder’s notice shall set forth:</w:t>
      </w:r>
    </w:p>
    <w:p>
      <w:pPr>
        <w:spacing w:after="0" w:line="162" w:lineRule="exact"/>
        <w:rPr>
          <w:sz w:val="20"/>
          <w:szCs w:val="20"/>
          <w:color w:val="auto"/>
        </w:rPr>
      </w:pPr>
    </w:p>
    <w:p>
      <w:pPr>
        <w:ind w:left="1020" w:right="160" w:hanging="563"/>
        <w:spacing w:after="0" w:line="258"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such stockholder proposes to nominate for election or reelection as a director, (x) all information relating to such person that is required to be disclosed in solicitations of proxies for election of directors, or is otherwise required, in each case pursuant to Regulation 14A under the Securities Exchange Act of 1934, as amended (including such person’s written consent to being named in the proxy statement as a nominee and to serving as a director if elected, and (y) a representation that such a person shall also provide any other information reasonably requested by the Corporation within 10 business days after such request); and</w:t>
      </w:r>
    </w:p>
    <w:p>
      <w:pPr>
        <w:spacing w:after="0" w:line="183" w:lineRule="exact"/>
        <w:rPr>
          <w:rFonts w:ascii="Times New Roman" w:cs="Times New Roman" w:eastAsia="Times New Roman" w:hAnsi="Times New Roman"/>
          <w:sz w:val="18"/>
          <w:szCs w:val="18"/>
          <w:color w:val="auto"/>
        </w:rPr>
      </w:pPr>
    </w:p>
    <w:p>
      <w:pPr>
        <w:ind w:left="1020" w:hanging="56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(x) the name and address, as they appear on the Corporation’s books, of such stockholder, and</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(y) the class and number of shares of the Corporation’s voting capital stock that are beneficially owned by such stockholder.</w:t>
      </w:r>
    </w:p>
    <w:p>
      <w:pPr>
        <w:spacing w:after="0" w:line="225" w:lineRule="exact"/>
        <w:rPr>
          <w:sz w:val="20"/>
          <w:szCs w:val="20"/>
          <w:color w:val="auto"/>
        </w:rPr>
      </w:pPr>
    </w:p>
    <w:p>
      <w:pPr>
        <w:ind w:right="180" w:firstLine="458"/>
        <w:spacing w:after="0" w:line="261" w:lineRule="auto"/>
        <w:rPr>
          <w:sz w:val="20"/>
          <w:szCs w:val="20"/>
          <w:color w:val="auto"/>
        </w:rPr>
      </w:pPr>
      <w:r>
        <w:rPr>
          <w:rFonts w:ascii="Times New Roman" w:cs="Times New Roman" w:eastAsia="Times New Roman" w:hAnsi="Times New Roman"/>
          <w:sz w:val="18"/>
          <w:szCs w:val="18"/>
          <w:color w:val="auto"/>
        </w:rPr>
        <w:t>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ind w:firstLine="458"/>
        <w:spacing w:after="0" w:line="255" w:lineRule="auto"/>
        <w:rPr>
          <w:sz w:val="20"/>
          <w:szCs w:val="20"/>
          <w:color w:val="auto"/>
        </w:rPr>
      </w:pPr>
      <w:r>
        <w:rPr>
          <w:rFonts w:ascii="Times New Roman" w:cs="Times New Roman" w:eastAsia="Times New Roman" w:hAnsi="Times New Roman"/>
          <w:sz w:val="18"/>
          <w:szCs w:val="18"/>
          <w:color w:val="auto"/>
        </w:rPr>
        <w:t>No person shall be eligible for election as a director of the Corporation unless nominated in accordance with the provisions of this Section 13, and, if the stockholder desires or requests access to the Corporation’s Proxy Statement with respect to the election of a director, Article III, Section 14 of these Bylaws.</w:t>
      </w:r>
    </w:p>
    <w:p>
      <w:pPr>
        <w:spacing w:after="0" w:line="186" w:lineRule="exact"/>
        <w:rPr>
          <w:sz w:val="20"/>
          <w:szCs w:val="20"/>
          <w:color w:val="auto"/>
        </w:rPr>
      </w:pPr>
    </w:p>
    <w:p>
      <w:pPr>
        <w:ind w:right="260" w:firstLine="458"/>
        <w:spacing w:after="0" w:line="266" w:lineRule="auto"/>
        <w:rPr>
          <w:sz w:val="20"/>
          <w:szCs w:val="20"/>
          <w:color w:val="auto"/>
        </w:rPr>
      </w:pPr>
      <w:r>
        <w:rPr>
          <w:rFonts w:ascii="Times New Roman" w:cs="Times New Roman" w:eastAsia="Times New Roman" w:hAnsi="Times New Roman"/>
          <w:sz w:val="18"/>
          <w:szCs w:val="18"/>
          <w:color w:val="auto"/>
        </w:rPr>
        <w:t>The officer of the Corporation or other person presiding at the meeting shall, if the facts so warrant, determine that a nomination was not made in accordance with such provisions and, if he or she should so determine, he or she shall so declare to the meeting and the defective nomination shall be disregarded.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Stockholder Access to Corporation’s Proxy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57"/>
        <w:spacing w:after="0" w:line="224" w:lineRule="exact"/>
        <w:tabs>
          <w:tab w:leader="none" w:pos="101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Corporation solicits proxies with respect to an election of directors at an annual meeting (an “Election”), it shall include in its proxy statement and on its proxy card, in addition to individuals nominated by the Board of Directors, up to the Permitted Number of individuals nominated in compliance with these Bylaws by one or more Eligible Stockholders. Any Eligible Stockholder seeking to have its nominee included in the Corporation’s proxy statement and on the Corporation’s proxy card shall comply with all provisions of these Bylaws otherwise applicable to shareholder nominations and furnish to the Secretary of the Corporation, no later than the last day on which stockholder nominations for consideration in the Election may be made under Article III, Section 13.2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of these Bylaws (the “Advance Notice Date”),</w:t>
      </w:r>
    </w:p>
    <w:p>
      <w:pPr>
        <w:spacing w:after="0" w:line="171" w:lineRule="exact"/>
        <w:rPr>
          <w:rFonts w:ascii="Times New Roman" w:cs="Times New Roman" w:eastAsia="Times New Roman" w:hAnsi="Times New Roman"/>
          <w:sz w:val="18"/>
          <w:szCs w:val="18"/>
          <w:color w:val="auto"/>
        </w:rPr>
      </w:pPr>
    </w:p>
    <w:p>
      <w:pPr>
        <w:ind w:left="1500" w:hanging="458"/>
        <w:spacing w:after="0"/>
        <w:tabs>
          <w:tab w:leader="none" w:pos="1500"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Sections 13.2 of these Bylaws,</w:t>
      </w:r>
    </w:p>
    <w:p>
      <w:pPr>
        <w:spacing w:after="0" w:line="225" w:lineRule="exact"/>
        <w:rPr>
          <w:rFonts w:ascii="Times New Roman" w:cs="Times New Roman" w:eastAsia="Times New Roman" w:hAnsi="Times New Roman"/>
          <w:sz w:val="18"/>
          <w:szCs w:val="18"/>
          <w:color w:val="auto"/>
        </w:rPr>
      </w:pPr>
    </w:p>
    <w:p>
      <w:pPr>
        <w:ind w:left="1500" w:hanging="458"/>
        <w:spacing w:after="0"/>
        <w:tabs>
          <w:tab w:leader="none" w:pos="1500"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undertakings described in subsections (d) and (e) below, and</w:t>
      </w:r>
    </w:p>
    <w:p>
      <w:pPr>
        <w:spacing w:after="0" w:line="225" w:lineRule="exact"/>
        <w:rPr>
          <w:rFonts w:ascii="Times New Roman" w:cs="Times New Roman" w:eastAsia="Times New Roman" w:hAnsi="Times New Roman"/>
          <w:sz w:val="18"/>
          <w:szCs w:val="18"/>
          <w:color w:val="auto"/>
        </w:rPr>
      </w:pPr>
    </w:p>
    <w:p>
      <w:pPr>
        <w:ind w:left="1480" w:right="220" w:hanging="438"/>
        <w:spacing w:after="0" w:line="266" w:lineRule="auto"/>
        <w:tabs>
          <w:tab w:leader="none" w:pos="1480"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accompanying statement from the Eligible Stockholder to be included in the Corporation’s proxy statement, which statement in order to be so included shall not exceed 500 words and must fully comply with Section 14 of the Exchange Act and the rules and regulations promulgated thereunder, including without limitation Rule 14a-9.</w:t>
      </w:r>
    </w:p>
    <w:p>
      <w:pPr>
        <w:spacing w:after="0" w:line="175" w:lineRule="exact"/>
        <w:rPr>
          <w:rFonts w:ascii="Times New Roman" w:cs="Times New Roman" w:eastAsia="Times New Roman" w:hAnsi="Times New Roman"/>
          <w:sz w:val="18"/>
          <w:szCs w:val="18"/>
          <w:color w:val="auto"/>
        </w:rPr>
      </w:pPr>
    </w:p>
    <w:p>
      <w:pPr>
        <w:ind w:left="740" w:hanging="267"/>
        <w:spacing w:after="0"/>
        <w:tabs>
          <w:tab w:leader="none" w:pos="7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w:t>
      </w:r>
    </w:p>
    <w:p>
      <w:pPr>
        <w:spacing w:after="0" w:line="223" w:lineRule="exact"/>
        <w:rPr>
          <w:rFonts w:ascii="Times New Roman" w:cs="Times New Roman" w:eastAsia="Times New Roman" w:hAnsi="Times New Roman"/>
          <w:sz w:val="18"/>
          <w:szCs w:val="18"/>
          <w:color w:val="auto"/>
        </w:rPr>
      </w:pPr>
    </w:p>
    <w:p>
      <w:pPr>
        <w:ind w:left="1500" w:right="20" w:hanging="458"/>
        <w:spacing w:after="0" w:line="254" w:lineRule="auto"/>
        <w:tabs>
          <w:tab w:leader="none" w:pos="1500"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“Permitted Number” means one seat on the Corporation’s Board of Directors to be filled in the 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Permitted Number shall be reduced, but not below zero, by the sum of (i) number of such director candidates for which the Corporation shall have received from Eligible Stockholders by the Advance Notice Date one or more valid stockholder notices nominating director candidates, and (ii) the number of directors in office and serving in the class of directors to be considered at the Election for whom access to the Corporation’s proxy materials was provided pursuant to this Section (“Access Director”), other than any who has served as a director continuously for at least six years. In no event will the number of nominees nominated by an Eligible Stockholder for which access to the Corporation’s proxy materials may be provided in the Election plus the number of Access Directors serving on the Board at the time of the Election exceed 25% of the total number of directors that shall constitute the whole board.</w:t>
      </w:r>
    </w:p>
    <w:p>
      <w:pPr>
        <w:spacing w:after="0" w:line="190" w:lineRule="exact"/>
        <w:rPr>
          <w:rFonts w:ascii="Times New Roman" w:cs="Times New Roman" w:eastAsia="Times New Roman" w:hAnsi="Times New Roman"/>
          <w:sz w:val="18"/>
          <w:szCs w:val="18"/>
          <w:color w:val="auto"/>
        </w:rPr>
      </w:pPr>
    </w:p>
    <w:p>
      <w:pPr>
        <w:jc w:val="both"/>
        <w:ind w:left="1480" w:hanging="438"/>
        <w:spacing w:after="0" w:line="266" w:lineRule="auto"/>
        <w:tabs>
          <w:tab w:leader="none" w:pos="1480" w:val="left"/>
        </w:tabs>
        <w:numPr>
          <w:ilvl w:val="3"/>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Stockholder” means a stockholder of the Corporation that, together with its Affiliates, has continuously held Beneficial Ownership and Economic Interest of not less than the Required Interest for at least one year preceding the Advance Notice Date, and that complies with all applicable provisions of these Bylaws.</w:t>
      </w:r>
    </w:p>
    <w:p>
      <w:pPr>
        <w:spacing w:after="0" w:line="175"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means the power to vote or direct the voting of, or to dispose or direct the disposition of, the securities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86" w:name="page87"/>
    <w:bookmarkEnd w:id="86"/>
    <w:p>
      <w:pPr>
        <w:ind w:left="460" w:right="740" w:hanging="452"/>
        <w:spacing w:after="0" w:line="282"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Interest” in a security means having or sharing the opportunity, directly or indirectly, to profit or share in any profit (or loss) derived from a transaction in the security, including through options, swaps or other derivative securities or synthetic arrangements.</w:t>
      </w:r>
    </w:p>
    <w:p>
      <w:pPr>
        <w:spacing w:after="0" w:line="161" w:lineRule="exact"/>
        <w:rPr>
          <w:rFonts w:ascii="Times New Roman" w:cs="Times New Roman" w:eastAsia="Times New Roman" w:hAnsi="Times New Roman"/>
          <w:sz w:val="18"/>
          <w:szCs w:val="18"/>
          <w:color w:val="auto"/>
        </w:rPr>
      </w:pPr>
    </w:p>
    <w:p>
      <w:pPr>
        <w:ind w:left="460" w:right="100" w:hanging="452"/>
        <w:spacing w:after="0" w:line="256"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with respect to a nominee for director pursuant to this Section 14 shall mean (a) that the nominee would be considered an independent director in accordance with the listing standards of the principal U.S. securities market in which the common stock of the Corporation trades or, if no such listing standards are applicable at the time, in accordance with the standards used by the Board of Directors or a duly authorized committee thereof in determining and disclosing the independence of the Corporation’s directors in accordance with the rules of the SEC and (b) the nominee is not an employee or officer of, or consultant to, the Eligible Stockholder or any of its Affiliates and has no other material association, by agreement, understanding or familial or other relationship, with the Eligible Stockholder or any of its Affiliates.</w:t>
      </w:r>
    </w:p>
    <w:p>
      <w:pPr>
        <w:spacing w:after="0" w:line="187" w:lineRule="exact"/>
        <w:rPr>
          <w:rFonts w:ascii="Times New Roman" w:cs="Times New Roman" w:eastAsia="Times New Roman" w:hAnsi="Times New Roman"/>
          <w:sz w:val="18"/>
          <w:szCs w:val="18"/>
          <w:color w:val="auto"/>
        </w:rPr>
      </w:pPr>
    </w:p>
    <w:p>
      <w:pPr>
        <w:jc w:val="both"/>
        <w:ind w:left="460" w:right="160" w:hanging="452"/>
        <w:spacing w:after="0" w:line="261"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“Disqualified Repeat Nominee” in respect of an election shall mean an individual as to whom access to the Corporation’s proxy materials for the immediately preceding election was provided and who (i) withdrew from or became ineligible or unavailable for election at the meeting, or (ii) received at such meeting votes in favor of his or her election representing less than 50% of the total votes cast for or withheld from his or her election.</w:t>
      </w:r>
    </w:p>
    <w:p>
      <w:pPr>
        <w:spacing w:after="0" w:line="179" w:lineRule="exact"/>
        <w:rPr>
          <w:rFonts w:ascii="Times New Roman" w:cs="Times New Roman" w:eastAsia="Times New Roman" w:hAnsi="Times New Roman"/>
          <w:sz w:val="18"/>
          <w:szCs w:val="18"/>
          <w:color w:val="auto"/>
        </w:rPr>
      </w:pPr>
    </w:p>
    <w:p>
      <w:pPr>
        <w:jc w:val="both"/>
        <w:ind w:left="460" w:right="120" w:hanging="452"/>
        <w:spacing w:after="0" w:line="266"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Interest” means 5% of the voting power of the outstanding voting securities of the Corporation entitled to vote in the Election, based upon the number of outstanding voting securities of the Corporation most recently disclosed prior to the Advance Notice Date by the Corporation in a filing with the Securities and Exchange Commission.</w:t>
      </w:r>
    </w:p>
    <w:p>
      <w:pPr>
        <w:spacing w:after="0" w:line="175" w:lineRule="exact"/>
        <w:rPr>
          <w:rFonts w:ascii="Times New Roman" w:cs="Times New Roman" w:eastAsia="Times New Roman" w:hAnsi="Times New Roman"/>
          <w:sz w:val="18"/>
          <w:szCs w:val="18"/>
          <w:color w:val="auto"/>
        </w:rPr>
      </w:pPr>
    </w:p>
    <w:p>
      <w:pPr>
        <w:ind w:left="460" w:right="100" w:hanging="452"/>
        <w:spacing w:after="0" w:line="261"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of a specified person means a person that, directly or indirectly, through one or more intermediaries, controls, is controlled by or is under common control with, the specified person, and, with respect to any investment company (as defined in the Investment Company Act of 1940, whether or not exempt from registration thereunder), shall also include all other investment companies managed by the same investment adviser or any of its Affiliates.</w:t>
      </w:r>
    </w:p>
    <w:p>
      <w:pPr>
        <w:spacing w:after="0" w:line="179" w:lineRule="exact"/>
        <w:rPr>
          <w:rFonts w:ascii="Times New Roman" w:cs="Times New Roman" w:eastAsia="Times New Roman" w:hAnsi="Times New Roman"/>
          <w:sz w:val="18"/>
          <w:szCs w:val="18"/>
          <w:color w:val="auto"/>
        </w:rPr>
      </w:pPr>
    </w:p>
    <w:p>
      <w:pPr>
        <w:ind w:right="460" w:firstLine="457"/>
        <w:spacing w:after="0" w:line="277" w:lineRule="auto"/>
        <w:tabs>
          <w:tab w:leader="none" w:pos="101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following sentence and any undertaking previously provided by an Eligible Stockholder pursuant to Section 14(d) below, each Eligible Stockholder, together with its Affiliates, may nominate one, and not more than one, individual under this Section for inclusion in the Corporation’s proxy statement and on its proxy card. If the Corporation shall receive more than the Permitted Number of proposed nominations from Eligible Stockholders in compliance with these Bylaws, then the nominee nominated by the Eligible Stockholder possessing the largest Beneficial Ownership of voting securities of the Corporation as of the Advance Notice Date shall be the only nominee for purposes of this Section 14.</w:t>
      </w:r>
    </w:p>
    <w:p>
      <w:pPr>
        <w:spacing w:after="0" w:line="167" w:lineRule="exact"/>
        <w:rPr>
          <w:rFonts w:ascii="Times New Roman" w:cs="Times New Roman" w:eastAsia="Times New Roman" w:hAnsi="Times New Roman"/>
          <w:sz w:val="17"/>
          <w:szCs w:val="17"/>
          <w:color w:val="auto"/>
        </w:rPr>
      </w:pPr>
    </w:p>
    <w:p>
      <w:pPr>
        <w:jc w:val="both"/>
        <w:ind w:firstLine="457"/>
        <w:spacing w:after="0" w:line="266" w:lineRule="auto"/>
        <w:tabs>
          <w:tab w:leader="none" w:pos="101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Eligible Stockholder nominating an individual for director in accordance with this Section shall execute and deliver to the Corporation no later than the Advance Notice Date an undertaking, in a form to be provided by the Secretary of the Corporation, that it will, and will cause its Affiliates to,</w:t>
      </w:r>
    </w:p>
    <w:p>
      <w:pPr>
        <w:spacing w:after="0" w:line="175" w:lineRule="exact"/>
        <w:rPr>
          <w:rFonts w:ascii="Times New Roman" w:cs="Times New Roman" w:eastAsia="Times New Roman" w:hAnsi="Times New Roman"/>
          <w:sz w:val="18"/>
          <w:szCs w:val="18"/>
          <w:color w:val="auto"/>
        </w:rPr>
      </w:pPr>
    </w:p>
    <w:p>
      <w:pPr>
        <w:ind w:left="1420" w:right="160" w:hanging="453"/>
        <w:spacing w:after="0" w:line="270" w:lineRule="auto"/>
        <w:tabs>
          <w:tab w:leader="none" w:pos="1420" w:val="left"/>
        </w:tabs>
        <w:numPr>
          <w:ilvl w:val="2"/>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sell or otherwise dispose of its Beneficial Ownership and Economic Interest of voting securities of the Corporation so as to reduce the Beneficial Ownership and Economic Interest held by such Eligible Stockholder, together with its Affiliates, below the Required Interest on or prior to the date of the Election (and representing that they have no present intention of reducing, within one year following the Election, their aggregate Beneficial Ownership and Economic Interest below the greater of (x) the Required Interest and</w:t>
      </w:r>
    </w:p>
    <w:p>
      <w:pPr>
        <w:spacing w:after="0" w:line="2"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75% of their aggregate Beneficial and Economic Interest as of the Advance Notice Date),</w:t>
      </w:r>
    </w:p>
    <w:p>
      <w:pPr>
        <w:spacing w:after="0" w:line="207" w:lineRule="exact"/>
        <w:rPr>
          <w:sz w:val="20"/>
          <w:szCs w:val="20"/>
          <w:color w:val="auto"/>
        </w:rPr>
      </w:pPr>
    </w:p>
    <w:p>
      <w:pPr>
        <w:ind w:left="1420" w:right="340" w:hanging="453"/>
        <w:spacing w:after="0" w:line="266"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provisions of the Corporation’s Certificate of Incorporation and Bylaws and all laws and regulations relating to the accompanying statement submitted by the Eligible Stockholder and any solicitation or communications with stockholders of the Corporation in connection with such nomination,</w:t>
      </w:r>
    </w:p>
    <w:p>
      <w:pPr>
        <w:spacing w:after="0" w:line="175" w:lineRule="exact"/>
        <w:rPr>
          <w:rFonts w:ascii="Times New Roman" w:cs="Times New Roman" w:eastAsia="Times New Roman" w:hAnsi="Times New Roman"/>
          <w:sz w:val="18"/>
          <w:szCs w:val="18"/>
          <w:color w:val="auto"/>
        </w:rPr>
      </w:pPr>
    </w:p>
    <w:p>
      <w:pPr>
        <w:ind w:left="1420" w:right="360" w:hanging="453"/>
        <w:spacing w:after="0" w:line="258"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the Corporation and its agents and representatives in respect of any and all liabilities that may arise out of the accompanying statement submitted by the Eligible Stockholder or any solicitation or communications with stockholders of the Corporation by such Eligible Stockholder, its Affiliates or their respective agents or representatives in connection with such nomination, including as a result of any violation of law or regulation by such Eligible Stockholder, its Affiliates or their respective agents or representatives in connection therewith,</w:t>
      </w:r>
    </w:p>
    <w:p>
      <w:pPr>
        <w:spacing w:after="0" w:line="183" w:lineRule="exact"/>
        <w:rPr>
          <w:rFonts w:ascii="Times New Roman" w:cs="Times New Roman" w:eastAsia="Times New Roman" w:hAnsi="Times New Roman"/>
          <w:sz w:val="18"/>
          <w:szCs w:val="18"/>
          <w:color w:val="auto"/>
        </w:rPr>
      </w:pPr>
    </w:p>
    <w:p>
      <w:pPr>
        <w:ind w:left="1420" w:right="140" w:hanging="453"/>
        <w:spacing w:after="0" w:line="282"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 any proxy card other than the Corporation’s proxy card in soliciting stockholders in connection with the matters to be voted on at the meeting at which the Election is held,</w:t>
      </w:r>
    </w:p>
    <w:p>
      <w:pPr>
        <w:spacing w:after="0" w:line="161" w:lineRule="exact"/>
        <w:rPr>
          <w:rFonts w:ascii="Times New Roman" w:cs="Times New Roman" w:eastAsia="Times New Roman" w:hAnsi="Times New Roman"/>
          <w:sz w:val="18"/>
          <w:szCs w:val="18"/>
          <w:color w:val="auto"/>
        </w:rPr>
      </w:pPr>
    </w:p>
    <w:p>
      <w:pPr>
        <w:ind w:left="1420" w:right="380" w:hanging="453"/>
        <w:spacing w:after="0" w:line="282"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all solicitation materials used by it or on its behalf with the Securities and Exchange Commission under cover of Schedule 14A promulgated under the Exchange Act, and</w:t>
      </w:r>
    </w:p>
    <w:p>
      <w:pPr>
        <w:spacing w:after="0" w:line="161" w:lineRule="exact"/>
        <w:rPr>
          <w:rFonts w:ascii="Times New Roman" w:cs="Times New Roman" w:eastAsia="Times New Roman" w:hAnsi="Times New Roman"/>
          <w:sz w:val="18"/>
          <w:szCs w:val="18"/>
          <w:color w:val="auto"/>
        </w:rPr>
      </w:pPr>
    </w:p>
    <w:p>
      <w:pPr>
        <w:jc w:val="both"/>
        <w:ind w:left="1500" w:right="260" w:hanging="458"/>
        <w:spacing w:after="0" w:line="266" w:lineRule="auto"/>
        <w:tabs>
          <w:tab w:leader="none" w:pos="15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one year from the date of the Election, not (x) nominate any individual to be a director of the Corporation or conduct any solicitation with respect to an election for directors of the Corporation other than with respect to the Election and in accordance with this Section, or (y) acquire or propose to acquire Beneficial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7" w:name="page88"/>
    <w:bookmarkEnd w:id="87"/>
    <w:p>
      <w:pPr>
        <w:ind w:left="1500" w:right="20"/>
        <w:spacing w:after="0" w:line="255" w:lineRule="auto"/>
        <w:rPr>
          <w:sz w:val="20"/>
          <w:szCs w:val="20"/>
          <w:color w:val="auto"/>
        </w:rPr>
      </w:pPr>
      <w:r>
        <w:rPr>
          <w:rFonts w:ascii="Times New Roman" w:cs="Times New Roman" w:eastAsia="Times New Roman" w:hAnsi="Times New Roman"/>
          <w:sz w:val="18"/>
          <w:szCs w:val="18"/>
          <w:color w:val="auto"/>
        </w:rPr>
        <w:t>of or an Economic Interest in any voting securities of the Corporation such that such Eligible Stockholder, together with its Affiliates, would have aggregate Beneficial Ownership of, and/or an Economic Interest in, more than the greater of (I) 10% of the voting power of the outstanding voting securities of the Corporation or (II) an additional 5% of the voting power of the Corporation’s outstanding voting securities in excess of the aggregate Beneficial Ownership and Economic Interest held by such Eligible Stockholder, together with its Affiliates, as of the Advance Notice Date (the “Aggregate Beneficial Ownership”); provided that the Aggregate Beneficial Ownership shall not equal or exceed the amount that would equal or exceed the beneficial ownership threshold necessary to trigger the Corporation preferred share rights plan as may be in effect during such time.</w:t>
      </w:r>
    </w:p>
    <w:p>
      <w:pPr>
        <w:spacing w:after="0" w:line="189" w:lineRule="exact"/>
        <w:rPr>
          <w:sz w:val="20"/>
          <w:szCs w:val="20"/>
          <w:color w:val="auto"/>
        </w:rPr>
      </w:pPr>
    </w:p>
    <w:p>
      <w:pPr>
        <w:jc w:val="both"/>
        <w:ind w:right="140" w:firstLine="457"/>
        <w:spacing w:after="0" w:line="312" w:lineRule="auto"/>
        <w:tabs>
          <w:tab w:leader="none" w:pos="101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Eligible Stockholder nominating an individual for director in accordance with this Section shall also deliver to the Corporation no later than the Advance Notice Date a signed undertaking of its nominee agreeing that he or she will tender his or her resignation from the Board of Directors if</w:t>
      </w:r>
    </w:p>
    <w:p>
      <w:pPr>
        <w:spacing w:after="0" w:line="139" w:lineRule="exact"/>
        <w:rPr>
          <w:rFonts w:ascii="Times New Roman" w:cs="Times New Roman" w:eastAsia="Times New Roman" w:hAnsi="Times New Roman"/>
          <w:sz w:val="17"/>
          <w:szCs w:val="17"/>
          <w:color w:val="auto"/>
        </w:rPr>
      </w:pPr>
    </w:p>
    <w:p>
      <w:pPr>
        <w:ind w:left="1480" w:right="240" w:hanging="438"/>
        <w:spacing w:after="0" w:line="282" w:lineRule="auto"/>
        <w:tabs>
          <w:tab w:leader="none" w:pos="14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information provided to the Corporation by the Eligible Stockholder or the nominee pursuant to this Bylaw is determined to be inaccurate in any material respect, or</w:t>
      </w:r>
    </w:p>
    <w:p>
      <w:pPr>
        <w:spacing w:after="0" w:line="161" w:lineRule="exact"/>
        <w:rPr>
          <w:rFonts w:ascii="Times New Roman" w:cs="Times New Roman" w:eastAsia="Times New Roman" w:hAnsi="Times New Roman"/>
          <w:sz w:val="18"/>
          <w:szCs w:val="18"/>
          <w:color w:val="auto"/>
        </w:rPr>
      </w:pPr>
    </w:p>
    <w:p>
      <w:pPr>
        <w:ind w:left="1500" w:hanging="458"/>
        <w:spacing w:after="0"/>
        <w:tabs>
          <w:tab w:leader="none" w:pos="15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Stockholder or any of its Affiliates shall breach their obligations under the undertakings described in subsection</w:t>
      </w:r>
    </w:p>
    <w:p>
      <w:pPr>
        <w:spacing w:after="0" w:line="22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above in any material respect.</w:t>
      </w:r>
    </w:p>
    <w:p>
      <w:pPr>
        <w:spacing w:after="0" w:line="225" w:lineRule="exact"/>
        <w:rPr>
          <w:rFonts w:ascii="Times New Roman" w:cs="Times New Roman" w:eastAsia="Times New Roman" w:hAnsi="Times New Roman"/>
          <w:sz w:val="18"/>
          <w:szCs w:val="18"/>
          <w:color w:val="auto"/>
        </w:rPr>
      </w:pPr>
    </w:p>
    <w:p>
      <w:pPr>
        <w:ind w:right="500" w:firstLine="457"/>
        <w:spacing w:after="0" w:line="266" w:lineRule="auto"/>
        <w:tabs>
          <w:tab w:leader="none" w:pos="9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and Governance Committee shall consider a nomination pursuant to this Section 14, and shall determine if the Access Nominee is Independent and may, in its discretion, make a recommendation to the Board of Directors as to whether the Access Nominee should be nominated by the Board of Directors for election at the Annual Meeting of Stockholders.</w:t>
      </w:r>
    </w:p>
    <w:p>
      <w:pPr>
        <w:spacing w:after="0" w:line="176" w:lineRule="exact"/>
        <w:rPr>
          <w:sz w:val="20"/>
          <w:szCs w:val="20"/>
          <w:color w:val="auto"/>
        </w:rPr>
      </w:pPr>
    </w:p>
    <w:p>
      <w:pPr>
        <w:jc w:val="both"/>
        <w:ind w:right="80" w:firstLine="458"/>
        <w:spacing w:after="0" w:line="261" w:lineRule="auto"/>
        <w:rPr>
          <w:sz w:val="20"/>
          <w:szCs w:val="20"/>
          <w:color w:val="auto"/>
        </w:rPr>
      </w:pPr>
      <w:r>
        <w:rPr>
          <w:rFonts w:ascii="Times New Roman" w:cs="Times New Roman" w:eastAsia="Times New Roman" w:hAnsi="Times New Roman"/>
          <w:sz w:val="18"/>
          <w:szCs w:val="18"/>
          <w:color w:val="auto"/>
        </w:rPr>
        <w:t>If the Board of Directors nominates an Access Nominee as part of the Board’s slate of nominees, the Notice of Access will be deemed withdrawn and the former Access Nominee shall be presented to the stockholders in the same manner as any other nominee of the Board of Directors. If the Board of Directors does not so nominate the Access Nominee, access to the Corporation’s proxy materials shall be provided in accordance with the terms and subject to the conditions of this Section.</w:t>
      </w:r>
    </w:p>
    <w:p>
      <w:pPr>
        <w:spacing w:after="0" w:line="180" w:lineRule="exact"/>
        <w:rPr>
          <w:sz w:val="20"/>
          <w:szCs w:val="20"/>
          <w:color w:val="auto"/>
        </w:rPr>
      </w:pPr>
    </w:p>
    <w:p>
      <w:pPr>
        <w:jc w:val="both"/>
        <w:ind w:right="140" w:firstLine="458"/>
        <w:spacing w:after="0" w:line="266" w:lineRule="auto"/>
        <w:rPr>
          <w:sz w:val="20"/>
          <w:szCs w:val="20"/>
          <w:color w:val="auto"/>
        </w:rPr>
      </w:pPr>
      <w:r>
        <w:rPr>
          <w:rFonts w:ascii="Times New Roman" w:cs="Times New Roman" w:eastAsia="Times New Roman" w:hAnsi="Times New Roman"/>
          <w:sz w:val="18"/>
          <w:szCs w:val="18"/>
          <w:color w:val="auto"/>
        </w:rPr>
        <w:t>The Board of Directors or a committee thereof may adopt such rules or guidelines for applying the provisions of this Section as it determines are appropriate. These may include timing and other such adjustments as may be appropriate in the event an Access Nominee for whom Notice of Access has been provided becomes unavailable or unwilling to serve or becomes ineligible.</w:t>
      </w:r>
    </w:p>
    <w:p>
      <w:pPr>
        <w:spacing w:after="0" w:line="176" w:lineRule="exact"/>
        <w:rPr>
          <w:sz w:val="20"/>
          <w:szCs w:val="20"/>
          <w:color w:val="auto"/>
        </w:rPr>
      </w:pPr>
    </w:p>
    <w:p>
      <w:pPr>
        <w:ind w:right="180" w:firstLine="457"/>
        <w:spacing w:after="0" w:line="282" w:lineRule="auto"/>
        <w:tabs>
          <w:tab w:leader="none" w:pos="10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shall provide the exclusive method for stockholders to include nominees for director in the Corporation’s proxy statement and on the Corporation’s proxy card.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right="38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 Term, Qualifications and Vacancies</w:t>
      </w:r>
      <w:r>
        <w:rPr>
          <w:rFonts w:ascii="Times New Roman" w:cs="Times New Roman" w:eastAsia="Times New Roman" w:hAnsi="Times New Roman"/>
          <w:sz w:val="18"/>
          <w:szCs w:val="18"/>
          <w:color w:val="auto"/>
        </w:rPr>
        <w:t>. The property, business and affairs of the Corporation shall be managed by or under the direction of its Board of Directors.</w:t>
      </w:r>
    </w:p>
    <w:p>
      <w:pPr>
        <w:spacing w:after="0" w:line="162" w:lineRule="exact"/>
        <w:rPr>
          <w:sz w:val="20"/>
          <w:szCs w:val="20"/>
          <w:color w:val="auto"/>
        </w:rPr>
      </w:pPr>
    </w:p>
    <w:p>
      <w:pPr>
        <w:ind w:right="80" w:firstLine="458"/>
        <w:spacing w:after="0" w:line="258" w:lineRule="auto"/>
        <w:rPr>
          <w:sz w:val="20"/>
          <w:szCs w:val="20"/>
          <w:color w:val="auto"/>
        </w:rPr>
      </w:pPr>
      <w:r>
        <w:rPr>
          <w:rFonts w:ascii="Times New Roman" w:cs="Times New Roman" w:eastAsia="Times New Roman" w:hAnsi="Times New Roman"/>
          <w:sz w:val="18"/>
          <w:szCs w:val="18"/>
          <w:color w:val="auto"/>
        </w:rPr>
        <w:t>The number of directors that shall constitute the whole Board of Directors may be fixed from time to time pursuant to a resolution adopted by a vote of two-thirds of the entire Board of Directors and may consist of no fewer than three nor more than fourteen members. The directors shall be divided into three classes. Each class shall consist, as nearly as possible, of one-third of the whole number of the Board of Directors. At each annual election of the successors to the class of directors whose terms have expired in that year shall be elected to hold office for a term of three years. Each director elected shall hold office until his successor is elected and qualified or until his earlier resignation or removal. Directors and officers need not be stockholders.</w:t>
      </w:r>
    </w:p>
    <w:p>
      <w:pPr>
        <w:spacing w:after="0" w:line="183" w:lineRule="exact"/>
        <w:rPr>
          <w:sz w:val="20"/>
          <w:szCs w:val="20"/>
          <w:color w:val="auto"/>
        </w:rPr>
      </w:pPr>
    </w:p>
    <w:p>
      <w:pPr>
        <w:ind w:right="380" w:firstLine="458"/>
        <w:spacing w:after="0" w:line="261" w:lineRule="auto"/>
        <w:rPr>
          <w:sz w:val="20"/>
          <w:szCs w:val="20"/>
          <w:color w:val="auto"/>
        </w:rPr>
      </w:pPr>
      <w:r>
        <w:rPr>
          <w:rFonts w:ascii="Times New Roman" w:cs="Times New Roman" w:eastAsia="Times New Roman" w:hAnsi="Times New Roman"/>
          <w:sz w:val="18"/>
          <w:szCs w:val="18"/>
          <w:color w:val="auto"/>
        </w:rPr>
        <w:t>Vacancies and newly created directorships resulting from any increase in the authorized number of directors shall be filled only by a majority of the directors then in office, although less than a quorum, or by the sole remaining director. Each director chosen to fill a vacancy or newly created directorship shall hold office until the next election of the class for which such directors shall have been chosen and until his successor is duly elected and qualified or until his earlier resignation or removal.</w:t>
      </w:r>
    </w:p>
    <w:p>
      <w:pPr>
        <w:spacing w:after="0" w:line="180" w:lineRule="exact"/>
        <w:rPr>
          <w:sz w:val="20"/>
          <w:szCs w:val="20"/>
          <w:color w:val="auto"/>
        </w:rPr>
      </w:pPr>
    </w:p>
    <w:p>
      <w:pPr>
        <w:ind w:right="4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Offices and Books</w:t>
      </w:r>
      <w:r>
        <w:rPr>
          <w:rFonts w:ascii="Times New Roman" w:cs="Times New Roman" w:eastAsia="Times New Roman" w:hAnsi="Times New Roman"/>
          <w:sz w:val="18"/>
          <w:szCs w:val="18"/>
          <w:color w:val="auto"/>
        </w:rPr>
        <w:t>. The directors may have one or more offices, and keep the books of the Corporation at the offices of the Corporation in Oklahoma City, Oklahoma, or at such other places as they may from time to time determine.</w:t>
      </w:r>
    </w:p>
    <w:p>
      <w:pPr>
        <w:spacing w:after="0" w:line="162" w:lineRule="exact"/>
        <w:rPr>
          <w:sz w:val="20"/>
          <w:szCs w:val="20"/>
          <w:color w:val="auto"/>
        </w:rPr>
      </w:pPr>
    </w:p>
    <w:p>
      <w:pPr>
        <w:ind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director of the Corporation may resign at any time by giving written notice of such resignation to the Board of Directors, the Chairman of the Board of Directors, the President or the Secretary of the Corporation. Any such resignation shall take effect at the time specified therein or, if no time be specified, upon receipt thereof by the Board of Directors, or one of the above-named officers; and, unless specified therein, the acceptance of such resignation shall not be necessary to make it effective. When one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8" w:name="page89"/>
    <w:bookmarkEnd w:id="88"/>
    <w:p>
      <w:pPr>
        <w:ind w:right="120"/>
        <w:spacing w:after="0" w:line="266" w:lineRule="auto"/>
        <w:rPr>
          <w:sz w:val="20"/>
          <w:szCs w:val="20"/>
          <w:color w:val="auto"/>
        </w:rPr>
      </w:pPr>
      <w:r>
        <w:rPr>
          <w:rFonts w:ascii="Times New Roman" w:cs="Times New Roman" w:eastAsia="Times New Roman" w:hAnsi="Times New Roman"/>
          <w:sz w:val="18"/>
          <w:szCs w:val="18"/>
          <w:color w:val="auto"/>
        </w:rPr>
        <w:t>more directors shall resign from the Board of Directors, such vacancy shall be filled only by a majority of the directors then in office, although less than a quorum, or by the sole remaining director. Each director so chosen shall hold office until the next election of the class for which such director shall have been chosen and until his successor is duly elected and qualified or until his earlier resignation or removal.</w:t>
      </w:r>
    </w:p>
    <w:p>
      <w:pPr>
        <w:spacing w:after="0" w:line="176" w:lineRule="exact"/>
        <w:rPr>
          <w:sz w:val="20"/>
          <w:szCs w:val="20"/>
          <w:color w:val="auto"/>
        </w:rPr>
      </w:pPr>
    </w:p>
    <w:p>
      <w:pPr>
        <w:ind w:right="36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one or more directors may be removed only for cause by the vote or written consent of the holders of a majority of the issued and outstanding shares of stock of the Corporation entitled to vote for the election of all directors.</w:t>
      </w:r>
    </w:p>
    <w:p>
      <w:pPr>
        <w:spacing w:after="0" w:line="162" w:lineRule="exact"/>
        <w:rPr>
          <w:sz w:val="20"/>
          <w:szCs w:val="20"/>
          <w:color w:val="auto"/>
        </w:rPr>
      </w:pPr>
    </w:p>
    <w:p>
      <w:pPr>
        <w:ind w:right="32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Regular and Annual Meetings; Notice</w:t>
      </w:r>
      <w:r>
        <w:rPr>
          <w:rFonts w:ascii="Times New Roman" w:cs="Times New Roman" w:eastAsia="Times New Roman" w:hAnsi="Times New Roman"/>
          <w:sz w:val="18"/>
          <w:szCs w:val="18"/>
          <w:color w:val="auto"/>
        </w:rPr>
        <w:t>. Regular meetings of the Board of Directors shall be held at such time and at such place, within or without the State of Delaware, as the Board of Directors may from time to time prescribe. No notice need be given of any regular meeting and a notice, if given, need not specify the purposes thereof. A meeting of the Board of Directors may be held without notice immediately after an annual meeting of stockholders at the same place as that at which such annual meeting of stockholders was held.</w:t>
      </w:r>
    </w:p>
    <w:p>
      <w:pPr>
        <w:spacing w:after="0" w:line="180" w:lineRule="exact"/>
        <w:rPr>
          <w:sz w:val="20"/>
          <w:szCs w:val="20"/>
          <w:color w:val="auto"/>
        </w:rPr>
      </w:pPr>
    </w:p>
    <w:p>
      <w:pPr>
        <w:ind w:right="340" w:firstLine="458"/>
        <w:spacing w:after="0" w:line="255"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Special Meetings; Notice</w:t>
      </w:r>
      <w:r>
        <w:rPr>
          <w:rFonts w:ascii="Times New Roman" w:cs="Times New Roman" w:eastAsia="Times New Roman" w:hAnsi="Times New Roman"/>
          <w:sz w:val="18"/>
          <w:szCs w:val="18"/>
          <w:color w:val="auto"/>
        </w:rPr>
        <w:t>. A special meeting of the Board of Directors may be called at any time by the Chairman or a majority of the directors then in office. Any such meeting shall be held at such time and at such place, within or without the State of Delaware, as shall be determined by the body or person calling such meeting. Notice of such meeting stating the time and place thereof shall be given (a) by deposit of the notice in the United States mail, first class, postage prepaid, at least three days before the day fixed for the meeting addressed to each director at his address as it appears on the Corporation’s records or at such other address as the director may have furnished the Corporation for that purpose, or (b) by delivery of the notice similarly addressed for dispatch by telegraph, cable or radio or by delivery of the notice by telephone or in person, in each case at least two days before the time fixed for the meeting.</w:t>
      </w:r>
    </w:p>
    <w:p>
      <w:pPr>
        <w:spacing w:after="0" w:line="189" w:lineRule="exact"/>
        <w:rPr>
          <w:sz w:val="20"/>
          <w:szCs w:val="20"/>
          <w:color w:val="auto"/>
        </w:rPr>
      </w:pPr>
    </w:p>
    <w:p>
      <w:pPr>
        <w:ind w:right="8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Presiding Officer and Secretary at Meetings</w:t>
      </w:r>
      <w:r>
        <w:rPr>
          <w:rFonts w:ascii="Times New Roman" w:cs="Times New Roman" w:eastAsia="Times New Roman" w:hAnsi="Times New Roman"/>
          <w:sz w:val="18"/>
          <w:szCs w:val="18"/>
          <w:color w:val="auto"/>
        </w:rPr>
        <w:t>. Each meeting of the Board of Directors shall be presided over by the Chairman of the Board of Directors or in his absence by the President or if neither is present by such member of the Board of Directors as shall be chosen by the meeting. The Secretary, or in his absence an Assistant Secretary, shall act as secretary of the meeting, or if no such officer is present, a secretary of the meeting shall be designated by the person presiding over the meeting.</w:t>
      </w:r>
    </w:p>
    <w:p>
      <w:pPr>
        <w:spacing w:after="0" w:line="180" w:lineRule="exact"/>
        <w:rPr>
          <w:sz w:val="20"/>
          <w:szCs w:val="20"/>
          <w:color w:val="auto"/>
        </w:rPr>
      </w:pPr>
    </w:p>
    <w:p>
      <w:pPr>
        <w:ind w:right="40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whole Board of Directors shall constitute a quorum for the transaction of business, but in the absence of a quorum, a majority of those present (or if only one be present, then that one) may adjourn the meeting, without notice other than announcement at the meeting, until such time as a quorum is present. Except as otherwise required by the Certificate of Incorporation or these Bylaws, the vote of the majority of the directors present at a meeting at which a quorum is present shall be the act of the Board of Directors.</w:t>
      </w:r>
    </w:p>
    <w:p>
      <w:pPr>
        <w:spacing w:after="0" w:line="180" w:lineRule="exact"/>
        <w:rPr>
          <w:sz w:val="20"/>
          <w:szCs w:val="20"/>
          <w:color w:val="auto"/>
        </w:rPr>
      </w:pPr>
    </w:p>
    <w:p>
      <w:pPr>
        <w:ind w:right="30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Meeting by Telephone</w:t>
      </w:r>
      <w:r>
        <w:rPr>
          <w:rFonts w:ascii="Times New Roman" w:cs="Times New Roman" w:eastAsia="Times New Roman" w:hAnsi="Times New Roman"/>
          <w:sz w:val="18"/>
          <w:szCs w:val="18"/>
          <w:color w:val="auto"/>
        </w:rPr>
        <w:t>. Members of the Board of Directors or of any committee thereof may participate in meetings of the Board of Directors or of such committee by means of conference telephone or similar communications equipment by means of which all persons participating in the meeting can hear each other, and such participation shall constitute presence in person at such meeting.</w:t>
      </w:r>
    </w:p>
    <w:p>
      <w:pPr>
        <w:spacing w:after="0" w:line="176" w:lineRule="exact"/>
        <w:rPr>
          <w:sz w:val="20"/>
          <w:szCs w:val="20"/>
          <w:color w:val="auto"/>
        </w:rPr>
      </w:pPr>
    </w:p>
    <w:p>
      <w:pPr>
        <w:ind w:right="14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Unless otherwise restricted by the Certificate of Incorporation, any action required or permitted to be taken at any meeting of the Board of Directors or of any committee thereof may be taken without a meeting if all members of the Board of Directors or of such committee, as the case may be, consent thereto in writing and the writing or writings are filed with the minutes of proceedings of the Board of Directors or of such committee.</w:t>
      </w:r>
    </w:p>
    <w:p>
      <w:pPr>
        <w:spacing w:after="0" w:line="180" w:lineRule="exact"/>
        <w:rPr>
          <w:sz w:val="20"/>
          <w:szCs w:val="20"/>
          <w:color w:val="auto"/>
        </w:rPr>
      </w:pPr>
    </w:p>
    <w:p>
      <w:pPr>
        <w:ind w:firstLine="458"/>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Executive and Other Committees</w:t>
      </w:r>
      <w:r>
        <w:rPr>
          <w:rFonts w:ascii="Times New Roman" w:cs="Times New Roman" w:eastAsia="Times New Roman" w:hAnsi="Times New Roman"/>
          <w:sz w:val="18"/>
          <w:szCs w:val="18"/>
          <w:color w:val="auto"/>
        </w:rPr>
        <w:t>. The Board of Directors may, by resolution passed by a majority of the whole Board of Directors, designate an Executive Committee and one or more other committees, each such committee to consist of two or more directors as the Board of Directors may from time to time determine. Any such committee, to the extent provided in such resolution or resolutions,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 amending the Certificate of Incorporation (except that a committee may, to the extent authorized in the resolution or resolutions providing for the issuance of shares of stock adopted by the Board of Directors,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and unless the resolution shall expressly so provide, no such committee shall have the power or authority to declare a dividend or to authorize the issuance of stock.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89" w:name="page90"/>
    <w:bookmarkEnd w:id="89"/>
    <w:p>
      <w:pPr>
        <w:spacing w:after="0" w:line="256" w:lineRule="auto"/>
        <w:rPr>
          <w:sz w:val="20"/>
          <w:szCs w:val="20"/>
          <w:color w:val="auto"/>
        </w:rPr>
      </w:pPr>
      <w:r>
        <w:rPr>
          <w:rFonts w:ascii="Times New Roman" w:cs="Times New Roman" w:eastAsia="Times New Roman" w:hAnsi="Times New Roman"/>
          <w:sz w:val="18"/>
          <w:szCs w:val="18"/>
          <w:color w:val="auto"/>
        </w:rPr>
        <w:t>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Each such committee other than the Executive Committee shall have such name as may be determined from time to time by the Board of Directors. Any committee of directors may be discharged or discontinued at any time, with or without cause, by a majority vote of the Board of Directors at any meeting at which there is a quorum present, likewise, any member of any committee of directors may be removed from committee membership, with or without cause, by a majority vote of the Board of Directors at any meeting at which there is a quorum present.</w:t>
      </w:r>
    </w:p>
    <w:p>
      <w:pPr>
        <w:spacing w:after="0" w:line="187" w:lineRule="exact"/>
        <w:rPr>
          <w:sz w:val="20"/>
          <w:szCs w:val="20"/>
          <w:color w:val="auto"/>
        </w:rPr>
      </w:pPr>
    </w:p>
    <w:p>
      <w:pPr>
        <w:ind w:right="60"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Each director shall be entitled to reimbursement of his reasonable expenses incurred in attending meetings or otherwise in connection with his attention to the affairs of the Corporation. Each director who is not a salaried officer of the Corporation or of a subsidiary of the Corporation shall, as such director and as a member of any committee, be entitled to receive such amounts as may be fixed from time to time by the Board of Directors, in the form either of fees for attendance at meetings of the Board and of committees thereof, or of payment at the rate of a fixed sum per month, or both.</w:t>
      </w:r>
    </w:p>
    <w:p>
      <w:pPr>
        <w:spacing w:after="0" w:line="183" w:lineRule="exact"/>
        <w:rPr>
          <w:sz w:val="20"/>
          <w:szCs w:val="20"/>
          <w:color w:val="auto"/>
        </w:rPr>
      </w:pPr>
    </w:p>
    <w:p>
      <w:pPr>
        <w:ind w:right="14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Additional Powers</w:t>
      </w:r>
      <w:r>
        <w:rPr>
          <w:rFonts w:ascii="Times New Roman" w:cs="Times New Roman" w:eastAsia="Times New Roman" w:hAnsi="Times New Roman"/>
          <w:sz w:val="18"/>
          <w:szCs w:val="18"/>
          <w:color w:val="auto"/>
        </w:rPr>
        <w:t>. In addition to the powers and authorities by these Bylaws expressly conferred upon it, the Board of Directors may exercise all such powers of the Corporation and do all such lawful acts and things as are not by statute or by the Certificate of Incorporation, as from time to time amended, or by these Bylaws, as from time to time amended, directed or required to be exercised or done by the stockholders.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right="30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 The Corporation shall have such officers with such titles and duties as set forth in these Bylaws or in any one or more resolutions of the Board of Directors adopted on or after the effective date of these Bylaws which are not inconsistent with these Bylaws and as may be necessary to enable the Corporation to sign instruments and stock certificates as required by law.</w:t>
      </w:r>
    </w:p>
    <w:p>
      <w:pPr>
        <w:spacing w:after="0" w:line="176" w:lineRule="exact"/>
        <w:rPr>
          <w:sz w:val="20"/>
          <w:szCs w:val="20"/>
          <w:color w:val="auto"/>
        </w:rPr>
      </w:pPr>
    </w:p>
    <w:p>
      <w:pPr>
        <w:ind w:right="300"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 Qualification</w:t>
      </w:r>
      <w:r>
        <w:rPr>
          <w:rFonts w:ascii="Times New Roman" w:cs="Times New Roman" w:eastAsia="Times New Roman" w:hAnsi="Times New Roman"/>
          <w:sz w:val="18"/>
          <w:szCs w:val="18"/>
          <w:color w:val="auto"/>
        </w:rPr>
        <w:t>. The officers of the Corporation shall be a Chief Executive Officer, a President, one or more Vice Presidents, a Secretary and a Treasurer, each of whom shall be elected by the Board of Directors. The Board of Directors may also elect a Chairman of the Board of Directors, a Vice Chairman of the Board of Directors, a Controller, one or more Assistant Secretaries, one or more Assistant Treasurers, one or more Assistant Controllers, and such other officers as it may from time to time determine. The Chairman of the Board of Directors and Vice Chairman of the Board, if any, shall be elected from among the directors. Two or more offices may be held by the same person.</w:t>
      </w:r>
    </w:p>
    <w:p>
      <w:pPr>
        <w:spacing w:after="0" w:line="183" w:lineRule="exact"/>
        <w:rPr>
          <w:sz w:val="20"/>
          <w:szCs w:val="20"/>
          <w:color w:val="auto"/>
        </w:rPr>
      </w:pPr>
    </w:p>
    <w:p>
      <w:pPr>
        <w:ind w:right="16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Each officer shall hold office from the time of his election and qualification to the time at which his successor is elected and qualified, unless sooner he shall die or resign or shall be removed pursuant to Article V, Section 5.</w:t>
      </w:r>
    </w:p>
    <w:p>
      <w:pPr>
        <w:spacing w:after="0" w:line="162" w:lineRule="exact"/>
        <w:rPr>
          <w:sz w:val="20"/>
          <w:szCs w:val="20"/>
          <w:color w:val="auto"/>
        </w:rPr>
      </w:pPr>
    </w:p>
    <w:p>
      <w:pPr>
        <w:ind w:right="70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of the Corporation may resign at any time by giving written notice of such resignation to the Board of Directors, the President or the Secretary of the Corporation. Any such resignation shall take effect at the time specified therein or, if no time be specified, upon receipt thereof by the Board of Directors or one of the above-named officers; and, unless specified therein, the acceptance of such resignation shall not be necessary to make it effective.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Any officer may be removed at any time, with or without cause, by the vote of a majority of the whole Board of Directors.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however caused in any office of the Corporation may be filled by the Board of Directors.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compensation of each officer shall be such as the Board of Directors may from time to time determine.</w:t>
      </w:r>
    </w:p>
    <w:p>
      <w:pPr>
        <w:spacing w:after="0" w:line="225" w:lineRule="exact"/>
        <w:rPr>
          <w:sz w:val="20"/>
          <w:szCs w:val="20"/>
          <w:color w:val="auto"/>
        </w:rPr>
      </w:pPr>
    </w:p>
    <w:p>
      <w:pPr>
        <w:ind w:right="34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Chairman of the Board of Directors and Vice Chairman of the Board of Directors</w:t>
      </w:r>
      <w:r>
        <w:rPr>
          <w:rFonts w:ascii="Times New Roman" w:cs="Times New Roman" w:eastAsia="Times New Roman" w:hAnsi="Times New Roman"/>
          <w:sz w:val="18"/>
          <w:szCs w:val="18"/>
          <w:color w:val="auto"/>
        </w:rPr>
        <w:t>. The Chairman of the Board of Directors and, in his absence or inability to serve, the Vice Chairman of the Board of Directors, if such offices be occupied, shall serve as Chairman of the meetings of the Board of Directors and shall further advise and consult with the Chief Executive Officer and the President concerning the business and affairs of the Corporation and shall also have such powers and duties as the Bylaws or the Board of Directors may from time to time prescribe.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90" w:name="page91"/>
    <w:bookmarkEnd w:id="90"/>
    <w:p>
      <w:pPr>
        <w:ind w:right="14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Chief Executive Officer of the Corporation shall have general charge of the business and affairs of the Corporation and shall perform all such other duties as are incident to the chief executive officer, subject, however, to the right of the Board of Directors to confer specified powers on the Chief Executive Officer of the Corporation.</w:t>
      </w:r>
    </w:p>
    <w:p>
      <w:pPr>
        <w:spacing w:after="0" w:line="176" w:lineRule="exact"/>
        <w:rPr>
          <w:sz w:val="20"/>
          <w:szCs w:val="20"/>
          <w:color w:val="auto"/>
        </w:rPr>
      </w:pPr>
    </w:p>
    <w:p>
      <w:pPr>
        <w:ind w:right="38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In the absence of the Chief Executive Officer or his inability to same, the President shall serve as the Chief Executive Officer of the Corporation and shall have general charge of the business and affairs of the Corporation and shall perform all such other duties as are incident to the Chief Executive Officer, subject however to the right of the Chief Executive Officer or the Board of Directors to confer specified duties and/or powers on the President of the Corporation from time to time.</w:t>
      </w:r>
    </w:p>
    <w:p>
      <w:pPr>
        <w:spacing w:after="0" w:line="180" w:lineRule="exact"/>
        <w:rPr>
          <w:sz w:val="20"/>
          <w:szCs w:val="20"/>
          <w:color w:val="auto"/>
        </w:rPr>
      </w:pPr>
    </w:p>
    <w:p>
      <w:pPr>
        <w:ind w:right="24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Vice President</w:t>
      </w:r>
      <w:r>
        <w:rPr>
          <w:rFonts w:ascii="Times New Roman" w:cs="Times New Roman" w:eastAsia="Times New Roman" w:hAnsi="Times New Roman"/>
          <w:sz w:val="18"/>
          <w:szCs w:val="18"/>
          <w:color w:val="auto"/>
        </w:rPr>
        <w:t>. Each Vice President shall have such powers and duties as generally pertain to the office of Vice President and as the Board of Directors or the President may from time to time prescribe. During the absence of the President or his inability to act, the Vice President, or if there shall be more than one Vice President, then that one designated by the Board of Directors, shall exercise the powers and shall perform the duties of the President, subject to the direction of the Board of Directors.</w:t>
      </w:r>
    </w:p>
    <w:p>
      <w:pPr>
        <w:spacing w:after="0" w:line="180" w:lineRule="exact"/>
        <w:rPr>
          <w:sz w:val="20"/>
          <w:szCs w:val="20"/>
          <w:color w:val="auto"/>
        </w:rPr>
      </w:pPr>
    </w:p>
    <w:p>
      <w:pPr>
        <w:ind w:right="4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keep the minutes of all meetings of stockholders and of the Board of Directors. He shall be custodian of the corporate seal and shall affix it or cause it to be affixed to such instruments as he deems necessary or appropriate and attest the same and shall exercise the powers and shall perform the duties incident to the office of Secretary, and those that may otherwise from time to time be assigned to him subject to the direction of the Board of Directors.</w:t>
      </w:r>
    </w:p>
    <w:p>
      <w:pPr>
        <w:spacing w:after="0" w:line="180" w:lineRule="exact"/>
        <w:rPr>
          <w:sz w:val="20"/>
          <w:szCs w:val="20"/>
          <w:color w:val="auto"/>
        </w:rPr>
      </w:pPr>
    </w:p>
    <w:p>
      <w:pPr>
        <w:ind w:right="34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be the chief accounting officer of the Corporation (unless the Board of Directors appoints or has appointed another person to serve in the position of chief accounting officer) and shall have care of all funds and securities of the Corporation and shall exercise the powers and shall perform the duties incident to the office of Treasurer, subject to the direction of the Board of Directors.</w:t>
      </w:r>
    </w:p>
    <w:p>
      <w:pPr>
        <w:spacing w:after="0" w:line="176" w:lineRule="exact"/>
        <w:rPr>
          <w:sz w:val="20"/>
          <w:szCs w:val="20"/>
          <w:color w:val="auto"/>
        </w:rPr>
      </w:pPr>
    </w:p>
    <w:p>
      <w:pPr>
        <w:ind w:right="64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Other Officers</w:t>
      </w:r>
      <w:r>
        <w:rPr>
          <w:rFonts w:ascii="Times New Roman" w:cs="Times New Roman" w:eastAsia="Times New Roman" w:hAnsi="Times New Roman"/>
          <w:sz w:val="18"/>
          <w:szCs w:val="18"/>
          <w:color w:val="auto"/>
        </w:rPr>
        <w:t>. Each other officer of the Corporation shall exercise the powers and shall perform the duties incident to his office, subject to the direction of the Board of Directors.</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firstLine="458"/>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interest of each holder of stock of the Corporation shall be (a) evidenced by a certificate or certificates in such form as the Board of Directors may from time to time prescribe or (b) represented by uncertificated shares as issued by the Corporation. The issuance of shares in uncertificated form shall not affect shares already represented by a certificate until the certificate is surrendered to the Corporation. In the case of certificated shares, each certificate shall be signed by or, in the name of the Corporation by the Chairman of the Board of Directors, or the President or a Vice President, and by the Treasurer or an Assistant Treasurer, or the Secretary or an Assistant Secretary of the Corporation. If such certificate is countersigned (a) by a transfer agent other than the Corporation or its employee, or (b) by a registrar other than the Corporation or its employee, any other signature on the certificate may be facsimile. If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88" w:lineRule="exact"/>
        <w:rPr>
          <w:sz w:val="20"/>
          <w:szCs w:val="20"/>
          <w:color w:val="auto"/>
        </w:rPr>
      </w:pPr>
    </w:p>
    <w:p>
      <w:pPr>
        <w:ind w:right="420" w:firstLine="458"/>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 of Stock</w:t>
      </w:r>
      <w:r>
        <w:rPr>
          <w:rFonts w:ascii="Times New Roman" w:cs="Times New Roman" w:eastAsia="Times New Roman" w:hAnsi="Times New Roman"/>
          <w:sz w:val="18"/>
          <w:szCs w:val="18"/>
          <w:color w:val="auto"/>
        </w:rPr>
        <w:t>. Shares of stock shall be transferable on the books of the Corporation pursuant to applicable law and such rules and regulations as the Board of Directors shall from time to time prescribe on or after the effective date of these Bylaws.</w:t>
      </w:r>
    </w:p>
    <w:p>
      <w:pPr>
        <w:spacing w:after="0" w:line="162" w:lineRule="exact"/>
        <w:rPr>
          <w:sz w:val="20"/>
          <w:szCs w:val="20"/>
          <w:color w:val="auto"/>
        </w:rPr>
      </w:pPr>
    </w:p>
    <w:p>
      <w:pPr>
        <w:ind w:right="4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Holders of Record</w:t>
      </w:r>
      <w:r>
        <w:rPr>
          <w:rFonts w:ascii="Times New Roman" w:cs="Times New Roman" w:eastAsia="Times New Roman" w:hAnsi="Times New Roman"/>
          <w:sz w:val="18"/>
          <w:szCs w:val="18"/>
          <w:color w:val="auto"/>
        </w:rPr>
        <w:t>. Prior to due presentment for registration or transfer or receipt of proper transfer instructions, the Corporation may treat the holder of record of a share of its stock as the complete owner thereof exclusively entitled to vote, to receive notifications and otherwise entitled to all the rights and powers of a complete owner thereof, notwithstanding notice to the contrary.</w:t>
      </w:r>
    </w:p>
    <w:p>
      <w:pPr>
        <w:spacing w:after="0" w:line="176" w:lineRule="exact"/>
        <w:rPr>
          <w:sz w:val="20"/>
          <w:szCs w:val="20"/>
          <w:color w:val="auto"/>
        </w:rPr>
      </w:pPr>
    </w:p>
    <w:p>
      <w:pPr>
        <w:ind w:right="80"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Lost, Stolen, Destroyed, or Mutilated Certificates</w:t>
      </w:r>
      <w:r>
        <w:rPr>
          <w:rFonts w:ascii="Times New Roman" w:cs="Times New Roman" w:eastAsia="Times New Roman" w:hAnsi="Times New Roman"/>
          <w:sz w:val="18"/>
          <w:szCs w:val="18"/>
          <w:color w:val="auto"/>
        </w:rPr>
        <w:t>. The Corporation may issue a new certificate of stock or uncertificated shares to replace a certificate alleged to have been lost, stolen, destroyed or mutilated upon terms and conditions as the Board of Directors may from time to time prescribe, and the Board of Directors may, in its discretion, require the owner of the lost or destroyed certificate or his legal representative, to give the Corporation a bond, in such sum as it may direct, not exceeding double the value of the stock, to indemnify the Corporation against any claim that may be made against it on account of the alleged loss of any such certificate.</w:t>
      </w:r>
    </w:p>
    <w:p>
      <w:pPr>
        <w:spacing w:after="0" w:line="183" w:lineRule="exact"/>
        <w:rPr>
          <w:sz w:val="20"/>
          <w:szCs w:val="20"/>
          <w:color w:val="auto"/>
        </w:rPr>
      </w:pPr>
    </w:p>
    <w:p>
      <w:pPr>
        <w:ind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Transfer Agent and Registrar</w:t>
      </w:r>
      <w:r>
        <w:rPr>
          <w:rFonts w:ascii="Times New Roman" w:cs="Times New Roman" w:eastAsia="Times New Roman" w:hAnsi="Times New Roman"/>
          <w:sz w:val="18"/>
          <w:szCs w:val="18"/>
          <w:color w:val="auto"/>
        </w:rPr>
        <w:t>. The Board of Directors may appoint one or more Transfer Agents and Registrars for the Common Stock and Preferred Stock of the Corporation. The Transfer Agent shall be in charge of the issue, transfer, and cancellation of shares of stock and shall maintain stock transfer books, which shall include a record of the stockholders, giving the names and addresses of all stockholders, and the number and class of shares held by each; prepare voting lists for meetings of stockholders; produce and keep open these lists at the meetings; and perform such other duties as may be delegated by the Board of Directors. Stockholders may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1" w:name="page92"/>
    <w:bookmarkEnd w:id="91"/>
    <w:p>
      <w:pPr>
        <w:ind w:right="680"/>
        <w:spacing w:after="0" w:line="282" w:lineRule="auto"/>
        <w:rPr>
          <w:sz w:val="20"/>
          <w:szCs w:val="20"/>
          <w:color w:val="auto"/>
        </w:rPr>
      </w:pPr>
      <w:r>
        <w:rPr>
          <w:rFonts w:ascii="Times New Roman" w:cs="Times New Roman" w:eastAsia="Times New Roman" w:hAnsi="Times New Roman"/>
          <w:sz w:val="18"/>
          <w:szCs w:val="18"/>
          <w:color w:val="auto"/>
        </w:rPr>
        <w:t>notice of changes of their addresses to the Transfer Agent. The Registrar shall be in charge of preventing the over-issue of shares, shall register all certificated or uncertificated shares of stock, and perform such other duties as may be delegated by the Board of Directors.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VII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Checks</w:t>
      </w:r>
    </w:p>
    <w:p>
      <w:pPr>
        <w:spacing w:after="0" w:line="225" w:lineRule="exact"/>
        <w:rPr>
          <w:sz w:val="20"/>
          <w:szCs w:val="20"/>
          <w:color w:val="auto"/>
        </w:rPr>
      </w:pPr>
    </w:p>
    <w:p>
      <w:pPr>
        <w:ind w:right="720" w:firstLine="458"/>
        <w:spacing w:after="0" w:line="282" w:lineRule="auto"/>
        <w:rPr>
          <w:sz w:val="20"/>
          <w:szCs w:val="20"/>
          <w:color w:val="auto"/>
        </w:rPr>
      </w:pPr>
      <w:r>
        <w:rPr>
          <w:rFonts w:ascii="Times New Roman" w:cs="Times New Roman" w:eastAsia="Times New Roman" w:hAnsi="Times New Roman"/>
          <w:sz w:val="18"/>
          <w:szCs w:val="18"/>
          <w:color w:val="auto"/>
        </w:rPr>
        <w:t>Section 1. All checks or demands for money and notes of the Corporation shall be signed by such officer or officers or such other person or persons as the Board of Directors may from time to time designate.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VIII</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u w:val="single" w:color="auto"/>
          <w:color w:val="auto"/>
        </w:rPr>
        <w:t>Fiscal Year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 The fiscal year shall begin the first day of January in each year.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ind w:right="38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Declaration</w:t>
      </w:r>
      <w:r>
        <w:rPr>
          <w:rFonts w:ascii="Times New Roman" w:cs="Times New Roman" w:eastAsia="Times New Roman" w:hAnsi="Times New Roman"/>
          <w:sz w:val="18"/>
          <w:szCs w:val="18"/>
          <w:color w:val="auto"/>
        </w:rPr>
        <w:t>. Dividends upon the capital stock of the Corporation, subject to the provisions of the Certificate of Incorporation, may be declared by the Board of Directors at any regular or special meeting, pursuant to law. Dividends may be paid in cash, in property, or in shares of the capital stock of the Corporation.</w:t>
      </w:r>
    </w:p>
    <w:p>
      <w:pPr>
        <w:spacing w:after="0" w:line="176" w:lineRule="exact"/>
        <w:rPr>
          <w:sz w:val="20"/>
          <w:szCs w:val="20"/>
          <w:color w:val="auto"/>
        </w:rPr>
      </w:pPr>
    </w:p>
    <w:p>
      <w:pPr>
        <w:jc w:val="both"/>
        <w:ind w:right="20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Reserve Fund</w:t>
      </w:r>
      <w:r>
        <w:rPr>
          <w:rFonts w:ascii="Times New Roman" w:cs="Times New Roman" w:eastAsia="Times New Roman" w:hAnsi="Times New Roman"/>
          <w:sz w:val="18"/>
          <w:szCs w:val="18"/>
          <w:color w:val="auto"/>
        </w:rPr>
        <w:t>. The Board of Directors may set aside out of any funds of the Corporation available for dividends a reserve or reserves for any proper purposes and in such sum or sums as the directors from time to time, in their absolute discretion, believe to be proper, and the Board of Directors may abolish any such reserve.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Notice</w:t>
      </w:r>
    </w:p>
    <w:p>
      <w:pPr>
        <w:spacing w:after="0" w:line="225" w:lineRule="exact"/>
        <w:rPr>
          <w:sz w:val="20"/>
          <w:szCs w:val="20"/>
          <w:color w:val="auto"/>
        </w:rPr>
      </w:pPr>
    </w:p>
    <w:p>
      <w:pPr>
        <w:ind w:firstLine="458"/>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notice is required by the Certificate of Incorporation, the Bylaws, or as otherwise provided by law, a written waiver thereof, signed by the person entitled to notice, shall be deemed equivalent to notice, whether before or after the time required for such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w:t>
      </w:r>
    </w:p>
    <w:p>
      <w:pPr>
        <w:spacing w:after="0" w:line="187" w:lineRule="exact"/>
        <w:rPr>
          <w:sz w:val="20"/>
          <w:szCs w:val="20"/>
          <w:color w:val="auto"/>
        </w:rPr>
      </w:pPr>
    </w:p>
    <w:p>
      <w:pPr>
        <w:ind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Mailing of Notice</w:t>
      </w:r>
      <w:r>
        <w:rPr>
          <w:rFonts w:ascii="Times New Roman" w:cs="Times New Roman" w:eastAsia="Times New Roman" w:hAnsi="Times New Roman"/>
          <w:sz w:val="18"/>
          <w:szCs w:val="18"/>
          <w:color w:val="auto"/>
        </w:rPr>
        <w:t>. Whenever under the provisions of these Bylaws notice is required to be given to any director, officer or shareholder and such notice is not waived as provided in Section 1 of this Article X, it shall not be construed to mean personal notice, but such notice may be given in writing, by mail, by depositing the same in the post office or letter box, in post- paid sealed wrapper, addressed to such shareholder, officer or director at such address as appears on the books of the Corporation, or, in default of other address, to such director, officer or shareholder at the General Post Office in Oklahoma City, Oklahoma, and such notice shall be deemed to be given at the time when the same shall be thus mailed.</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XI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Amendment of Bylaws</w:t>
      </w:r>
    </w:p>
    <w:p>
      <w:pPr>
        <w:spacing w:after="0" w:line="225" w:lineRule="exact"/>
        <w:rPr>
          <w:sz w:val="20"/>
          <w:szCs w:val="20"/>
          <w:color w:val="auto"/>
        </w:rPr>
      </w:pPr>
    </w:p>
    <w:p>
      <w:pPr>
        <w:ind w:left="20" w:right="240"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These Bylaws may be made, amended, altered, added to, revised or repealed only by a vote of a majority of the directors then in office or by a vote of the holders of two-thirds of the issued and outstanding shares of stock of the Corporation entitled to vote for the election of directors; provided, however, that Article IV, Section 1 of these Bylaws and this Article XI, Section 1, may be amended, altered, added to, revised or repealed only by a vote of two-thirds of the entire Board of Directors or by a vote of two-thirds of the issued and outstanding shares of stock of the Corporation entitled to vote for the election of directors.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XII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Exclusive Jurisdiction for Certain Claims</w:t>
      </w:r>
    </w:p>
    <w:p>
      <w:pPr>
        <w:spacing w:after="0" w:line="225" w:lineRule="exact"/>
        <w:rPr>
          <w:sz w:val="20"/>
          <w:szCs w:val="20"/>
          <w:color w:val="auto"/>
        </w:rPr>
      </w:pPr>
    </w:p>
    <w:p>
      <w:pPr>
        <w:jc w:val="both"/>
        <w:ind w:left="20" w:right="2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Exclusive Forum</w:t>
      </w:r>
      <w:r>
        <w:rPr>
          <w:rFonts w:ascii="Times New Roman" w:cs="Times New Roman" w:eastAsia="Times New Roman" w:hAnsi="Times New Roman"/>
          <w:sz w:val="18"/>
          <w:szCs w:val="18"/>
          <w:color w:val="auto"/>
        </w:rPr>
        <w:t>. Unless the Board of Directors or one of its committees otherwise approves the selection of an alternate forum, the Court of Chancery of the State of Delaware (or, if, and only if, the Court of Chancery of the State of Delaware dismisses a Covered Claim (as defined below) for lack of subject matter jurisdiction, any other state or federal court in the State of Delaware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407" w:gutter="0" w:footer="0" w:header="0"/>
        </w:sectPr>
      </w:pPr>
    </w:p>
    <w:bookmarkStart w:id="92" w:name="page93"/>
    <w:bookmarkEnd w:id="92"/>
    <w:p>
      <w:pPr>
        <w:ind w:left="20" w:right="260"/>
        <w:spacing w:after="0" w:line="282" w:lineRule="auto"/>
        <w:rPr>
          <w:sz w:val="20"/>
          <w:szCs w:val="20"/>
          <w:color w:val="auto"/>
        </w:rPr>
      </w:pPr>
      <w:r>
        <w:rPr>
          <w:rFonts w:ascii="Times New Roman" w:cs="Times New Roman" w:eastAsia="Times New Roman" w:hAnsi="Times New Roman"/>
          <w:sz w:val="18"/>
          <w:szCs w:val="18"/>
          <w:color w:val="auto"/>
        </w:rPr>
        <w:t>does have subject matter jurisdiction) shall, to the fullest extent permitted by applicable law, be the sole and exclusive forum for any (i) derivative claim brought in the right of the Corporation,</w:t>
      </w:r>
    </w:p>
    <w:p>
      <w:pPr>
        <w:spacing w:after="0" w:line="162" w:lineRule="exact"/>
        <w:rPr>
          <w:sz w:val="20"/>
          <w:szCs w:val="20"/>
          <w:color w:val="auto"/>
        </w:rPr>
      </w:pPr>
    </w:p>
    <w:p>
      <w:pPr>
        <w:ind w:right="160" w:firstLine="8"/>
        <w:spacing w:after="0" w:line="255" w:lineRule="auto"/>
        <w:tabs>
          <w:tab w:leader="none" w:pos="50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asserting a breach of a fiduciary duty to the Corporation or the Corporation’s stockholders owed by any current or former director, officer or other employee or stockholder of the Corporation, (iii) claim against the Corporation arising pursuant to any provision of the General Corporation Law of the State of Delaware, this Second Amended and Restated Bylaws, (iv) claim to interpret, apply, enforce or determine the validity of this Second Amended and Restated Bylaws, (v) claim against the Corporation governed by the internal affairs doctrine, or (vi) other claim, not subject to exclusive federal jurisdiction and not subject to paragraph (d) below, brought in any action asserting one or more of the claims specified in clauses (i) through (v) herein above (each a “</w:t>
      </w:r>
      <w:r>
        <w:rPr>
          <w:rFonts w:ascii="Times New Roman" w:cs="Times New Roman" w:eastAsia="Times New Roman" w:hAnsi="Times New Roman"/>
          <w:sz w:val="18"/>
          <w:szCs w:val="18"/>
          <w:u w:val="single" w:color="auto"/>
          <w:color w:val="auto"/>
        </w:rPr>
        <w:t>Covered Claim</w:t>
      </w:r>
      <w:r>
        <w:rPr>
          <w:rFonts w:ascii="Times New Roman" w:cs="Times New Roman" w:eastAsia="Times New Roman" w:hAnsi="Times New Roman"/>
          <w:sz w:val="18"/>
          <w:szCs w:val="18"/>
          <w:color w:val="auto"/>
        </w:rPr>
        <w:t xml:space="preserve">”); provided, however, that the provisions of this </w:t>
      </w:r>
      <w:r>
        <w:rPr>
          <w:rFonts w:ascii="Times New Roman" w:cs="Times New Roman" w:eastAsia="Times New Roman" w:hAnsi="Times New Roman"/>
          <w:sz w:val="18"/>
          <w:szCs w:val="18"/>
          <w:u w:val="single" w:color="auto"/>
          <w:color w:val="auto"/>
        </w:rPr>
        <w:t>Article XII(1)</w:t>
      </w:r>
      <w:r>
        <w:rPr>
          <w:rFonts w:ascii="Times New Roman" w:cs="Times New Roman" w:eastAsia="Times New Roman" w:hAnsi="Times New Roman"/>
          <w:sz w:val="18"/>
          <w:szCs w:val="18"/>
          <w:color w:val="auto"/>
        </w:rPr>
        <w:t xml:space="preserve"> will not apply to claims brought to enforce any liability or duty created by the Securities Exchange Act of 1934, as amended.</w:t>
      </w:r>
    </w:p>
    <w:p>
      <w:pPr>
        <w:spacing w:after="0" w:line="189" w:lineRule="exact"/>
        <w:rPr>
          <w:sz w:val="20"/>
          <w:szCs w:val="20"/>
          <w:color w:val="auto"/>
        </w:rPr>
      </w:pPr>
    </w:p>
    <w:p>
      <w:pPr>
        <w:ind w:left="20" w:firstLine="458"/>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Personal Jurisdiction</w:t>
      </w:r>
      <w:r>
        <w:rPr>
          <w:rFonts w:ascii="Times New Roman" w:cs="Times New Roman" w:eastAsia="Times New Roman" w:hAnsi="Times New Roman"/>
          <w:sz w:val="18"/>
          <w:szCs w:val="18"/>
          <w:color w:val="auto"/>
        </w:rPr>
        <w:t>. If any person or entity (a “</w:t>
      </w:r>
      <w:r>
        <w:rPr>
          <w:rFonts w:ascii="Times New Roman" w:cs="Times New Roman" w:eastAsia="Times New Roman" w:hAnsi="Times New Roman"/>
          <w:sz w:val="18"/>
          <w:szCs w:val="18"/>
          <w:u w:val="single" w:color="auto"/>
          <w:color w:val="auto"/>
        </w:rPr>
        <w:t>Claiming Party</w:t>
      </w:r>
      <w:r>
        <w:rPr>
          <w:rFonts w:ascii="Times New Roman" w:cs="Times New Roman" w:eastAsia="Times New Roman" w:hAnsi="Times New Roman"/>
          <w:sz w:val="18"/>
          <w:szCs w:val="18"/>
          <w:color w:val="auto"/>
        </w:rPr>
        <w:t xml:space="preserve">”) files an action asserting a Covered Claim in a court other than one determined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above (each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xml:space="preserve">”) without the prior approval of the Board of Directors or one of its committees, such Claiming Party shall be deemed to have consented to (i) the personal jurisdiction of the court determined in accordance with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in connection with any such action brought in any such court to enforce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Enforcement Action</w:t>
      </w:r>
      <w:r>
        <w:rPr>
          <w:rFonts w:ascii="Times New Roman" w:cs="Times New Roman" w:eastAsia="Times New Roman" w:hAnsi="Times New Roman"/>
          <w:sz w:val="18"/>
          <w:szCs w:val="18"/>
          <w:color w:val="auto"/>
        </w:rPr>
        <w:t>”) and (ii) having service of process made upon such Claiming Party in any such Enforcement Action by service upon such Claiming Party’s counsel in the Foreign Action as agent for such Claiming Party.</w:t>
      </w:r>
    </w:p>
    <w:p>
      <w:pPr>
        <w:spacing w:after="0" w:line="183" w:lineRule="exact"/>
        <w:rPr>
          <w:sz w:val="20"/>
          <w:szCs w:val="20"/>
          <w:color w:val="auto"/>
        </w:rPr>
      </w:pPr>
    </w:p>
    <w:p>
      <w:pPr>
        <w:jc w:val="both"/>
        <w:ind w:right="120" w:firstLine="458"/>
        <w:spacing w:after="0" w:line="26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Notice and Consent</w:t>
      </w:r>
      <w:r>
        <w:rPr>
          <w:rFonts w:ascii="Times New Roman" w:cs="Times New Roman" w:eastAsia="Times New Roman" w:hAnsi="Times New Roman"/>
          <w:sz w:val="18"/>
          <w:szCs w:val="18"/>
          <w:color w:val="auto"/>
        </w:rPr>
        <w:t>. Any person or entity purchasing or otherwise acquiring any interest in the shares of capital stock of the Corporation shall be deemed to have notice of and consented to the provisions of this Article XII and waived any argument relating to the inconvenience of the forums referenced above in connection with any Covered Claim.</w:t>
      </w:r>
    </w:p>
    <w:p>
      <w:pPr>
        <w:spacing w:after="0" w:line="176" w:lineRule="exact"/>
        <w:rPr>
          <w:sz w:val="20"/>
          <w:szCs w:val="20"/>
          <w:color w:val="auto"/>
        </w:rPr>
      </w:pPr>
    </w:p>
    <w:p>
      <w:pPr>
        <w:ind w:right="400" w:firstLine="458"/>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Federal Forum</w:t>
      </w:r>
      <w:r>
        <w:rPr>
          <w:rFonts w:ascii="Times New Roman" w:cs="Times New Roman" w:eastAsia="Times New Roman" w:hAnsi="Times New Roman"/>
          <w:sz w:val="18"/>
          <w:szCs w:val="18"/>
          <w:color w:val="auto"/>
        </w:rPr>
        <w:t>. Unless the Corporation consents in writing to the selection of an alternative forum, the federal district courts of the United States shall be the exclusive forum for the resolution of any complaint asserting a cause of action arising under the Securities Act of 1933, as amended. Any person or entity purchasing or otherwise acquiring any interest in any security of the Corporation shall be deemed to have notice of and consented to this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RSU AWARD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LSB INDUSTRIES,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2016 LONG TERM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and Restated March 4, 2021)</w:t>
      </w:r>
    </w:p>
    <w:p>
      <w:pPr>
        <w:spacing w:after="0" w:line="19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LSB Industries,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grants to the Participant named below (“</w:t>
      </w:r>
      <w:r>
        <w:rPr>
          <w:rFonts w:ascii="Times New Roman" w:cs="Times New Roman" w:eastAsia="Times New Roman" w:hAnsi="Times New Roman"/>
          <w:sz w:val="20"/>
          <w:szCs w:val="20"/>
          <w:u w:val="single" w:color="auto"/>
          <w:color w:val="auto"/>
        </w:rPr>
        <w:t>you</w:t>
      </w:r>
      <w:r>
        <w:rPr>
          <w:rFonts w:ascii="Times New Roman" w:cs="Times New Roman" w:eastAsia="Times New Roman" w:hAnsi="Times New Roman"/>
          <w:sz w:val="20"/>
          <w:szCs w:val="20"/>
          <w:color w:val="auto"/>
        </w:rPr>
        <w:t>”) the number of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set forth below (the “</w:t>
      </w:r>
      <w:r>
        <w:rPr>
          <w:rFonts w:ascii="Times New Roman" w:cs="Times New Roman" w:eastAsia="Times New Roman" w:hAnsi="Times New Roman"/>
          <w:sz w:val="20"/>
          <w:szCs w:val="20"/>
          <w:u w:val="single" w:color="auto"/>
          <w:color w:val="auto"/>
        </w:rPr>
        <w:t>Award</w:t>
      </w:r>
      <w:r>
        <w:rPr>
          <w:rFonts w:ascii="Times New Roman" w:cs="Times New Roman" w:eastAsia="Times New Roman" w:hAnsi="Times New Roman"/>
          <w:sz w:val="20"/>
          <w:szCs w:val="20"/>
          <w:color w:val="auto"/>
        </w:rPr>
        <w:t>”), under this RSU Award Agreement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120"/>
        <w:spacing w:after="0"/>
        <w:tabs>
          <w:tab w:leader="none" w:pos="1300" w:val="left"/>
        </w:tabs>
        <w:rPr>
          <w:sz w:val="20"/>
          <w:szCs w:val="20"/>
          <w:color w:val="auto"/>
        </w:rPr>
      </w:pPr>
      <w:r>
        <w:rPr>
          <w:rFonts w:ascii="Times New Roman" w:cs="Times New Roman" w:eastAsia="Times New Roman" w:hAnsi="Times New Roman"/>
          <w:sz w:val="20"/>
          <w:szCs w:val="20"/>
          <w:b w:val="1"/>
          <w:bCs w:val="1"/>
          <w:color w:val="auto"/>
        </w:rPr>
        <w:t>Participant:</w:t>
      </w:r>
      <w:r>
        <w:rPr>
          <w:sz w:val="20"/>
          <w:szCs w:val="20"/>
          <w:color w:val="auto"/>
        </w:rPr>
        <w:tab/>
      </w:r>
      <w:r>
        <w:rPr>
          <w:rFonts w:ascii="Times New Roman" w:cs="Times New Roman" w:eastAsia="Times New Roman" w:hAnsi="Times New Roman"/>
          <w:sz w:val="19"/>
          <w:szCs w:val="19"/>
          <w:color w:val="auto"/>
        </w:rPr>
        <w:t>[Name]</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 xml:space="preserve">Grant Date:  </w:t>
      </w:r>
      <w:r>
        <w:rPr>
          <w:rFonts w:ascii="Times New Roman" w:cs="Times New Roman" w:eastAsia="Times New Roman" w:hAnsi="Times New Roman"/>
          <w:sz w:val="20"/>
          <w:szCs w:val="20"/>
          <w:color w:val="auto"/>
        </w:rPr>
        <w:t>[Date]</w:t>
      </w:r>
    </w:p>
    <w:p>
      <w:pPr>
        <w:spacing w:after="0" w:line="216"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20"/>
          <w:szCs w:val="20"/>
          <w:b w:val="1"/>
          <w:bCs w:val="1"/>
          <w:color w:val="auto"/>
        </w:rPr>
        <w:t>Total Number of RSUs:</w:t>
      </w:r>
      <w:r>
        <w:rPr>
          <w:sz w:val="20"/>
          <w:szCs w:val="20"/>
          <w:color w:val="auto"/>
        </w:rPr>
        <w:tab/>
      </w:r>
      <w:r>
        <w:rPr>
          <w:rFonts w:ascii="Times New Roman" w:cs="Times New Roman" w:eastAsia="Times New Roman" w:hAnsi="Times New Roman"/>
          <w:sz w:val="19"/>
          <w:szCs w:val="19"/>
          <w:color w:val="auto"/>
        </w:rPr>
        <w:t>[Number]</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TRSUs – [Number]</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PRSUs – [Number] (at Target) (the “</w:t>
      </w:r>
      <w:r>
        <w:rPr>
          <w:rFonts w:ascii="Times New Roman" w:cs="Times New Roman" w:eastAsia="Times New Roman" w:hAnsi="Times New Roman"/>
          <w:sz w:val="20"/>
          <w:szCs w:val="20"/>
          <w:u w:val="single" w:color="auto"/>
          <w:color w:val="auto"/>
        </w:rPr>
        <w:t>Target PRSUs</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Definition of RSU: </w:t>
      </w:r>
      <w:r>
        <w:rPr>
          <w:rFonts w:ascii="Times New Roman" w:cs="Times New Roman" w:eastAsia="Times New Roman" w:hAnsi="Times New Roman"/>
          <w:sz w:val="20"/>
          <w:szCs w:val="20"/>
          <w:color w:val="auto"/>
        </w:rPr>
        <w:t>Each RSU entitles you to earn and receive 1 share of Stock (a “</w:t>
      </w:r>
      <w:r>
        <w:rPr>
          <w:rFonts w:ascii="Times New Roman" w:cs="Times New Roman" w:eastAsia="Times New Roman" w:hAnsi="Times New Roman"/>
          <w:sz w:val="20"/>
          <w:szCs w:val="20"/>
          <w:u w:val="single" w:color="auto"/>
          <w:color w:val="auto"/>
        </w:rPr>
        <w:t>Share</w:t>
      </w:r>
      <w:r>
        <w:rPr>
          <w:rFonts w:ascii="Times New Roman" w:cs="Times New Roman" w:eastAsia="Times New Roman" w:hAnsi="Times New Roman"/>
          <w:sz w:val="20"/>
          <w:szCs w:val="20"/>
          <w:color w:val="auto"/>
        </w:rPr>
        <w:t>”)—or a cash amount equal to the Fair Market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Value of 1 Share—in the future, in each case subject to the terms of this Agreement. As used in this Agreement,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means your TRSUs and your PRSUs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of TRSU:</w:t>
      </w:r>
    </w:p>
    <w:p>
      <w:pPr>
        <w:spacing w:after="0" w:line="220" w:lineRule="exact"/>
        <w:rPr>
          <w:sz w:val="20"/>
          <w:szCs w:val="20"/>
          <w:color w:val="auto"/>
        </w:rPr>
      </w:pPr>
    </w:p>
    <w:p>
      <w:pPr>
        <w:ind w:left="120" w:right="940"/>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(Time-Based Vesting RSU) </w:t>
      </w:r>
      <w:r>
        <w:rPr>
          <w:rFonts w:ascii="Times New Roman" w:cs="Times New Roman" w:eastAsia="Times New Roman" w:hAnsi="Times New Roman"/>
          <w:sz w:val="19"/>
          <w:szCs w:val="19"/>
          <w:color w:val="auto"/>
        </w:rPr>
        <w:t>An RSU that becomes earned and payable based on your continued service with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Subsidiaries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of PRSU:</w:t>
      </w:r>
    </w:p>
    <w:p>
      <w:pPr>
        <w:spacing w:after="0" w:line="220" w:lineRule="exact"/>
        <w:rPr>
          <w:sz w:val="20"/>
          <w:szCs w:val="20"/>
          <w:color w:val="auto"/>
        </w:rPr>
      </w:pPr>
    </w:p>
    <w:p>
      <w:pPr>
        <w:ind w:left="120" w:right="220"/>
        <w:spacing w:after="0" w:line="295" w:lineRule="auto"/>
        <w:rPr>
          <w:sz w:val="20"/>
          <w:szCs w:val="20"/>
          <w:color w:val="auto"/>
        </w:rPr>
      </w:pPr>
      <w:r>
        <w:rPr>
          <w:rFonts w:ascii="Times New Roman" w:cs="Times New Roman" w:eastAsia="Times New Roman" w:hAnsi="Times New Roman"/>
          <w:sz w:val="18"/>
          <w:szCs w:val="18"/>
          <w:b w:val="1"/>
          <w:bCs w:val="1"/>
          <w:color w:val="auto"/>
        </w:rPr>
        <w:t xml:space="preserve">(Performance-Based Vesting RSU) </w:t>
      </w:r>
      <w:r>
        <w:rPr>
          <w:rFonts w:ascii="Times New Roman" w:cs="Times New Roman" w:eastAsia="Times New Roman" w:hAnsi="Times New Roman"/>
          <w:sz w:val="19"/>
          <w:szCs w:val="19"/>
          <w:color w:val="auto"/>
        </w:rPr>
        <w:t>An RSU that becomes earned and payable based on a combination of your continued service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Company and its Subsidiaries and the achievement of specified performance goals</w:t>
      </w:r>
    </w:p>
    <w:p>
      <w:pPr>
        <w:spacing w:after="0" w:line="134" w:lineRule="exact"/>
        <w:rPr>
          <w:sz w:val="20"/>
          <w:szCs w:val="20"/>
          <w:color w:val="auto"/>
        </w:rPr>
      </w:pPr>
    </w:p>
    <w:p>
      <w:pPr>
        <w:ind w:left="120" w:right="34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Performance Period: </w:t>
      </w:r>
      <w:r>
        <w:rPr>
          <w:rFonts w:ascii="Times New Roman" w:cs="Times New Roman" w:eastAsia="Times New Roman" w:hAnsi="Times New Roman"/>
          <w:sz w:val="20"/>
          <w:szCs w:val="20"/>
          <w:color w:val="auto"/>
        </w:rPr>
        <w:t>Three years starting at the Grant Date, Performance is measured at December 31 for each year of the three year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Period</w:t>
      </w:r>
    </w:p>
    <w:p>
      <w:pPr>
        <w:spacing w:after="0" w:line="152"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Plan:</w:t>
      </w:r>
      <w:r>
        <w:rPr>
          <w:sz w:val="20"/>
          <w:szCs w:val="20"/>
          <w:color w:val="auto"/>
        </w:rPr>
        <w:tab/>
      </w:r>
      <w:r>
        <w:rPr>
          <w:rFonts w:ascii="Times New Roman" w:cs="Times New Roman" w:eastAsia="Times New Roman" w:hAnsi="Times New Roman"/>
          <w:sz w:val="20"/>
          <w:szCs w:val="20"/>
          <w:color w:val="auto"/>
        </w:rPr>
        <w:t xml:space="preserve">LSB Industries, Inc. 2016 Long Term Incentive Plan (as Amended and Restated March 4, 2021), attached hereto as </w:t>
      </w: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Defined Terms:</w:t>
      </w:r>
      <w:r>
        <w:rPr>
          <w:sz w:val="20"/>
          <w:szCs w:val="20"/>
          <w:color w:val="auto"/>
        </w:rPr>
        <w:tab/>
      </w:r>
      <w:r>
        <w:rPr>
          <w:rFonts w:ascii="Times New Roman" w:cs="Times New Roman" w:eastAsia="Times New Roman" w:hAnsi="Times New Roman"/>
          <w:sz w:val="19"/>
          <w:szCs w:val="19"/>
          <w:color w:val="auto"/>
        </w:rPr>
        <w:t>As set forth in the Plan, unless otherwise defined in this Agreement</w:t>
      </w:r>
    </w:p>
    <w:p>
      <w:pPr>
        <w:spacing w:after="0" w:line="216" w:lineRule="exact"/>
        <w:rPr>
          <w:sz w:val="20"/>
          <w:szCs w:val="20"/>
          <w:color w:val="auto"/>
        </w:rPr>
      </w:pPr>
    </w:p>
    <w:p>
      <w:pPr>
        <w:ind w:left="120"/>
        <w:spacing w:after="0"/>
        <w:tabs>
          <w:tab w:leader="none" w:pos="2880" w:val="left"/>
        </w:tabs>
        <w:rPr>
          <w:sz w:val="20"/>
          <w:szCs w:val="20"/>
          <w:color w:val="auto"/>
        </w:rPr>
      </w:pPr>
      <w:r>
        <w:rPr>
          <w:rFonts w:ascii="Times New Roman" w:cs="Times New Roman" w:eastAsia="Times New Roman" w:hAnsi="Times New Roman"/>
          <w:sz w:val="20"/>
          <w:szCs w:val="20"/>
          <w:b w:val="1"/>
          <w:bCs w:val="1"/>
          <w:color w:val="auto"/>
        </w:rPr>
        <w:t>Earning and Payment Terms:</w:t>
      </w:r>
      <w:r>
        <w:rPr>
          <w:sz w:val="20"/>
          <w:szCs w:val="20"/>
          <w:color w:val="auto"/>
        </w:rPr>
        <w:tab/>
      </w:r>
      <w:r>
        <w:rPr>
          <w:rFonts w:ascii="Times New Roman" w:cs="Times New Roman" w:eastAsia="Times New Roman" w:hAnsi="Times New Roman"/>
          <w:sz w:val="19"/>
          <w:szCs w:val="19"/>
          <w:color w:val="auto"/>
        </w:rPr>
        <w:t xml:space="preserve">See </w:t>
      </w:r>
      <w:r>
        <w:rPr>
          <w:rFonts w:ascii="Times New Roman" w:cs="Times New Roman" w:eastAsia="Times New Roman" w:hAnsi="Times New Roman"/>
          <w:sz w:val="19"/>
          <w:szCs w:val="19"/>
          <w:b w:val="1"/>
          <w:bCs w:val="1"/>
          <w:u w:val="single" w:color="auto"/>
          <w:color w:val="auto"/>
        </w:rPr>
        <w:t>Exhibit A</w:t>
      </w:r>
      <w:r>
        <w:rPr>
          <w:rFonts w:ascii="Times New Roman" w:cs="Times New Roman" w:eastAsia="Times New Roman" w:hAnsi="Times New Roman"/>
          <w:sz w:val="19"/>
          <w:szCs w:val="19"/>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RSU TERMS</w:t>
      </w:r>
    </w:p>
    <w:p>
      <w:pPr>
        <w:spacing w:after="0" w:line="220"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RSUs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00" w:hanging="390"/>
        <w:spacing w:after="0"/>
        <w:tabs>
          <w:tab w:leader="none" w:pos="12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is subject to the terms of the Plan. The terms of the Plan are incorporated into this Agreement by this reference.</w:t>
      </w:r>
    </w:p>
    <w:p>
      <w:pPr>
        <w:spacing w:after="0" w:line="215" w:lineRule="exact"/>
        <w:rPr>
          <w:rFonts w:ascii="Times New Roman" w:cs="Times New Roman" w:eastAsia="Times New Roman" w:hAnsi="Times New Roman"/>
          <w:sz w:val="20"/>
          <w:szCs w:val="20"/>
          <w:color w:val="auto"/>
        </w:rPr>
      </w:pPr>
    </w:p>
    <w:p>
      <w:pPr>
        <w:ind w:left="1500" w:hanging="690"/>
        <w:spacing w:after="0" w:line="249" w:lineRule="auto"/>
        <w:tabs>
          <w:tab w:leader="none" w:pos="1201"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must accept the terms of this Agreement within 10 business days after the Agreement is presented to you for by returning a signed copy of this Agreement to the Company in accordance with such procedures as the Company may establish. The Committee may unilaterally cancel and forfeit all or a portion of the Award if you do not timely accept the terms of this Agreement.</w:t>
      </w:r>
    </w:p>
    <w:p>
      <w:pPr>
        <w:spacing w:after="0" w:line="179"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690"/>
        <w:spacing w:after="0" w:line="254" w:lineRule="auto"/>
        <w:tabs>
          <w:tab w:leader="none" w:pos="1201"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 will have no rights or privileges of a Stockholder as to any Shares underlying the RSUs before settlement under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including no right to vote or receive dividends or other distributions; in addition, the following terms will apply:</w:t>
      </w:r>
    </w:p>
    <w:p>
      <w:pPr>
        <w:spacing w:after="0" w:line="174" w:lineRule="exact"/>
        <w:rPr>
          <w:rFonts w:ascii="Times New Roman" w:cs="Times New Roman" w:eastAsia="Times New Roman" w:hAnsi="Times New Roman"/>
          <w:sz w:val="20"/>
          <w:szCs w:val="20"/>
          <w:color w:val="auto"/>
        </w:rPr>
      </w:pPr>
    </w:p>
    <w:p>
      <w:pPr>
        <w:ind w:left="2260" w:right="20" w:hanging="754"/>
        <w:spacing w:after="0" w:line="269" w:lineRule="auto"/>
        <w:tabs>
          <w:tab w:leader="none" w:pos="1907"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will not be entitled to delivery of any Share certificates for the RSUs until Settlement (if at all), and upon the satisfaction of all other terms;</w:t>
      </w:r>
    </w:p>
    <w:p>
      <w:pPr>
        <w:spacing w:after="0" w:line="159" w:lineRule="exact"/>
        <w:rPr>
          <w:rFonts w:ascii="Times New Roman" w:cs="Times New Roman" w:eastAsia="Times New Roman" w:hAnsi="Times New Roman"/>
          <w:sz w:val="20"/>
          <w:szCs w:val="20"/>
          <w:color w:val="auto"/>
        </w:rPr>
      </w:pPr>
    </w:p>
    <w:p>
      <w:pPr>
        <w:ind w:left="2260" w:right="20" w:hanging="754"/>
        <w:spacing w:after="0" w:line="269" w:lineRule="auto"/>
        <w:tabs>
          <w:tab w:leader="none" w:pos="1907"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may not sell, transfer (other than by will or the laws of descent and distribution), assign, pledge, or otherwise encumber or dispose of the RSUs or any rights under the RSUs before Settlement;</w:t>
      </w:r>
    </w:p>
    <w:p>
      <w:pPr>
        <w:spacing w:after="0" w:line="159" w:lineRule="exact"/>
        <w:rPr>
          <w:rFonts w:ascii="Times New Roman" w:cs="Times New Roman" w:eastAsia="Times New Roman" w:hAnsi="Times New Roman"/>
          <w:sz w:val="20"/>
          <w:szCs w:val="20"/>
          <w:color w:val="auto"/>
        </w:rPr>
      </w:pPr>
    </w:p>
    <w:p>
      <w:pPr>
        <w:ind w:left="2260" w:right="20" w:hanging="754"/>
        <w:spacing w:after="0" w:line="269" w:lineRule="auto"/>
        <w:tabs>
          <w:tab w:leader="none" w:pos="1907"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 will forfeit all of the RSUs and all of your rights under the RSUs will terminate in their entirety on the terms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 and </w:t>
      </w:r>
      <w:r>
        <w:rPr>
          <w:rFonts w:ascii="Times New Roman" w:cs="Times New Roman" w:eastAsia="Times New Roman" w:hAnsi="Times New Roman"/>
          <w:sz w:val="20"/>
          <w:szCs w:val="20"/>
          <w:u w:val="single" w:color="auto"/>
          <w:color w:val="auto"/>
        </w:rPr>
        <w:t>Section 11(j)</w:t>
      </w:r>
      <w:r>
        <w:rPr>
          <w:rFonts w:ascii="Times New Roman" w:cs="Times New Roman" w:eastAsia="Times New Roman" w:hAnsi="Times New Roman"/>
          <w:sz w:val="20"/>
          <w:szCs w:val="20"/>
          <w:color w:val="auto"/>
        </w:rPr>
        <w:t xml:space="preserve"> below; and</w:t>
      </w:r>
    </w:p>
    <w:p>
      <w:pPr>
        <w:spacing w:after="0" w:line="159" w:lineRule="exact"/>
        <w:rPr>
          <w:rFonts w:ascii="Times New Roman" w:cs="Times New Roman" w:eastAsia="Times New Roman" w:hAnsi="Times New Roman"/>
          <w:sz w:val="20"/>
          <w:szCs w:val="20"/>
          <w:color w:val="auto"/>
        </w:rPr>
      </w:pPr>
    </w:p>
    <w:p>
      <w:pPr>
        <w:ind w:left="1900" w:hanging="394"/>
        <w:spacing w:after="0"/>
        <w:tabs>
          <w:tab w:leader="none" w:pos="1900"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Share underlying an RSU will be considered earned until the end of the Restricted Period applicable to the RSU.</w:t>
      </w:r>
    </w:p>
    <w:p>
      <w:pPr>
        <w:spacing w:after="0" w:line="215" w:lineRule="exact"/>
        <w:rPr>
          <w:rFonts w:ascii="Times New Roman" w:cs="Times New Roman" w:eastAsia="Times New Roman" w:hAnsi="Times New Roman"/>
          <w:sz w:val="20"/>
          <w:szCs w:val="20"/>
          <w:color w:val="auto"/>
        </w:rPr>
      </w:pPr>
    </w:p>
    <w:p>
      <w:pPr>
        <w:ind w:left="1500" w:right="20" w:hanging="690"/>
        <w:spacing w:after="0" w:line="269" w:lineRule="auto"/>
        <w:tabs>
          <w:tab w:leader="none" w:pos="1201"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attempt to dispose of the RSUs, any interest in the RSUs, or any Shares in respect of the RSUs in a manner contrary to the terms of this Agreement will be void and of no effect.</w:t>
      </w:r>
    </w:p>
    <w:p>
      <w:pPr>
        <w:spacing w:after="0" w:line="159" w:lineRule="exact"/>
        <w:rPr>
          <w:rFonts w:ascii="Times New Roman" w:cs="Times New Roman" w:eastAsia="Times New Roman" w:hAnsi="Times New Roman"/>
          <w:sz w:val="20"/>
          <w:szCs w:val="20"/>
          <w:color w:val="auto"/>
        </w:rPr>
      </w:pPr>
    </w:p>
    <w:p>
      <w:pPr>
        <w:ind w:left="760" w:hanging="752"/>
        <w:spacing w:after="0" w:line="269" w:lineRule="auto"/>
        <w:tabs>
          <w:tab w:leader="none" w:pos="4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Restricted Period</w:t>
      </w:r>
      <w:r>
        <w:rPr>
          <w:rFonts w:ascii="Times New Roman" w:cs="Times New Roman" w:eastAsia="Times New Roman" w:hAnsi="Times New Roman"/>
          <w:sz w:val="20"/>
          <w:szCs w:val="20"/>
          <w:color w:val="auto"/>
        </w:rPr>
        <w:t xml:space="preserve">” is the period beginning on the Grant Date and ending on the date the RSUs, or such applicable portion of the RSUs, are deemed earned and payable under the terms set forth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159" w:lineRule="exact"/>
        <w:rPr>
          <w:rFonts w:ascii="Times New Roman" w:cs="Times New Roman" w:eastAsia="Times New Roman" w:hAnsi="Times New Roman"/>
          <w:sz w:val="20"/>
          <w:szCs w:val="20"/>
          <w:color w:val="auto"/>
        </w:rPr>
      </w:pPr>
    </w:p>
    <w:p>
      <w:pPr>
        <w:ind w:left="760" w:hanging="752"/>
        <w:spacing w:after="0" w:line="245" w:lineRule="auto"/>
        <w:tabs>
          <w:tab w:leader="none" w:pos="4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Each RSU will be credited with any cash and stock dividends paid by the Company in respect of 1 Share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Dividend Equivalents will be accrued by the Company and credited to you and will not bear interest. Dividend Equivalents credited to you and attributable to any particular RSU will be distributed to you in cash (or, if determined by the Committee, in Shares having a Fair Market Value equal to the amount of such Dividend Equivalents) upon Settlement of the RSU to which the Dividend Equivalent is attributable and, if the RSU is forfeited, you will have no right to such Dividend Equivalent.</w:t>
      </w:r>
    </w:p>
    <w:p>
      <w:pPr>
        <w:spacing w:after="0" w:line="184" w:lineRule="exact"/>
        <w:rPr>
          <w:rFonts w:ascii="Times New Roman" w:cs="Times New Roman" w:eastAsia="Times New Roman" w:hAnsi="Times New Roman"/>
          <w:sz w:val="20"/>
          <w:szCs w:val="20"/>
          <w:color w:val="auto"/>
        </w:rPr>
      </w:pPr>
    </w:p>
    <w:p>
      <w:pPr>
        <w:ind w:left="760" w:hanging="752"/>
        <w:spacing w:after="0" w:line="249" w:lineRule="auto"/>
        <w:tabs>
          <w:tab w:leader="none" w:pos="4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w:t>
      </w:r>
      <w:r>
        <w:rPr>
          <w:rFonts w:ascii="Times New Roman" w:cs="Times New Roman" w:eastAsia="Times New Roman" w:hAnsi="Times New Roman"/>
          <w:sz w:val="20"/>
          <w:szCs w:val="20"/>
          <w:color w:val="auto"/>
        </w:rPr>
        <w:t xml:space="preserve">. If, during the Restricted Period, (a) you incur a Separation from Service (for the avoidance of doubt, which does not otherwise result in the immediate or continued earning and payment of the RSUs), (b) you materially breach this Agreement, or (c) you fail to meet the tax withholding obligations described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below, you will immediately and automatically forfeit all of your rights in respect of the RSUs.</w:t>
      </w:r>
    </w:p>
    <w:p>
      <w:pPr>
        <w:spacing w:after="0" w:line="179"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of RSUs</w:t>
      </w:r>
      <w:r>
        <w:rPr>
          <w:rFonts w:ascii="Times New Roman" w:cs="Times New Roman" w:eastAsia="Times New Roman" w:hAnsi="Times New Roman"/>
          <w:sz w:val="20"/>
          <w:szCs w:val="20"/>
          <w:color w:val="auto"/>
        </w:rPr>
        <w:t>. Settlement of RSUs under this Agreement will be subject to the following:</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200" w:lineRule="exact"/>
        <w:rPr>
          <w:sz w:val="20"/>
          <w:szCs w:val="20"/>
          <w:color w:val="auto"/>
        </w:rPr>
      </w:pPr>
    </w:p>
    <w:p>
      <w:pPr>
        <w:spacing w:after="0" w:line="304" w:lineRule="exact"/>
        <w:rPr>
          <w:sz w:val="20"/>
          <w:szCs w:val="20"/>
          <w:color w:val="auto"/>
        </w:rPr>
      </w:pPr>
    </w:p>
    <w:p>
      <w:pPr>
        <w:ind w:left="1500" w:hanging="690"/>
        <w:spacing w:after="0" w:line="254" w:lineRule="auto"/>
        <w:tabs>
          <w:tab w:leader="none" w:pos="120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deliver to you 1 Share—or a cash amount equal to the Fair Market Value of 1 Share—for each RSU that has become earned and payable as soon as administratively practicable after the end of the applicable Restricted Period, subject to the following:</w:t>
      </w:r>
    </w:p>
    <w:p>
      <w:pPr>
        <w:spacing w:after="0" w:line="174" w:lineRule="exact"/>
        <w:rPr>
          <w:rFonts w:ascii="Times New Roman" w:cs="Times New Roman" w:eastAsia="Times New Roman" w:hAnsi="Times New Roman"/>
          <w:sz w:val="20"/>
          <w:szCs w:val="20"/>
          <w:color w:val="auto"/>
        </w:rPr>
      </w:pPr>
    </w:p>
    <w:p>
      <w:pPr>
        <w:ind w:left="1900" w:hanging="394"/>
        <w:spacing w:after="0"/>
        <w:tabs>
          <w:tab w:leader="none" w:pos="19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PRSUs will be settled in Shares; and</w:t>
      </w:r>
    </w:p>
    <w:p>
      <w:pPr>
        <w:spacing w:after="0" w:line="215" w:lineRule="exact"/>
        <w:rPr>
          <w:rFonts w:ascii="Times New Roman" w:cs="Times New Roman" w:eastAsia="Times New Roman" w:hAnsi="Times New Roman"/>
          <w:sz w:val="20"/>
          <w:szCs w:val="20"/>
          <w:color w:val="auto"/>
        </w:rPr>
      </w:pPr>
    </w:p>
    <w:p>
      <w:pPr>
        <w:ind w:left="1900" w:hanging="394"/>
        <w:spacing w:after="0"/>
        <w:tabs>
          <w:tab w:leader="none" w:pos="190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TRSUs will be settled in Shares.</w:t>
      </w:r>
    </w:p>
    <w:p>
      <w:pPr>
        <w:spacing w:after="0" w:line="215" w:lineRule="exact"/>
        <w:rPr>
          <w:rFonts w:ascii="Times New Roman" w:cs="Times New Roman" w:eastAsia="Times New Roman" w:hAnsi="Times New Roman"/>
          <w:sz w:val="20"/>
          <w:szCs w:val="20"/>
          <w:color w:val="auto"/>
        </w:rPr>
      </w:pPr>
    </w:p>
    <w:p>
      <w:pPr>
        <w:ind w:left="1500" w:right="40" w:hanging="690"/>
        <w:spacing w:after="0" w:line="269" w:lineRule="auto"/>
        <w:tabs>
          <w:tab w:leader="none" w:pos="120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of Shares under the Award may be effected on a non-certificated basis, to the extent not prohibited by Applicable Law.</w:t>
      </w:r>
    </w:p>
    <w:p>
      <w:pPr>
        <w:spacing w:after="0" w:line="159" w:lineRule="exact"/>
        <w:rPr>
          <w:rFonts w:ascii="Times New Roman" w:cs="Times New Roman" w:eastAsia="Times New Roman" w:hAnsi="Times New Roman"/>
          <w:sz w:val="20"/>
          <w:szCs w:val="20"/>
          <w:color w:val="auto"/>
        </w:rPr>
      </w:pPr>
    </w:p>
    <w:p>
      <w:pPr>
        <w:ind w:left="1500" w:right="20" w:hanging="690"/>
        <w:spacing w:after="0" w:line="269" w:lineRule="auto"/>
        <w:tabs>
          <w:tab w:leader="none" w:pos="120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certificate for Shares is delivered to you under the Award, the certificate may bear the following or a similar legend as determined by the Company:</w:t>
      </w:r>
    </w:p>
    <w:p>
      <w:pPr>
        <w:spacing w:after="0" w:line="56" w:lineRule="exact"/>
        <w:rPr>
          <w:sz w:val="20"/>
          <w:szCs w:val="20"/>
          <w:color w:val="auto"/>
        </w:rPr>
      </w:pPr>
    </w:p>
    <w:p>
      <w:pPr>
        <w:jc w:val="both"/>
        <w:ind w:left="1700" w:right="200"/>
        <w:spacing w:after="0" w:line="261" w:lineRule="auto"/>
        <w:rPr>
          <w:sz w:val="20"/>
          <w:szCs w:val="20"/>
          <w:color w:val="auto"/>
        </w:rPr>
      </w:pPr>
      <w:r>
        <w:rPr>
          <w:rFonts w:ascii="Times New Roman" w:cs="Times New Roman" w:eastAsia="Times New Roman" w:hAnsi="Times New Roman"/>
          <w:sz w:val="18"/>
          <w:szCs w:val="18"/>
          <w:color w:val="auto"/>
        </w:rPr>
        <w:t>The ownership and transferability of this certificate and the shares of stock represented hereby are subject to the terms (including forfeiture) of the LSB Industries, Inc. 2016 Long Term Incentive Plan and an RSU award agreement entered into between the registered owner and LSB Industries, Inc. Copies of such plan and agreement are on file in the executive offices of LSB Industries, Inc.</w:t>
      </w:r>
    </w:p>
    <w:p>
      <w:pPr>
        <w:spacing w:after="0" w:line="67" w:lineRule="exact"/>
        <w:rPr>
          <w:sz w:val="20"/>
          <w:szCs w:val="20"/>
          <w:color w:val="auto"/>
        </w:rPr>
      </w:pPr>
    </w:p>
    <w:p>
      <w:pPr>
        <w:jc w:val="both"/>
        <w:ind w:left="1500"/>
        <w:spacing w:after="0" w:line="254" w:lineRule="auto"/>
        <w:rPr>
          <w:sz w:val="20"/>
          <w:szCs w:val="20"/>
          <w:color w:val="auto"/>
        </w:rPr>
      </w:pPr>
      <w:r>
        <w:rPr>
          <w:rFonts w:ascii="Times New Roman" w:cs="Times New Roman" w:eastAsia="Times New Roman" w:hAnsi="Times New Roman"/>
          <w:sz w:val="20"/>
          <w:szCs w:val="20"/>
          <w:color w:val="auto"/>
        </w:rPr>
        <w:t>In addition, any stock certificates for Shares will be subject to any stop-transfer orders and other restrictions as the Company may deem advisable under applicable law, and the Company may cause a legend or legends to be placed on any certificates to make appropriate reference to these restrictions.</w:t>
      </w:r>
    </w:p>
    <w:p>
      <w:pPr>
        <w:spacing w:after="0" w:line="174" w:lineRule="exact"/>
        <w:rPr>
          <w:sz w:val="20"/>
          <w:szCs w:val="20"/>
          <w:color w:val="auto"/>
        </w:rPr>
      </w:pPr>
    </w:p>
    <w:p>
      <w:pPr>
        <w:ind w:left="760" w:hanging="752"/>
        <w:spacing w:after="0" w:line="244" w:lineRule="auto"/>
        <w:tabs>
          <w:tab w:leader="none" w:pos="43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Regardless of any action the Company may take that is related to any or all income tax, payroll tax, or other tax-related withholding under the Plan (“</w:t>
      </w:r>
      <w:r>
        <w:rPr>
          <w:rFonts w:ascii="Times New Roman" w:cs="Times New Roman" w:eastAsia="Times New Roman" w:hAnsi="Times New Roman"/>
          <w:sz w:val="20"/>
          <w:szCs w:val="20"/>
          <w:u w:val="single" w:color="auto"/>
          <w:color w:val="auto"/>
        </w:rPr>
        <w:t>Tax-Related Items</w:t>
      </w:r>
      <w:r>
        <w:rPr>
          <w:rFonts w:ascii="Times New Roman" w:cs="Times New Roman" w:eastAsia="Times New Roman" w:hAnsi="Times New Roman"/>
          <w:sz w:val="20"/>
          <w:szCs w:val="20"/>
          <w:color w:val="auto"/>
        </w:rPr>
        <w:t xml:space="preserve">”), the ultimate liability for all Tax-Related Items owed by you is and will remain your responsibility. The Company (a) makes no representations or undertakings regarding the treatment of any Tax-Related Items and (b) does not commit to structure the terms of the Award to reduce or eliminate your liability for Tax-Related Items. You will be required to meet any applicable tax withholding obligation in accordance with the tax withholding terms of </w:t>
      </w:r>
      <w:r>
        <w:rPr>
          <w:rFonts w:ascii="Times New Roman" w:cs="Times New Roman" w:eastAsia="Times New Roman" w:hAnsi="Times New Roman"/>
          <w:sz w:val="20"/>
          <w:szCs w:val="20"/>
          <w:u w:val="single" w:color="auto"/>
          <w:color w:val="auto"/>
        </w:rPr>
        <w:t>Section 7 of the Plan</w:t>
      </w:r>
      <w:r>
        <w:rPr>
          <w:rFonts w:ascii="Times New Roman" w:cs="Times New Roman" w:eastAsia="Times New Roman" w:hAnsi="Times New Roman"/>
          <w:sz w:val="20"/>
          <w:szCs w:val="20"/>
          <w:color w:val="auto"/>
        </w:rPr>
        <w:t xml:space="preserve"> (and any successor terms). The RSUs are intended to be exempt from Section 409A, and this Agreement will be administered and interpreted consistently with that intent and with the terms of </w:t>
      </w:r>
      <w:r>
        <w:rPr>
          <w:rFonts w:ascii="Times New Roman" w:cs="Times New Roman" w:eastAsia="Times New Roman" w:hAnsi="Times New Roman"/>
          <w:sz w:val="20"/>
          <w:szCs w:val="20"/>
          <w:u w:val="single" w:color="auto"/>
          <w:color w:val="auto"/>
        </w:rPr>
        <w:t>Section 19 of the Plan</w:t>
      </w:r>
      <w:r>
        <w:rPr>
          <w:rFonts w:ascii="Times New Roman" w:cs="Times New Roman" w:eastAsia="Times New Roman" w:hAnsi="Times New Roman"/>
          <w:sz w:val="20"/>
          <w:szCs w:val="20"/>
          <w:color w:val="auto"/>
        </w:rPr>
        <w:t xml:space="preserve"> (and any successor terms).</w:t>
      </w:r>
    </w:p>
    <w:p>
      <w:pPr>
        <w:spacing w:after="0" w:line="185" w:lineRule="exact"/>
        <w:rPr>
          <w:rFonts w:ascii="Times New Roman" w:cs="Times New Roman" w:eastAsia="Times New Roman" w:hAnsi="Times New Roman"/>
          <w:sz w:val="20"/>
          <w:szCs w:val="20"/>
          <w:color w:val="auto"/>
        </w:rPr>
      </w:pPr>
    </w:p>
    <w:p>
      <w:pPr>
        <w:ind w:left="760" w:hanging="752"/>
        <w:spacing w:after="0" w:line="269" w:lineRule="auto"/>
        <w:tabs>
          <w:tab w:leader="none" w:pos="40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w:t>
      </w:r>
      <w:r>
        <w:rPr>
          <w:rFonts w:ascii="Times New Roman" w:cs="Times New Roman" w:eastAsia="Times New Roman" w:hAnsi="Times New Roman"/>
          <w:sz w:val="20"/>
          <w:szCs w:val="20"/>
          <w:color w:val="auto"/>
        </w:rPr>
        <w:t xml:space="preserve">. Upon any event described in </w:t>
      </w:r>
      <w:r>
        <w:rPr>
          <w:rFonts w:ascii="Times New Roman" w:cs="Times New Roman" w:eastAsia="Times New Roman" w:hAnsi="Times New Roman"/>
          <w:sz w:val="20"/>
          <w:szCs w:val="20"/>
          <w:u w:val="single" w:color="auto"/>
          <w:color w:val="auto"/>
        </w:rPr>
        <w:t>Section 8 of the Plan</w:t>
      </w:r>
      <w:r>
        <w:rPr>
          <w:rFonts w:ascii="Times New Roman" w:cs="Times New Roman" w:eastAsia="Times New Roman" w:hAnsi="Times New Roman"/>
          <w:sz w:val="20"/>
          <w:szCs w:val="20"/>
          <w:color w:val="auto"/>
        </w:rPr>
        <w:t xml:space="preserve"> (and any successor terms) occurring after the Grant Date, the adjustment terms of that section will apply to the Award.</w:t>
      </w:r>
    </w:p>
    <w:p>
      <w:pPr>
        <w:spacing w:after="0" w:line="159" w:lineRule="exact"/>
        <w:rPr>
          <w:rFonts w:ascii="Times New Roman" w:cs="Times New Roman" w:eastAsia="Times New Roman" w:hAnsi="Times New Roman"/>
          <w:sz w:val="20"/>
          <w:szCs w:val="20"/>
          <w:color w:val="auto"/>
        </w:rPr>
      </w:pPr>
    </w:p>
    <w:p>
      <w:pPr>
        <w:ind w:left="760" w:hanging="752"/>
        <w:spacing w:after="0" w:line="245" w:lineRule="auto"/>
        <w:tabs>
          <w:tab w:leader="none" w:pos="42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Bound by Plan and Committee Decisions</w:t>
      </w:r>
      <w:r>
        <w:rPr>
          <w:rFonts w:ascii="Times New Roman" w:cs="Times New Roman" w:eastAsia="Times New Roman" w:hAnsi="Times New Roman"/>
          <w:sz w:val="20"/>
          <w:szCs w:val="20"/>
          <w:color w:val="auto"/>
        </w:rPr>
        <w:t>. By accepting the Award, you acknowledge that you have received a copy of the Plan and have had an opportunity to review the Plan, and you agree to be bound by all of the terms of the Plan. If there is any conflict between this Agreement and the Plan, the Plan will control. The authority to manage and control the operation and administration of this Agreement and the Plan is vested in the Committee. The Committee has all powers under this Agreement that it has under the Plan. Any interpretation of this Agreement or the Plan by the Committee and any decision made by the Committee related to the Agreement or the Plan will be final and binding on all Persons.</w:t>
      </w:r>
    </w:p>
    <w:p>
      <w:pPr>
        <w:spacing w:after="0" w:line="184" w:lineRule="exact"/>
        <w:rPr>
          <w:rFonts w:ascii="Times New Roman" w:cs="Times New Roman" w:eastAsia="Times New Roman" w:hAnsi="Times New Roman"/>
          <w:sz w:val="20"/>
          <w:szCs w:val="20"/>
          <w:color w:val="auto"/>
        </w:rPr>
      </w:pPr>
    </w:p>
    <w:p>
      <w:pPr>
        <w:ind w:left="760" w:hanging="752"/>
        <w:spacing w:after="0" w:line="266" w:lineRule="auto"/>
        <w:tabs>
          <w:tab w:leader="none" w:pos="461"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Regulatory and Other Limitations</w:t>
      </w:r>
      <w:r>
        <w:rPr>
          <w:rFonts w:ascii="Times New Roman" w:cs="Times New Roman" w:eastAsia="Times New Roman" w:hAnsi="Times New Roman"/>
          <w:sz w:val="19"/>
          <w:szCs w:val="19"/>
          <w:color w:val="auto"/>
        </w:rPr>
        <w:t>. Notwithstanding anything else in this Agreement, the Committee may impose conditions, restrictions, and limitations on the issuance of Shares under the Award unless and until the Committee determines that the issuance complies with (a) all registration requirements under the Securities Act, (b) all listing requirements of any securities exchange or similar entity on which the Shares are listed, (c) all Company policies and administrative rules, and (d) all applicable laws.</w:t>
      </w:r>
    </w:p>
    <w:p>
      <w:pPr>
        <w:spacing w:after="0" w:line="165" w:lineRule="exact"/>
        <w:rPr>
          <w:rFonts w:ascii="Times New Roman" w:cs="Times New Roman" w:eastAsia="Times New Roman" w:hAnsi="Times New Roman"/>
          <w:sz w:val="19"/>
          <w:szCs w:val="19"/>
          <w:color w:val="auto"/>
        </w:rPr>
      </w:pPr>
    </w:p>
    <w:p>
      <w:pPr>
        <w:ind w:left="400" w:hanging="392"/>
        <w:spacing w:after="0"/>
        <w:tabs>
          <w:tab w:leader="none" w:pos="4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690"/>
        <w:spacing w:after="0" w:line="269" w:lineRule="auto"/>
        <w:tabs>
          <w:tab w:leader="none" w:pos="122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that may be required or permitted under this Agreement must be in writing and may be delivered personally, by intraoffice mail, or by electronic mail or via a postal service</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3</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200" w:lineRule="exact"/>
        <w:rPr>
          <w:sz w:val="20"/>
          <w:szCs w:val="20"/>
          <w:color w:val="auto"/>
        </w:rPr>
      </w:pPr>
    </w:p>
    <w:p>
      <w:pPr>
        <w:spacing w:after="0" w:line="304" w:lineRule="exact"/>
        <w:rPr>
          <w:sz w:val="20"/>
          <w:szCs w:val="20"/>
          <w:color w:val="auto"/>
        </w:rPr>
      </w:pPr>
    </w:p>
    <w:p>
      <w:pPr>
        <w:jc w:val="both"/>
        <w:ind w:left="690"/>
        <w:spacing w:after="0" w:line="269" w:lineRule="auto"/>
        <w:rPr>
          <w:sz w:val="20"/>
          <w:szCs w:val="20"/>
          <w:color w:val="auto"/>
        </w:rPr>
      </w:pPr>
      <w:r>
        <w:rPr>
          <w:rFonts w:ascii="Times New Roman" w:cs="Times New Roman" w:eastAsia="Times New Roman" w:hAnsi="Times New Roman"/>
          <w:sz w:val="20"/>
          <w:szCs w:val="20"/>
          <w:color w:val="auto"/>
        </w:rPr>
        <w:t>(postage prepaid) to the electronic mail or postal address and directed to the person as the receiving party may designate in writing from time to time.</w:t>
      </w:r>
    </w:p>
    <w:p>
      <w:pPr>
        <w:spacing w:after="0" w:line="159" w:lineRule="exact"/>
        <w:rPr>
          <w:sz w:val="20"/>
          <w:szCs w:val="20"/>
          <w:color w:val="auto"/>
        </w:rPr>
      </w:pPr>
    </w:p>
    <w:p>
      <w:pPr>
        <w:ind w:left="690" w:hanging="690"/>
        <w:spacing w:after="0" w:line="269" w:lineRule="auto"/>
        <w:tabs>
          <w:tab w:leader="none" w:pos="39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waiver by any party to this Agreement of a breach of any term of the Agreement will not operate or be construed as a waiver of any other or subsequent breach.</w:t>
      </w:r>
    </w:p>
    <w:p>
      <w:pPr>
        <w:spacing w:after="0" w:line="159" w:lineRule="exact"/>
        <w:rPr>
          <w:rFonts w:ascii="Times New Roman" w:cs="Times New Roman" w:eastAsia="Times New Roman" w:hAnsi="Times New Roman"/>
          <w:sz w:val="20"/>
          <w:szCs w:val="20"/>
          <w:color w:val="auto"/>
        </w:rPr>
      </w:pPr>
    </w:p>
    <w:p>
      <w:pPr>
        <w:ind w:left="690" w:hanging="690"/>
        <w:spacing w:after="0" w:line="269" w:lineRule="auto"/>
        <w:tabs>
          <w:tab w:leader="none" w:pos="39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and the Plan constitute the entire agreement between you and the Company related to the Award. Any prior agreements, commitments, or negotiations related the Award are superseded.</w:t>
      </w:r>
    </w:p>
    <w:p>
      <w:pPr>
        <w:spacing w:after="0" w:line="159" w:lineRule="exact"/>
        <w:rPr>
          <w:rFonts w:ascii="Times New Roman" w:cs="Times New Roman" w:eastAsia="Times New Roman" w:hAnsi="Times New Roman"/>
          <w:sz w:val="20"/>
          <w:szCs w:val="20"/>
          <w:color w:val="auto"/>
        </w:rPr>
      </w:pPr>
    </w:p>
    <w:p>
      <w:pPr>
        <w:ind w:left="690" w:hanging="690"/>
        <w:spacing w:after="0" w:line="245" w:lineRule="auto"/>
        <w:tabs>
          <w:tab w:leader="none" w:pos="39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 Successors</w:t>
      </w:r>
      <w:r>
        <w:rPr>
          <w:rFonts w:ascii="Times New Roman" w:cs="Times New Roman" w:eastAsia="Times New Roman" w:hAnsi="Times New Roman"/>
          <w:sz w:val="20"/>
          <w:szCs w:val="20"/>
          <w:color w:val="auto"/>
        </w:rPr>
        <w:t>. The obligations and rights of the Company under this Agreement will be binding upon and inure to the benefit of the Company and any successor corporation or organization resulting from the merger, consolidation, sale, or other reorganization of the Company, or upon any successor corporation or organization succeeding to substantially all of the assets and business of the Company. Your obligations and rights under this Agreement will be binding upon and inure to your benefit and the benefit of your beneficiaries, executors, administrators, heirs, and successors.</w:t>
      </w:r>
    </w:p>
    <w:p>
      <w:pPr>
        <w:spacing w:after="0" w:line="184" w:lineRule="exact"/>
        <w:rPr>
          <w:rFonts w:ascii="Times New Roman" w:cs="Times New Roman" w:eastAsia="Times New Roman" w:hAnsi="Times New Roman"/>
          <w:sz w:val="20"/>
          <w:szCs w:val="20"/>
          <w:color w:val="auto"/>
        </w:rPr>
      </w:pPr>
    </w:p>
    <w:p>
      <w:pPr>
        <w:ind w:left="690" w:hanging="690"/>
        <w:spacing w:after="0" w:line="269" w:lineRule="auto"/>
        <w:tabs>
          <w:tab w:leader="none" w:pos="40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w:t>
      </w:r>
      <w:r>
        <w:rPr>
          <w:rFonts w:ascii="Times New Roman" w:cs="Times New Roman" w:eastAsia="Times New Roman" w:hAnsi="Times New Roman"/>
          <w:sz w:val="20"/>
          <w:szCs w:val="20"/>
          <w:color w:val="auto"/>
        </w:rPr>
        <w:t xml:space="preserve">. You acknowledge and expressly agree to the governing law and jurisdiction terms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9(c) of the Plan</w:t>
      </w:r>
      <w:r>
        <w:rPr>
          <w:rFonts w:ascii="Times New Roman" w:cs="Times New Roman" w:eastAsia="Times New Roman" w:hAnsi="Times New Roman"/>
          <w:sz w:val="20"/>
          <w:szCs w:val="20"/>
          <w:color w:val="auto"/>
        </w:rPr>
        <w:t xml:space="preserve"> (and any successor terms).</w:t>
      </w:r>
    </w:p>
    <w:p>
      <w:pPr>
        <w:spacing w:after="0" w:line="159" w:lineRule="exact"/>
        <w:rPr>
          <w:rFonts w:ascii="Times New Roman" w:cs="Times New Roman" w:eastAsia="Times New Roman" w:hAnsi="Times New Roman"/>
          <w:sz w:val="20"/>
          <w:szCs w:val="20"/>
          <w:color w:val="auto"/>
        </w:rPr>
      </w:pPr>
    </w:p>
    <w:p>
      <w:pPr>
        <w:ind w:left="690" w:hanging="690"/>
        <w:spacing w:after="0" w:line="269" w:lineRule="auto"/>
        <w:tabs>
          <w:tab w:leader="none" w:pos="39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Agreement may be amended at any time by the Committee, except that no amendment may, without your consent, materially and adversely affect your rights under the Award.</w:t>
      </w:r>
    </w:p>
    <w:p>
      <w:pPr>
        <w:spacing w:after="0" w:line="159" w:lineRule="exact"/>
        <w:rPr>
          <w:rFonts w:ascii="Times New Roman" w:cs="Times New Roman" w:eastAsia="Times New Roman" w:hAnsi="Times New Roman"/>
          <w:sz w:val="20"/>
          <w:szCs w:val="20"/>
          <w:color w:val="auto"/>
        </w:rPr>
      </w:pPr>
    </w:p>
    <w:p>
      <w:pPr>
        <w:ind w:left="690" w:hanging="690"/>
        <w:spacing w:after="0" w:line="254" w:lineRule="auto"/>
        <w:tabs>
          <w:tab w:leader="none" w:pos="41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term of the Plan or this Agreement will not affect the validity or enforceability of any other term of the Plan or this Agreement, and each other term of the Plan and this Agreement will be severable and enforceable to the extent permitted by applicable law.</w:t>
      </w:r>
    </w:p>
    <w:p>
      <w:pPr>
        <w:spacing w:after="0" w:line="174" w:lineRule="exact"/>
        <w:rPr>
          <w:rFonts w:ascii="Times New Roman" w:cs="Times New Roman" w:eastAsia="Times New Roman" w:hAnsi="Times New Roman"/>
          <w:sz w:val="20"/>
          <w:szCs w:val="20"/>
          <w:color w:val="auto"/>
        </w:rPr>
      </w:pPr>
    </w:p>
    <w:p>
      <w:pPr>
        <w:ind w:left="690" w:hanging="690"/>
        <w:spacing w:after="0" w:line="244" w:lineRule="auto"/>
        <w:tabs>
          <w:tab w:leader="none" w:pos="39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Service; No Impact on Other Benefits</w:t>
      </w:r>
      <w:r>
        <w:rPr>
          <w:rFonts w:ascii="Times New Roman" w:cs="Times New Roman" w:eastAsia="Times New Roman" w:hAnsi="Times New Roman"/>
          <w:sz w:val="20"/>
          <w:szCs w:val="20"/>
          <w:color w:val="auto"/>
        </w:rPr>
        <w:t>. Nothing in this Agreement will be construed as giving you any right to be retained in any position with the Company or its Affiliates. Nothing in this Agreement will interfere with or restrict the rights of the Company or its Affiliates—which are expressly reserved—to remove, terminate, or discharge you at any time for any reason whatsoever or for no reason, subject to the Company’s certificate of incorporation, bylaws, and other similar governing documents and applicable law. The value of the RSUs is not part of your normal or expected compensation for purposes of calculating any severance, retirement, welfare, insurance, or similar employee benefit. The grant of the RSUs does not create any right to receive any future awards.</w:t>
      </w:r>
    </w:p>
    <w:p>
      <w:pPr>
        <w:spacing w:after="0" w:line="185" w:lineRule="exact"/>
        <w:rPr>
          <w:rFonts w:ascii="Times New Roman" w:cs="Times New Roman" w:eastAsia="Times New Roman" w:hAnsi="Times New Roman"/>
          <w:sz w:val="20"/>
          <w:szCs w:val="20"/>
          <w:color w:val="auto"/>
        </w:rPr>
      </w:pPr>
    </w:p>
    <w:p>
      <w:pPr>
        <w:ind w:left="690" w:hanging="690"/>
        <w:spacing w:after="0" w:line="269" w:lineRule="auto"/>
        <w:tabs>
          <w:tab w:leader="none" w:pos="40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You must, upon request of the Company, do all acts and execute, deliver, and perform all additional documents, instruments, and agreements that may be reasonably required by the Company to implement this Agreement.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370"/>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483870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30"/>
          </w:cols>
          <w:pgMar w:left="1130" w:top="378"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13" w:lineRule="exact"/>
        <w:rPr>
          <w:sz w:val="20"/>
          <w:szCs w:val="20"/>
          <w:color w:val="auto"/>
        </w:rPr>
      </w:pPr>
    </w:p>
    <w:p>
      <w:pPr>
        <w:ind w:left="1500" w:hanging="690"/>
        <w:spacing w:after="0" w:line="246" w:lineRule="auto"/>
        <w:tabs>
          <w:tab w:leader="none" w:pos="1201"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You acknowledge and consent to </w:t>
      </w:r>
      <w:r>
        <w:rPr>
          <w:rFonts w:ascii="Times New Roman" w:cs="Times New Roman" w:eastAsia="Times New Roman" w:hAnsi="Times New Roman"/>
          <w:sz w:val="20"/>
          <w:szCs w:val="20"/>
          <w:u w:val="single" w:color="auto"/>
          <w:color w:val="auto"/>
        </w:rPr>
        <w:t>Section 9(l) of the Plan</w:t>
      </w:r>
      <w:r>
        <w:rPr>
          <w:rFonts w:ascii="Times New Roman" w:cs="Times New Roman" w:eastAsia="Times New Roman" w:hAnsi="Times New Roman"/>
          <w:sz w:val="20"/>
          <w:szCs w:val="20"/>
          <w:color w:val="auto"/>
        </w:rPr>
        <w:t xml:space="preserve"> regarding clawbacks, and to the Company’s application, implementation, and enforcement of any applicable Company clawback or similar policy that may apply to you, whether adopted before or after the Grant Date, and any term of applicable law relating to clawback, cancellation, recoupment, rescission, payback, or reduction of compensation, and the Company may take such actions as may be necessary to effectuate any such policy or applicable law, without further consideration or action.</w:t>
      </w:r>
    </w:p>
    <w:p>
      <w:pPr>
        <w:spacing w:after="0" w:line="184" w:lineRule="exact"/>
        <w:rPr>
          <w:rFonts w:ascii="Times New Roman" w:cs="Times New Roman" w:eastAsia="Times New Roman" w:hAnsi="Times New Roman"/>
          <w:sz w:val="20"/>
          <w:szCs w:val="20"/>
          <w:color w:val="auto"/>
        </w:rPr>
      </w:pPr>
    </w:p>
    <w:p>
      <w:pPr>
        <w:ind w:left="1500" w:hanging="690"/>
        <w:spacing w:after="0" w:line="249" w:lineRule="auto"/>
        <w:tabs>
          <w:tab w:leader="none" w:pos="1201"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deliver any documents related to current or future participation in the Plan by electronic means. You consent to receive those documents by electronic delivery and to participate in the Plan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20"/>
          <w:szCs w:val="20"/>
          <w:color w:val="auto"/>
        </w:rPr>
      </w:pPr>
    </w:p>
    <w:p>
      <w:pPr>
        <w:ind w:left="760" w:hanging="752"/>
        <w:spacing w:after="0" w:line="254" w:lineRule="auto"/>
        <w:tabs>
          <w:tab w:leader="none" w:pos="40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Your Representations</w:t>
      </w:r>
      <w:r>
        <w:rPr>
          <w:rFonts w:ascii="Times New Roman" w:cs="Times New Roman" w:eastAsia="Times New Roman" w:hAnsi="Times New Roman"/>
          <w:sz w:val="20"/>
          <w:szCs w:val="20"/>
          <w:color w:val="auto"/>
        </w:rPr>
        <w:t>. You represent to the Company that you have read and fully understand this Agreement and the Plan and that your decision to participate in the Plan is completely voluntary. You also acknowledge that you are relying solely on your own advisors regarding the tax consequences of the Award.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effective as of the Grant Date.</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LSB INDUSTRIES,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448310</wp:posOffset>
            </wp:positionV>
            <wp:extent cx="54864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i w:val="1"/>
          <w:iCs w:val="1"/>
          <w:color w:val="auto"/>
        </w:rPr>
        <w:t>Signature</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-22860</wp:posOffset>
            </wp:positionV>
            <wp:extent cx="3505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4">
                      <a:extLst>
                        <a:ext uri="{28A0092B-C50C-407E-A947-70E740481C1C}"/>
                      </a:extLst>
                    </a:blip>
                    <a:srcRect/>
                    <a:stretch>
                      <a:fillRect/>
                    </a:stretch>
                  </pic:blipFill>
                  <pic:spPr bwMode="auto">
                    <a:xfrm>
                      <a:off x="0" y="0"/>
                      <a:ext cx="350520"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-29210</wp:posOffset>
            </wp:positionV>
            <wp:extent cx="25146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5">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color w:val="auto"/>
        </w:rPr>
        <w:t>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448310</wp:posOffset>
            </wp:positionV>
            <wp:extent cx="54864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6">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i w:val="1"/>
          <w:iCs w:val="1"/>
          <w:color w:val="auto"/>
        </w:rPr>
        <w:t>Signature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RSU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TIME-BASED VESTING RSUs (TRSUs)</w:t>
      </w:r>
    </w:p>
    <w:p>
      <w:pPr>
        <w:spacing w:after="0" w:line="200" w:lineRule="exact"/>
        <w:rPr>
          <w:sz w:val="20"/>
          <w:szCs w:val="20"/>
          <w:color w:val="auto"/>
        </w:rPr>
      </w:pPr>
    </w:p>
    <w:p>
      <w:pPr>
        <w:spacing w:after="0" w:line="23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Earning and Payment of TRSUs: </w:t>
      </w:r>
      <w:r>
        <w:rPr>
          <w:rFonts w:ascii="Times New Roman" w:cs="Times New Roman" w:eastAsia="Times New Roman" w:hAnsi="Times New Roman"/>
          <w:sz w:val="20"/>
          <w:szCs w:val="20"/>
          <w:color w:val="auto"/>
        </w:rPr>
        <w:t>Subject to</w:t>
      </w:r>
      <w:r>
        <w:rPr>
          <w:rFonts w:ascii="Times New Roman" w:cs="Times New Roman" w:eastAsia="Times New Roman" w:hAnsi="Times New Roman"/>
          <w:sz w:val="20"/>
          <w:szCs w:val="20"/>
          <w:b w:val="1"/>
          <w:bCs w:val="1"/>
          <w:color w:val="auto"/>
        </w:rPr>
        <w:t xml:space="preserve"> Accelerated Payment Events for TRSUs </w:t>
      </w:r>
      <w:r>
        <w:rPr>
          <w:rFonts w:ascii="Times New Roman" w:cs="Times New Roman" w:eastAsia="Times New Roman" w:hAnsi="Times New Roman"/>
          <w:sz w:val="20"/>
          <w:szCs w:val="20"/>
          <w:color w:val="auto"/>
        </w:rPr>
        <w:t>below, the TRSUs will become earned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payable as follows, as long as you do not have a Separation from Service before the applicable date:</w:t>
      </w:r>
    </w:p>
    <w:p>
      <w:pPr>
        <w:spacing w:after="0" w:line="152"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b w:val="1"/>
          <w:bCs w:val="1"/>
          <w:color w:val="auto"/>
        </w:rPr>
        <w:t>Date</w:t>
      </w:r>
      <w:r>
        <w:rPr>
          <w:sz w:val="20"/>
          <w:szCs w:val="20"/>
          <w:color w:val="auto"/>
        </w:rPr>
        <w:tab/>
      </w:r>
      <w:r>
        <w:rPr>
          <w:rFonts w:ascii="Times New Roman" w:cs="Times New Roman" w:eastAsia="Times New Roman" w:hAnsi="Times New Roman"/>
          <w:sz w:val="20"/>
          <w:szCs w:val="20"/>
          <w:b w:val="1"/>
          <w:bCs w:val="1"/>
          <w:color w:val="auto"/>
        </w:rPr>
        <w:t>TRSUs Earned and Payable*</w:t>
      </w:r>
    </w:p>
    <w:p>
      <w:pPr>
        <w:ind w:left="120"/>
        <w:spacing w:after="0" w:line="218" w:lineRule="auto"/>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anniversary of Grant Date 1/3</w:t>
      </w:r>
    </w:p>
    <w:p>
      <w:pPr>
        <w:ind w:left="120"/>
        <w:spacing w:after="0" w:line="196" w:lineRule="auto"/>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0"/>
          <w:szCs w:val="20"/>
          <w:color w:val="auto"/>
        </w:rPr>
        <w:t xml:space="preserve"> anniversary of Grant Date 1/3</w:t>
      </w:r>
    </w:p>
    <w:p>
      <w:pPr>
        <w:ind w:left="120"/>
        <w:spacing w:after="0" w:line="191" w:lineRule="auto"/>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xml:space="preserve"> anniversary of Grant Date 1/3</w:t>
      </w:r>
    </w:p>
    <w:p>
      <w:pPr>
        <w:spacing w:after="0" w:line="1" w:lineRule="exact"/>
        <w:rPr>
          <w:sz w:val="20"/>
          <w:szCs w:val="20"/>
          <w:color w:val="auto"/>
        </w:rPr>
      </w:pPr>
    </w:p>
    <w:p>
      <w:pPr>
        <w:ind w:left="120" w:right="60"/>
        <w:spacing w:after="0"/>
        <w:rPr>
          <w:sz w:val="20"/>
          <w:szCs w:val="20"/>
          <w:color w:val="auto"/>
        </w:rPr>
      </w:pPr>
      <w:r>
        <w:rPr>
          <w:rFonts w:ascii="Times New Roman" w:cs="Times New Roman" w:eastAsia="Times New Roman" w:hAnsi="Times New Roman"/>
          <w:sz w:val="20"/>
          <w:szCs w:val="20"/>
          <w:color w:val="auto"/>
        </w:rPr>
        <w:t>If the anniversary of the Grant Date falls on a weekend or a holiday, then the TRSUs will become earned and payable on the next following business day</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*Any resultant fractional TRSUs will not become earned or payable and will instead be subject to the next earning and payment date.</w:t>
      </w:r>
    </w:p>
    <w:p>
      <w:pPr>
        <w:spacing w:after="0" w:line="19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Accelerated Payment Events for TRSUs: </w:t>
      </w:r>
      <w:r>
        <w:rPr>
          <w:rFonts w:ascii="Times New Roman" w:cs="Times New Roman" w:eastAsia="Times New Roman" w:hAnsi="Times New Roman"/>
          <w:sz w:val="20"/>
          <w:szCs w:val="20"/>
          <w:color w:val="auto"/>
        </w:rPr>
        <w:t>As long as (i) you do not incur a Separation from Service until immediately before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occurrence of any of the events listed below and (ii) you hold TRSUs at such time:</w:t>
      </w:r>
    </w:p>
    <w:p>
      <w:pPr>
        <w:spacing w:after="0" w:line="156" w:lineRule="exact"/>
        <w:rPr>
          <w:sz w:val="20"/>
          <w:szCs w:val="20"/>
          <w:color w:val="auto"/>
        </w:rPr>
      </w:pPr>
    </w:p>
    <w:p>
      <w:pPr>
        <w:jc w:val="both"/>
        <w:ind w:left="360" w:hanging="352"/>
        <w:spacing w:after="0" w:line="263" w:lineRule="auto"/>
        <w:tabs>
          <w:tab w:leader="none" w:pos="396"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 Change of Control (“</w:t>
      </w:r>
      <w:r>
        <w:rPr>
          <w:rFonts w:ascii="Times New Roman" w:cs="Times New Roman" w:eastAsia="Times New Roman" w:hAnsi="Times New Roman"/>
          <w:sz w:val="19"/>
          <w:szCs w:val="19"/>
          <w:u w:val="single" w:color="auto"/>
          <w:color w:val="auto"/>
        </w:rPr>
        <w:t>CoC</w:t>
      </w:r>
      <w:r>
        <w:rPr>
          <w:rFonts w:ascii="Times New Roman" w:cs="Times New Roman" w:eastAsia="Times New Roman" w:hAnsi="Times New Roman"/>
          <w:sz w:val="19"/>
          <w:szCs w:val="19"/>
          <w:color w:val="auto"/>
        </w:rPr>
        <w:t xml:space="preserve">”), the TRSUs may be assumed or substituted pursuant to </w:t>
      </w:r>
      <w:r>
        <w:rPr>
          <w:rFonts w:ascii="Times New Roman" w:cs="Times New Roman" w:eastAsia="Times New Roman" w:hAnsi="Times New Roman"/>
          <w:sz w:val="19"/>
          <w:szCs w:val="19"/>
          <w:u w:val="single" w:color="auto"/>
          <w:color w:val="auto"/>
        </w:rPr>
        <w:t>Section 8(f)(v)(x) of the Plan</w:t>
      </w:r>
      <w:r>
        <w:rPr>
          <w:rFonts w:ascii="Times New Roman" w:cs="Times New Roman" w:eastAsia="Times New Roman" w:hAnsi="Times New Roman"/>
          <w:sz w:val="19"/>
          <w:szCs w:val="19"/>
          <w:color w:val="auto"/>
        </w:rPr>
        <w:t xml:space="preserve"> for a Replacement Award (as defined below), in which case the TRSUs will continue to vest in accordance with </w:t>
      </w:r>
      <w:r>
        <w:rPr>
          <w:rFonts w:ascii="Times New Roman" w:cs="Times New Roman" w:eastAsia="Times New Roman" w:hAnsi="Times New Roman"/>
          <w:sz w:val="19"/>
          <w:szCs w:val="19"/>
          <w:b w:val="1"/>
          <w:bCs w:val="1"/>
          <w:color w:val="auto"/>
        </w:rPr>
        <w:t>Earning and Payment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of TRSUs </w:t>
      </w:r>
      <w:r>
        <w:rPr>
          <w:rFonts w:ascii="Times New Roman" w:cs="Times New Roman" w:eastAsia="Times New Roman" w:hAnsi="Times New Roman"/>
          <w:sz w:val="19"/>
          <w:szCs w:val="19"/>
          <w:color w:val="auto"/>
        </w:rPr>
        <w:t>above, subject to the terms of this</w:t>
      </w:r>
      <w:r>
        <w:rPr>
          <w:rFonts w:ascii="Times New Roman" w:cs="Times New Roman" w:eastAsia="Times New Roman" w:hAnsi="Times New Roman"/>
          <w:sz w:val="19"/>
          <w:szCs w:val="19"/>
          <w:b w:val="1"/>
          <w:bCs w:val="1"/>
          <w:color w:val="auto"/>
        </w:rPr>
        <w:t xml:space="preserve"> Accelerated Payment Events for TRSUs</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if a Replacement Award is issued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after the CoC the securities underlying the Replacement Award cease to be publicly traded on an established securities market, the Replacement Award will vest in full immediately before such securities cease to be publicly traded on an established securities market;</w:t>
      </w:r>
    </w:p>
    <w:p>
      <w:pPr>
        <w:spacing w:after="0" w:line="166" w:lineRule="exact"/>
        <w:rPr>
          <w:rFonts w:ascii="Times New Roman" w:cs="Times New Roman" w:eastAsia="Times New Roman" w:hAnsi="Times New Roman"/>
          <w:sz w:val="19"/>
          <w:szCs w:val="19"/>
          <w:color w:val="auto"/>
        </w:rPr>
      </w:pPr>
    </w:p>
    <w:p>
      <w:pPr>
        <w:ind w:left="360" w:right="20" w:hanging="352"/>
        <w:spacing w:after="0" w:line="269" w:lineRule="auto"/>
        <w:tabs>
          <w:tab w:leader="none" w:pos="39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outstanding TRSUs are not assumed or substituted in connection with a CoC for a Replacement Award, all such TRSUs will vest in full upon the CoC;</w:t>
      </w:r>
    </w:p>
    <w:p>
      <w:pPr>
        <w:spacing w:after="0" w:line="159"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9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outstanding TRSUs will vest in full if you have a Qualifying Separation from Service (as defined below) either (i) within 90 days before the date a definitive agreement is executed that results in a CoC within 180 days after the date the definitive agreement is executed or (ii) on or within 180 days after the date a definitive agreement is executed that results in a CoC within 180 days after the date the definitive agreement is executed;</w:t>
      </w:r>
    </w:p>
    <w:p>
      <w:pPr>
        <w:spacing w:after="0" w:line="175" w:lineRule="exact"/>
        <w:rPr>
          <w:rFonts w:ascii="Times New Roman" w:cs="Times New Roman" w:eastAsia="Times New Roman" w:hAnsi="Times New Roman"/>
          <w:sz w:val="20"/>
          <w:szCs w:val="20"/>
          <w:color w:val="auto"/>
        </w:rPr>
      </w:pPr>
    </w:p>
    <w:p>
      <w:pPr>
        <w:jc w:val="both"/>
        <w:ind w:left="360" w:hanging="352"/>
        <w:spacing w:after="0" w:line="247" w:lineRule="auto"/>
        <w:tabs>
          <w:tab w:leader="none" w:pos="39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outstanding TRSUs (other than under any Replacement Award) that are scheduled to vest under </w:t>
      </w:r>
      <w:r>
        <w:rPr>
          <w:rFonts w:ascii="Times New Roman" w:cs="Times New Roman" w:eastAsia="Times New Roman" w:hAnsi="Times New Roman"/>
          <w:sz w:val="20"/>
          <w:szCs w:val="20"/>
          <w:b w:val="1"/>
          <w:bCs w:val="1"/>
          <w:color w:val="auto"/>
        </w:rPr>
        <w:t>Earning and Payment of TRSUs</w:t>
      </w:r>
      <w:r>
        <w:rPr>
          <w:rFonts w:ascii="Times New Roman" w:cs="Times New Roman" w:eastAsia="Times New Roman" w:hAnsi="Times New Roman"/>
          <w:sz w:val="20"/>
          <w:szCs w:val="20"/>
          <w:color w:val="auto"/>
        </w:rPr>
        <w:t xml:space="preserve"> above during the 18-month period after your Separation from Service will vest in full if you have a Qualifying Separation from Service before a CoC, and all remaining TRSUs will remain outstanding and eligible to vest pursuant to (c) immediately above, and if no definitive agreement is entered into within 90 days after such Separation from Service as provided in (c), then all such TRSUs (other than under any Replacement Award) will be immediately forfeited;</w:t>
      </w:r>
    </w:p>
    <w:p>
      <w:pPr>
        <w:spacing w:after="0" w:line="184" w:lineRule="exact"/>
        <w:rPr>
          <w:rFonts w:ascii="Times New Roman" w:cs="Times New Roman" w:eastAsia="Times New Roman" w:hAnsi="Times New Roman"/>
          <w:sz w:val="20"/>
          <w:szCs w:val="20"/>
          <w:color w:val="auto"/>
        </w:rPr>
      </w:pPr>
    </w:p>
    <w:p>
      <w:pPr>
        <w:jc w:val="both"/>
        <w:ind w:left="360" w:hanging="352"/>
        <w:spacing w:after="0" w:line="245" w:lineRule="auto"/>
        <w:tabs>
          <w:tab w:leader="none" w:pos="396"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pro-rata portion of the TRSUs and each Replacement Award, as applicable, will vest upon your Separation from Service due to your Disability or death, calculated by multiplying the number of TRSUs or shares underlying any Replacement Award scheduled to vest on the anniversary of the Grant Date immediately after your Separation from Service by a fraction, the numerator of which is the number of days that have elapsed from the last anniversary of the Grant Date (or if the Separation from Service occurs before the 1st anniversary of the Grant Date, then the number of days that have elapsed from the Grant Date) through your Separation from Service, and the denominator of which will be 365; and</w:t>
      </w:r>
    </w:p>
    <w:p>
      <w:pPr>
        <w:spacing w:after="0" w:line="184" w:lineRule="exact"/>
        <w:rPr>
          <w:rFonts w:ascii="Times New Roman" w:cs="Times New Roman" w:eastAsia="Times New Roman" w:hAnsi="Times New Roman"/>
          <w:sz w:val="20"/>
          <w:szCs w:val="20"/>
          <w:color w:val="auto"/>
        </w:rPr>
      </w:pPr>
    </w:p>
    <w:p>
      <w:pPr>
        <w:ind w:left="400" w:hanging="392"/>
        <w:spacing w:after="0"/>
        <w:tabs>
          <w:tab w:leader="none" w:pos="4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Replacement Awards will vest in full upon your Qualifying Separation from Service.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9" w:name="page100"/>
    <w:bookmarkEnd w:id="99"/>
    <w:p>
      <w:pPr>
        <w:ind w:left="10360"/>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Award</w:t>
      </w:r>
      <w:r>
        <w:rPr>
          <w:rFonts w:ascii="Times New Roman" w:cs="Times New Roman" w:eastAsia="Times New Roman" w:hAnsi="Times New Roman"/>
          <w:sz w:val="20"/>
          <w:szCs w:val="20"/>
          <w:color w:val="auto"/>
        </w:rPr>
        <w:t>” means an award of restricted stock units in respect of common stock that is publicly traded on an established securities market with substantially equivalent terms as the replaced RSUs, including vesting terms and dividend equivalent rights, issued by the surviving or successor company or a parent or subsidiary of such company.</w:t>
      </w:r>
    </w:p>
    <w:p>
      <w:pPr>
        <w:spacing w:after="0" w:line="174" w:lineRule="exact"/>
        <w:rPr>
          <w:sz w:val="20"/>
          <w:szCs w:val="20"/>
          <w:color w:val="auto"/>
        </w:rPr>
      </w:pPr>
    </w:p>
    <w:p>
      <w:pPr>
        <w:ind w:left="120" w:right="50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Qualifying Separation from Service</w:t>
      </w:r>
      <w:r>
        <w:rPr>
          <w:rFonts w:ascii="Times New Roman" w:cs="Times New Roman" w:eastAsia="Times New Roman" w:hAnsi="Times New Roman"/>
          <w:sz w:val="20"/>
          <w:szCs w:val="20"/>
          <w:color w:val="auto"/>
        </w:rPr>
        <w:t>” means a Separation from Service (i) by the Company without Cause (including a notice of non-renewal of your Employment Agreement by the Company) or (ii) by you for Good Reason.</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VESTING RSUs (PRSUs)</w:t>
      </w:r>
    </w:p>
    <w:p>
      <w:pPr>
        <w:spacing w:after="0" w:line="200" w:lineRule="exact"/>
        <w:rPr>
          <w:sz w:val="20"/>
          <w:szCs w:val="20"/>
          <w:color w:val="auto"/>
        </w:rPr>
      </w:pPr>
    </w:p>
    <w:p>
      <w:pPr>
        <w:spacing w:after="0" w:line="232"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b w:val="1"/>
          <w:bCs w:val="1"/>
          <w:color w:val="auto"/>
        </w:rPr>
        <w:t>Earning and Payment of PRSUs:</w:t>
      </w:r>
      <w:r>
        <w:rPr>
          <w:sz w:val="20"/>
          <w:szCs w:val="20"/>
          <w:color w:val="auto"/>
        </w:rPr>
        <w:tab/>
      </w:r>
      <w:r>
        <w:rPr>
          <w:rFonts w:ascii="Times New Roman" w:cs="Times New Roman" w:eastAsia="Times New Roman" w:hAnsi="Times New Roman"/>
          <w:sz w:val="19"/>
          <w:szCs w:val="19"/>
          <w:b w:val="1"/>
          <w:bCs w:val="1"/>
          <w:color w:val="auto"/>
        </w:rPr>
        <w:t>Structure:</w:t>
      </w:r>
    </w:p>
    <w:p>
      <w:pPr>
        <w:spacing w:after="0" w:line="26" w:lineRule="exact"/>
        <w:rPr>
          <w:sz w:val="20"/>
          <w:szCs w:val="20"/>
          <w:color w:val="auto"/>
        </w:rPr>
      </w:pPr>
    </w:p>
    <w:p>
      <w:pPr>
        <w:ind w:left="760" w:hanging="378"/>
        <w:spacing w:after="0" w:line="246"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Performance-based (“PSU”) – vested at the end of three years. If the three year anniversary of the Grant Date falls on a weekend or a holiday, then the PRSUs will become earned and payable on the next following business day.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Metrics for PSU portion:</w:t>
      </w:r>
    </w:p>
    <w:p>
      <w:pPr>
        <w:spacing w:after="0" w:line="26" w:lineRule="exact"/>
        <w:rPr>
          <w:sz w:val="20"/>
          <w:szCs w:val="20"/>
          <w:color w:val="auto"/>
        </w:rPr>
      </w:pPr>
    </w:p>
    <w:p>
      <w:pPr>
        <w:jc w:val="both"/>
        <w:ind w:left="760" w:hanging="378"/>
        <w:spacing w:after="0" w:line="235" w:lineRule="auto"/>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Total Shareholder Return (“TSR”) measured annually with award % earned and banked annually and measured at the end of the three-year period and adjusted upward if appropriate Vesting of the performance shares of restricted unit awards granted as part of the Participant’s compensation is based on the market price performance of the Common Stock or total stock return “(TSR”) at the completion of the time-vesting period. The percentage of performance shares of restricted unit awards that vest is dependent on Common Stock appreciation as compared to a peer group</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as set forth in each unit restriction agreement. If the Company’s stock appreciation as compared to the peer group is between the prescribed threshold and maximum percentages, the restricted unit will partially vest on a pro rata basis. Furthermore, with respect to restricted unit awards granted herein, the vested shares outlined below shall be capped at target if the company TSR for the three-year period is negative.</w:t>
      </w:r>
    </w:p>
    <w:p>
      <w:pPr>
        <w:spacing w:after="0" w:line="200" w:lineRule="exact"/>
        <w:rPr>
          <w:sz w:val="20"/>
          <w:szCs w:val="20"/>
          <w:color w:val="auto"/>
        </w:rPr>
      </w:pPr>
    </w:p>
    <w:p>
      <w:pPr>
        <w:spacing w:after="0" w:line="213" w:lineRule="exact"/>
        <w:rPr>
          <w:sz w:val="20"/>
          <w:szCs w:val="20"/>
          <w:color w:val="auto"/>
        </w:rPr>
      </w:pPr>
    </w:p>
    <w:p>
      <w:pPr>
        <w:ind w:left="3680"/>
        <w:spacing w:after="0"/>
        <w:tabs>
          <w:tab w:leader="none" w:pos="4440" w:val="left"/>
        </w:tabs>
        <w:rPr>
          <w:sz w:val="20"/>
          <w:szCs w:val="20"/>
          <w:color w:val="auto"/>
        </w:rPr>
      </w:pPr>
      <w:r>
        <w:rPr>
          <w:rFonts w:ascii="Times New Roman" w:cs="Times New Roman" w:eastAsia="Times New Roman" w:hAnsi="Times New Roman"/>
          <w:sz w:val="20"/>
          <w:szCs w:val="20"/>
          <w:b w:val="1"/>
          <w:bCs w:val="1"/>
          <w:color w:val="auto"/>
        </w:rPr>
        <w:t>Level</w:t>
        <w:tab/>
        <w:t>Percentile Rank as to Company TSR</w:t>
      </w:r>
    </w:p>
    <w:p>
      <w:pPr>
        <w:spacing w:after="0" w:line="25" w:lineRule="exact"/>
        <w:rPr>
          <w:sz w:val="20"/>
          <w:szCs w:val="20"/>
          <w:color w:val="auto"/>
        </w:rPr>
      </w:pPr>
    </w:p>
    <w:p>
      <w:pPr>
        <w:ind w:left="120"/>
        <w:spacing w:after="0"/>
        <w:tabs>
          <w:tab w:leader="none" w:pos="2080" w:val="left"/>
        </w:tabs>
        <w:rPr>
          <w:sz w:val="20"/>
          <w:szCs w:val="20"/>
          <w:color w:val="auto"/>
        </w:rPr>
      </w:pPr>
      <w:r>
        <w:rPr>
          <w:rFonts w:ascii="Times New Roman" w:cs="Times New Roman" w:eastAsia="Times New Roman" w:hAnsi="Times New Roman"/>
          <w:sz w:val="20"/>
          <w:szCs w:val="20"/>
          <w:b w:val="1"/>
          <w:bCs w:val="1"/>
          <w:color w:val="auto"/>
        </w:rPr>
        <w:t>Versus Relative TSR</w:t>
      </w:r>
      <w:r>
        <w:rPr>
          <w:sz w:val="20"/>
          <w:szCs w:val="20"/>
          <w:color w:val="auto"/>
        </w:rPr>
        <w:tab/>
      </w:r>
      <w:r>
        <w:rPr>
          <w:rFonts w:ascii="Times New Roman" w:cs="Times New Roman" w:eastAsia="Times New Roman" w:hAnsi="Times New Roman"/>
          <w:sz w:val="19"/>
          <w:szCs w:val="19"/>
          <w:b w:val="1"/>
          <w:bCs w:val="1"/>
          <w:color w:val="auto"/>
        </w:rPr>
        <w:t>Percentage of Shares Vesting</w:t>
      </w:r>
    </w:p>
    <w:p>
      <w:pPr>
        <w:ind w:left="120"/>
        <w:spacing w:after="0"/>
        <w:tabs>
          <w:tab w:leader="none" w:pos="1300" w:val="left"/>
          <w:tab w:leader="none" w:pos="3280" w:val="left"/>
        </w:tabs>
        <w:rPr>
          <w:sz w:val="20"/>
          <w:szCs w:val="20"/>
          <w:color w:val="auto"/>
        </w:rPr>
      </w:pPr>
      <w:r>
        <w:rPr>
          <w:rFonts w:ascii="Times New Roman" w:cs="Times New Roman" w:eastAsia="Times New Roman" w:hAnsi="Times New Roman"/>
          <w:sz w:val="20"/>
          <w:szCs w:val="20"/>
          <w:color w:val="auto"/>
        </w:rPr>
        <w:t>Maximum</w:t>
      </w:r>
      <w:r>
        <w:rPr>
          <w:sz w:val="20"/>
          <w:szCs w:val="20"/>
          <w:color w:val="auto"/>
        </w:rPr>
        <w:tab/>
      </w:r>
      <w:r>
        <w:rPr>
          <w:rFonts w:ascii="Times New Roman" w:cs="Times New Roman" w:eastAsia="Times New Roman" w:hAnsi="Times New Roman"/>
          <w:sz w:val="20"/>
          <w:szCs w:val="20"/>
          <w:color w:val="auto"/>
        </w:rPr>
        <w:t>Above 75th Percentile</w:t>
      </w:r>
      <w:r>
        <w:rPr>
          <w:sz w:val="20"/>
          <w:szCs w:val="20"/>
          <w:color w:val="auto"/>
        </w:rPr>
        <w:tab/>
      </w:r>
      <w:r>
        <w:rPr>
          <w:rFonts w:ascii="Times New Roman" w:cs="Times New Roman" w:eastAsia="Times New Roman" w:hAnsi="Times New Roman"/>
          <w:sz w:val="19"/>
          <w:szCs w:val="19"/>
          <w:color w:val="auto"/>
        </w:rPr>
        <w:t>200%</w:t>
      </w:r>
    </w:p>
    <w:p>
      <w:pPr>
        <w:ind w:left="120"/>
        <w:spacing w:after="0"/>
        <w:tabs>
          <w:tab w:leader="none" w:pos="900" w:val="left"/>
          <w:tab w:leader="none" w:pos="2480" w:val="left"/>
        </w:tabs>
        <w:rPr>
          <w:sz w:val="20"/>
          <w:szCs w:val="20"/>
          <w:color w:val="auto"/>
        </w:rPr>
      </w:pPr>
      <w:r>
        <w:rPr>
          <w:rFonts w:ascii="Times New Roman" w:cs="Times New Roman" w:eastAsia="Times New Roman" w:hAnsi="Times New Roman"/>
          <w:sz w:val="20"/>
          <w:szCs w:val="20"/>
          <w:color w:val="auto"/>
        </w:rPr>
        <w:t>Target</w:t>
        <w:tab/>
        <w:t>50th Percentile</w:t>
      </w:r>
      <w:r>
        <w:rPr>
          <w:sz w:val="20"/>
          <w:szCs w:val="20"/>
          <w:color w:val="auto"/>
        </w:rPr>
        <w:tab/>
      </w:r>
      <w:r>
        <w:rPr>
          <w:rFonts w:ascii="Times New Roman" w:cs="Times New Roman" w:eastAsia="Times New Roman" w:hAnsi="Times New Roman"/>
          <w:sz w:val="19"/>
          <w:szCs w:val="19"/>
          <w:color w:val="auto"/>
        </w:rPr>
        <w:t>100%</w:t>
      </w:r>
    </w:p>
    <w:p>
      <w:pPr>
        <w:ind w:left="120"/>
        <w:spacing w:after="0"/>
        <w:tabs>
          <w:tab w:leader="none" w:pos="1300" w:val="left"/>
          <w:tab w:leader="none" w:pos="2880" w:val="left"/>
        </w:tabs>
        <w:rPr>
          <w:sz w:val="20"/>
          <w:szCs w:val="20"/>
          <w:color w:val="auto"/>
        </w:rPr>
      </w:pPr>
      <w:r>
        <w:rPr>
          <w:rFonts w:ascii="Times New Roman" w:cs="Times New Roman" w:eastAsia="Times New Roman" w:hAnsi="Times New Roman"/>
          <w:sz w:val="20"/>
          <w:szCs w:val="20"/>
          <w:color w:val="auto"/>
        </w:rPr>
        <w:t>Threshold</w:t>
      </w:r>
      <w:r>
        <w:rPr>
          <w:sz w:val="20"/>
          <w:szCs w:val="20"/>
          <w:color w:val="auto"/>
        </w:rPr>
        <w:tab/>
      </w:r>
      <w:r>
        <w:rPr>
          <w:rFonts w:ascii="Times New Roman" w:cs="Times New Roman" w:eastAsia="Times New Roman" w:hAnsi="Times New Roman"/>
          <w:sz w:val="20"/>
          <w:szCs w:val="20"/>
          <w:color w:val="auto"/>
        </w:rPr>
        <w:t>25th Percentile</w:t>
      </w:r>
      <w:r>
        <w:rPr>
          <w:sz w:val="20"/>
          <w:szCs w:val="20"/>
          <w:color w:val="auto"/>
        </w:rPr>
        <w:tab/>
      </w:r>
      <w:r>
        <w:rPr>
          <w:rFonts w:ascii="Times New Roman" w:cs="Times New Roman" w:eastAsia="Times New Roman" w:hAnsi="Times New Roman"/>
          <w:sz w:val="19"/>
          <w:szCs w:val="19"/>
          <w:color w:val="auto"/>
        </w:rPr>
        <w:t>50%</w:t>
      </w:r>
    </w:p>
    <w:tbl>
      <w:tblPr>
        <w:tblLayout w:type="fixed"/>
        <w:tblInd w:w="120" w:type="dxa"/>
        <w:tblCellMar>
          <w:top w:w="0" w:type="dxa"/>
          <w:left w:w="0" w:type="dxa"/>
          <w:bottom w:w="0" w:type="dxa"/>
          <w:right w:w="0" w:type="dxa"/>
        </w:tblCellMar>
      </w:tblPr>
      <w:tr>
        <w:trPr>
          <w:trHeight w:val="258"/>
        </w:trPr>
        <w:tc>
          <w:tcPr>
            <w:tcW w:w="3800" w:type="dxa"/>
            <w:vAlign w:val="bottom"/>
          </w:tcPr>
          <w:p>
            <w:pPr>
              <w:spacing w:after="0"/>
              <w:rPr>
                <w:sz w:val="20"/>
                <w:szCs w:val="20"/>
                <w:color w:val="auto"/>
              </w:rPr>
            </w:pPr>
            <w:r>
              <w:rPr>
                <w:rFonts w:ascii="Times New Roman" w:cs="Times New Roman" w:eastAsia="Times New Roman" w:hAnsi="Times New Roman"/>
                <w:sz w:val="20"/>
                <w:szCs w:val="20"/>
                <w:color w:val="auto"/>
              </w:rPr>
              <w:t>Below Threshold  Below the 25th Percentile</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r>
    </w:tbl>
    <w:p>
      <w:pPr>
        <w:spacing w:after="0" w:line="186" w:lineRule="exact"/>
        <w:rPr>
          <w:sz w:val="20"/>
          <w:szCs w:val="20"/>
          <w:color w:val="auto"/>
        </w:rPr>
      </w:pPr>
    </w:p>
    <w:p>
      <w:pPr>
        <w:ind w:firstLine="8"/>
        <w:spacing w:after="0" w:line="301" w:lineRule="auto"/>
        <w:tabs>
          <w:tab w:leader="none" w:pos="235" w:val="left"/>
        </w:tabs>
        <w:numPr>
          <w:ilvl w:val="0"/>
          <w:numId w:val="5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TSR performance metric the LSB peer group includes AdvanSix, American Vanguard, The Andersons, CF, Chemtrade Logistics, Compass Minerals, CVR, Ecovyst, ICL Group, Intrepid Potash, Methanex, Mosaic, Nutrien, OCI, and Yara.</w:t>
      </w:r>
    </w:p>
    <w:p>
      <w:pPr>
        <w:spacing w:after="0" w:line="13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Accelerated Payment Events for PRSUs: </w:t>
      </w:r>
      <w:r>
        <w:rPr>
          <w:rFonts w:ascii="Times New Roman" w:cs="Times New Roman" w:eastAsia="Times New Roman" w:hAnsi="Times New Roman"/>
          <w:sz w:val="20"/>
          <w:szCs w:val="20"/>
          <w:color w:val="auto"/>
        </w:rPr>
        <w:t>As long as (i) you do not incur a Separation from Service until immediately before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occurrence of any of the events listed below and (ii) you hold PRSUs at such time:</w:t>
      </w:r>
    </w:p>
    <w:p>
      <w:pPr>
        <w:spacing w:after="0" w:line="156" w:lineRule="exact"/>
        <w:rPr>
          <w:sz w:val="20"/>
          <w:szCs w:val="20"/>
          <w:color w:val="auto"/>
        </w:rPr>
      </w:pPr>
    </w:p>
    <w:p>
      <w:pPr>
        <w:jc w:val="both"/>
        <w:ind w:left="360" w:hanging="352"/>
        <w:spacing w:after="0" w:line="245" w:lineRule="auto"/>
        <w:tabs>
          <w:tab w:leader="none" w:pos="39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CoC occurs before the end of the Performance Period, then the portion of the Target PRSUs that is earned under this Agreement will be determined by the Committee immediately before the CoC and will equal the greater of (x) the number of Target PRSUs and (y) the portion of the Target PRSUs that is earned under this Agreement based on actual performance, as determined by the Committee before the CoC by (1) shortening the Performance Period to end on the date of the CoC, (2) adjusting the applicable performance goals set forth immediately above as appropriate based on the shortened Performance Period, and (3) determining the level of achievement of such goals based on such shortened Performance Period ((x) or (y), as applicable, the “</w:t>
      </w:r>
      <w:r>
        <w:rPr>
          <w:rFonts w:ascii="Times New Roman" w:cs="Times New Roman" w:eastAsia="Times New Roman" w:hAnsi="Times New Roman"/>
          <w:sz w:val="20"/>
          <w:szCs w:val="20"/>
          <w:u w:val="single" w:color="auto"/>
          <w:color w:val="auto"/>
        </w:rPr>
        <w:t>CoC PRSUs</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360" w:hanging="352"/>
        <w:spacing w:after="0" w:line="246" w:lineRule="auto"/>
        <w:tabs>
          <w:tab w:leader="none" w:pos="39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 CoC, the CoC PRSUs may be assumed or substituted pursuant to </w:t>
      </w:r>
      <w:r>
        <w:rPr>
          <w:rFonts w:ascii="Times New Roman" w:cs="Times New Roman" w:eastAsia="Times New Roman" w:hAnsi="Times New Roman"/>
          <w:sz w:val="20"/>
          <w:szCs w:val="20"/>
          <w:u w:val="single" w:color="auto"/>
          <w:color w:val="auto"/>
        </w:rPr>
        <w:t>Section 8(f)(v)(x) of the Plan</w:t>
      </w:r>
      <w:r>
        <w:rPr>
          <w:rFonts w:ascii="Times New Roman" w:cs="Times New Roman" w:eastAsia="Times New Roman" w:hAnsi="Times New Roman"/>
          <w:sz w:val="20"/>
          <w:szCs w:val="20"/>
          <w:color w:val="auto"/>
        </w:rPr>
        <w:t xml:space="preserve"> for a Replacement Award,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Replacement Award will vest solely based on your continued service with the Company and its Subsidiaries through the last day of the original Performance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a Replacement Award is issued and after the CoC the equity securities underlying the Replacement Award cease to be publicly traded on an established securities market, the Replacement Award will vest in full immediately prior to such equity securities ceasing to be publicly traded on an established securities market;</w:t>
      </w:r>
    </w:p>
    <w:p>
      <w:pPr>
        <w:spacing w:after="0" w:line="184" w:lineRule="exact"/>
        <w:rPr>
          <w:rFonts w:ascii="Times New Roman" w:cs="Times New Roman" w:eastAsia="Times New Roman" w:hAnsi="Times New Roman"/>
          <w:sz w:val="20"/>
          <w:szCs w:val="20"/>
          <w:color w:val="auto"/>
        </w:rPr>
      </w:pPr>
    </w:p>
    <w:p>
      <w:pPr>
        <w:jc w:val="both"/>
        <w:ind w:left="360" w:hanging="352"/>
        <w:spacing w:after="0" w:line="254" w:lineRule="auto"/>
        <w:tabs>
          <w:tab w:leader="none" w:pos="39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CoC PRSUs are not assumed or substituted in connection with a CoC with a Replacement Award, the CoC PRSUs will vest in full upon a CoC such that you may participate as a Stockholder in such CoC or, if determined by the Committee, the value of such CoC PRSUs may be paid to you in cash;</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13" w:lineRule="exact"/>
        <w:rPr>
          <w:sz w:val="20"/>
          <w:szCs w:val="20"/>
          <w:color w:val="auto"/>
        </w:rPr>
      </w:pPr>
    </w:p>
    <w:p>
      <w:pPr>
        <w:ind w:left="400" w:hanging="392"/>
        <w:spacing w:after="0"/>
        <w:tabs>
          <w:tab w:leader="none" w:pos="40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Replacement Awards will vest in full upon your Qualifying Separation from Service;</w:t>
      </w:r>
    </w:p>
    <w:p>
      <w:pPr>
        <w:spacing w:after="0" w:line="215" w:lineRule="exact"/>
        <w:rPr>
          <w:rFonts w:ascii="Times New Roman" w:cs="Times New Roman" w:eastAsia="Times New Roman" w:hAnsi="Times New Roman"/>
          <w:sz w:val="20"/>
          <w:szCs w:val="20"/>
          <w:color w:val="auto"/>
        </w:rPr>
      </w:pPr>
    </w:p>
    <w:p>
      <w:pPr>
        <w:jc w:val="both"/>
        <w:ind w:left="360" w:hanging="352"/>
        <w:spacing w:after="0" w:line="249" w:lineRule="auto"/>
        <w:tabs>
          <w:tab w:leader="none" w:pos="3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CoC PRSUs will vest in full if you have a Qualifying Separation from Service either (i) within 90 days before the date a definitive agreement is executed that results in a CoC within 180 days after the date such definitive agreement is executed or (ii) on or within 180 days after the date a definitive agreement is executed that results in a CoC within 180 days after the date such definitive agreement is executed, and the value of such CoC PRSUs may be paid to you in cash;</w:t>
      </w:r>
    </w:p>
    <w:p>
      <w:pPr>
        <w:spacing w:after="0" w:line="179" w:lineRule="exact"/>
        <w:rPr>
          <w:rFonts w:ascii="Times New Roman" w:cs="Times New Roman" w:eastAsia="Times New Roman" w:hAnsi="Times New Roman"/>
          <w:sz w:val="20"/>
          <w:szCs w:val="20"/>
          <w:color w:val="auto"/>
        </w:rPr>
      </w:pPr>
    </w:p>
    <w:p>
      <w:pPr>
        <w:jc w:val="both"/>
        <w:ind w:left="360" w:hanging="352"/>
        <w:spacing w:after="0" w:line="256" w:lineRule="auto"/>
        <w:tabs>
          <w:tab w:leader="none" w:pos="396"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you incur a Separation from Service due to your Disability or death before a CoC, at the end of the Performance Period (or the date of the consummation of a CoC, if earlier, where there is no Replacement Award), you will vest in a pro-rata portion of the Target PRSUs based on actual performance, as determined by the Committee at the end of the Performance Period (or the date of the consummation of a CoC, if earlier) based on the level of achievement of the applicable performance measures for the Performance Period, as adjusted pursuant to clause (a) of this </w:t>
      </w:r>
      <w:r>
        <w:rPr>
          <w:rFonts w:ascii="Times New Roman" w:cs="Times New Roman" w:eastAsia="Times New Roman" w:hAnsi="Times New Roman"/>
          <w:sz w:val="19"/>
          <w:szCs w:val="19"/>
          <w:b w:val="1"/>
          <w:bCs w:val="1"/>
          <w:color w:val="auto"/>
        </w:rPr>
        <w:t>Accelerated Payment Events for PRSUs</w:t>
      </w:r>
      <w:r>
        <w:rPr>
          <w:rFonts w:ascii="Times New Roman" w:cs="Times New Roman" w:eastAsia="Times New Roman" w:hAnsi="Times New Roman"/>
          <w:sz w:val="19"/>
          <w:szCs w:val="19"/>
          <w:color w:val="auto"/>
        </w:rPr>
        <w:t xml:space="preserve">, with such pro-rata portion calculated by multiplying the number of Target PRSUs that is earned under this Agreement, if any, by a fraction, the numerator of which is the number of days that have elapsed from the beginning of the Performance Period through your Separation from Service and the denominator of which will be the total number of days in the Performance Period (or, if a CoC occurs before the end of the Performance Period and there is no Replacement Award, the total number of days from the beginning of the Performance Period through the date of the CoC);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there is earlier vesting upon a CoC where there is no Replacement Award, the value of the vested PRSUs may be paid to you in cash;</w:t>
      </w:r>
    </w:p>
    <w:p>
      <w:pPr>
        <w:spacing w:after="0" w:line="180" w:lineRule="exact"/>
        <w:rPr>
          <w:rFonts w:ascii="Times New Roman" w:cs="Times New Roman" w:eastAsia="Times New Roman" w:hAnsi="Times New Roman"/>
          <w:sz w:val="19"/>
          <w:szCs w:val="19"/>
          <w:color w:val="auto"/>
        </w:rPr>
      </w:pPr>
    </w:p>
    <w:p>
      <w:pPr>
        <w:jc w:val="both"/>
        <w:ind w:left="360" w:hanging="352"/>
        <w:spacing w:after="0" w:line="246" w:lineRule="auto"/>
        <w:tabs>
          <w:tab w:leader="none" w:pos="3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pro-rata portion of any Replacement Award will vest upon the your Separation from Service due to your Disability or death at the end of the Performance Period (or, if earlier, upon a subsequent CoC), with such pro-rata portion calculated by multiplying the number of shares covered by the Replacement Award by a fraction, the numerator of which is the number of days that have elapsed from the beginning of the Performance Period through your Separation from Service and the denominator of which is the total number of days in the Performance Period; and</w:t>
      </w:r>
    </w:p>
    <w:p>
      <w:pPr>
        <w:spacing w:after="0" w:line="184" w:lineRule="exact"/>
        <w:rPr>
          <w:rFonts w:ascii="Times New Roman" w:cs="Times New Roman" w:eastAsia="Times New Roman" w:hAnsi="Times New Roman"/>
          <w:sz w:val="20"/>
          <w:szCs w:val="20"/>
          <w:color w:val="auto"/>
        </w:rPr>
      </w:pPr>
    </w:p>
    <w:p>
      <w:pPr>
        <w:ind w:left="360" w:right="80" w:hanging="352"/>
        <w:spacing w:after="0" w:line="242" w:lineRule="auto"/>
        <w:tabs>
          <w:tab w:leader="none" w:pos="396"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before a CoC, you incur a Qualifying Separation from Service, you will vest at the end of the Performance Period (or the date of a CoC, if earlier, where there is no Replacement Award) in a pro-rata portion of the Target PRSUs, with such pro-rata portion calculated by multiplying (i) the number of Target PRSUs that is earned under this Agreement, if any, based on actual performance, determined at the end of the Performance Period (or the date of the CoC, if earlier) based on the level of achievement of the applicable performance measures for the Performance Period, as adjusted pursuant to clause (a) of this </w:t>
      </w:r>
      <w:r>
        <w:rPr>
          <w:rFonts w:ascii="Times New Roman" w:cs="Times New Roman" w:eastAsia="Times New Roman" w:hAnsi="Times New Roman"/>
          <w:sz w:val="20"/>
          <w:szCs w:val="20"/>
          <w:b w:val="1"/>
          <w:bCs w:val="1"/>
          <w:color w:val="auto"/>
        </w:rPr>
        <w:t>Accelerated Payment Events for PRSUs</w:t>
      </w:r>
      <w:r>
        <w:rPr>
          <w:rFonts w:ascii="Times New Roman" w:cs="Times New Roman" w:eastAsia="Times New Roman" w:hAnsi="Times New Roman"/>
          <w:sz w:val="20"/>
          <w:szCs w:val="20"/>
          <w:color w:val="auto"/>
        </w:rPr>
        <w:t xml:space="preserve">, by (ii) a fraction, the numerator of which is the number of days that have elapsed from the beginning of the Performance Period through your Qualifying Separation from Service and the denominator of which is the total number of days in the Performance Period (or, if a CoC occurs before the end of the Performance Period and there is no Replacement Award, the total number of days from the beginning of the Performance Period through the date of the CoC);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there is earlier vesting upon a CoC where there is no Replacement Award, the value of the vested PRSUs may be paid to you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LSB INDUSTRIES,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2016 LONG TERM INCENTIVE PLAN</w:t>
      </w: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and Restated March 4, 2021)</w:t>
      </w:r>
    </w:p>
    <w:p>
      <w:pPr>
        <w:spacing w:after="0" w:line="200" w:lineRule="exact"/>
        <w:rPr>
          <w:sz w:val="20"/>
          <w:szCs w:val="20"/>
          <w:color w:val="auto"/>
        </w:rPr>
      </w:pPr>
    </w:p>
    <w:p>
      <w:pPr>
        <w:spacing w:after="0" w:line="206" w:lineRule="exact"/>
        <w:rPr>
          <w:sz w:val="20"/>
          <w:szCs w:val="20"/>
          <w:color w:val="auto"/>
        </w:rPr>
      </w:pPr>
    </w:p>
    <w:p>
      <w:pPr>
        <w:jc w:val="both"/>
        <w:ind w:left="760" w:hanging="752"/>
        <w:spacing w:after="0" w:line="242" w:lineRule="auto"/>
        <w:tabs>
          <w:tab w:leader="none" w:pos="7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Purpose</w:t>
      </w:r>
      <w:r>
        <w:rPr>
          <w:rFonts w:ascii="Times New Roman" w:cs="Times New Roman" w:eastAsia="Times New Roman" w:hAnsi="Times New Roman"/>
          <w:sz w:val="20"/>
          <w:szCs w:val="20"/>
          <w:color w:val="auto"/>
        </w:rPr>
        <w:t>. The purpose of the LSB Industries, Inc. 2016 Long Term Incentive Plan (as amended and restated March 4, 2021,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to provide a means through which LSB Industries,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its Subsidiaries may attract and retain able persons as employees, directors and consultants and to provide a means whereby those persons upon whom the responsibilities of the successful administration and management of the Company and its Subsidiaries rest, and whose present and potential contributions to the welfare of the Company and its Subsidiaries are of importance, can acquire and maintain stock ownership, or awards the value of which is tied to the performance of the Company, thereby strengthening their concern for the welfare of the Company and its Subsidiaries and their desire to remain employed. A further purpose of the Plan is to provide such employees, directors and consultants with additional incentive and reward opportunities designed to enhance the profitable growth of the Company. Accordingly, the Plan primarily provides for the granting of Incentive Stock Options, Nonstatutory Stock Options, Restricted Stock Awards, Restricted Stock Units, Stock Appreciation Rights, Stock Awards, Dividend Equivalents, Other Stock-Based Awards, Cash Awards, Performance Awards, or any combination of the foregoing, as is best suited to the circumstances of the particular individual as provided herein.</w:t>
      </w:r>
    </w:p>
    <w:p>
      <w:pPr>
        <w:spacing w:after="0" w:line="187"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For purposes of the Plan, the following terms shall be defined as set forth below:</w:t>
      </w:r>
    </w:p>
    <w:p>
      <w:pPr>
        <w:spacing w:after="0" w:line="215" w:lineRule="exact"/>
        <w:rPr>
          <w:rFonts w:ascii="Times New Roman" w:cs="Times New Roman" w:eastAsia="Times New Roman" w:hAnsi="Times New Roman"/>
          <w:sz w:val="20"/>
          <w:szCs w:val="20"/>
          <w:color w:val="auto"/>
        </w:rPr>
      </w:pPr>
    </w:p>
    <w:p>
      <w:pPr>
        <w:jc w:val="both"/>
        <w:ind w:left="1500" w:hanging="743"/>
        <w:spacing w:after="0" w:line="260" w:lineRule="auto"/>
        <w:tabs>
          <w:tab w:leader="none" w:pos="1500"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Affiliate</w:t>
      </w:r>
      <w:r>
        <w:rPr>
          <w:rFonts w:ascii="Times New Roman" w:cs="Times New Roman" w:eastAsia="Times New Roman" w:hAnsi="Times New Roman"/>
          <w:sz w:val="19"/>
          <w:szCs w:val="19"/>
          <w:color w:val="auto"/>
        </w:rPr>
        <w:t>” means any corporation, partnership, limited liability company, limited liability partnership, association, trust or other organization which,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of the controlled entity or organization, or (ii) to direct or cause the direction of the management and policies of the controlled entity or organization, whether through the ownership of voting securities, by contract, or otherwise.</w:t>
      </w:r>
    </w:p>
    <w:p>
      <w:pPr>
        <w:spacing w:after="0" w:line="165" w:lineRule="exact"/>
        <w:rPr>
          <w:rFonts w:ascii="Times New Roman" w:cs="Times New Roman" w:eastAsia="Times New Roman" w:hAnsi="Times New Roman"/>
          <w:sz w:val="19"/>
          <w:szCs w:val="19"/>
          <w:color w:val="auto"/>
        </w:rPr>
      </w:pPr>
    </w:p>
    <w:p>
      <w:pPr>
        <w:jc w:val="both"/>
        <w:ind w:left="1500" w:hanging="743"/>
        <w:spacing w:after="0" w:line="256" w:lineRule="auto"/>
        <w:tabs>
          <w:tab w:leader="none" w:pos="15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any Option, SAR, Restricted Stock Award, Restricted Stock Unit, Stock Award, Dividend Equivalent, Other Stock-Based Award, Cash Award, Performance Award or Substitute Award, together with any other right or interest granted to a Participant under the Plan.</w:t>
      </w:r>
    </w:p>
    <w:p>
      <w:pPr>
        <w:spacing w:after="0" w:line="168" w:lineRule="exact"/>
        <w:rPr>
          <w:rFonts w:ascii="Times New Roman" w:cs="Times New Roman" w:eastAsia="Times New Roman" w:hAnsi="Times New Roman"/>
          <w:sz w:val="20"/>
          <w:szCs w:val="20"/>
          <w:color w:val="auto"/>
        </w:rPr>
      </w:pPr>
    </w:p>
    <w:p>
      <w:pPr>
        <w:jc w:val="both"/>
        <w:ind w:left="1500" w:hanging="743"/>
        <w:spacing w:after="0" w:line="256" w:lineRule="auto"/>
        <w:tabs>
          <w:tab w:leader="none" w:pos="15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any written instrument that establishes the terms, conditions, restrictions and/or limitations applicable to an Award in addition to those established by the Plan and by the Committee’s exercise of its administrative powers.</w:t>
      </w:r>
    </w:p>
    <w:p>
      <w:pPr>
        <w:spacing w:after="0" w:line="168"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Award</w:t>
      </w:r>
      <w:r>
        <w:rPr>
          <w:rFonts w:ascii="Times New Roman" w:cs="Times New Roman" w:eastAsia="Times New Roman" w:hAnsi="Times New Roman"/>
          <w:sz w:val="20"/>
          <w:szCs w:val="20"/>
          <w:color w:val="auto"/>
        </w:rPr>
        <w:t xml:space="preserve">” means an Award denominated in cash granted under </w:t>
      </w:r>
      <w:r>
        <w:rPr>
          <w:rFonts w:ascii="Times New Roman" w:cs="Times New Roman" w:eastAsia="Times New Roman" w:hAnsi="Times New Roman"/>
          <w:sz w:val="20"/>
          <w:szCs w:val="20"/>
          <w:u w:val="single" w:color="auto"/>
          <w:color w:val="auto"/>
        </w:rPr>
        <w:t>Section 6(i)</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of Control</w:t>
      </w:r>
      <w:r>
        <w:rPr>
          <w:rFonts w:ascii="Times New Roman" w:cs="Times New Roman" w:eastAsia="Times New Roman" w:hAnsi="Times New Roman"/>
          <w:sz w:val="20"/>
          <w:szCs w:val="20"/>
          <w:color w:val="auto"/>
        </w:rPr>
        <w:t>” means the occurrence of any of the following events:</w:t>
      </w:r>
    </w:p>
    <w:p>
      <w:pPr>
        <w:spacing w:after="0" w:line="219" w:lineRule="exact"/>
        <w:rPr>
          <w:rFonts w:ascii="Times New Roman" w:cs="Times New Roman" w:eastAsia="Times New Roman" w:hAnsi="Times New Roman"/>
          <w:sz w:val="20"/>
          <w:szCs w:val="20"/>
          <w:color w:val="auto"/>
        </w:rPr>
      </w:pPr>
    </w:p>
    <w:p>
      <w:pPr>
        <w:jc w:val="both"/>
        <w:ind w:left="2260" w:hanging="755"/>
        <w:spacing w:after="0" w:line="249" w:lineRule="auto"/>
        <w:tabs>
          <w:tab w:leader="none" w:pos="2260" w:val="left"/>
        </w:tabs>
        <w:numPr>
          <w:ilvl w:val="2"/>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ownership of the Company,” which shall occur on the date that any one Person, or more than one Person acting as a group, acquires ownership of stock in the Company that, together with stock held by such person or group, constitutes more than 50% of the total fair market value or total voting power of the stock of the Company;</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1503"/>
        <w:spacing w:after="0" w:line="242"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any one Person or more than one Person acting as a group is considered to own more than 50% of the total fair market value or total voting power of the stock of the Company, the acquisition of additional stock by the same Person or Persons shall not be considered a “change in the ownership of the Company” (or to cause a “change in the effective control of the Company” within the meaning of </w:t>
      </w:r>
      <w:r>
        <w:rPr>
          <w:rFonts w:ascii="Times New Roman" w:cs="Times New Roman" w:eastAsia="Times New Roman" w:hAnsi="Times New Roman"/>
          <w:sz w:val="20"/>
          <w:szCs w:val="20"/>
          <w:u w:val="single" w:color="auto"/>
          <w:color w:val="auto"/>
        </w:rPr>
        <w:t>Section 2(f)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an increase of the effective percentage of stock owned by any one Person, or Persons acting as a group, as a result of a transaction in which the Company acquires its stock in exchange for property shall be treated as an acquisition of stock for purposes of this paragraph;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Section 2(f)(i)</w:t>
      </w:r>
      <w:r>
        <w:rPr>
          <w:rFonts w:ascii="Times New Roman" w:cs="Times New Roman" w:eastAsia="Times New Roman" w:hAnsi="Times New Roman"/>
          <w:sz w:val="20"/>
          <w:szCs w:val="20"/>
          <w:color w:val="auto"/>
        </w:rPr>
        <w:t xml:space="preserve">, any acquisition by any employee benefit plan (or related trust) sponsored or maintained by the Company or any entity controlled by the Company shall not constitute a Change of Control. This </w:t>
      </w:r>
      <w:r>
        <w:rPr>
          <w:rFonts w:ascii="Times New Roman" w:cs="Times New Roman" w:eastAsia="Times New Roman" w:hAnsi="Times New Roman"/>
          <w:sz w:val="20"/>
          <w:szCs w:val="20"/>
          <w:u w:val="single" w:color="auto"/>
          <w:color w:val="auto"/>
        </w:rPr>
        <w:t>Section 2(f)(i)</w:t>
      </w:r>
      <w:r>
        <w:rPr>
          <w:rFonts w:ascii="Times New Roman" w:cs="Times New Roman" w:eastAsia="Times New Roman" w:hAnsi="Times New Roman"/>
          <w:sz w:val="20"/>
          <w:szCs w:val="20"/>
          <w:color w:val="auto"/>
        </w:rPr>
        <w:t xml:space="preserve"> shall apply only when there is a transfer of the stock of the Company (or issuance of stock) and stock in the Company remains outstanding after the transaction.</w:t>
      </w:r>
    </w:p>
    <w:p>
      <w:pPr>
        <w:spacing w:after="0" w:line="190" w:lineRule="exact"/>
        <w:rPr>
          <w:sz w:val="20"/>
          <w:szCs w:val="20"/>
          <w:color w:val="auto"/>
        </w:rPr>
      </w:pPr>
    </w:p>
    <w:p>
      <w:pPr>
        <w:jc w:val="both"/>
        <w:ind w:left="1503" w:hanging="755"/>
        <w:spacing w:after="0" w:line="242" w:lineRule="auto"/>
        <w:tabs>
          <w:tab w:leader="none" w:pos="150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“change in the effective control of the Company,” which shall occur on the date that either (A) any one Person, or more than one Person acting as a group, acquires (or has acquired during the 12-month period ending on the date of the most recent acquisition by such Person or Persons) ownership of stock of the Company possessing 30% or more of the total voting power of the stock of the Company, except for any acquisition by any employee benefit plan (or related trust) sponsored or maintained by the Company or any entity controlled by the Company; or (B) a majority of the members of the Board are replaced during any 12-month period by directors whose appointment or election is not endorsed by a majority of the members of the Board prior to the date of the appointment or election. For purposes of a “change in the effective control of the Company,” if any one Person, or more than one Person acting as a group, is considered to effectively control the Company within the meaning of this </w:t>
      </w:r>
      <w:r>
        <w:rPr>
          <w:rFonts w:ascii="Times New Roman" w:cs="Times New Roman" w:eastAsia="Times New Roman" w:hAnsi="Times New Roman"/>
          <w:sz w:val="20"/>
          <w:szCs w:val="20"/>
          <w:u w:val="single" w:color="auto"/>
          <w:color w:val="auto"/>
        </w:rPr>
        <w:t>Section 2(f)(ii)</w:t>
      </w:r>
      <w:r>
        <w:rPr>
          <w:rFonts w:ascii="Times New Roman" w:cs="Times New Roman" w:eastAsia="Times New Roman" w:hAnsi="Times New Roman"/>
          <w:sz w:val="20"/>
          <w:szCs w:val="20"/>
          <w:color w:val="auto"/>
        </w:rPr>
        <w:t xml:space="preserve">, the acquisition of additional control of the Company by the same Person or Persons shall not be a “change in the effective control of the Company” or cause a “change in the ownership of the Company” within the meaning of </w:t>
      </w:r>
      <w:r>
        <w:rPr>
          <w:rFonts w:ascii="Times New Roman" w:cs="Times New Roman" w:eastAsia="Times New Roman" w:hAnsi="Times New Roman"/>
          <w:sz w:val="20"/>
          <w:szCs w:val="20"/>
          <w:u w:val="single" w:color="auto"/>
          <w:color w:val="auto"/>
        </w:rPr>
        <w:t>Section 2(f)(i)</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left="1503" w:hanging="755"/>
        <w:spacing w:after="0" w:line="243" w:lineRule="auto"/>
        <w:tabs>
          <w:tab w:leader="none" w:pos="150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the ownership of a substantial portion of the Company’s assets,” which shall occur on the date that any one Person, or more than one Person acting as a group, acquires (or has acquired during the 12-month period ending on the date of the most recent acquisition by such Person or Persons) assets of the Company that have a total gross fair market value equal to or more than 40% of the total gross fair market value of all the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 Any transfer of assets to an entity that is controlled by the Stockholders immediately after the transfer, as provided under Section 409A, shall not constitute a Change of Control.</w:t>
      </w:r>
    </w:p>
    <w:p>
      <w:pPr>
        <w:spacing w:after="0" w:line="186" w:lineRule="exact"/>
        <w:rPr>
          <w:sz w:val="20"/>
          <w:szCs w:val="20"/>
          <w:color w:val="auto"/>
        </w:rPr>
      </w:pPr>
    </w:p>
    <w:p>
      <w:pPr>
        <w:jc w:val="both"/>
        <w:ind w:left="743"/>
        <w:spacing w:after="0" w:line="244"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2(f)</w:t>
      </w:r>
      <w:r>
        <w:rPr>
          <w:rFonts w:ascii="Times New Roman" w:cs="Times New Roman" w:eastAsia="Times New Roman" w:hAnsi="Times New Roman"/>
          <w:sz w:val="20"/>
          <w:szCs w:val="20"/>
          <w:color w:val="auto"/>
        </w:rPr>
        <w:t xml:space="preserve">, the provisions of section 318(a) of the Code regarding the constructive ownership of stock shall apply to determine stock ownership;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stock underlying unvested options (including options exercisable for stock that is not substantially vested) shall not be treated as owned by the individual who holds the option. In addition, for purposes of this </w:t>
      </w:r>
      <w:r>
        <w:rPr>
          <w:rFonts w:ascii="Times New Roman" w:cs="Times New Roman" w:eastAsia="Times New Roman" w:hAnsi="Times New Roman"/>
          <w:sz w:val="20"/>
          <w:szCs w:val="20"/>
          <w:u w:val="single" w:color="auto"/>
          <w:color w:val="auto"/>
        </w:rPr>
        <w:t>Section 2(f)</w:t>
      </w:r>
      <w:r>
        <w:rPr>
          <w:rFonts w:ascii="Times New Roman" w:cs="Times New Roman" w:eastAsia="Times New Roman" w:hAnsi="Times New Roman"/>
          <w:sz w:val="20"/>
          <w:szCs w:val="20"/>
          <w:color w:val="auto"/>
        </w:rPr>
        <w:t xml:space="preserve"> and except as otherwise provided in an Award Agreement, “Company” includes (x) the Company, (y) the entity for whom a Participant performs the services for which an Award is granted, and</w:t>
      </w:r>
    </w:p>
    <w:p>
      <w:pPr>
        <w:jc w:val="both"/>
        <w:ind w:left="743"/>
        <w:spacing w:after="0" w:line="261" w:lineRule="auto"/>
        <w:rPr>
          <w:sz w:val="20"/>
          <w:szCs w:val="20"/>
          <w:color w:val="auto"/>
        </w:rPr>
      </w:pPr>
      <w:r>
        <w:rPr>
          <w:rFonts w:ascii="Times New Roman" w:cs="Times New Roman" w:eastAsia="Times New Roman" w:hAnsi="Times New Roman"/>
          <w:sz w:val="19"/>
          <w:szCs w:val="19"/>
          <w:color w:val="auto"/>
        </w:rPr>
        <w:t>(z) an entity that is a Stockholder owning more than 50% of the total fair market value and total voting power (a “</w:t>
      </w:r>
      <w:r>
        <w:rPr>
          <w:rFonts w:ascii="Times New Roman" w:cs="Times New Roman" w:eastAsia="Times New Roman" w:hAnsi="Times New Roman"/>
          <w:sz w:val="19"/>
          <w:szCs w:val="19"/>
          <w:b w:val="1"/>
          <w:bCs w:val="1"/>
          <w:i w:val="1"/>
          <w:iCs w:val="1"/>
          <w:color w:val="auto"/>
        </w:rPr>
        <w:t>Majority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Stockholder</w:t>
      </w:r>
      <w:r>
        <w:rPr>
          <w:rFonts w:ascii="Times New Roman" w:cs="Times New Roman" w:eastAsia="Times New Roman" w:hAnsi="Times New Roman"/>
          <w:sz w:val="19"/>
          <w:szCs w:val="19"/>
          <w:color w:val="auto"/>
        </w:rPr>
        <w:t>”) of the Company or the entity identified in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above, or any entity in a chain of entities in which each entity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is a Majority Stockholder of another entity in the chain, ending in the Company or the entity identified in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color w:val="auto"/>
        </w:rPr>
        <w:t xml:space="preserve"> above.</w:t>
      </w:r>
    </w:p>
    <w:p>
      <w:pPr>
        <w:spacing w:after="0" w:line="165" w:lineRule="exact"/>
        <w:rPr>
          <w:sz w:val="20"/>
          <w:szCs w:val="20"/>
          <w:color w:val="auto"/>
        </w:rPr>
      </w:pPr>
    </w:p>
    <w:p>
      <w:pPr>
        <w:ind w:left="743" w:hanging="743"/>
        <w:spacing w:after="0"/>
        <w:tabs>
          <w:tab w:leader="none" w:pos="74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United States Internal Revenue Code of 1986.</w:t>
      </w:r>
    </w:p>
    <w:p>
      <w:pPr>
        <w:spacing w:after="0" w:line="314"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20"/>
          <w:szCs w:val="20"/>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09" w:lineRule="exact"/>
        <w:rPr>
          <w:sz w:val="20"/>
          <w:szCs w:val="20"/>
          <w:color w:val="auto"/>
        </w:rPr>
      </w:pPr>
    </w:p>
    <w:p>
      <w:pPr>
        <w:jc w:val="both"/>
        <w:ind w:left="743" w:hanging="743"/>
        <w:spacing w:after="0" w:line="256" w:lineRule="auto"/>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xml:space="preserve">” means a committee of two or more directors designated by the Board to administer the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unless otherwise determined by the Board, the Committee shall consist solely of two or more directors, each of whom shall be a Qualified Member.</w:t>
      </w:r>
    </w:p>
    <w:p>
      <w:pPr>
        <w:spacing w:after="0" w:line="168" w:lineRule="exact"/>
        <w:rPr>
          <w:rFonts w:ascii="Times New Roman" w:cs="Times New Roman" w:eastAsia="Times New Roman" w:hAnsi="Times New Roman"/>
          <w:sz w:val="20"/>
          <w:szCs w:val="20"/>
          <w:color w:val="auto"/>
        </w:rPr>
      </w:pPr>
    </w:p>
    <w:p>
      <w:pPr>
        <w:ind w:left="743" w:hanging="743"/>
        <w:spacing w:after="0" w:line="300" w:lineRule="auto"/>
        <w:tabs>
          <w:tab w:leader="none" w:pos="743"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Employee</w:t>
      </w:r>
      <w:r>
        <w:rPr>
          <w:rFonts w:ascii="Times New Roman" w:cs="Times New Roman" w:eastAsia="Times New Roman" w:hAnsi="Times New Roman"/>
          <w:sz w:val="19"/>
          <w:szCs w:val="19"/>
          <w:color w:val="auto"/>
        </w:rPr>
        <w:t>” means an Eligible Person who is designated by the Committee, at the time of grant of a Performance Award, as likely to be a “covered employee” within the meaning of Section 162(m) for a specified fiscal year.</w:t>
      </w:r>
    </w:p>
    <w:p>
      <w:pPr>
        <w:spacing w:after="0" w:line="128" w:lineRule="exact"/>
        <w:rPr>
          <w:rFonts w:ascii="Times New Roman" w:cs="Times New Roman" w:eastAsia="Times New Roman" w:hAnsi="Times New Roman"/>
          <w:sz w:val="19"/>
          <w:szCs w:val="19"/>
          <w:color w:val="auto"/>
        </w:rPr>
      </w:pPr>
    </w:p>
    <w:p>
      <w:pPr>
        <w:jc w:val="both"/>
        <w:ind w:left="743" w:hanging="743"/>
        <w:spacing w:after="0" w:line="256" w:lineRule="auto"/>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Dividend Equivalent</w:t>
      </w:r>
      <w:r>
        <w:rPr>
          <w:rFonts w:ascii="Times New Roman" w:cs="Times New Roman" w:eastAsia="Times New Roman" w:hAnsi="Times New Roman"/>
          <w:sz w:val="20"/>
          <w:szCs w:val="20"/>
          <w:color w:val="auto"/>
        </w:rPr>
        <w:t xml:space="preserve">” means a right, granted to an Eligible Person under </w:t>
      </w:r>
      <w:r>
        <w:rPr>
          <w:rFonts w:ascii="Times New Roman" w:cs="Times New Roman" w:eastAsia="Times New Roman" w:hAnsi="Times New Roman"/>
          <w:sz w:val="20"/>
          <w:szCs w:val="20"/>
          <w:u w:val="single" w:color="auto"/>
          <w:color w:val="auto"/>
        </w:rPr>
        <w:t>Section 6(g)</w:t>
      </w:r>
      <w:r>
        <w:rPr>
          <w:rFonts w:ascii="Times New Roman" w:cs="Times New Roman" w:eastAsia="Times New Roman" w:hAnsi="Times New Roman"/>
          <w:sz w:val="20"/>
          <w:szCs w:val="20"/>
          <w:color w:val="auto"/>
        </w:rPr>
        <w:t>, to receive cash, Stock, other Awards or other property equal in value to dividends paid with respect to a specified number of shares of Stock, or other periodic payments.</w:t>
      </w:r>
    </w:p>
    <w:p>
      <w:pPr>
        <w:spacing w:after="0" w:line="168"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March 4, 2021.</w:t>
      </w:r>
    </w:p>
    <w:p>
      <w:pPr>
        <w:spacing w:after="0" w:line="215" w:lineRule="exact"/>
        <w:rPr>
          <w:rFonts w:ascii="Times New Roman" w:cs="Times New Roman" w:eastAsia="Times New Roman" w:hAnsi="Times New Roman"/>
          <w:sz w:val="20"/>
          <w:szCs w:val="20"/>
          <w:color w:val="auto"/>
        </w:rPr>
      </w:pPr>
    </w:p>
    <w:p>
      <w:pPr>
        <w:jc w:val="both"/>
        <w:ind w:left="743" w:hanging="743"/>
        <w:spacing w:after="0" w:line="246" w:lineRule="auto"/>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Person</w:t>
      </w:r>
      <w:r>
        <w:rPr>
          <w:rFonts w:ascii="Times New Roman" w:cs="Times New Roman" w:eastAsia="Times New Roman" w:hAnsi="Times New Roman"/>
          <w:sz w:val="20"/>
          <w:szCs w:val="20"/>
          <w:color w:val="auto"/>
        </w:rPr>
        <w:t xml:space="preserve">” means all officers and employees of the Company or of any of its Subsidiaries, and other persons who provide services or will provide services to the Company or any of its Subsidiaries, including directors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individual must be an “employee” of the Company or any of its parents or subsidiaries within the meaning of General Instruction A.1(a) to Form S-8 if such individual shall be granted an award that shall, or may, be settled in Stock. An employee on leave of absence may be considered as still in the employ of the Company or its Subsidiaries for purposes of eligibility for participation in the Plan.</w:t>
      </w:r>
    </w:p>
    <w:p>
      <w:pPr>
        <w:spacing w:after="0" w:line="178"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w:t>
      </w:r>
    </w:p>
    <w:p>
      <w:pPr>
        <w:spacing w:after="0" w:line="215" w:lineRule="exact"/>
        <w:rPr>
          <w:rFonts w:ascii="Times New Roman" w:cs="Times New Roman" w:eastAsia="Times New Roman" w:hAnsi="Times New Roman"/>
          <w:sz w:val="20"/>
          <w:szCs w:val="20"/>
          <w:color w:val="auto"/>
        </w:rPr>
      </w:pPr>
    </w:p>
    <w:p>
      <w:pPr>
        <w:jc w:val="both"/>
        <w:ind w:left="743" w:hanging="743"/>
        <w:spacing w:after="0" w:line="244" w:lineRule="auto"/>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specified date, (i) if the Stock is listed on a national securities exchange, the closing sales price of the Stock, as reported on the stock exchange composite tape on that date (or if no sales occur on that date, on the last preceding date on which such sales of the Stock are so reported); (ii) if the Stock is not traded on a national securities exchange but is traded over the counter at the time a determination of its fair market value is required to be made under the Plan, the average between the reported high and low bid and asked prices of Stock on the most recent date on which Stock was publicly traded; or (iii) in the event Stock is not publicly traded at the time a determination of its value is required to be made under the Plan, the amount determined by the Committee in such manner as it deems appropriate, taking into account all factors the Committee deems appropriate including Section 409A.</w:t>
      </w:r>
    </w:p>
    <w:p>
      <w:pPr>
        <w:spacing w:after="0" w:line="181" w:lineRule="exact"/>
        <w:rPr>
          <w:rFonts w:ascii="Times New Roman" w:cs="Times New Roman" w:eastAsia="Times New Roman" w:hAnsi="Times New Roman"/>
          <w:sz w:val="20"/>
          <w:szCs w:val="20"/>
          <w:color w:val="auto"/>
        </w:rPr>
      </w:pPr>
    </w:p>
    <w:p>
      <w:pPr>
        <w:ind w:left="743" w:right="20" w:hanging="743"/>
        <w:spacing w:after="0" w:line="273" w:lineRule="auto"/>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ISO</w:t>
      </w:r>
      <w:r>
        <w:rPr>
          <w:rFonts w:ascii="Times New Roman" w:cs="Times New Roman" w:eastAsia="Times New Roman" w:hAnsi="Times New Roman"/>
          <w:sz w:val="20"/>
          <w:szCs w:val="20"/>
          <w:color w:val="auto"/>
        </w:rPr>
        <w:t>” means any Option intended to be and designated as an incentive stock option within the meaning of Section 422.</w:t>
      </w:r>
    </w:p>
    <w:p>
      <w:pPr>
        <w:spacing w:after="0" w:line="151" w:lineRule="exact"/>
        <w:rPr>
          <w:rFonts w:ascii="Times New Roman" w:cs="Times New Roman" w:eastAsia="Times New Roman" w:hAnsi="Times New Roman"/>
          <w:sz w:val="20"/>
          <w:szCs w:val="20"/>
          <w:color w:val="auto"/>
        </w:rPr>
      </w:pPr>
    </w:p>
    <w:p>
      <w:pPr>
        <w:ind w:left="743" w:right="20" w:hanging="743"/>
        <w:spacing w:after="0" w:line="273" w:lineRule="auto"/>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Nonstatutory Stock Option</w:t>
      </w:r>
      <w:r>
        <w:rPr>
          <w:rFonts w:ascii="Times New Roman" w:cs="Times New Roman" w:eastAsia="Times New Roman" w:hAnsi="Times New Roman"/>
          <w:sz w:val="20"/>
          <w:szCs w:val="20"/>
          <w:color w:val="auto"/>
        </w:rPr>
        <w:t>” means any Option that is not intended to be an “incentive stock option” within the meaning of Section 422.</w:t>
      </w:r>
    </w:p>
    <w:p>
      <w:pPr>
        <w:spacing w:after="0" w:line="151"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xml:space="preserve">” means a right, granted to an Eligible Person under </w:t>
      </w:r>
      <w:r>
        <w:rPr>
          <w:rFonts w:ascii="Times New Roman" w:cs="Times New Roman" w:eastAsia="Times New Roman" w:hAnsi="Times New Roman"/>
          <w:sz w:val="20"/>
          <w:szCs w:val="20"/>
          <w:u w:val="single" w:color="auto"/>
          <w:color w:val="auto"/>
        </w:rPr>
        <w:t>Section 6(b)</w:t>
      </w:r>
      <w:r>
        <w:rPr>
          <w:rFonts w:ascii="Times New Roman" w:cs="Times New Roman" w:eastAsia="Times New Roman" w:hAnsi="Times New Roman"/>
          <w:sz w:val="20"/>
          <w:szCs w:val="20"/>
          <w:color w:val="auto"/>
        </w:rPr>
        <w:t>, to purchase Stock or other Awards at a specified price during specified time periods.</w:t>
      </w:r>
    </w:p>
    <w:p>
      <w:pPr>
        <w:spacing w:after="0" w:line="151"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Stock-Based Awards</w:t>
      </w:r>
      <w:r>
        <w:rPr>
          <w:rFonts w:ascii="Times New Roman" w:cs="Times New Roman" w:eastAsia="Times New Roman" w:hAnsi="Times New Roman"/>
          <w:sz w:val="20"/>
          <w:szCs w:val="20"/>
          <w:color w:val="auto"/>
        </w:rPr>
        <w:t xml:space="preserve">” means Awards granted to an Eligible Person under </w:t>
      </w:r>
      <w:r>
        <w:rPr>
          <w:rFonts w:ascii="Times New Roman" w:cs="Times New Roman" w:eastAsia="Times New Roman" w:hAnsi="Times New Roman"/>
          <w:sz w:val="20"/>
          <w:szCs w:val="20"/>
          <w:u w:val="single" w:color="auto"/>
          <w:color w:val="auto"/>
        </w:rPr>
        <w:t>Section 6(h)</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 person who has been granted an Award under the Plan that remains outstanding, including a person who is no longer an Eligible Person.</w:t>
      </w:r>
    </w:p>
    <w:p>
      <w:pPr>
        <w:spacing w:after="0" w:line="151" w:lineRule="exact"/>
        <w:rPr>
          <w:rFonts w:ascii="Times New Roman" w:cs="Times New Roman" w:eastAsia="Times New Roman" w:hAnsi="Times New Roman"/>
          <w:sz w:val="20"/>
          <w:szCs w:val="20"/>
          <w:color w:val="auto"/>
        </w:rPr>
      </w:pPr>
    </w:p>
    <w:p>
      <w:pPr>
        <w:ind w:left="743" w:right="20" w:hanging="743"/>
        <w:spacing w:after="0" w:line="273" w:lineRule="auto"/>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Award</w:t>
      </w:r>
      <w:r>
        <w:rPr>
          <w:rFonts w:ascii="Times New Roman" w:cs="Times New Roman" w:eastAsia="Times New Roman" w:hAnsi="Times New Roman"/>
          <w:sz w:val="20"/>
          <w:szCs w:val="20"/>
          <w:color w:val="auto"/>
        </w:rPr>
        <w:t xml:space="preserve">” means a right, granted to an Eligible Person under </w:t>
      </w:r>
      <w:r>
        <w:rPr>
          <w:rFonts w:ascii="Times New Roman" w:cs="Times New Roman" w:eastAsia="Times New Roman" w:hAnsi="Times New Roman"/>
          <w:sz w:val="20"/>
          <w:szCs w:val="20"/>
          <w:u w:val="single" w:color="auto"/>
          <w:color w:val="auto"/>
        </w:rPr>
        <w:t>Section 6(k)</w:t>
      </w:r>
      <w:r>
        <w:rPr>
          <w:rFonts w:ascii="Times New Roman" w:cs="Times New Roman" w:eastAsia="Times New Roman" w:hAnsi="Times New Roman"/>
          <w:sz w:val="20"/>
          <w:szCs w:val="20"/>
          <w:color w:val="auto"/>
        </w:rPr>
        <w:t>, to receive Awards based upon performance criteria specified by the Committee.</w:t>
      </w:r>
    </w:p>
    <w:p>
      <w:pPr>
        <w:spacing w:after="0" w:line="151"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any person or entity of any nature whatsoever, specifically including an individual, a firm, a company, a corporation, a partnership, a limited liability company, a trust or other entity;</w:t>
      </w:r>
    </w:p>
    <w:p>
      <w:pPr>
        <w:spacing w:after="0" w:line="250"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20"/>
          <w:szCs w:val="20"/>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05" w:name="page106"/>
    <w:bookmarkEnd w:id="105"/>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743"/>
        <w:spacing w:after="0" w:line="245" w:lineRule="auto"/>
        <w:rPr>
          <w:sz w:val="20"/>
          <w:szCs w:val="20"/>
          <w:color w:val="auto"/>
        </w:rPr>
      </w:pPr>
      <w:r>
        <w:rPr>
          <w:rFonts w:ascii="Times New Roman" w:cs="Times New Roman" w:eastAsia="Times New Roman" w:hAnsi="Times New Roman"/>
          <w:sz w:val="20"/>
          <w:szCs w:val="20"/>
          <w:color w:val="auto"/>
        </w:rPr>
        <w:t xml:space="preserve">a Person, together with that Person’s Affiliates and Associates (as those terms are defined in Rule 12b-2 under the Exchange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“registrant” as used in Rule 12b-2 shall mean the Company), and any Persons acting as a partnership, limited partnership, joint venture, association, syndicate or other group (whether or not formally organized), or otherwise acting jointly or in concert or in a coordinated or consciously parallel manner (whether or not pursuant to any express agreement), for the purpose of acquiring, holding, voting or disposing of securities of the Company with such Person, shall be deemed a single “Person.”</w:t>
      </w:r>
    </w:p>
    <w:p>
      <w:pPr>
        <w:spacing w:after="0" w:line="180" w:lineRule="exact"/>
        <w:rPr>
          <w:sz w:val="20"/>
          <w:szCs w:val="20"/>
          <w:color w:val="auto"/>
        </w:rPr>
      </w:pPr>
    </w:p>
    <w:p>
      <w:pPr>
        <w:ind w:left="743" w:hanging="743"/>
        <w:spacing w:after="0"/>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Prior Plan</w:t>
      </w:r>
      <w:r>
        <w:rPr>
          <w:rFonts w:ascii="Times New Roman" w:cs="Times New Roman" w:eastAsia="Times New Roman" w:hAnsi="Times New Roman"/>
          <w:sz w:val="20"/>
          <w:szCs w:val="20"/>
          <w:color w:val="auto"/>
        </w:rPr>
        <w:t>” means the LSB Industries, Inc. 2008 Incentive Stock Plan, as amended effective June 5, 2014.</w:t>
      </w:r>
    </w:p>
    <w:p>
      <w:pPr>
        <w:spacing w:after="0" w:line="215" w:lineRule="exact"/>
        <w:rPr>
          <w:rFonts w:ascii="Times New Roman" w:cs="Times New Roman" w:eastAsia="Times New Roman" w:hAnsi="Times New Roman"/>
          <w:sz w:val="20"/>
          <w:szCs w:val="20"/>
          <w:color w:val="auto"/>
        </w:rPr>
      </w:pPr>
    </w:p>
    <w:p>
      <w:pPr>
        <w:jc w:val="both"/>
        <w:ind w:left="743" w:hanging="743"/>
        <w:spacing w:after="0" w:line="250" w:lineRule="auto"/>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Member</w:t>
      </w:r>
      <w:r>
        <w:rPr>
          <w:rFonts w:ascii="Times New Roman" w:cs="Times New Roman" w:eastAsia="Times New Roman" w:hAnsi="Times New Roman"/>
          <w:sz w:val="20"/>
          <w:szCs w:val="20"/>
          <w:color w:val="auto"/>
        </w:rPr>
        <w:t>” means a member of the Committee who is (i) a “nonemployee director” within the meaning of Rule 16b-3(b)(3), (ii) an “outside director” within the meaning of Section 162(m), and (iii) “independent” under the listing standards or rules of the securities exchange upon which the Stock is traded, but only to the extent such independence is required in order to take the action at issue pursuant to such standards or rules.</w:t>
      </w:r>
    </w:p>
    <w:p>
      <w:pPr>
        <w:spacing w:after="0" w:line="175"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xml:space="preserve">” means Stock granted to an Eligible Person under </w:t>
      </w:r>
      <w:r>
        <w:rPr>
          <w:rFonts w:ascii="Times New Roman" w:cs="Times New Roman" w:eastAsia="Times New Roman" w:hAnsi="Times New Roman"/>
          <w:sz w:val="20"/>
          <w:szCs w:val="20"/>
          <w:u w:val="single" w:color="auto"/>
          <w:color w:val="auto"/>
        </w:rPr>
        <w:t>Section 6(d)</w:t>
      </w:r>
      <w:r>
        <w:rPr>
          <w:rFonts w:ascii="Times New Roman" w:cs="Times New Roman" w:eastAsia="Times New Roman" w:hAnsi="Times New Roman"/>
          <w:sz w:val="20"/>
          <w:szCs w:val="20"/>
          <w:color w:val="auto"/>
        </w:rPr>
        <w:t xml:space="preserve"> that is subject to certain restrictions and to a risk of forfeiture.</w:t>
      </w:r>
    </w:p>
    <w:p>
      <w:pPr>
        <w:spacing w:after="0" w:line="151"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xml:space="preserve">” means a right, granted to an Eligible Person under </w:t>
      </w:r>
      <w:r>
        <w:rPr>
          <w:rFonts w:ascii="Times New Roman" w:cs="Times New Roman" w:eastAsia="Times New Roman" w:hAnsi="Times New Roman"/>
          <w:sz w:val="20"/>
          <w:szCs w:val="20"/>
          <w:u w:val="single" w:color="auto"/>
          <w:color w:val="auto"/>
        </w:rPr>
        <w:t>Section 6(e)</w:t>
      </w:r>
      <w:r>
        <w:rPr>
          <w:rFonts w:ascii="Times New Roman" w:cs="Times New Roman" w:eastAsia="Times New Roman" w:hAnsi="Times New Roman"/>
          <w:sz w:val="20"/>
          <w:szCs w:val="20"/>
          <w:color w:val="auto"/>
        </w:rPr>
        <w:t>, to receive Stock, cash or a combination thereof at the end of a specified period.</w:t>
      </w:r>
    </w:p>
    <w:p>
      <w:pPr>
        <w:spacing w:after="0" w:line="152" w:lineRule="exact"/>
        <w:rPr>
          <w:sz w:val="20"/>
          <w:szCs w:val="20"/>
          <w:color w:val="auto"/>
        </w:rPr>
      </w:pPr>
    </w:p>
    <w:p>
      <w:pPr>
        <w:ind w:left="743" w:hanging="743"/>
        <w:spacing w:after="0"/>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16b-3</w:t>
      </w:r>
      <w:r>
        <w:rPr>
          <w:rFonts w:ascii="Times New Roman" w:cs="Times New Roman" w:eastAsia="Times New Roman" w:hAnsi="Times New Roman"/>
          <w:sz w:val="20"/>
          <w:szCs w:val="20"/>
          <w:color w:val="auto"/>
        </w:rPr>
        <w:t>” means Rule 16b-3 promulgated under the Exchange Act.</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162(m)</w:t>
      </w:r>
      <w:r>
        <w:rPr>
          <w:rFonts w:ascii="Times New Roman" w:cs="Times New Roman" w:eastAsia="Times New Roman" w:hAnsi="Times New Roman"/>
          <w:sz w:val="20"/>
          <w:szCs w:val="20"/>
          <w:color w:val="auto"/>
        </w:rPr>
        <w:t>” means section 162(m) of the Code.</w:t>
      </w:r>
    </w:p>
    <w:p>
      <w:pPr>
        <w:spacing w:after="0" w:line="215"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162(m) Award</w:t>
      </w:r>
      <w:r>
        <w:rPr>
          <w:rFonts w:ascii="Times New Roman" w:cs="Times New Roman" w:eastAsia="Times New Roman" w:hAnsi="Times New Roman"/>
          <w:sz w:val="20"/>
          <w:szCs w:val="20"/>
          <w:color w:val="auto"/>
        </w:rPr>
        <w:t xml:space="preserve">” means a Performance Award granted under </w:t>
      </w:r>
      <w:r>
        <w:rPr>
          <w:rFonts w:ascii="Times New Roman" w:cs="Times New Roman" w:eastAsia="Times New Roman" w:hAnsi="Times New Roman"/>
          <w:sz w:val="20"/>
          <w:szCs w:val="20"/>
          <w:u w:val="single" w:color="auto"/>
          <w:color w:val="auto"/>
        </w:rPr>
        <w:t>Section 6(k)(i)</w:t>
      </w:r>
      <w:r>
        <w:rPr>
          <w:rFonts w:ascii="Times New Roman" w:cs="Times New Roman" w:eastAsia="Times New Roman" w:hAnsi="Times New Roman"/>
          <w:sz w:val="20"/>
          <w:szCs w:val="20"/>
          <w:color w:val="auto"/>
        </w:rPr>
        <w:t xml:space="preserve"> to a Covered Employee that is intended to satisfy the requirements for “performance-based compensation” within the meaning of Section 162(m).</w:t>
      </w:r>
    </w:p>
    <w:p>
      <w:pPr>
        <w:spacing w:after="0" w:line="151"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422</w:t>
      </w:r>
      <w:r>
        <w:rPr>
          <w:rFonts w:ascii="Times New Roman" w:cs="Times New Roman" w:eastAsia="Times New Roman" w:hAnsi="Times New Roman"/>
          <w:sz w:val="20"/>
          <w:szCs w:val="20"/>
          <w:color w:val="auto"/>
        </w:rPr>
        <w:t>” means section 422 of the Code.</w:t>
      </w:r>
    </w:p>
    <w:p>
      <w:pPr>
        <w:spacing w:after="0" w:line="215"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w:t>
      </w:r>
    </w:p>
    <w:p>
      <w:pPr>
        <w:spacing w:after="0" w:line="215" w:lineRule="exact"/>
        <w:rPr>
          <w:rFonts w:ascii="Times New Roman" w:cs="Times New Roman" w:eastAsia="Times New Roman" w:hAnsi="Times New Roman"/>
          <w:sz w:val="20"/>
          <w:szCs w:val="20"/>
          <w:color w:val="auto"/>
        </w:rPr>
      </w:pPr>
    </w:p>
    <w:p>
      <w:pPr>
        <w:jc w:val="both"/>
        <w:ind w:left="743" w:hanging="743"/>
        <w:spacing w:after="0" w:line="243" w:lineRule="auto"/>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means, unless otherwise determined by the Committee or the Company, the cessation of the applicable Participant’s employment with, and performance of services for, the Company and all Subsidiaries, including by reason of the fact that the Participant’s employer or other service recipient ceases to be a Subsidiary of the Company. Unless otherwise determined by the Company, if a Participant’s employment or service with the Company or a Subsidiary ceases, but the Participant continues to provide services to the Company or a Subsidiary as an Eligible Person, such change in status shall not be considered a Separation from Service. Approved temporary absences from employment or service because of illness, vacation or leave of absence, and transfers among the Company and its Subsidiaries shall not be considered Separations from Service. Notwithstanding the foregoing definition of Separation from Service, with respect to any Award that constitutes nonqualified deferred compensation under Section 409A, “Separation from Service” means a “separation from service” as defined under Section 409A.</w:t>
      </w:r>
    </w:p>
    <w:p>
      <w:pPr>
        <w:spacing w:after="0" w:line="182" w:lineRule="exact"/>
        <w:rPr>
          <w:rFonts w:ascii="Times New Roman" w:cs="Times New Roman" w:eastAsia="Times New Roman" w:hAnsi="Times New Roman"/>
          <w:sz w:val="20"/>
          <w:szCs w:val="20"/>
          <w:color w:val="auto"/>
        </w:rPr>
      </w:pPr>
    </w:p>
    <w:p>
      <w:pPr>
        <w:ind w:left="743" w:hanging="743"/>
        <w:spacing w:after="0" w:line="273" w:lineRule="auto"/>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w:t>
      </w:r>
      <w:r>
        <w:rPr>
          <w:rFonts w:ascii="Times New Roman" w:cs="Times New Roman" w:eastAsia="Times New Roman" w:hAnsi="Times New Roman"/>
          <w:sz w:val="20"/>
          <w:szCs w:val="20"/>
          <w:color w:val="auto"/>
        </w:rPr>
        <w:t xml:space="preserve">” means the Company’s Common Stock, par value $0.10 per share, and such other securities as may be substituted (or re-substituted) for Stock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ind w:left="743" w:hanging="743"/>
        <w:spacing w:after="0"/>
        <w:tabs>
          <w:tab w:leader="none" w:pos="743"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Stockholders</w:t>
      </w:r>
      <w:r>
        <w:rPr>
          <w:rFonts w:ascii="Times New Roman" w:cs="Times New Roman" w:eastAsia="Times New Roman" w:hAnsi="Times New Roman"/>
          <w:sz w:val="20"/>
          <w:szCs w:val="20"/>
          <w:color w:val="auto"/>
        </w:rPr>
        <w:t>” means the stockholders of the Company.</w:t>
      </w:r>
    </w:p>
    <w:p>
      <w:pPr>
        <w:spacing w:after="0" w:line="314" w:lineRule="exact"/>
        <w:rPr>
          <w:sz w:val="20"/>
          <w:szCs w:val="20"/>
          <w:color w:val="auto"/>
        </w:rPr>
      </w:pPr>
    </w:p>
    <w:p>
      <w:pPr>
        <w:ind w:left="4723"/>
        <w:spacing w:after="0"/>
        <w:rPr>
          <w:sz w:val="20"/>
          <w:szCs w:val="20"/>
          <w:color w:val="auto"/>
        </w:rPr>
      </w:pPr>
      <w:r>
        <w:rPr>
          <w:rFonts w:ascii="Times New Roman" w:cs="Times New Roman" w:eastAsia="Times New Roman" w:hAnsi="Times New Roman"/>
          <w:sz w:val="20"/>
          <w:szCs w:val="20"/>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09" w:lineRule="exact"/>
        <w:rPr>
          <w:sz w:val="20"/>
          <w:szCs w:val="20"/>
          <w:color w:val="auto"/>
        </w:rPr>
      </w:pPr>
    </w:p>
    <w:p>
      <w:pPr>
        <w:ind w:left="1500" w:hanging="743"/>
        <w:spacing w:after="0"/>
        <w:tabs>
          <w:tab w:leader="none" w:pos="15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Award</w:t>
      </w:r>
      <w:r>
        <w:rPr>
          <w:rFonts w:ascii="Times New Roman" w:cs="Times New Roman" w:eastAsia="Times New Roman" w:hAnsi="Times New Roman"/>
          <w:sz w:val="20"/>
          <w:szCs w:val="20"/>
          <w:color w:val="auto"/>
        </w:rPr>
        <w:t xml:space="preserve">” means unrestricted shares of Stock granted to an Eligible Person under </w:t>
      </w:r>
      <w:r>
        <w:rPr>
          <w:rFonts w:ascii="Times New Roman" w:cs="Times New Roman" w:eastAsia="Times New Roman" w:hAnsi="Times New Roman"/>
          <w:sz w:val="20"/>
          <w:szCs w:val="20"/>
          <w:u w:val="single" w:color="auto"/>
          <w:color w:val="auto"/>
        </w:rPr>
        <w:t>Section 6(f)</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Appreciation Rights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SAR</w:t>
      </w:r>
      <w:r>
        <w:rPr>
          <w:rFonts w:ascii="Times New Roman" w:cs="Times New Roman" w:eastAsia="Times New Roman" w:hAnsi="Times New Roman"/>
          <w:sz w:val="20"/>
          <w:szCs w:val="20"/>
          <w:color w:val="auto"/>
        </w:rPr>
        <w:t xml:space="preserve">” means a right granted to an Eligible Person under </w:t>
      </w:r>
      <w:r>
        <w:rPr>
          <w:rFonts w:ascii="Times New Roman" w:cs="Times New Roman" w:eastAsia="Times New Roman" w:hAnsi="Times New Roman"/>
          <w:sz w:val="20"/>
          <w:szCs w:val="20"/>
          <w:u w:val="single" w:color="auto"/>
          <w:color w:val="auto"/>
        </w:rPr>
        <w:t>Section 6(c)</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743"/>
        <w:spacing w:after="0" w:line="273" w:lineRule="auto"/>
        <w:tabs>
          <w:tab w:leader="none" w:pos="15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with respect to the Company, any corporation or other entity of which a majority of the voting power of the voting equity securities or equity interest is owned, directly or indirectly, by the Company.</w:t>
      </w:r>
    </w:p>
    <w:p>
      <w:pPr>
        <w:spacing w:after="0" w:line="151" w:lineRule="exact"/>
        <w:rPr>
          <w:rFonts w:ascii="Times New Roman" w:cs="Times New Roman" w:eastAsia="Times New Roman" w:hAnsi="Times New Roman"/>
          <w:sz w:val="20"/>
          <w:szCs w:val="20"/>
          <w:color w:val="auto"/>
        </w:rPr>
      </w:pPr>
    </w:p>
    <w:p>
      <w:pPr>
        <w:ind w:left="1500" w:right="20" w:hanging="743"/>
        <w:spacing w:after="0" w:line="273" w:lineRule="auto"/>
        <w:tabs>
          <w:tab w:leader="none" w:pos="150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Substitute Award</w:t>
      </w:r>
      <w:r>
        <w:rPr>
          <w:rFonts w:ascii="Times New Roman" w:cs="Times New Roman" w:eastAsia="Times New Roman" w:hAnsi="Times New Roman"/>
          <w:sz w:val="20"/>
          <w:szCs w:val="20"/>
          <w:color w:val="auto"/>
        </w:rPr>
        <w:t xml:space="preserve">” means an Award granted under </w:t>
      </w:r>
      <w:r>
        <w:rPr>
          <w:rFonts w:ascii="Times New Roman" w:cs="Times New Roman" w:eastAsia="Times New Roman" w:hAnsi="Times New Roman"/>
          <w:sz w:val="20"/>
          <w:szCs w:val="20"/>
          <w:u w:val="single" w:color="auto"/>
          <w:color w:val="auto"/>
        </w:rPr>
        <w:t>Section 6(j)</w:t>
      </w:r>
      <w:r>
        <w:rPr>
          <w:rFonts w:ascii="Times New Roman" w:cs="Times New Roman" w:eastAsia="Times New Roman" w:hAnsi="Times New Roman"/>
          <w:sz w:val="20"/>
          <w:szCs w:val="20"/>
          <w:color w:val="auto"/>
        </w:rPr>
        <w:t xml:space="preserve"> hereof in substitution for a similar award as a result of certain business transactions.</w:t>
      </w:r>
    </w:p>
    <w:p>
      <w:pPr>
        <w:spacing w:after="0" w:line="151"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500" w:hanging="743"/>
        <w:spacing w:after="0"/>
        <w:tabs>
          <w:tab w:leader="none" w:pos="15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Authority of the Committee</w:t>
      </w:r>
      <w:r>
        <w:rPr>
          <w:rFonts w:ascii="Times New Roman" w:cs="Times New Roman" w:eastAsia="Times New Roman" w:hAnsi="Times New Roman"/>
          <w:sz w:val="20"/>
          <w:szCs w:val="20"/>
          <w:color w:val="auto"/>
        </w:rPr>
        <w:t xml:space="preserve">. The Plan shall be administered by the Committee except to the extent the Board elects to administer the Plan, in which case references herein to the “Committee” shall be deemed to include references to the “Board.” Subject to the express provisions of the Plan, Rule 16b-3 and other applicable laws, the Committee shall have the authority, in its sole and absolute discretion, to: (i) designate Eligible Persons as Participants; (ii) determine the type or types of Awards to be granted to an Eligible Person; (iii) determine the number of shares of Stock or amount of cash to be covered by Awards; (iv) determine the terms and conditions of any Award, as well as the modification of such terms, which may include the acceleration of vesting, waiver of forfeiture restrictions, modification of the form of settlement of the Award (for example, from cash to Stock or vice versa), or modification of any other condition or limitation regarding an Award, based on such factors as the Committee may determine; (v) determine whether, to what extent, and under what circumstances Awards may be vested, settled, exercised, canceled, or forfeited; (vi) interpret and administer the Plan and any instrument or agreement relating to an Award made under the Plan; (vii) establish, amend, suspend, or waive rules and regulations used to administer the Plan; and (viii) make any other determination and take any other action that the Committee deems necessary or desirable for the administration of the Plan. Subject to Rule 16b-3, Section 162(m), and Section 409A, the Committee may correct any defect, supply any omission, or reconcile any inconsistency in the Plan, in any Award, or in any Award Agreement in the manner and to the extent it deems necessary or desirable to carry the Plan into effect, and the Committee shall be the sole and final judge of that necessity or desirability. The express grant of any specific power to the Committee, and the taking of any action by the Committee, shall not be construed as limiting any power or authority of the Committee. Each action and determination of the Committee under the Plan shall be in the Committee’s sole and absolute discretion and shall be final, conclusive and binding on all Persons, including the Company, its Subsidiaries, Stockholders, Participants, beneficiaries, and transferees under </w:t>
      </w:r>
      <w:r>
        <w:rPr>
          <w:rFonts w:ascii="Times New Roman" w:cs="Times New Roman" w:eastAsia="Times New Roman" w:hAnsi="Times New Roman"/>
          <w:sz w:val="20"/>
          <w:szCs w:val="20"/>
          <w:u w:val="single" w:color="auto"/>
          <w:color w:val="auto"/>
        </w:rPr>
        <w:t>Section 7(a)(iii)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or other Persons claiming rights from or through a Participant.</w:t>
      </w:r>
    </w:p>
    <w:p>
      <w:pPr>
        <w:spacing w:after="0" w:line="205" w:lineRule="exact"/>
        <w:rPr>
          <w:rFonts w:ascii="Times New Roman" w:cs="Times New Roman" w:eastAsia="Times New Roman" w:hAnsi="Times New Roman"/>
          <w:sz w:val="20"/>
          <w:szCs w:val="20"/>
          <w:color w:val="auto"/>
        </w:rPr>
      </w:pPr>
    </w:p>
    <w:p>
      <w:pPr>
        <w:jc w:val="both"/>
        <w:ind w:left="1500" w:hanging="743"/>
        <w:spacing w:after="0" w:line="242" w:lineRule="auto"/>
        <w:tabs>
          <w:tab w:leader="none" w:pos="150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Manner of Exercise of Committee Authority</w:t>
      </w:r>
      <w:r>
        <w:rPr>
          <w:rFonts w:ascii="Times New Roman" w:cs="Times New Roman" w:eastAsia="Times New Roman" w:hAnsi="Times New Roman"/>
          <w:sz w:val="20"/>
          <w:szCs w:val="20"/>
          <w:color w:val="auto"/>
        </w:rPr>
        <w:t xml:space="preserve">. It is the intent of the Company that (i) Section 162(m) Awards shall qualify as “performance-based compensation” within the meaning of Section 162(m) and (ii) to the fullest extent possible, the grant of any Awards to, or other transaction by, a Participant who is subject to section 16 of the Exchange Act shall be exempt from such section pursuant to an applicable exemption (except for transactions acknowledged in writing to be non-exempt by such Participant). At any time that a member of the Committee is not a Qualified Member, any action of the Committee relating to (A) an Award granted or to be granted to an Eligible Person who is then subject to section 16 of the Exchange Act in respect of the Company where such action is not taken by the full Board, or (B) a Section 162(m) Award, may be taken either (i) by a subcommittee, designated by the Committee, composed solely of two or more Qualified Members, or (ii) by the Committee but with each such member who is not a Qualified Member abstaining or recusing himself or herself from such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upon such abstention or recusal, the Committee remains composed solely of two or more Qualified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743"/>
        <w:spacing w:after="0" w:line="246" w:lineRule="auto"/>
        <w:rPr>
          <w:sz w:val="20"/>
          <w:szCs w:val="20"/>
          <w:color w:val="auto"/>
        </w:rPr>
      </w:pPr>
      <w:r>
        <w:rPr>
          <w:rFonts w:ascii="Times New Roman" w:cs="Times New Roman" w:eastAsia="Times New Roman" w:hAnsi="Times New Roman"/>
          <w:sz w:val="20"/>
          <w:szCs w:val="20"/>
          <w:color w:val="auto"/>
        </w:rPr>
        <w:t xml:space="preserve">Members. Such action, authorized by such a subcommittee or by the Committee upon the abstention or recusal of such non-Qualified Member(s), shall be the action of the Committee for purposes of the Plan. Any action of the Committee. For the avoidance of doubt, the full Board may take any action relating to an Award granted or to be granted to an Eligible Person who is then subject to section 16 of the Exchange Act in respect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award is not a Section 162(m) Award.</w:t>
      </w:r>
    </w:p>
    <w:p>
      <w:pPr>
        <w:spacing w:after="0" w:line="185" w:lineRule="exact"/>
        <w:rPr>
          <w:sz w:val="20"/>
          <w:szCs w:val="20"/>
          <w:color w:val="auto"/>
        </w:rPr>
      </w:pPr>
    </w:p>
    <w:p>
      <w:pPr>
        <w:jc w:val="both"/>
        <w:ind w:left="743" w:hanging="743"/>
        <w:spacing w:after="0"/>
        <w:tabs>
          <w:tab w:leader="none" w:pos="74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Delegation of Authority</w:t>
      </w:r>
      <w:r>
        <w:rPr>
          <w:rFonts w:ascii="Times New Roman" w:cs="Times New Roman" w:eastAsia="Times New Roman" w:hAnsi="Times New Roman"/>
          <w:sz w:val="20"/>
          <w:szCs w:val="20"/>
          <w:color w:val="auto"/>
        </w:rPr>
        <w:t xml:space="preserve">. The Committee may delegate (i) to any officer of the Company, irrespective of whether or not the officer is also a member of the Board, the power to perform administrative functions and grant all types of Awards under the Plan so long as the resolutions of the Board or Committee delegating such authority specifies (A) the total number of Awards that the officer may grant, and (B) with respect to Awards of Restricted Stock or Stock Awards, the time period during which such Awards may be granted and a minimum amount of consideration for which the Awards may be issued and (ii) to any individual member of the Board (including an officer of the Company that serves as a member of the Board), any or all of the Committee’s powers and duties under the Plan, including the power to perform administrative functions and grant all types of Awards under the Plan, in the case of both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subject to such additional terms or limitations as the Committee may provide and only to the extent that such delegation does not (x) violate state or corporate law, (y) result in the loss of an exemption under Rule 16b-3(d)(1) for Awards granted to Participants subject to section 16 of the Exchange Act in respect of the Company, or (z) cause Section 162(m) Awards to fail to so qualify. Upon any such delegation, all references in the Plan to the “Committee,” other than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shall be deemed to include any officer of the Company or member of the Board to whom such powers have been delegated by the Committee. Any such delegation shall not limit such officer or director’s right to receive Awards under the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the officer or director may not grant Awards to himself or herself, a member of the Board, or any executive officer of the Company or an Affiliate, or take any action with respect to any Award previously granted to himself or herself, a member of the Board, or an individual who is an executive officer of the Company or an Affiliate. The Committee may also appoint agents to assist it in administering the Plan that are not executive officers of the Company or members of the Board,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individuals may not be delegated the authority to (i) grant or modify any Awards that shall, or may, be settled in Stock or (ii) take any action that would cause Section 162(m) Awards to fail to so qualify, if applicable.</w:t>
      </w:r>
    </w:p>
    <w:p>
      <w:pPr>
        <w:spacing w:after="0" w:line="205" w:lineRule="exact"/>
        <w:rPr>
          <w:rFonts w:ascii="Times New Roman" w:cs="Times New Roman" w:eastAsia="Times New Roman" w:hAnsi="Times New Roman"/>
          <w:sz w:val="20"/>
          <w:szCs w:val="20"/>
          <w:color w:val="auto"/>
        </w:rPr>
      </w:pPr>
    </w:p>
    <w:p>
      <w:pPr>
        <w:jc w:val="both"/>
        <w:ind w:left="743" w:hanging="743"/>
        <w:spacing w:after="0" w:line="244" w:lineRule="auto"/>
        <w:tabs>
          <w:tab w:leader="none" w:pos="74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The Committee and each member thereof shall be entitled to, in good faith, rely or act upon any report or other information furnished to him or her by any officer or employee of the Company or any of its Subsidiaries, the Company’s legal counsel, independent auditors, consultants or any other agents assisting in the administration of the Plan. Members of the Committee and any officer or employee of the Company or any of its Subsidiaries acting at the direction or on behalf of the Committee shall not be personally liable for any action or determination taken or made in good faith with respect to the Plan, and shall, to the fullest extent permitted by law, be indemnified and held harmless by the Company with respect to any such action or determination.</w:t>
      </w:r>
    </w:p>
    <w:p>
      <w:pPr>
        <w:spacing w:after="0" w:line="185" w:lineRule="exact"/>
        <w:rPr>
          <w:rFonts w:ascii="Times New Roman" w:cs="Times New Roman" w:eastAsia="Times New Roman" w:hAnsi="Times New Roman"/>
          <w:sz w:val="20"/>
          <w:szCs w:val="20"/>
          <w:color w:val="auto"/>
        </w:rPr>
      </w:pPr>
    </w:p>
    <w:p>
      <w:pPr>
        <w:jc w:val="both"/>
        <w:ind w:left="743" w:hanging="743"/>
        <w:spacing w:after="0" w:line="257" w:lineRule="auto"/>
        <w:tabs>
          <w:tab w:leader="none" w:pos="743"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Participants in Non-U.S. Jurisdictions</w:t>
      </w:r>
      <w:r>
        <w:rPr>
          <w:rFonts w:ascii="Times New Roman" w:cs="Times New Roman" w:eastAsia="Times New Roman" w:hAnsi="Times New Roman"/>
          <w:sz w:val="19"/>
          <w:szCs w:val="19"/>
          <w:color w:val="auto"/>
        </w:rPr>
        <w:t xml:space="preserve">. Notwithstanding any provision of the Plan to the contrary, to comply with applicable laws in countries other than the United States in which the Company or any of its Affiliates operates or has employees, directors or other service providers from time to time, or to ensure that the Company complies with any applicable requirements of foreign securities exchanges, the Committee shall have the power and authority to: (i) determine which of its Affiliates shall be covered by the Plan; (ii) determine which Eligible Persons outside the United States are eligible to participate in the Plan; (iii) modify the terms and conditions of any Award granted to Eligible Persons outside the United States to comply with applicable foreign laws or listing requirements of any foreign exchange; (iv) establish sub-plans and modify exercise procedures and other terms and procedures, to the extent such actions may be necessary or advisable (any such sub-plans and/or modifications shall be attached to the Plan as appendices),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w:t>
      </w:r>
    </w:p>
    <w:p>
      <w:pPr>
        <w:spacing w:after="0" w:line="270"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08" w:name="page109"/>
    <w:bookmarkEnd w:id="108"/>
    <w:p>
      <w:pPr>
        <w:ind w:left="10360"/>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1500"/>
        <w:spacing w:after="0" w:line="246" w:lineRule="auto"/>
        <w:rPr>
          <w:sz w:val="20"/>
          <w:szCs w:val="20"/>
          <w:color w:val="auto"/>
        </w:rPr>
      </w:pP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such sub-plans and/or modifications shall increase the share limitations contained in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 and (v) take any action, before or after an Award is granted, that it deems advisable to comply with any applicable governmental regulatory exemptions or approval or listing requirements of any such foreign securities exchange. For purposes of the Plan, all references to foreign laws, rules, regulations or taxes shall be references to the laws, rules, regulations and taxes of any applicable jurisdiction other than the United States or a political subdivision thereof.</w:t>
      </w:r>
    </w:p>
    <w:p>
      <w:pPr>
        <w:spacing w:after="0" w:line="181" w:lineRule="exact"/>
        <w:rPr>
          <w:sz w:val="20"/>
          <w:szCs w:val="20"/>
          <w:color w:val="auto"/>
        </w:rPr>
      </w:pPr>
    </w:p>
    <w:p>
      <w:pPr>
        <w:ind w:left="760" w:hanging="752"/>
        <w:spacing w:after="0"/>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Subject to Plan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Overall Number of Shares Available for Delivery</w:t>
      </w:r>
      <w:r>
        <w:rPr>
          <w:rFonts w:ascii="Times New Roman" w:cs="Times New Roman" w:eastAsia="Times New Roman" w:hAnsi="Times New Roman"/>
          <w:sz w:val="20"/>
          <w:szCs w:val="20"/>
          <w:color w:val="auto"/>
        </w:rPr>
        <w:t xml:space="preserve">. Subject to any adjustments made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the total number of additional shares of Stock reserved and available for issuance in connection with Awards under the Plan shall not exceed 3,000,000 shares of Stock plus any shares of Stock that become available pursuant to </w:t>
      </w:r>
      <w:r>
        <w:rPr>
          <w:rFonts w:ascii="Times New Roman" w:cs="Times New Roman" w:eastAsia="Times New Roman" w:hAnsi="Times New Roman"/>
          <w:sz w:val="20"/>
          <w:szCs w:val="20"/>
          <w:u w:val="single" w:color="auto"/>
          <w:color w:val="auto"/>
        </w:rPr>
        <w:t>Section 4(c)(ii)</w:t>
      </w:r>
      <w:r>
        <w:rPr>
          <w:rFonts w:ascii="Times New Roman" w:cs="Times New Roman" w:eastAsia="Times New Roman" w:hAnsi="Times New Roman"/>
          <w:sz w:val="20"/>
          <w:szCs w:val="20"/>
          <w:color w:val="auto"/>
        </w:rPr>
        <w:t>, and such total shall be available for the issuance of Incentive Stock Options.</w:t>
      </w:r>
    </w:p>
    <w:p>
      <w:pPr>
        <w:spacing w:after="0" w:line="179" w:lineRule="exact"/>
        <w:rPr>
          <w:rFonts w:ascii="Times New Roman" w:cs="Times New Roman" w:eastAsia="Times New Roman" w:hAnsi="Times New Roman"/>
          <w:sz w:val="20"/>
          <w:szCs w:val="20"/>
          <w:color w:val="auto"/>
        </w:rPr>
      </w:pPr>
    </w:p>
    <w:p>
      <w:pPr>
        <w:jc w:val="both"/>
        <w:ind w:left="1500" w:hanging="743"/>
        <w:spacing w:after="0" w:line="245" w:lineRule="auto"/>
        <w:tabs>
          <w:tab w:leader="none" w:pos="15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Limitation to Grants of Awards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4(c)</w:t>
      </w:r>
      <w:r>
        <w:rPr>
          <w:rFonts w:ascii="Times New Roman" w:cs="Times New Roman" w:eastAsia="Times New Roman" w:hAnsi="Times New Roman"/>
          <w:sz w:val="20"/>
          <w:szCs w:val="20"/>
          <w:color w:val="auto"/>
        </w:rPr>
        <w:t>, no Award may be granted if the number of shares of Stock to be delivered in connection with such Award exceeds the number of shares of Stock remaining available under the Plan minus the number of shares of Stock issuable in settlement of or relating to then-outstanding Awards. The Committee may adopt reasonable counting procedures to ensure appropriate counting, avoid double counting (as, for example, in the case of tandem or Substitute Awards) and make adjustments if the number of shares of Stock actually delivered differs from the number of shares previously counted in connection with an Award.</w:t>
      </w:r>
    </w:p>
    <w:p>
      <w:pPr>
        <w:spacing w:after="0" w:line="184"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Availability of Shares Not Issued under Awards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42" w:lineRule="auto"/>
        <w:tabs>
          <w:tab w:leader="none" w:pos="226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 Pool</w:t>
      </w:r>
      <w:r>
        <w:rPr>
          <w:rFonts w:ascii="Times New Roman" w:cs="Times New Roman" w:eastAsia="Times New Roman" w:hAnsi="Times New Roman"/>
          <w:sz w:val="20"/>
          <w:szCs w:val="20"/>
          <w:color w:val="auto"/>
        </w:rPr>
        <w:t>. Shares of Stock subject to an Award under the Plan (including, for the avoidance of doubt, the Plan before it was amended and restated as set forth herein) that expires or is canceled, forfeited, exchanged, settled in cash or otherwise terminated without the actual delivery of shares (Awards of Restricted Stock shall not be considered “delivered shares” for this purpose), shall again be available for Awards under the Plan, except that if any such shares could not again be available for Awards to a particular Participant under any applicable law or regulation, such shares shall be available exclusively for Awards to Participants who are not subject to such limitation. Notwithstanding the foregoing, (i) the number of shares tendered or withheld in payment of any exercise or purchase price of an Award or taxes relating to an Award, (ii) shares that were subject to an Option or an SAR but were not issued or delivered as a result of the net settlement or net exercise of such Option or SAR and (iii) shares repurchased on the open market with the proceeds of an Option’s exercise price, shall not, in each case, again be available for Awards under the Plan.</w:t>
      </w:r>
    </w:p>
    <w:p>
      <w:pPr>
        <w:spacing w:after="0" w:line="185" w:lineRule="exact"/>
        <w:rPr>
          <w:rFonts w:ascii="Times New Roman" w:cs="Times New Roman" w:eastAsia="Times New Roman" w:hAnsi="Times New Roman"/>
          <w:sz w:val="20"/>
          <w:szCs w:val="20"/>
          <w:color w:val="auto"/>
        </w:rPr>
      </w:pPr>
    </w:p>
    <w:p>
      <w:pPr>
        <w:jc w:val="both"/>
        <w:ind w:left="2260" w:hanging="755"/>
        <w:spacing w:after="0" w:line="242" w:lineRule="auto"/>
        <w:tabs>
          <w:tab w:leader="none" w:pos="226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Prior Plan</w:t>
      </w:r>
      <w:r>
        <w:rPr>
          <w:rFonts w:ascii="Times New Roman" w:cs="Times New Roman" w:eastAsia="Times New Roman" w:hAnsi="Times New Roman"/>
          <w:sz w:val="20"/>
          <w:szCs w:val="20"/>
          <w:color w:val="auto"/>
        </w:rPr>
        <w:t>. Awards that are outstanding under the Prior Plan immediately prior to the Effective Date (“</w:t>
      </w:r>
      <w:r>
        <w:rPr>
          <w:rFonts w:ascii="Times New Roman" w:cs="Times New Roman" w:eastAsia="Times New Roman" w:hAnsi="Times New Roman"/>
          <w:sz w:val="20"/>
          <w:szCs w:val="20"/>
          <w:b w:val="1"/>
          <w:bCs w:val="1"/>
          <w:i w:val="1"/>
          <w:iCs w:val="1"/>
          <w:color w:val="auto"/>
        </w:rPr>
        <w:t>Prior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Plan Awards</w:t>
      </w:r>
      <w:r>
        <w:rPr>
          <w:rFonts w:ascii="Times New Roman" w:cs="Times New Roman" w:eastAsia="Times New Roman" w:hAnsi="Times New Roman"/>
          <w:sz w:val="20"/>
          <w:szCs w:val="20"/>
          <w:color w:val="auto"/>
        </w:rPr>
        <w:t>”) shall remain outstanding following the Effective Date in accordance with their terms; however,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 new awards may be granted pursuant to the Prior Plan on or after April 19, 2016. With respect to Prior Plan Awards, in accordance with Section 4.2(a) of the Prior Plan, if such a Prior Plan Award, on or after the Effective Date, lapses, expires, terminates or is canceled prior to the issuance of shares thereunder or if shares of Stock are issued under the Prior Plan to a Participant and thereafter are reacquired by the Company, the shares subject to such Prior Plan Awards and the reacquired shares shall again be available for issuance under the Plan. In addition, the following shares of Stock shall not be treated as having been issued under the Prior Plan and shall again be available for issuance under the Plan: (i) shares tendered by a Participant or retained by the Company as full or partial payment to the Company for the purchase price of a Prior Plan Award or to satisfy tax withholding obligations in connection with a</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9" w:name="page110"/>
    <w:bookmarkEnd w:id="109"/>
    <w:p>
      <w:pPr>
        <w:ind w:left="10360"/>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2260"/>
        <w:spacing w:after="0" w:line="246" w:lineRule="auto"/>
        <w:rPr>
          <w:sz w:val="20"/>
          <w:szCs w:val="20"/>
          <w:color w:val="auto"/>
        </w:rPr>
      </w:pPr>
      <w:r>
        <w:rPr>
          <w:rFonts w:ascii="Times New Roman" w:cs="Times New Roman" w:eastAsia="Times New Roman" w:hAnsi="Times New Roman"/>
          <w:sz w:val="20"/>
          <w:szCs w:val="20"/>
          <w:color w:val="auto"/>
        </w:rPr>
        <w:t>Prior Plan Award, (ii) shares covered by a Prior Plan Award that is settled in cash, or (iii) the number of shares subject to a Prior Plan SAR in excess of the number of shares that are delivered to the Participant upon exercise of such Prior Plan SAR. Further, the number of shares available for issuance under the Prior Plan shall not be reduced to reflect any dividends or dividend equivalents that are reinvested into additional shares or credited as additional Restricted Stock, Restricted Stock Units or Performance Shares.</w:t>
      </w:r>
    </w:p>
    <w:p>
      <w:pPr>
        <w:spacing w:after="0" w:line="185" w:lineRule="exact"/>
        <w:rPr>
          <w:sz w:val="20"/>
          <w:szCs w:val="20"/>
          <w:color w:val="auto"/>
        </w:rPr>
      </w:pPr>
    </w:p>
    <w:p>
      <w:pPr>
        <w:jc w:val="both"/>
        <w:ind w:left="2260" w:hanging="755"/>
        <w:spacing w:after="0" w:line="254" w:lineRule="auto"/>
        <w:tabs>
          <w:tab w:leader="none" w:pos="2260" w:val="left"/>
        </w:tabs>
        <w:numPr>
          <w:ilvl w:val="2"/>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Offered</w:t>
      </w:r>
      <w:r>
        <w:rPr>
          <w:rFonts w:ascii="Times New Roman" w:cs="Times New Roman" w:eastAsia="Times New Roman" w:hAnsi="Times New Roman"/>
          <w:sz w:val="20"/>
          <w:szCs w:val="20"/>
          <w:color w:val="auto"/>
        </w:rPr>
        <w:t>. The shares to be delivered under the Plan shall be made available from (i) authorized but unissued shares of Stock, (ii) Stock held in the treasury of the Company, or (iii) previously issued shares of Stock reacquired by the Company, including shares purchased on the open market.</w:t>
      </w:r>
    </w:p>
    <w:p>
      <w:pPr>
        <w:spacing w:after="0" w:line="170" w:lineRule="exact"/>
        <w:rPr>
          <w:rFonts w:ascii="Times New Roman" w:cs="Times New Roman" w:eastAsia="Times New Roman" w:hAnsi="Times New Roman"/>
          <w:sz w:val="20"/>
          <w:szCs w:val="20"/>
          <w:color w:val="auto"/>
        </w:rPr>
      </w:pPr>
    </w:p>
    <w:p>
      <w:pPr>
        <w:jc w:val="both"/>
        <w:ind w:left="760" w:hanging="752"/>
        <w:spacing w:after="0" w:line="242" w:lineRule="auto"/>
        <w:tabs>
          <w:tab w:leader="none" w:pos="7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Eligibility; Per Person Award Limitations</w:t>
      </w:r>
      <w:r>
        <w:rPr>
          <w:rFonts w:ascii="Times New Roman" w:cs="Times New Roman" w:eastAsia="Times New Roman" w:hAnsi="Times New Roman"/>
          <w:sz w:val="20"/>
          <w:szCs w:val="20"/>
          <w:color w:val="auto"/>
        </w:rPr>
        <w:t>. Awards may be granted under the Plan only to Persons who are Eligible Persons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time of grant thereof. In each calendar year during any part of which the Plan is in effect, a Covered Employee may not be granted (a) Awards (other than Awards designated to be paid only in cash or the settlement of which is not based on a number of shares of Stock) relating to more than 1,000,000 shares of Stock, subject to adjustment in a manner consistent with any adjustment made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and (b) Awards designated to be paid only in cash, or the settlement of which is not based on a number of shares of Stock, having a value determined on the date of grant in excess of $5,000,000; in each case, multiplied by the number of full or partial calendar years in any performance period established with respect to the Award, if applicable. In each calendar year during any part of which the Plan is in effect, an Eligible Person who is serving as a member of the Board and who is not an employee of the Company may not be granted Awards having a value, determined, if applicable, pursuant to Financial Accounting Standards Board Accounting Standards Codification Topic 718, on the date of grant in excess of $500,000 multiplied by the number of full or partial calendar years in any performance period established with respect to an Award, if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this limit shall be without regard to grants of Awards, if any, made to a member of the Board who is not an employee of the Company as compensation for services provided by such individual to the Company or any of its Subsidiaries other than in the individual’s capacity as a member of the Board.</w:t>
      </w:r>
    </w:p>
    <w:p>
      <w:pPr>
        <w:spacing w:after="0" w:line="182"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Specific Terms of Awards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500" w:hanging="743"/>
        <w:spacing w:after="0" w:line="249" w:lineRule="auto"/>
        <w:tabs>
          <w:tab w:leader="none" w:pos="15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xml:space="preserve">. Awards may be granted on the terms and conditions set forth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Awards granted under the Plan may be granted either alone, in addition to, or in tandem with any other Award. In addition, the Committee may impose on any Award or the exercise thereof, at the date of grant or thereafter (subject to </w:t>
      </w:r>
      <w:r>
        <w:rPr>
          <w:rFonts w:ascii="Times New Roman" w:cs="Times New Roman" w:eastAsia="Times New Roman" w:hAnsi="Times New Roman"/>
          <w:sz w:val="20"/>
          <w:szCs w:val="20"/>
          <w:u w:val="single" w:color="auto"/>
          <w:color w:val="auto"/>
        </w:rPr>
        <w:t>Section 8(a)</w:t>
      </w:r>
      <w:r>
        <w:rPr>
          <w:rFonts w:ascii="Times New Roman" w:cs="Times New Roman" w:eastAsia="Times New Roman" w:hAnsi="Times New Roman"/>
          <w:sz w:val="20"/>
          <w:szCs w:val="20"/>
          <w:color w:val="auto"/>
        </w:rPr>
        <w:t>), such additional terms and conditions, not inconsistent with the provisions of the Plan, as the Committee shall determine.</w:t>
      </w:r>
    </w:p>
    <w:p>
      <w:pPr>
        <w:spacing w:after="0" w:line="17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The Committee is authorized to grant Options, which may be designated as either ISOs or Nonstatutory Stock Options, to Eligible Persons on the following terms and conditions:</w:t>
      </w:r>
    </w:p>
    <w:p>
      <w:pPr>
        <w:spacing w:after="0" w:line="159" w:lineRule="exact"/>
        <w:rPr>
          <w:rFonts w:ascii="Times New Roman" w:cs="Times New Roman" w:eastAsia="Times New Roman" w:hAnsi="Times New Roman"/>
          <w:sz w:val="20"/>
          <w:szCs w:val="20"/>
          <w:color w:val="auto"/>
        </w:rPr>
      </w:pPr>
    </w:p>
    <w:p>
      <w:pPr>
        <w:jc w:val="both"/>
        <w:ind w:left="2260" w:hanging="755"/>
        <w:spacing w:after="0" w:line="244" w:lineRule="auto"/>
        <w:tabs>
          <w:tab w:leader="none" w:pos="2260" w:val="left"/>
        </w:tabs>
        <w:numPr>
          <w:ilvl w:val="2"/>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Each Award Agreement evidencing an Option shall state the exercise price per share of Stock (the “</w:t>
      </w:r>
      <w:r>
        <w:rPr>
          <w:rFonts w:ascii="Times New Roman" w:cs="Times New Roman" w:eastAsia="Times New Roman" w:hAnsi="Times New Roman"/>
          <w:sz w:val="20"/>
          <w:szCs w:val="20"/>
          <w:b w:val="1"/>
          <w:bCs w:val="1"/>
          <w:i w:val="1"/>
          <w:iCs w:val="1"/>
          <w:color w:val="auto"/>
        </w:rPr>
        <w:t>Exercise Price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except as provided in </w:t>
      </w:r>
      <w:r>
        <w:rPr>
          <w:rFonts w:ascii="Times New Roman" w:cs="Times New Roman" w:eastAsia="Times New Roman" w:hAnsi="Times New Roman"/>
          <w:sz w:val="20"/>
          <w:szCs w:val="20"/>
          <w:u w:val="single" w:color="auto"/>
          <w:color w:val="auto"/>
        </w:rPr>
        <w:t>Section 6(j)</w:t>
      </w:r>
      <w:r>
        <w:rPr>
          <w:rFonts w:ascii="Times New Roman" w:cs="Times New Roman" w:eastAsia="Times New Roman" w:hAnsi="Times New Roman"/>
          <w:sz w:val="20"/>
          <w:szCs w:val="20"/>
          <w:color w:val="auto"/>
        </w:rPr>
        <w:t>, the Exercise Price per share of Stock subject to an Option shall not be less than the greater of (A) the par value per share of the Stock or (B) 100% of the Fair Market Value per share of the Stock as of the date of grant of the Option (or in the case of an ISO granted to an individual who owns stock possessing more than 10% of the total combined voting power of all classes of stock of the Company or its parent or any Subsidiary, 110% of the Fair Market Value per share of the Stock on the date of grant).</w:t>
      </w:r>
    </w:p>
    <w:p>
      <w:pPr>
        <w:spacing w:after="0" w:line="186" w:lineRule="exact"/>
        <w:rPr>
          <w:sz w:val="20"/>
          <w:szCs w:val="20"/>
          <w:color w:val="auto"/>
        </w:rPr>
      </w:pPr>
    </w:p>
    <w:p>
      <w:pPr>
        <w:jc w:val="both"/>
        <w:ind w:left="2260" w:hanging="755"/>
        <w:spacing w:after="0" w:line="249" w:lineRule="auto"/>
        <w:tabs>
          <w:tab w:leader="none" w:pos="22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and Method of Exercise</w:t>
      </w:r>
      <w:r>
        <w:rPr>
          <w:rFonts w:ascii="Times New Roman" w:cs="Times New Roman" w:eastAsia="Times New Roman" w:hAnsi="Times New Roman"/>
          <w:sz w:val="20"/>
          <w:szCs w:val="20"/>
          <w:color w:val="auto"/>
        </w:rPr>
        <w:t xml:space="preserve">. The Committee shall determine the time or times at which or the circumstances under which an Option may be exercised in whole or in part (including based on achievement of performance goals pursuant to </w:t>
      </w:r>
      <w:r>
        <w:rPr>
          <w:rFonts w:ascii="Times New Roman" w:cs="Times New Roman" w:eastAsia="Times New Roman" w:hAnsi="Times New Roman"/>
          <w:sz w:val="20"/>
          <w:szCs w:val="20"/>
          <w:u w:val="single" w:color="auto"/>
          <w:color w:val="auto"/>
        </w:rPr>
        <w:t>Section 6(k)</w:t>
      </w:r>
      <w:r>
        <w:rPr>
          <w:rFonts w:ascii="Times New Roman" w:cs="Times New Roman" w:eastAsia="Times New Roman" w:hAnsi="Times New Roman"/>
          <w:sz w:val="20"/>
          <w:szCs w:val="20"/>
          <w:color w:val="auto"/>
        </w:rPr>
        <w:t xml:space="preserve"> and/or future service requirements), the methods by which such Exercise Price may be paid or deemed to be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0" w:name="page111"/>
    <w:bookmarkEnd w:id="110"/>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1503"/>
        <w:spacing w:after="0" w:line="242" w:lineRule="auto"/>
        <w:rPr>
          <w:sz w:val="20"/>
          <w:szCs w:val="20"/>
          <w:color w:val="auto"/>
        </w:rPr>
      </w:pPr>
      <w:r>
        <w:rPr>
          <w:rFonts w:ascii="Times New Roman" w:cs="Times New Roman" w:eastAsia="Times New Roman" w:hAnsi="Times New Roman"/>
          <w:sz w:val="20"/>
          <w:szCs w:val="20"/>
          <w:color w:val="auto"/>
        </w:rPr>
        <w:t xml:space="preserve">paid, the form of such payment, including cash or cash equivalents, Stock (including previously owned shares or through a cashless or broker-assisted exercise or other reduction of the amount of shares otherwise issuable pursuant to the Option), other Awards or awards granted under other plans of the Company or any Subsidiary, other property, or any other legal consideration the Committee deems appropriate (including notes or other contractual obligations of Participants to make payment on a deferred basis), and the methods by or forms in which Stock shall be delivered or deemed to be delivered to Participants, including the delivery of Restricted Stock subject to </w:t>
      </w:r>
      <w:r>
        <w:rPr>
          <w:rFonts w:ascii="Times New Roman" w:cs="Times New Roman" w:eastAsia="Times New Roman" w:hAnsi="Times New Roman"/>
          <w:sz w:val="20"/>
          <w:szCs w:val="20"/>
          <w:u w:val="single" w:color="auto"/>
          <w:color w:val="auto"/>
        </w:rPr>
        <w:t>Section 6(d)</w:t>
      </w:r>
      <w:r>
        <w:rPr>
          <w:rFonts w:ascii="Times New Roman" w:cs="Times New Roman" w:eastAsia="Times New Roman" w:hAnsi="Times New Roman"/>
          <w:sz w:val="20"/>
          <w:szCs w:val="20"/>
          <w:color w:val="auto"/>
        </w:rPr>
        <w:t>. In the case of an exercise whereby the Exercise Price is paid with Stock, such Stock shall be valued as of the date of exercise. No Option may be exercisable for a period of more than 10 years following the date of grant of the Option (or in the case of an ISO granted to an individual who owns stock possessing more than 10% of the total combined voting power of all classes of stock of the Company or its parent or any Subsidiary, for a period of no more than five years following the date of grant of the ISO).</w:t>
      </w:r>
    </w:p>
    <w:p>
      <w:pPr>
        <w:spacing w:after="0" w:line="190" w:lineRule="exact"/>
        <w:rPr>
          <w:sz w:val="20"/>
          <w:szCs w:val="20"/>
          <w:color w:val="auto"/>
        </w:rPr>
      </w:pPr>
    </w:p>
    <w:p>
      <w:pPr>
        <w:jc w:val="both"/>
        <w:ind w:left="1503" w:hanging="755"/>
        <w:spacing w:after="0" w:line="241" w:lineRule="auto"/>
        <w:tabs>
          <w:tab w:leader="none" w:pos="150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ISOs</w:t>
      </w:r>
      <w:r>
        <w:rPr>
          <w:rFonts w:ascii="Times New Roman" w:cs="Times New Roman" w:eastAsia="Times New Roman" w:hAnsi="Times New Roman"/>
          <w:sz w:val="20"/>
          <w:szCs w:val="20"/>
          <w:color w:val="auto"/>
        </w:rPr>
        <w:t xml:space="preserve">. The terms of any ISO granted under the Plan shall comply in all respects with the provisions of Section 422. ISOs may only be granted to Eligible Persons who are employees of the Company or a parent or subsidiary corporation (within the meaning of sections 424(e) and (f) of the Code). Except as otherwise provided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w:t>
      </w:r>
      <w:r>
        <w:rPr>
          <w:rFonts w:ascii="Times New Roman" w:cs="Times New Roman" w:eastAsia="Times New Roman" w:hAnsi="Times New Roman"/>
          <w:sz w:val="20"/>
          <w:szCs w:val="20"/>
          <w:color w:val="auto"/>
        </w:rPr>
        <w:t>, no term of the Plan relating to ISOs (including any SAR in tandem therewith) shall be interpreted, amended or altered, nor shall any discretion or authority granted under the Plan be exercised, so as to disqualify either the Plan or any ISO under Section 422, unless the Participant has first requested the change that shall result in such disqualification. ISOs shall not be granted more than 10 years after the Effective Date or the most recent approval of the Plan by the Stockholders. Notwithstanding the foregoing, the Fair Market Value of shares of Stock subject to an ISO and the aggregate Fair Market Value of shares of stock of any parent or subsidiary corporation (within the meaning of sections 424(e) and (f) of the Code) subject to any other ISO of the Company or a parent or subsidiary corporation (within the meaning of sections 424(e) and (f) of the Code) that first becomes purchasable by a Participant in any calendar year may not (with respect to that Participant) exceed $100,000, or such other amount as may be prescribed under Section 422. As used in the previous sentence, Fair Market Value shall be determined as of the date the ISOs are granted. Failure to comply with this provision shall not impair the enforceability or exercisability of any Option, but shall cause the excess amount of shares to be reclassified in accordance with the Code.</w:t>
      </w:r>
    </w:p>
    <w:p>
      <w:pPr>
        <w:spacing w:after="0" w:line="193"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Appreciation Rights</w:t>
      </w:r>
      <w:r>
        <w:rPr>
          <w:rFonts w:ascii="Times New Roman" w:cs="Times New Roman" w:eastAsia="Times New Roman" w:hAnsi="Times New Roman"/>
          <w:sz w:val="20"/>
          <w:szCs w:val="20"/>
          <w:color w:val="auto"/>
        </w:rPr>
        <w:t>. The Committee is authorized to grant SARs to Eligible Persons on the following terms and conditions:</w:t>
      </w:r>
    </w:p>
    <w:p>
      <w:pPr>
        <w:spacing w:after="0" w:line="159" w:lineRule="exact"/>
        <w:rPr>
          <w:rFonts w:ascii="Times New Roman" w:cs="Times New Roman" w:eastAsia="Times New Roman" w:hAnsi="Times New Roman"/>
          <w:sz w:val="20"/>
          <w:szCs w:val="20"/>
          <w:color w:val="auto"/>
        </w:rPr>
      </w:pPr>
    </w:p>
    <w:p>
      <w:pPr>
        <w:jc w:val="both"/>
        <w:ind w:left="1503" w:hanging="755"/>
        <w:spacing w:after="0" w:line="254" w:lineRule="auto"/>
        <w:tabs>
          <w:tab w:leader="none" w:pos="150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Payment</w:t>
      </w:r>
      <w:r>
        <w:rPr>
          <w:rFonts w:ascii="Times New Roman" w:cs="Times New Roman" w:eastAsia="Times New Roman" w:hAnsi="Times New Roman"/>
          <w:sz w:val="20"/>
          <w:szCs w:val="20"/>
          <w:color w:val="auto"/>
        </w:rPr>
        <w:t>. An SAR shall confer on the Participant to whom it is granted a right to receive, upon exercise thereof, the excess of (A) the Fair Market Value of one share of Stock on the date of exercise over (B) the grant price of the SAR as determined by the Committee.</w:t>
      </w:r>
    </w:p>
    <w:p>
      <w:pPr>
        <w:spacing w:after="0" w:line="174" w:lineRule="exact"/>
        <w:rPr>
          <w:sz w:val="20"/>
          <w:szCs w:val="20"/>
          <w:color w:val="auto"/>
        </w:rPr>
      </w:pPr>
    </w:p>
    <w:p>
      <w:pPr>
        <w:jc w:val="both"/>
        <w:ind w:left="1503" w:hanging="755"/>
        <w:spacing w:after="0" w:line="249" w:lineRule="auto"/>
        <w:tabs>
          <w:tab w:leader="none" w:pos="150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Price</w:t>
      </w:r>
      <w:r>
        <w:rPr>
          <w:rFonts w:ascii="Times New Roman" w:cs="Times New Roman" w:eastAsia="Times New Roman" w:hAnsi="Times New Roman"/>
          <w:sz w:val="20"/>
          <w:szCs w:val="20"/>
          <w:color w:val="auto"/>
        </w:rPr>
        <w:t xml:space="preserve">. Each Award Agreement evidencing an SAR shall state the grant price per share of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grant price per share of Stock subject to an SAR shall not be less than the greater of (A) the par value per share of the Stock or (B) 100% of the Fair Market Value per share of the Stock as of the date of grant of the SAR.</w:t>
      </w:r>
    </w:p>
    <w:p>
      <w:pPr>
        <w:spacing w:after="0" w:line="179" w:lineRule="exact"/>
        <w:rPr>
          <w:rFonts w:ascii="Times New Roman" w:cs="Times New Roman" w:eastAsia="Times New Roman" w:hAnsi="Times New Roman"/>
          <w:sz w:val="20"/>
          <w:szCs w:val="20"/>
          <w:color w:val="auto"/>
        </w:rPr>
      </w:pPr>
    </w:p>
    <w:p>
      <w:pPr>
        <w:jc w:val="both"/>
        <w:ind w:left="1503" w:hanging="755"/>
        <w:spacing w:after="0" w:line="249" w:lineRule="auto"/>
        <w:tabs>
          <w:tab w:leader="none" w:pos="150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 and Method of Exercise</w:t>
      </w:r>
      <w:r>
        <w:rPr>
          <w:rFonts w:ascii="Times New Roman" w:cs="Times New Roman" w:eastAsia="Times New Roman" w:hAnsi="Times New Roman"/>
          <w:sz w:val="20"/>
          <w:szCs w:val="20"/>
          <w:color w:val="auto"/>
        </w:rPr>
        <w:t xml:space="preserve">. Except as otherwise provided herein, the Committee shall determine, at the date of grant or thereafter, the number of shares of Stock to which the SAR relates, the time or times at which and the circumstances under which an SAR may be vested and/or exercised in whole or in part (including based on achievement of performance goals pursuant to </w:t>
      </w:r>
      <w:r>
        <w:rPr>
          <w:rFonts w:ascii="Times New Roman" w:cs="Times New Roman" w:eastAsia="Times New Roman" w:hAnsi="Times New Roman"/>
          <w:sz w:val="20"/>
          <w:szCs w:val="20"/>
          <w:u w:val="single" w:color="auto"/>
          <w:color w:val="auto"/>
        </w:rPr>
        <w:t>Section 6(k)</w:t>
      </w:r>
      <w:r>
        <w:rPr>
          <w:rFonts w:ascii="Times New Roman" w:cs="Times New Roman" w:eastAsia="Times New Roman" w:hAnsi="Times New Roman"/>
          <w:sz w:val="20"/>
          <w:szCs w:val="20"/>
          <w:color w:val="auto"/>
        </w:rPr>
        <w:t xml:space="preserve"> and/or future service requirements), the method</w:t>
      </w:r>
    </w:p>
    <w:p>
      <w:pPr>
        <w:spacing w:after="0" w:line="274"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11" w:name="page112"/>
    <w:bookmarkEnd w:id="111"/>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1503"/>
        <w:spacing w:after="0" w:line="249" w:lineRule="auto"/>
        <w:rPr>
          <w:sz w:val="20"/>
          <w:szCs w:val="20"/>
          <w:color w:val="auto"/>
        </w:rPr>
      </w:pPr>
      <w:r>
        <w:rPr>
          <w:rFonts w:ascii="Times New Roman" w:cs="Times New Roman" w:eastAsia="Times New Roman" w:hAnsi="Times New Roman"/>
          <w:sz w:val="20"/>
          <w:szCs w:val="20"/>
          <w:color w:val="auto"/>
        </w:rPr>
        <w:t>of exercise, method of settlement, form of consideration payable upon settlement, method by or forms in which Stock (if any) shall be delivered to Participants, and any other terms and conditions of any SAR. SARs may be either free-standing or in tandem with other Awards. No SAR may be exercisable for a period of more than 10 years following the date of grant of the SAR.</w:t>
      </w:r>
    </w:p>
    <w:p>
      <w:pPr>
        <w:spacing w:after="0" w:line="180" w:lineRule="exact"/>
        <w:rPr>
          <w:sz w:val="20"/>
          <w:szCs w:val="20"/>
          <w:color w:val="auto"/>
        </w:rPr>
      </w:pPr>
    </w:p>
    <w:p>
      <w:pPr>
        <w:jc w:val="both"/>
        <w:ind w:left="1503" w:hanging="755"/>
        <w:spacing w:after="0" w:line="243" w:lineRule="auto"/>
        <w:tabs>
          <w:tab w:leader="none" w:pos="1503"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Related to Options</w:t>
      </w:r>
      <w:r>
        <w:rPr>
          <w:rFonts w:ascii="Times New Roman" w:cs="Times New Roman" w:eastAsia="Times New Roman" w:hAnsi="Times New Roman"/>
          <w:sz w:val="20"/>
          <w:szCs w:val="20"/>
          <w:color w:val="auto"/>
        </w:rPr>
        <w:t>. An SAR granted in connection with an Option shall entitle a Participant, upon exercise, to surrender that Option or any portion thereof, to the extent unexercised, and to receive payment of an amount determined by multiplying (A) the difference obtained by subtracting the Exercise Price with respect to a share of Stock specified in the related Option from the Fair Market Value of a share of Stock on the date of exercise of the SAR, by (B) the number of shares as to which that SAR has been exercised. The Option shall then cease to be exercisable to the extent surrendered. SARs granted in connection with an Option shall be subject to the terms and conditions of the Award Agreement governing the Option, which shall provide that the SAR is exercisable only at such time or times and only to the extent that the related Option is exercisable and shall not be transferable except to the extent that the related Option is transferrable.</w:t>
      </w:r>
    </w:p>
    <w:p>
      <w:pPr>
        <w:spacing w:after="0" w:line="185" w:lineRule="exact"/>
        <w:rPr>
          <w:rFonts w:ascii="Times New Roman" w:cs="Times New Roman" w:eastAsia="Times New Roman" w:hAnsi="Times New Roman"/>
          <w:sz w:val="20"/>
          <w:szCs w:val="20"/>
          <w:color w:val="auto"/>
        </w:rPr>
      </w:pPr>
    </w:p>
    <w:p>
      <w:pPr>
        <w:ind w:left="743" w:right="20" w:hanging="743"/>
        <w:spacing w:after="0" w:line="269" w:lineRule="auto"/>
        <w:tabs>
          <w:tab w:leader="none" w:pos="74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w:t>
      </w:r>
      <w:r>
        <w:rPr>
          <w:rFonts w:ascii="Times New Roman" w:cs="Times New Roman" w:eastAsia="Times New Roman" w:hAnsi="Times New Roman"/>
          <w:sz w:val="20"/>
          <w:szCs w:val="20"/>
          <w:color w:val="auto"/>
        </w:rPr>
        <w:t>. The Committee is authorized to grant Restricted Stock to Eligible Persons on the following terms and conditions:</w:t>
      </w:r>
    </w:p>
    <w:p>
      <w:pPr>
        <w:spacing w:after="0" w:line="159" w:lineRule="exact"/>
        <w:rPr>
          <w:rFonts w:ascii="Times New Roman" w:cs="Times New Roman" w:eastAsia="Times New Roman" w:hAnsi="Times New Roman"/>
          <w:sz w:val="20"/>
          <w:szCs w:val="20"/>
          <w:color w:val="auto"/>
        </w:rPr>
      </w:pPr>
    </w:p>
    <w:p>
      <w:pPr>
        <w:jc w:val="both"/>
        <w:ind w:left="1503" w:hanging="755"/>
        <w:spacing w:after="0" w:line="244" w:lineRule="auto"/>
        <w:tabs>
          <w:tab w:leader="none" w:pos="1503"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and Restrictions</w:t>
      </w:r>
      <w:r>
        <w:rPr>
          <w:rFonts w:ascii="Times New Roman" w:cs="Times New Roman" w:eastAsia="Times New Roman" w:hAnsi="Times New Roman"/>
          <w:sz w:val="20"/>
          <w:szCs w:val="20"/>
          <w:color w:val="auto"/>
        </w:rPr>
        <w:t xml:space="preserve">. Restricted Stock shall be subject to such restrictions on transferability, risk of forfeiture and other restrictions, if any, as the Committee may impose, which restrictions may lapse separately or in combination at such times, under such circumstances (including based on achievement of performance goals pursuant to </w:t>
      </w:r>
      <w:r>
        <w:rPr>
          <w:rFonts w:ascii="Times New Roman" w:cs="Times New Roman" w:eastAsia="Times New Roman" w:hAnsi="Times New Roman"/>
          <w:sz w:val="20"/>
          <w:szCs w:val="20"/>
          <w:u w:val="single" w:color="auto"/>
          <w:color w:val="auto"/>
        </w:rPr>
        <w:t>Section 6(k)</w:t>
      </w:r>
      <w:r>
        <w:rPr>
          <w:rFonts w:ascii="Times New Roman" w:cs="Times New Roman" w:eastAsia="Times New Roman" w:hAnsi="Times New Roman"/>
          <w:sz w:val="20"/>
          <w:szCs w:val="20"/>
          <w:color w:val="auto"/>
        </w:rPr>
        <w:t xml:space="preserve"> and/or future service requirements), in such installments or otherwise, as the Committee may determine at the date of grant or thereafter. During the restricted period applicable to the Restricted Stock, the Restricted Stock may not be sold, transferred, pledged, hypothecated, margined or otherwise encumbered by the Participant.</w:t>
      </w:r>
    </w:p>
    <w:p>
      <w:pPr>
        <w:spacing w:after="0" w:line="185" w:lineRule="exact"/>
        <w:rPr>
          <w:rFonts w:ascii="Times New Roman" w:cs="Times New Roman" w:eastAsia="Times New Roman" w:hAnsi="Times New Roman"/>
          <w:sz w:val="20"/>
          <w:szCs w:val="20"/>
          <w:color w:val="auto"/>
        </w:rPr>
      </w:pPr>
    </w:p>
    <w:p>
      <w:pPr>
        <w:jc w:val="both"/>
        <w:ind w:left="1503" w:hanging="755"/>
        <w:spacing w:after="0" w:line="243" w:lineRule="auto"/>
        <w:tabs>
          <w:tab w:leader="none" w:pos="1503"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 and Splits</w:t>
      </w:r>
      <w:r>
        <w:rPr>
          <w:rFonts w:ascii="Times New Roman" w:cs="Times New Roman" w:eastAsia="Times New Roman" w:hAnsi="Times New Roman"/>
          <w:sz w:val="20"/>
          <w:szCs w:val="20"/>
          <w:color w:val="auto"/>
        </w:rPr>
        <w:t>. As a condition to the grant of an Award of Restricted Stock, the Committee may allow a Participant to elect, or may require, that any cash dividends paid on a share of Restricted Stock be automatically reinvested in additional shares of Restricted Stock, applied to the purchase of additional Awards under the Plan or deferred without interest to the date of vesting of the associated Award of Restricted Stock. Unless otherwise determined by the Committee and specified in the applicable Award Agreement, Stock distributed in connection with a Stock split or Stock dividend, and other property (other than cash) distributed as a dividend, shall be subject to restrictions and a risk of forfeiture to the same extent as the Restricted Stock with respect to which such Stock or other property has been distributed.</w:t>
      </w:r>
    </w:p>
    <w:p>
      <w:pPr>
        <w:spacing w:after="0" w:line="189"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The Committee is authorized to grant Restricted Stock Units to Eligible Persons, subject to the following terms and conditions:</w:t>
      </w:r>
    </w:p>
    <w:p>
      <w:pPr>
        <w:spacing w:after="0" w:line="159" w:lineRule="exact"/>
        <w:rPr>
          <w:rFonts w:ascii="Times New Roman" w:cs="Times New Roman" w:eastAsia="Times New Roman" w:hAnsi="Times New Roman"/>
          <w:sz w:val="20"/>
          <w:szCs w:val="20"/>
          <w:color w:val="auto"/>
        </w:rPr>
      </w:pPr>
    </w:p>
    <w:p>
      <w:pPr>
        <w:jc w:val="both"/>
        <w:ind w:left="1503" w:hanging="755"/>
        <w:spacing w:after="0" w:line="249" w:lineRule="auto"/>
        <w:tabs>
          <w:tab w:leader="none" w:pos="1503"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Award and Restrictions</w:t>
      </w:r>
      <w:r>
        <w:rPr>
          <w:rFonts w:ascii="Times New Roman" w:cs="Times New Roman" w:eastAsia="Times New Roman" w:hAnsi="Times New Roman"/>
          <w:sz w:val="20"/>
          <w:szCs w:val="20"/>
          <w:color w:val="auto"/>
        </w:rPr>
        <w:t>. Restricted Stock Units shall be subject to such restrictions (which may include a risk of forfeiture) as the Committee may impose, if any, which restrictions may lapse at the expiration of the restricted period or at earlier specified times (including based on achievement of performance goals and/or future service requirements), separately or in combination, in installments or otherwise, as the Committee may determine.</w:t>
      </w:r>
    </w:p>
    <w:p>
      <w:pPr>
        <w:spacing w:after="0" w:line="179" w:lineRule="exact"/>
        <w:rPr>
          <w:rFonts w:ascii="Times New Roman" w:cs="Times New Roman" w:eastAsia="Times New Roman" w:hAnsi="Times New Roman"/>
          <w:sz w:val="20"/>
          <w:szCs w:val="20"/>
          <w:color w:val="auto"/>
        </w:rPr>
      </w:pPr>
    </w:p>
    <w:p>
      <w:pPr>
        <w:jc w:val="both"/>
        <w:ind w:left="1503" w:hanging="755"/>
        <w:spacing w:after="0" w:line="249" w:lineRule="auto"/>
        <w:tabs>
          <w:tab w:leader="none" w:pos="1503"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Settlement of Restricted Stock Units shall occur upon expiration of the restricted period specified for such Restricted Stock Unit by the Committee (or, if permitted by the Committee, as elected by the Participant). Restricted Stock Units shall be satisfied by the delivery of (A) a number of shares of Stock equal to the number of RSUs vesting</w:t>
      </w:r>
    </w:p>
    <w:p>
      <w:pPr>
        <w:spacing w:after="0" w:line="274"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12" w:name="page113"/>
    <w:bookmarkEnd w:id="112"/>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1503"/>
        <w:spacing w:after="0" w:line="254" w:lineRule="auto"/>
        <w:rPr>
          <w:sz w:val="20"/>
          <w:szCs w:val="20"/>
          <w:color w:val="auto"/>
        </w:rPr>
      </w:pPr>
      <w:r>
        <w:rPr>
          <w:rFonts w:ascii="Times New Roman" w:cs="Times New Roman" w:eastAsia="Times New Roman" w:hAnsi="Times New Roman"/>
          <w:sz w:val="20"/>
          <w:szCs w:val="20"/>
          <w:color w:val="auto"/>
        </w:rPr>
        <w:t>on such date, or (B) cash in an amount equal to the Fair Market Value of the specified number of shares of Stock covered by the vesting Restricted Stock Units, or a combination thereof, as determined by the Committee at the date of grant or thereafter.</w:t>
      </w:r>
    </w:p>
    <w:p>
      <w:pPr>
        <w:spacing w:after="0" w:line="174" w:lineRule="exact"/>
        <w:rPr>
          <w:sz w:val="20"/>
          <w:szCs w:val="20"/>
          <w:color w:val="auto"/>
        </w:rPr>
      </w:pPr>
    </w:p>
    <w:p>
      <w:pPr>
        <w:jc w:val="both"/>
        <w:ind w:left="743" w:hanging="743"/>
        <w:spacing w:after="0" w:line="254" w:lineRule="auto"/>
        <w:tabs>
          <w:tab w:leader="none" w:pos="74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Awards</w:t>
      </w:r>
      <w:r>
        <w:rPr>
          <w:rFonts w:ascii="Times New Roman" w:cs="Times New Roman" w:eastAsia="Times New Roman" w:hAnsi="Times New Roman"/>
          <w:sz w:val="20"/>
          <w:szCs w:val="20"/>
          <w:color w:val="auto"/>
        </w:rPr>
        <w:t>. The Committee is authorized to grant a Stock Award under the Plan to any Eligible Person as a bonus, as additional compensation, or in lieu of cash compensation the individual is otherwise entitled to receive, in such amounts and subject to such other terms as the Committee determines to be appropriate.</w:t>
      </w:r>
    </w:p>
    <w:p>
      <w:pPr>
        <w:spacing w:after="0" w:line="174" w:lineRule="exact"/>
        <w:rPr>
          <w:rFonts w:ascii="Times New Roman" w:cs="Times New Roman" w:eastAsia="Times New Roman" w:hAnsi="Times New Roman"/>
          <w:sz w:val="20"/>
          <w:szCs w:val="20"/>
          <w:color w:val="auto"/>
        </w:rPr>
      </w:pPr>
    </w:p>
    <w:p>
      <w:pPr>
        <w:jc w:val="both"/>
        <w:ind w:left="743" w:hanging="743"/>
        <w:spacing w:after="0" w:line="242" w:lineRule="auto"/>
        <w:tabs>
          <w:tab w:leader="none" w:pos="74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The Committee is authorized to grant Dividend Equivalents to an Eligible Person, entitling the Eligible Person to receive cash, Stock, other Awards, or other property equal in value to dividends or other distributions paid with respect to a specified number of shares of Stock, or other periodic payments. Dividend Equivalents may be awarded on a free-standing basis or in connection with another Award (other than an Award of Restricted Stock or a Stock Award). The Committee may provide that Dividend Equivalents shall be paid or distributed when accrued or at a later specified date, and if distributed at a later date may be deemed to have been reinvested in additional Stock, Awards, or other investment vehicles or accrued in a bookkeeping account without interest, and subject to such restrictions on transferability and risks of forfeiture, as the Committee may specify. With respect to Dividend Equivalents granted in connection with another Award, absent a contrary provision in the Award Agreement, such Dividend Equivalents shall be subject to the same restrictions and risk of forfeiture as the Award with respect to which the dividends accrue and shall not be paid unless and until such Award has vested and been earned.</w:t>
      </w:r>
    </w:p>
    <w:p>
      <w:pPr>
        <w:spacing w:after="0" w:line="189" w:lineRule="exact"/>
        <w:rPr>
          <w:rFonts w:ascii="Times New Roman" w:cs="Times New Roman" w:eastAsia="Times New Roman" w:hAnsi="Times New Roman"/>
          <w:sz w:val="20"/>
          <w:szCs w:val="20"/>
          <w:color w:val="auto"/>
        </w:rPr>
      </w:pPr>
    </w:p>
    <w:p>
      <w:pPr>
        <w:jc w:val="both"/>
        <w:ind w:left="743" w:hanging="743"/>
        <w:spacing w:after="0" w:line="242" w:lineRule="auto"/>
        <w:tabs>
          <w:tab w:leader="none" w:pos="74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Stock-Based Awards</w:t>
      </w:r>
      <w:r>
        <w:rPr>
          <w:rFonts w:ascii="Times New Roman" w:cs="Times New Roman" w:eastAsia="Times New Roman" w:hAnsi="Times New Roman"/>
          <w:sz w:val="20"/>
          <w:szCs w:val="20"/>
          <w:color w:val="auto"/>
        </w:rPr>
        <w:t xml:space="preserve">. The Committee is authorized, subject to limitations under applicable law, to grant to Eligible Persons such other Awards that may be denominated or payable in, valued in whole or in part by reference to, or otherwise based on, or related to, Stock, as deemed by the Committee to be consistent with the purposes of the Plan, including convertible or exchangeable debt securities, other rights convertible or exchangeable into Stock, purchase rights for Stock, Awards with value and payment contingent upon performance of the Company or any other factors designated by the Committee, and Awards valued by reference to the book value of Stock or the value of securities of or the performance of specified Subsidiaries of the Company. The Committee shall determine the terms and conditions of such Other Stock-Based Awards. Stock delivered pursuant to an Other-Stock Based Award in the nature of a purchase right granted under this </w:t>
      </w:r>
      <w:r>
        <w:rPr>
          <w:rFonts w:ascii="Times New Roman" w:cs="Times New Roman" w:eastAsia="Times New Roman" w:hAnsi="Times New Roman"/>
          <w:sz w:val="20"/>
          <w:szCs w:val="20"/>
          <w:u w:val="single" w:color="auto"/>
          <w:color w:val="auto"/>
        </w:rPr>
        <w:t>Section 6(h)</w:t>
      </w:r>
      <w:r>
        <w:rPr>
          <w:rFonts w:ascii="Times New Roman" w:cs="Times New Roman" w:eastAsia="Times New Roman" w:hAnsi="Times New Roman"/>
          <w:sz w:val="20"/>
          <w:szCs w:val="20"/>
          <w:color w:val="auto"/>
        </w:rPr>
        <w:t xml:space="preserve"> shall be purchased for such consideration, paid for at such times, by such methods, and in such forms, including cash, Stock, other Awards, or other property, as the Committee may determine.</w:t>
      </w:r>
    </w:p>
    <w:p>
      <w:pPr>
        <w:spacing w:after="0" w:line="192" w:lineRule="exact"/>
        <w:rPr>
          <w:rFonts w:ascii="Times New Roman" w:cs="Times New Roman" w:eastAsia="Times New Roman" w:hAnsi="Times New Roman"/>
          <w:sz w:val="20"/>
          <w:szCs w:val="20"/>
          <w:color w:val="auto"/>
        </w:rPr>
      </w:pPr>
    </w:p>
    <w:p>
      <w:pPr>
        <w:jc w:val="both"/>
        <w:ind w:left="743" w:hanging="743"/>
        <w:spacing w:after="0" w:line="249" w:lineRule="auto"/>
        <w:tabs>
          <w:tab w:leader="none" w:pos="74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Awards</w:t>
      </w:r>
      <w:r>
        <w:rPr>
          <w:rFonts w:ascii="Times New Roman" w:cs="Times New Roman" w:eastAsia="Times New Roman" w:hAnsi="Times New Roman"/>
          <w:sz w:val="20"/>
          <w:szCs w:val="20"/>
          <w:color w:val="auto"/>
        </w:rPr>
        <w:t xml:space="preserve">. The Committee is authorized to grant Cash Awards, on a free-standing basis or as an element of or supplement to, or in lieu of, any other Award under the Plan to Eligible Persons in such amounts and subject to such other terms (including the achievement of performance goals pursuant to </w:t>
      </w:r>
      <w:r>
        <w:rPr>
          <w:rFonts w:ascii="Times New Roman" w:cs="Times New Roman" w:eastAsia="Times New Roman" w:hAnsi="Times New Roman"/>
          <w:sz w:val="20"/>
          <w:szCs w:val="20"/>
          <w:u w:val="single" w:color="auto"/>
          <w:color w:val="auto"/>
        </w:rPr>
        <w:t>Section 6(k)</w:t>
      </w:r>
      <w:r>
        <w:rPr>
          <w:rFonts w:ascii="Times New Roman" w:cs="Times New Roman" w:eastAsia="Times New Roman" w:hAnsi="Times New Roman"/>
          <w:sz w:val="20"/>
          <w:szCs w:val="20"/>
          <w:color w:val="auto"/>
        </w:rPr>
        <w:t xml:space="preserve"> and/or future service requirements) as the Committee determines to be appropriate.</w:t>
      </w:r>
    </w:p>
    <w:p>
      <w:pPr>
        <w:spacing w:after="0" w:line="179" w:lineRule="exact"/>
        <w:rPr>
          <w:rFonts w:ascii="Times New Roman" w:cs="Times New Roman" w:eastAsia="Times New Roman" w:hAnsi="Times New Roman"/>
          <w:sz w:val="20"/>
          <w:szCs w:val="20"/>
          <w:color w:val="auto"/>
        </w:rPr>
      </w:pPr>
    </w:p>
    <w:p>
      <w:pPr>
        <w:jc w:val="both"/>
        <w:ind w:left="743" w:hanging="743"/>
        <w:spacing w:after="0" w:line="242" w:lineRule="auto"/>
        <w:tabs>
          <w:tab w:leader="none" w:pos="74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Substitute Awards; No Repricing</w:t>
      </w:r>
      <w:r>
        <w:rPr>
          <w:rFonts w:ascii="Times New Roman" w:cs="Times New Roman" w:eastAsia="Times New Roman" w:hAnsi="Times New Roman"/>
          <w:sz w:val="20"/>
          <w:szCs w:val="20"/>
          <w:color w:val="auto"/>
        </w:rPr>
        <w:t xml:space="preserve">. Awards may be granted in substitution or exchange for any other Award granted under the Plan or under another plan of the Company or any other right of an Eligible Person to receive payment from the Company. Awards may be also be granted under the Plan in substitution for similar awards held by individuals who become Eligible Persons as a result of a merger, consolidation or acquisition of another entity or the assets of another entity by or with the Company or an Affiliate of the Company. Such Substitute Awards referred to in the immediately preceding sentence that are Options or Stock Appreciation Rights may have an exercise price that is less than the Fair Market Value of a share of Stock on the date of the substitution if such substitution complies with Section 409A and other applicable laws and exchange rules. Except as provided in this </w:t>
      </w:r>
      <w:r>
        <w:rPr>
          <w:rFonts w:ascii="Times New Roman" w:cs="Times New Roman" w:eastAsia="Times New Roman" w:hAnsi="Times New Roman"/>
          <w:sz w:val="20"/>
          <w:szCs w:val="20"/>
          <w:u w:val="single" w:color="auto"/>
          <w:color w:val="auto"/>
        </w:rPr>
        <w:t>Section 6(j)</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the terms of outstanding Awards may not be amended to reduce the Exercise Price or grant price of outstanding Options or SARs or to cancel outstanding Options and SARs in exchange for cash, other Awards or Options</w:t>
      </w:r>
    </w:p>
    <w:p>
      <w:pPr>
        <w:spacing w:after="0" w:line="287"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13" w:name="page114"/>
    <w:bookmarkEnd w:id="113"/>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743" w:right="20"/>
        <w:spacing w:after="0" w:line="269" w:lineRule="auto"/>
        <w:rPr>
          <w:sz w:val="20"/>
          <w:szCs w:val="20"/>
          <w:color w:val="auto"/>
        </w:rPr>
      </w:pPr>
      <w:r>
        <w:rPr>
          <w:rFonts w:ascii="Times New Roman" w:cs="Times New Roman" w:eastAsia="Times New Roman" w:hAnsi="Times New Roman"/>
          <w:sz w:val="20"/>
          <w:szCs w:val="20"/>
          <w:color w:val="auto"/>
        </w:rPr>
        <w:t>or SARs with an Exercise Price or grant price that is less than the Exercise Price or grant price of the original Options or SARs without the approval of the Stockholders.</w:t>
      </w:r>
    </w:p>
    <w:p>
      <w:pPr>
        <w:spacing w:after="0" w:line="159" w:lineRule="exact"/>
        <w:rPr>
          <w:sz w:val="20"/>
          <w:szCs w:val="20"/>
          <w:color w:val="auto"/>
        </w:rPr>
      </w:pPr>
    </w:p>
    <w:p>
      <w:pPr>
        <w:jc w:val="both"/>
        <w:ind w:left="743" w:hanging="743"/>
        <w:spacing w:after="0" w:line="258" w:lineRule="auto"/>
        <w:tabs>
          <w:tab w:leader="none" w:pos="743"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Performance Awards</w:t>
      </w:r>
      <w:r>
        <w:rPr>
          <w:rFonts w:ascii="Times New Roman" w:cs="Times New Roman" w:eastAsia="Times New Roman" w:hAnsi="Times New Roman"/>
          <w:sz w:val="19"/>
          <w:szCs w:val="19"/>
          <w:color w:val="auto"/>
        </w:rPr>
        <w:t xml:space="preserve">. The Committee is authorized to designate any of the Awards granted under the foregoing provisions of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as Performance Awards. The Committee may use such business criteria and other measures of performance as it may deem appropriate in establishing any performance conditions applicable to a Performance Award, and may exercise its discretion to reduce or increase the amounts payable under any Performance Award, except as limited under Section 162(m). Performance conditions may differ for Performance Awards granted to any one Participant or to different Participants. The performance period applicable to any Performance Award shall be set by the Committee but shall not exceed 10 years. The performance goals for Performance Awards shall consist of one or more business criteria and a targeted level or levels of performance with respect to each of such criteria as specified by the Committee.</w:t>
      </w:r>
    </w:p>
    <w:p>
      <w:pPr>
        <w:spacing w:after="0" w:line="173" w:lineRule="exact"/>
        <w:rPr>
          <w:rFonts w:ascii="Times New Roman" w:cs="Times New Roman" w:eastAsia="Times New Roman" w:hAnsi="Times New Roman"/>
          <w:sz w:val="19"/>
          <w:szCs w:val="19"/>
          <w:color w:val="auto"/>
        </w:rPr>
      </w:pPr>
    </w:p>
    <w:p>
      <w:pPr>
        <w:jc w:val="both"/>
        <w:ind w:left="1503" w:hanging="755"/>
        <w:spacing w:after="0" w:line="254" w:lineRule="auto"/>
        <w:tabs>
          <w:tab w:leader="none" w:pos="1503"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Business Criteria</w:t>
      </w:r>
      <w:r>
        <w:rPr>
          <w:rFonts w:ascii="Times New Roman" w:cs="Times New Roman" w:eastAsia="Times New Roman" w:hAnsi="Times New Roman"/>
          <w:sz w:val="19"/>
          <w:szCs w:val="19"/>
          <w:color w:val="auto"/>
        </w:rPr>
        <w:t>. One or more of the following business criteria for the Company, on a consolidated basis, and/or for specified Subsidiaries or business or geographical units of the Company (except with respect to the total Stockholder return and earnings per share criteria), may be used by the Committee in establishing performance goals for Performance Awards: (1) earnings per share; (2) revenues; (3) cash flow; (4) cash flow from operations; (5) cash flow return; (6) return on net assets; (7) return on assets; (8) return on investment; (9) return on capital; (10) return on equity; (11) economic value added; (12) operating margin; (13) contribution margin; (14) net income; (15) net income per share; (16) earnings; (17) earnings before interest, depreciation and amortization; (18) operating earnings after interest expense and before incentives, service fees, and extraordinary or special items; (19) total Stockholder return; (20) debt reduction or management; (21) market share; (22) change in the Fair Market Value of the Stock; (23) operating income; (24) share price; (25) effective equipment utilization; (26) achievement of savings from business improvement projects; (27) capital projects deliverables;</w:t>
      </w:r>
    </w:p>
    <w:p>
      <w:pPr>
        <w:spacing w:after="0" w:line="3" w:lineRule="exact"/>
        <w:rPr>
          <w:rFonts w:ascii="Times New Roman" w:cs="Times New Roman" w:eastAsia="Times New Roman" w:hAnsi="Times New Roman"/>
          <w:sz w:val="19"/>
          <w:szCs w:val="19"/>
          <w:color w:val="auto"/>
        </w:rPr>
      </w:pPr>
    </w:p>
    <w:p>
      <w:pPr>
        <w:jc w:val="both"/>
        <w:ind w:left="1503" w:hanging="6"/>
        <w:spacing w:after="0" w:line="256" w:lineRule="auto"/>
        <w:tabs>
          <w:tab w:leader="none" w:pos="1933" w:val="left"/>
        </w:tabs>
        <w:numPr>
          <w:ilvl w:val="2"/>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performance against environmental targets; (29) safety performance and/or incident rate; (30) human resources management targets, including medical cost reductions and time to hire; (31) satisfactory internal or external audits; and (32) any of the above goals determined pre-tax or post-tax, on an absolute or relative basis, as a ratio with other business criteria, or as compared to the performance of a published or special index deemed applicable by the Committee including the Standard &amp; Poor’s 500 Stock Index or a group of comparable companies. The terms above are used as applied under generally accepted accounting principles, as applicable.</w:t>
      </w:r>
    </w:p>
    <w:p>
      <w:pPr>
        <w:spacing w:after="0" w:line="172" w:lineRule="exact"/>
        <w:rPr>
          <w:rFonts w:ascii="Times New Roman" w:cs="Times New Roman" w:eastAsia="Times New Roman" w:hAnsi="Times New Roman"/>
          <w:sz w:val="19"/>
          <w:szCs w:val="19"/>
          <w:color w:val="auto"/>
        </w:rPr>
      </w:pPr>
    </w:p>
    <w:p>
      <w:pPr>
        <w:jc w:val="both"/>
        <w:ind w:left="1503" w:hanging="755"/>
        <w:spacing w:after="0" w:line="241" w:lineRule="auto"/>
        <w:tabs>
          <w:tab w:leader="none" w:pos="1503"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Certain Events</w:t>
      </w:r>
      <w:r>
        <w:rPr>
          <w:rFonts w:ascii="Times New Roman" w:cs="Times New Roman" w:eastAsia="Times New Roman" w:hAnsi="Times New Roman"/>
          <w:sz w:val="20"/>
          <w:szCs w:val="20"/>
          <w:color w:val="auto"/>
        </w:rPr>
        <w:t>. The Committee may provide for the manner in which actual performance and performance goals with regard to the business criteria selected shall reflect the impact of specified events during the relevant performance period, which may mean excluding the impact of any or all of the following events or occurrences for such performance period: (a) asset write-downs or impairments to assets; (b) litigation, claims, judgments or settlements; (c) the effect of changes in tax law or other such laws or regulations affecting reported results; (d) accruals for reorganization and restructuring programs; (e) any unusual or infrequent items as described in the Accounting Standards Codification Topic 225, as amended by Accounting Standards Update 2015-01, and as the same may be further amended or superseded from time to time; (f) any change in accounting principles as defined in the Accounting Standards Codification Topic 250, as the same may be amended or superseded from time to time; (g) any loss from a discontinued operation as described in the Accounting Standards Codification Topic 360, as the same may be amended or superseded from time to time; (h) goodwill impairment charges; (i) operating results for any business acquired during the calendar year; (j) third party expenses associated with any investment or acquisition by the Company or any Subsidiary; (k) any amounts accrued by the Company or its Subsidiaries pursuant to</w:t>
      </w:r>
    </w:p>
    <w:p>
      <w:pPr>
        <w:spacing w:after="0" w:line="290"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14" w:name="page115"/>
    <w:bookmarkEnd w:id="114"/>
    <w:p>
      <w:pPr>
        <w:ind w:left="10360"/>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2260"/>
        <w:spacing w:after="0" w:line="249" w:lineRule="auto"/>
        <w:rPr>
          <w:sz w:val="20"/>
          <w:szCs w:val="20"/>
          <w:color w:val="auto"/>
        </w:rPr>
      </w:pPr>
      <w:r>
        <w:rPr>
          <w:rFonts w:ascii="Times New Roman" w:cs="Times New Roman" w:eastAsia="Times New Roman" w:hAnsi="Times New Roman"/>
          <w:sz w:val="20"/>
          <w:szCs w:val="20"/>
          <w:color w:val="auto"/>
        </w:rPr>
        <w:t>management bonus plans or cash profit sharing plans and related employer payroll taxes for the fiscal year; (l) any discretionary or matching contributions made to a savings and deferred profit-sharing plan or deferred compensation plan for the fiscal year; (m) interest, expenses, taxes, depreciation and depletion, amortization and accretion charges; and (n) marked-to-market adjustments for financial instruments.</w:t>
      </w:r>
    </w:p>
    <w:p>
      <w:pPr>
        <w:spacing w:after="0" w:line="180" w:lineRule="exact"/>
        <w:rPr>
          <w:sz w:val="20"/>
          <w:szCs w:val="20"/>
          <w:color w:val="auto"/>
        </w:rPr>
      </w:pPr>
    </w:p>
    <w:p>
      <w:pPr>
        <w:jc w:val="both"/>
        <w:ind w:left="2260" w:hanging="755"/>
        <w:spacing w:after="0" w:line="249" w:lineRule="auto"/>
        <w:tabs>
          <w:tab w:leader="none" w:pos="2260"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Settlement or Payout of Awards; Other Terms</w:t>
      </w:r>
      <w:r>
        <w:rPr>
          <w:rFonts w:ascii="Times New Roman" w:cs="Times New Roman" w:eastAsia="Times New Roman" w:hAnsi="Times New Roman"/>
          <w:sz w:val="20"/>
          <w:szCs w:val="20"/>
          <w:color w:val="auto"/>
        </w:rPr>
        <w:t>. After the end of each performance period and before any Performance Award is settled or paid, the Committee shall determine the level of performance achieved with regard to each business criteria established with respect to each Performance Award and shall determine the amount of cash or Stock, if any, payable to each Participant with respect to each Performance Award.</w:t>
      </w:r>
    </w:p>
    <w:p>
      <w:pPr>
        <w:spacing w:after="0" w:line="179" w:lineRule="exact"/>
        <w:rPr>
          <w:rFonts w:ascii="Times New Roman" w:cs="Times New Roman" w:eastAsia="Times New Roman" w:hAnsi="Times New Roman"/>
          <w:sz w:val="20"/>
          <w:szCs w:val="20"/>
          <w:color w:val="auto"/>
        </w:rPr>
      </w:pPr>
    </w:p>
    <w:p>
      <w:pPr>
        <w:jc w:val="both"/>
        <w:ind w:left="2260" w:hanging="755"/>
        <w:spacing w:after="0" w:line="246" w:lineRule="auto"/>
        <w:tabs>
          <w:tab w:leader="none" w:pos="2260"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Section 162(m) Awards</w:t>
      </w:r>
      <w:r>
        <w:rPr>
          <w:rFonts w:ascii="Times New Roman" w:cs="Times New Roman" w:eastAsia="Times New Roman" w:hAnsi="Times New Roman"/>
          <w:sz w:val="20"/>
          <w:szCs w:val="20"/>
          <w:color w:val="auto"/>
        </w:rPr>
        <w:t>. The terms governing Section 162(m) Awards shall be interpreted in a manner consistent with Section 162(m) and, if any provision of the Plan as in effect on the date of adoption of any Award Agreements relating to Performance Awards that are designated as Section 162(m) Awards does not comply or is inconsistent with the requirements of Section 162(m), such provision shall be construed or deemed amended to the extent necessary to conform to such requirements.</w:t>
      </w:r>
    </w:p>
    <w:p>
      <w:pPr>
        <w:spacing w:after="0" w:line="180"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Certain Provisions Applicable to Awards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 on Transfer of Awards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2260" w:hanging="755"/>
        <w:spacing w:after="0" w:line="249" w:lineRule="auto"/>
        <w:tabs>
          <w:tab w:leader="none" w:pos="226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7(a)(iii)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each Option and SAR shall be exercisable only by the Participant during the Participant’s lifetime, or by the Person to whom the Participant’s rights shall pass by will or the laws of descent and distribution. Notwithstanding the foregoing, an ISO shall not be transferable other than by will or the laws of descent and distribution.</w:t>
      </w:r>
    </w:p>
    <w:p>
      <w:pPr>
        <w:spacing w:after="0" w:line="179" w:lineRule="exact"/>
        <w:rPr>
          <w:rFonts w:ascii="Times New Roman" w:cs="Times New Roman" w:eastAsia="Times New Roman" w:hAnsi="Times New Roman"/>
          <w:sz w:val="20"/>
          <w:szCs w:val="20"/>
          <w:color w:val="auto"/>
        </w:rPr>
      </w:pPr>
    </w:p>
    <w:p>
      <w:pPr>
        <w:jc w:val="both"/>
        <w:ind w:left="2260" w:hanging="755"/>
        <w:spacing w:after="0" w:line="249" w:lineRule="auto"/>
        <w:tabs>
          <w:tab w:leader="none" w:pos="226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7(a)(iii)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no Award other than a Stock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Affiliate.</w:t>
      </w:r>
    </w:p>
    <w:p>
      <w:pPr>
        <w:spacing w:after="0" w:line="179"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specifically provided by the Committee, an Award may be transferred by a Participant without consideration to immediate family members or related family trusts, limited partnerships or similar entities.</w:t>
      </w:r>
    </w:p>
    <w:p>
      <w:pPr>
        <w:spacing w:after="0" w:line="159"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Award may be transferred pursuant to a domestic relations order entered or approved by a court of competent jurisdiction upon delivery to the Company of a written request for such transfer and a certified copy of such order.</w:t>
      </w:r>
    </w:p>
    <w:p>
      <w:pPr>
        <w:spacing w:after="0" w:line="174" w:lineRule="exact"/>
        <w:rPr>
          <w:rFonts w:ascii="Times New Roman" w:cs="Times New Roman" w:eastAsia="Times New Roman" w:hAnsi="Times New Roman"/>
          <w:sz w:val="20"/>
          <w:szCs w:val="20"/>
          <w:color w:val="auto"/>
        </w:rPr>
      </w:pPr>
    </w:p>
    <w:p>
      <w:pPr>
        <w:jc w:val="both"/>
        <w:ind w:left="1500" w:hanging="743"/>
        <w:spacing w:after="0" w:line="243" w:lineRule="auto"/>
        <w:tabs>
          <w:tab w:leader="none" w:pos="150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Form and Timing of Payment under Awards; Deferrals</w:t>
      </w:r>
      <w:r>
        <w:rPr>
          <w:rFonts w:ascii="Times New Roman" w:cs="Times New Roman" w:eastAsia="Times New Roman" w:hAnsi="Times New Roman"/>
          <w:sz w:val="20"/>
          <w:szCs w:val="20"/>
          <w:color w:val="auto"/>
        </w:rPr>
        <w:t xml:space="preserve">. Subject to the terms of the Plan and any applicable Award Agreement, payments to be made by the Company or any of its Subsidiaries upon the exercise or settlement of an Award may be made in such forms as the Committee shall determine, including cash, Stock, other Awards or other property, and may be made in a single payment or transfer, in installments, or on a deferred basis (which may be required by the Committee or permitted at the election of the Participant on terms and conditions established by the Committee);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such deferred or installment payments shall be set forth in the Award Agreement and/or otherwise made in a manner that shall not result in additional taxes under Section 409A. Payments may include provisions for the payment or crediting of reasonable interest on installment or deferred payments or the grant or crediting of Dividend Equivalents or other amounts in respect of installment or deferred payments denominated in Stock.</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5" w:name="page116"/>
    <w:bookmarkEnd w:id="115"/>
    <w:p>
      <w:pPr>
        <w:ind w:left="10360"/>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This Plan shall not constitute an “employee benefit plan” under the Employee Retirement Income Security Act of 1974.</w:t>
      </w:r>
    </w:p>
    <w:p>
      <w:pPr>
        <w:spacing w:after="0" w:line="216" w:lineRule="exact"/>
        <w:rPr>
          <w:sz w:val="20"/>
          <w:szCs w:val="20"/>
          <w:color w:val="auto"/>
        </w:rPr>
      </w:pPr>
    </w:p>
    <w:p>
      <w:pPr>
        <w:jc w:val="both"/>
        <w:ind w:left="1500" w:hanging="743"/>
        <w:spacing w:after="0" w:line="242" w:lineRule="auto"/>
        <w:tabs>
          <w:tab w:leader="none" w:pos="150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Evidencing Stock</w:t>
      </w:r>
      <w:r>
        <w:rPr>
          <w:rFonts w:ascii="Times New Roman" w:cs="Times New Roman" w:eastAsia="Times New Roman" w:hAnsi="Times New Roman"/>
          <w:sz w:val="20"/>
          <w:szCs w:val="20"/>
          <w:color w:val="auto"/>
        </w:rPr>
        <w:t>. The Stock or other securities of the Company delivered pursuant to an Award may be evidenced in any manner deemed appropriate by the Committee, including in the form of a certificate issued in the name of the Participant or by book entry, electronic or otherwise and shall be subject to such stop transfer orders and other restrictions as the Committee may deem advisable under the Plan or the rules, regulations, and other requirements of the Securities and Exchange Commission, any stock exchange upon which such Stock or other securities are then listed, and any applicable federal, state or other laws, and the Committee may cause a legend or legends to be inscribed on any such certificates to make appropriate reference to such restrictions.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related to the Restricted Stock</w:t>
      </w:r>
    </w:p>
    <w:p>
      <w:pPr>
        <w:spacing w:after="0" w:line="189"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 for Grants</w:t>
      </w:r>
      <w:r>
        <w:rPr>
          <w:rFonts w:ascii="Times New Roman" w:cs="Times New Roman" w:eastAsia="Times New Roman" w:hAnsi="Times New Roman"/>
          <w:sz w:val="20"/>
          <w:szCs w:val="20"/>
          <w:color w:val="auto"/>
        </w:rPr>
        <w:t>. Awards may be granted for such consideration, including services, as the Committee shall determine, but shall not be granted for less than the minimum lawful consideration.</w:t>
      </w:r>
    </w:p>
    <w:p>
      <w:pPr>
        <w:spacing w:after="0" w:line="159" w:lineRule="exact"/>
        <w:rPr>
          <w:rFonts w:ascii="Times New Roman" w:cs="Times New Roman" w:eastAsia="Times New Roman" w:hAnsi="Times New Roman"/>
          <w:sz w:val="20"/>
          <w:szCs w:val="20"/>
          <w:color w:val="auto"/>
        </w:rPr>
      </w:pPr>
    </w:p>
    <w:p>
      <w:pPr>
        <w:jc w:val="both"/>
        <w:ind w:left="1500" w:hanging="743"/>
        <w:spacing w:after="0" w:line="246" w:lineRule="auto"/>
        <w:tabs>
          <w:tab w:leader="none" w:pos="150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Agreements</w:t>
      </w:r>
      <w:r>
        <w:rPr>
          <w:rFonts w:ascii="Times New Roman" w:cs="Times New Roman" w:eastAsia="Times New Roman" w:hAnsi="Times New Roman"/>
          <w:sz w:val="20"/>
          <w:szCs w:val="20"/>
          <w:color w:val="auto"/>
        </w:rPr>
        <w:t>. Each Eligible Person to whom an Award is granted under the Plan may be required to agree in writing, as a condition to the grant of such Award or otherwise, to subject an Award that is exercised or settled following such Eligible Person’s Separation from Service to a general release of claims and/or a noncompetition or other restricted covenant agreement in favor of the Company and its Affiliates, with the terms and conditions of such agreement(s) to be determined in good faith by the Committee.</w:t>
      </w:r>
    </w:p>
    <w:p>
      <w:pPr>
        <w:spacing w:after="0" w:line="184"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Except as provided herein, the treatment of an Award upon a Participant’s Separation from Service shall be specified in the applicable Award Agreement.</w:t>
      </w:r>
    </w:p>
    <w:p>
      <w:pPr>
        <w:spacing w:after="0" w:line="155" w:lineRule="exact"/>
        <w:rPr>
          <w:rFonts w:ascii="Times New Roman" w:cs="Times New Roman" w:eastAsia="Times New Roman" w:hAnsi="Times New Roman"/>
          <w:sz w:val="20"/>
          <w:szCs w:val="20"/>
          <w:color w:val="auto"/>
        </w:rPr>
      </w:pPr>
    </w:p>
    <w:p>
      <w:pPr>
        <w:ind w:left="760" w:hanging="752"/>
        <w:spacing w:after="0"/>
        <w:tabs>
          <w:tab w:leader="none" w:pos="76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Amendment; Subdivision or Consolidation; Recapitalization; Change of Control; Reorganization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500" w:hanging="743"/>
        <w:spacing w:after="0" w:line="241" w:lineRule="auto"/>
        <w:tabs>
          <w:tab w:leader="none" w:pos="15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the Plan and Awards</w:t>
      </w:r>
      <w:r>
        <w:rPr>
          <w:rFonts w:ascii="Times New Roman" w:cs="Times New Roman" w:eastAsia="Times New Roman" w:hAnsi="Times New Roman"/>
          <w:sz w:val="20"/>
          <w:szCs w:val="20"/>
          <w:color w:val="auto"/>
        </w:rPr>
        <w:t xml:space="preserve">. The Board may amend, alter, suspend, discontinue or terminate the Plan or the Committee’s authority to grant Awards under the Plan without the consent of Stockholders or Participants, except that any amendment or alteration to the Plan, including any increase in any share limitation, shall be subject to the approval of the Stockholders not later than the annual meeting next following such Board action if such Stockholder approval is required by any federal or state law or regulation or the rules of any stock exchange or automated quotation system on which the Stock may then be listed or quoted, and the Board may otherwise determine to submit other such changes to the Plan to Stockholders for approval;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without the consent of an affected Participant, no such Committee action may materially and adversely affect the rights of such Participant under such Award. For purposes of clarity, any adjustments made to Awards pursuant to </w:t>
      </w:r>
      <w:r>
        <w:rPr>
          <w:rFonts w:ascii="Times New Roman" w:cs="Times New Roman" w:eastAsia="Times New Roman" w:hAnsi="Times New Roman"/>
          <w:sz w:val="20"/>
          <w:szCs w:val="20"/>
          <w:u w:val="single" w:color="auto"/>
          <w:color w:val="auto"/>
        </w:rPr>
        <w:t>Section 8(b)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8(g)</w:t>
      </w:r>
      <w:r>
        <w:rPr>
          <w:rFonts w:ascii="Times New Roman" w:cs="Times New Roman" w:eastAsia="Times New Roman" w:hAnsi="Times New Roman"/>
          <w:sz w:val="20"/>
          <w:szCs w:val="20"/>
          <w:color w:val="auto"/>
        </w:rPr>
        <w:t xml:space="preserve"> shall be deemed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to materially and adversely affect the rights of any Participant under any previously granted and outstanding Award and therefore may be made without the consent of affected Participants.</w:t>
      </w:r>
    </w:p>
    <w:p>
      <w:pPr>
        <w:spacing w:after="0" w:line="195"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Existence of Plans and Awards</w:t>
      </w:r>
      <w:r>
        <w:rPr>
          <w:rFonts w:ascii="Times New Roman" w:cs="Times New Roman" w:eastAsia="Times New Roman" w:hAnsi="Times New Roman"/>
          <w:sz w:val="20"/>
          <w:szCs w:val="20"/>
          <w:color w:val="auto"/>
        </w:rPr>
        <w:t>. The existence of the Plan and the Awards granted hereunder shall not affect in any way the right or power of the Company, the Board or the Stockholders to make or</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6" w:name="page117"/>
    <w:bookmarkEnd w:id="116"/>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743"/>
        <w:spacing w:after="0" w:line="249" w:lineRule="auto"/>
        <w:rPr>
          <w:sz w:val="20"/>
          <w:szCs w:val="20"/>
          <w:color w:val="auto"/>
        </w:rPr>
      </w:pPr>
      <w:r>
        <w:rPr>
          <w:rFonts w:ascii="Times New Roman" w:cs="Times New Roman" w:eastAsia="Times New Roman" w:hAnsi="Times New Roman"/>
          <w:sz w:val="20"/>
          <w:szCs w:val="20"/>
          <w:color w:val="auto"/>
        </w:rPr>
        <w:t>authorize any adjustment, recapitalization, reorganization or other change in the Company’s capital structure or its business, any merger or consolidation of the Company, any issue of debt or equity securities ahead of or affecting Stock or the rights thereof, the dissolution or liquidation of the Company or any sale, lease, exchange or other disposition of all or any part of its assets or business or any other corporate act or proceeding.</w:t>
      </w:r>
    </w:p>
    <w:p>
      <w:pPr>
        <w:spacing w:after="0" w:line="180" w:lineRule="exact"/>
        <w:rPr>
          <w:sz w:val="20"/>
          <w:szCs w:val="20"/>
          <w:color w:val="auto"/>
        </w:rPr>
      </w:pPr>
    </w:p>
    <w:p>
      <w:pPr>
        <w:ind w:left="743" w:hanging="743"/>
        <w:spacing w:after="0" w:line="269" w:lineRule="auto"/>
        <w:tabs>
          <w:tab w:leader="none" w:pos="74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Subdivision or Consolidation of Shares</w:t>
      </w:r>
      <w:r>
        <w:rPr>
          <w:rFonts w:ascii="Times New Roman" w:cs="Times New Roman" w:eastAsia="Times New Roman" w:hAnsi="Times New Roman"/>
          <w:sz w:val="20"/>
          <w:szCs w:val="20"/>
          <w:color w:val="auto"/>
        </w:rPr>
        <w:t>. The terms of an Award and the share limitations under the Plan shall be subject to adjustment by the Committee from time to time, in accordance with the following provisions:</w:t>
      </w:r>
    </w:p>
    <w:p>
      <w:pPr>
        <w:spacing w:after="0" w:line="159" w:lineRule="exact"/>
        <w:rPr>
          <w:rFonts w:ascii="Times New Roman" w:cs="Times New Roman" w:eastAsia="Times New Roman" w:hAnsi="Times New Roman"/>
          <w:sz w:val="20"/>
          <w:szCs w:val="20"/>
          <w:color w:val="auto"/>
        </w:rPr>
      </w:pPr>
    </w:p>
    <w:p>
      <w:pPr>
        <w:jc w:val="both"/>
        <w:ind w:left="1503" w:hanging="755"/>
        <w:spacing w:after="0" w:line="242" w:lineRule="auto"/>
        <w:tabs>
          <w:tab w:leader="none" w:pos="1503"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or from time to time, the Company shall subdivide as a whole (by reclassification, by a Stock split, by the issuance of a distribution on Stock payable in Stock, or otherwise) the number of shares of Stock then outstanding into a greater number of shares of Stock or in the event the Company distributes an extraordinary cash dividend, then, as appropriate (A) the maximum number of shares of Stock available for the Plan or in connection with Awards as provided in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shall be increased proportionately, and the kind of shares or other securities available for the Plan shall be appropriately adjusted, (B) the number of shares of Stock (or other kind of shares or securities) that may be acquired under any then outstanding Award shall be increased proportionately, and (C) the price (including the Exercise Price or grant price) for each share of Stock (or other kind of shares or securities) subject to then outstanding Awards shall be reduced proportionately, without changing the aggregate purchase price or value as to which outstanding Awards remain exercisable or subject to restrictions.</w:t>
      </w:r>
    </w:p>
    <w:p>
      <w:pPr>
        <w:spacing w:after="0" w:line="189" w:lineRule="exact"/>
        <w:rPr>
          <w:rFonts w:ascii="Times New Roman" w:cs="Times New Roman" w:eastAsia="Times New Roman" w:hAnsi="Times New Roman"/>
          <w:sz w:val="20"/>
          <w:szCs w:val="20"/>
          <w:color w:val="auto"/>
        </w:rPr>
      </w:pPr>
    </w:p>
    <w:p>
      <w:pPr>
        <w:jc w:val="both"/>
        <w:ind w:left="1503" w:hanging="755"/>
        <w:spacing w:after="0" w:line="243" w:lineRule="auto"/>
        <w:tabs>
          <w:tab w:leader="none" w:pos="1503"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or from time to time, the Company shall consolidate as a whole (by reclassification, by reverse Stock split, or otherwise) the number of shares of Stock then outstanding into a lesser number of shares of Stock, then, as appropriate (A) the maximum number of shares of Stock available for the Plan or in connection with Awards as provided in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shall be decreased proportionately, and the kind of shares or other securities available for the Plan shall be appropriately adjusted, (B) the number of shares of Stock (or other kind of shares or securities) that may be acquired under any then outstanding Award shall be decreased proportionately, and (C) the price (including the exercise price) for each share of Stock (or other kind of shares or securities) subject to then outstanding Awards shall be increased proportionately, without changing the aggregate purchase price or value as to which outstanding Awards remain exercisable or subject to restrictions.</w:t>
      </w:r>
    </w:p>
    <w:p>
      <w:pPr>
        <w:spacing w:after="0" w:line="185" w:lineRule="exact"/>
        <w:rPr>
          <w:rFonts w:ascii="Times New Roman" w:cs="Times New Roman" w:eastAsia="Times New Roman" w:hAnsi="Times New Roman"/>
          <w:sz w:val="20"/>
          <w:szCs w:val="20"/>
          <w:color w:val="auto"/>
        </w:rPr>
      </w:pPr>
    </w:p>
    <w:p>
      <w:pPr>
        <w:jc w:val="both"/>
        <w:ind w:left="1503" w:hanging="755"/>
        <w:spacing w:after="0" w:line="245" w:lineRule="auto"/>
        <w:tabs>
          <w:tab w:leader="none" w:pos="1503"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the number of shares of Stock subject to outstanding Awards and the price for each share of Stock subject to outstanding Awards are required to be adjusted as provided in this </w:t>
      </w:r>
      <w:r>
        <w:rPr>
          <w:rFonts w:ascii="Times New Roman" w:cs="Times New Roman" w:eastAsia="Times New Roman" w:hAnsi="Times New Roman"/>
          <w:sz w:val="20"/>
          <w:szCs w:val="20"/>
          <w:u w:val="single" w:color="auto"/>
          <w:color w:val="auto"/>
        </w:rPr>
        <w:t>Section 8(c)</w:t>
      </w:r>
      <w:r>
        <w:rPr>
          <w:rFonts w:ascii="Times New Roman" w:cs="Times New Roman" w:eastAsia="Times New Roman" w:hAnsi="Times New Roman"/>
          <w:sz w:val="20"/>
          <w:szCs w:val="20"/>
          <w:color w:val="auto"/>
        </w:rPr>
        <w:t>, the Committee shall promptly prepare a notice setting forth, in reasonable detail, the event requiring adjustment, the amount of the adjustment, the method by which such adjustment was calculated, and the change in price and the number of shares of Stock, other securities, cash, or property purchasable subject to each Award after giving effect to the adjustments. The Committee shall promptly provide each affected Participant with such notice.</w:t>
      </w:r>
    </w:p>
    <w:p>
      <w:pPr>
        <w:spacing w:after="0" w:line="184" w:lineRule="exact"/>
        <w:rPr>
          <w:rFonts w:ascii="Times New Roman" w:cs="Times New Roman" w:eastAsia="Times New Roman" w:hAnsi="Times New Roman"/>
          <w:sz w:val="20"/>
          <w:szCs w:val="20"/>
          <w:color w:val="auto"/>
        </w:rPr>
      </w:pPr>
    </w:p>
    <w:p>
      <w:pPr>
        <w:jc w:val="both"/>
        <w:ind w:left="743" w:hanging="743"/>
        <w:spacing w:after="0" w:line="244" w:lineRule="auto"/>
        <w:tabs>
          <w:tab w:leader="none" w:pos="74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Recapitalization</w:t>
      </w:r>
      <w:r>
        <w:rPr>
          <w:rFonts w:ascii="Times New Roman" w:cs="Times New Roman" w:eastAsia="Times New Roman" w:hAnsi="Times New Roman"/>
          <w:sz w:val="20"/>
          <w:szCs w:val="20"/>
          <w:color w:val="auto"/>
        </w:rPr>
        <w:t>. If the Company recapitalizes, reclassifies its capital stock, or otherwise changes its capital structure (a “</w:t>
      </w:r>
      <w:r>
        <w:rPr>
          <w:rFonts w:ascii="Times New Roman" w:cs="Times New Roman" w:eastAsia="Times New Roman" w:hAnsi="Times New Roman"/>
          <w:sz w:val="20"/>
          <w:szCs w:val="20"/>
          <w:b w:val="1"/>
          <w:bCs w:val="1"/>
          <w:i w:val="1"/>
          <w:iCs w:val="1"/>
          <w:color w:val="auto"/>
        </w:rPr>
        <w:t>recapitalization</w:t>
      </w:r>
      <w:r>
        <w:rPr>
          <w:rFonts w:ascii="Times New Roman" w:cs="Times New Roman" w:eastAsia="Times New Roman" w:hAnsi="Times New Roman"/>
          <w:sz w:val="20"/>
          <w:szCs w:val="20"/>
          <w:color w:val="auto"/>
        </w:rPr>
        <w:t xml:space="preserve">”) without the occurrence of a Change of Control, the number and class of shares of Stock covered by an Award theretofore granted shall be adjusted so that such Award shall thereafter cover the number and class of shares of Stock and securities to which the holder would have been entitled pursuant to the terms of the recapitalization if, immediately prior to the recapitalization, the holder had been the holder of record of the number of shares of Stock then covered by such Award and the share limitations provided in </w:t>
      </w:r>
      <w:r>
        <w:rPr>
          <w:rFonts w:ascii="Times New Roman" w:cs="Times New Roman" w:eastAsia="Times New Roman" w:hAnsi="Times New Roman"/>
          <w:sz w:val="20"/>
          <w:szCs w:val="20"/>
          <w:u w:val="single" w:color="auto"/>
          <w:color w:val="auto"/>
        </w:rPr>
        <w:t>Sections 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shall be adjusted in a manner consistent with the recapitalization.</w:t>
      </w:r>
    </w:p>
    <w:p>
      <w:pPr>
        <w:spacing w:after="0" w:line="280"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13" w:lineRule="exact"/>
        <w:rPr>
          <w:sz w:val="20"/>
          <w:szCs w:val="20"/>
          <w:color w:val="auto"/>
        </w:rPr>
      </w:pPr>
    </w:p>
    <w:p>
      <w:pPr>
        <w:jc w:val="both"/>
        <w:ind w:left="743" w:hanging="743"/>
        <w:spacing w:after="0" w:line="245" w:lineRule="auto"/>
        <w:tabs>
          <w:tab w:leader="none" w:pos="74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Issuances</w:t>
      </w:r>
      <w:r>
        <w:rPr>
          <w:rFonts w:ascii="Times New Roman" w:cs="Times New Roman" w:eastAsia="Times New Roman" w:hAnsi="Times New Roman"/>
          <w:sz w:val="20"/>
          <w:szCs w:val="20"/>
          <w:color w:val="auto"/>
        </w:rPr>
        <w:t>. Except as expressly provided herein, the issuance by the Company of shares of stock of any class or securities convertible into shares of stock of any class, for cash, property, labor or services, upon direct sale, upon the exercise of rights or warrants to subscribe therefor, or upon conversion of shares or obligations of the Company convertible into such shares or other securities, and in any case whether or not for fair value, shall not affect, and no adjustment by reason thereof shall be made with respect to, the number of shares of Stock subject to Awards theretofore granted or the purchase price per share of Stock, if applicable.</w:t>
      </w:r>
    </w:p>
    <w:p>
      <w:pPr>
        <w:spacing w:after="0" w:line="184" w:lineRule="exact"/>
        <w:rPr>
          <w:rFonts w:ascii="Times New Roman" w:cs="Times New Roman" w:eastAsia="Times New Roman" w:hAnsi="Times New Roman"/>
          <w:sz w:val="20"/>
          <w:szCs w:val="20"/>
          <w:color w:val="auto"/>
        </w:rPr>
      </w:pPr>
    </w:p>
    <w:p>
      <w:pPr>
        <w:jc w:val="both"/>
        <w:ind w:left="743" w:hanging="743"/>
        <w:spacing w:after="0" w:line="254" w:lineRule="auto"/>
        <w:tabs>
          <w:tab w:leader="none" w:pos="743"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of Control and Other Events</w:t>
      </w:r>
      <w:r>
        <w:rPr>
          <w:rFonts w:ascii="Times New Roman" w:cs="Times New Roman" w:eastAsia="Times New Roman" w:hAnsi="Times New Roman"/>
          <w:sz w:val="19"/>
          <w:szCs w:val="19"/>
          <w:color w:val="auto"/>
        </w:rPr>
        <w:t xml:space="preserve">. Notwithstanding any other provisions of the Plan or an Award Agreement to the contrary, upon a Change of Control or changes in the outstanding Stock by reason of a recapitalization, reorganization, merger, consolidation, combination, exchange or other relevant change in capitalization occurring after the date of the grant of any Award and not otherwise provided for by this </w:t>
      </w:r>
      <w:r>
        <w:rPr>
          <w:rFonts w:ascii="Times New Roman" w:cs="Times New Roman" w:eastAsia="Times New Roman" w:hAnsi="Times New Roman"/>
          <w:sz w:val="19"/>
          <w:szCs w:val="19"/>
          <w:u w:val="single" w:color="auto"/>
          <w:color w:val="auto"/>
        </w:rPr>
        <w:t>Section 8</w:t>
      </w:r>
      <w:r>
        <w:rPr>
          <w:rFonts w:ascii="Times New Roman" w:cs="Times New Roman" w:eastAsia="Times New Roman" w:hAnsi="Times New Roman"/>
          <w:sz w:val="19"/>
          <w:szCs w:val="19"/>
          <w:color w:val="auto"/>
        </w:rPr>
        <w:t>, the Committee, acting without the consent or approval of any holder, may effect one or more of the following alternatives, which may vary among individual holders and which may vary among Options, SARs or other Awards held by any individual holder: (i) remove any applicable forfeiture restrictions on any Award; (ii) accelerate the time of exercisability of an Award so that such Award may be exercised in full or in part for a limited period of time on or before a date specified by the Committee, before or after such Change of Control, after which specified date all unexercised Awards and all rights of holders thereunder shall terminate;</w:t>
      </w:r>
    </w:p>
    <w:p>
      <w:pPr>
        <w:spacing w:after="0" w:line="6" w:lineRule="exact"/>
        <w:rPr>
          <w:rFonts w:ascii="Times New Roman" w:cs="Times New Roman" w:eastAsia="Times New Roman" w:hAnsi="Times New Roman"/>
          <w:sz w:val="19"/>
          <w:szCs w:val="19"/>
          <w:color w:val="auto"/>
        </w:rPr>
      </w:pPr>
    </w:p>
    <w:p>
      <w:pPr>
        <w:jc w:val="both"/>
        <w:ind w:left="743" w:firstLine="6"/>
        <w:spacing w:after="0" w:line="252" w:lineRule="auto"/>
        <w:tabs>
          <w:tab w:leader="none" w:pos="1092"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provide for a cash payment with respect to outstanding Awards by requiring the mandatory surrender to the Company by selected holders of some or all of the outstanding Awards held by such holders (irrespective of whether such Awards are then vested or exercisable pursuant to the Plan) as of a date, before or after such Change of Control, specified by the Committee, in which event the Committee shall thereupon cancel such Awards (with respect to all shares subject to such Awards) and pay to each holder an amount of cash (or other consideration including securities or other property) per Award (other than a Dividend Equivalent or Cash Award) equal to the Change of Control Price (as defined below), less the Exercise Price with respect to an Option and less the grant price with respect to a SAR, as applicable to such Awards;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to the extent the exercise price of an Option or an SAR exceeds the Change of Control Price, such award may be canceled for no consideration; (iv) cancel Awards that remain subject to a restricted period as of the date of a Change of Control without payment of any consideration to the Participant for such Awards; or (v) make such adjustments to Awards then outstanding as the Committee deems appropriate to reflect such Change of Control (including</w:t>
      </w:r>
    </w:p>
    <w:p>
      <w:pPr>
        <w:spacing w:after="0" w:line="1" w:lineRule="exact"/>
        <w:rPr>
          <w:rFonts w:ascii="Times New Roman" w:cs="Times New Roman" w:eastAsia="Times New Roman" w:hAnsi="Times New Roman"/>
          <w:sz w:val="19"/>
          <w:szCs w:val="19"/>
          <w:color w:val="auto"/>
        </w:rPr>
      </w:pPr>
    </w:p>
    <w:p>
      <w:pPr>
        <w:jc w:val="both"/>
        <w:ind w:left="743" w:firstLine="6"/>
        <w:spacing w:after="0" w:line="241" w:lineRule="auto"/>
        <w:tabs>
          <w:tab w:leader="none" w:pos="1027"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substitution, assumption, or continuation of Awards by the successor company or a parent or subsidiary thereof for new awards, and (y) the adjustment as to the number and price of shares of Stock or other consideration subject to such Awards);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Committee may determine that no adjustment is necessary to Awards then outstanding.</w:t>
      </w:r>
    </w:p>
    <w:p>
      <w:pPr>
        <w:spacing w:after="0" w:line="184" w:lineRule="exact"/>
        <w:rPr>
          <w:rFonts w:ascii="Times New Roman" w:cs="Times New Roman" w:eastAsia="Times New Roman" w:hAnsi="Times New Roman"/>
          <w:sz w:val="20"/>
          <w:szCs w:val="20"/>
          <w:color w:val="auto"/>
        </w:rPr>
      </w:pPr>
    </w:p>
    <w:p>
      <w:pPr>
        <w:jc w:val="both"/>
        <w:ind w:left="743" w:hanging="743"/>
        <w:spacing w:after="0" w:line="242" w:lineRule="auto"/>
        <w:tabs>
          <w:tab w:leader="none" w:pos="743"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 Price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i w:val="1"/>
          <w:iCs w:val="1"/>
          <w:color w:val="auto"/>
        </w:rPr>
        <w:t>Change of Control Price</w:t>
      </w:r>
      <w:r>
        <w:rPr>
          <w:rFonts w:ascii="Times New Roman" w:cs="Times New Roman" w:eastAsia="Times New Roman" w:hAnsi="Times New Roman"/>
          <w:sz w:val="20"/>
          <w:szCs w:val="20"/>
          <w:color w:val="auto"/>
        </w:rPr>
        <w:t xml:space="preserve">” shall equal the amount determined in the following clause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whichever is applicable, as follows: (i) the price per share offered to holders of Stock in any merger or consolidation, (ii) the per share Fair Market Value of the Stock immediately before the Change of Control without regard to assets sold in the Change of Control and assuming the Company has received the consideration paid for the assets in the case of a sale of the assets, (iii) the amount distributed per share of Stock in a dissolution transaction, (iv) the price per share offered to holders of Stock in any tender offer or exchange offer whereby a Change of Control takes place, or (v) if such Change of Control occurs other than pursuant to a transaction described in clauses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8(g)</w:t>
      </w:r>
      <w:r>
        <w:rPr>
          <w:rFonts w:ascii="Times New Roman" w:cs="Times New Roman" w:eastAsia="Times New Roman" w:hAnsi="Times New Roman"/>
          <w:sz w:val="20"/>
          <w:szCs w:val="20"/>
          <w:color w:val="auto"/>
        </w:rPr>
        <w:t xml:space="preserve">, the Fair Market Value per share of the Stock that may otherwise be obtained with respect to such Awards or to which such Awards track, as determined by the Committee as of the date determined by the Committee to be the date of cancellation and surrender of such Awards. In the event that the consideration offered to Stockholders in any transaction described in this </w:t>
      </w:r>
      <w:r>
        <w:rPr>
          <w:rFonts w:ascii="Times New Roman" w:cs="Times New Roman" w:eastAsia="Times New Roman" w:hAnsi="Times New Roman"/>
          <w:sz w:val="20"/>
          <w:szCs w:val="20"/>
          <w:u w:val="single" w:color="auto"/>
          <w:color w:val="auto"/>
        </w:rPr>
        <w:t>Section 8(g)</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Section 8(f)</w:t>
      </w:r>
      <w:r>
        <w:rPr>
          <w:rFonts w:ascii="Times New Roman" w:cs="Times New Roman" w:eastAsia="Times New Roman" w:hAnsi="Times New Roman"/>
          <w:sz w:val="20"/>
          <w:szCs w:val="20"/>
          <w:color w:val="auto"/>
        </w:rPr>
        <w:t xml:space="preserve"> consists of anything other than cash, the Committee shall determine the fair cash equivalent of the portion of the consideration offered which is other than cash and such determination shall be binding on all affected Participants to the extent applicable to Awards held by such Participants.</w:t>
      </w:r>
    </w:p>
    <w:p>
      <w:pPr>
        <w:spacing w:after="0" w:line="283"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09" w:lineRule="exact"/>
        <w:rPr>
          <w:sz w:val="20"/>
          <w:szCs w:val="20"/>
          <w:color w:val="auto"/>
        </w:rPr>
      </w:pPr>
    </w:p>
    <w:p>
      <w:pPr>
        <w:ind w:left="760" w:hanging="752"/>
        <w:spacing w:after="0"/>
        <w:tabs>
          <w:tab w:leader="none" w:pos="7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 Provisions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1500" w:hanging="743"/>
        <w:spacing w:after="0" w:line="241" w:lineRule="auto"/>
        <w:tabs>
          <w:tab w:leader="none" w:pos="150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The Company and any of its Subsidiaries are authorized to withhold from any Award granted, or any payment relating to an Award under the Plan, including from a distribution of Stock, amounts of withholding and other taxes due or potentially payable in connection with any transaction involving an Award, and to take such other action as the Committee may deem advisable to enable the Company, its Subsidiaries and Participants to satisfy obligations for the payment of withholding taxes and other tax obligations relating to any Award. The Committee shall determine the form of payment acceptable for such tax withholding obligations, including the delivery of cash or cash equivalents, Stock (including previously owned shares, net settlement, a broker-assisted sale, or other cashless withholding or reduction of the amount of shares otherwise issuable or delivered pursuant to the Award), other property, or any other legal consideration the Committee deems appropriate. Any determination made by the Committee to allow a Participant who is subject to Rule 16b-3 to pay taxes with shares of Stock through net settlement or previously owned shares shall be approved by a committee made up of two or more Qualified Members or the full Board. If such tax obligations are satisfied through the withholding of shares of Stock that are otherwise issuable to the Participant pursuant to an Award (or through the surrender of shares of Stock by the Participant to the Company), the maximum number of shares of Stock that may be so withheld (or surrendered) shall be the number of shares of Stock that have an aggregate Fair Market Value on the date of withholding or repurchase equal to the aggregate amount of such tax liabilities determined based on the greatest withholding rates for federal, state, foreign and/or local tax purposes, including payroll taxes, that may be utilized without creating adverse accounting treatment with respect to such Award, as determined by the Committee.</w:t>
      </w:r>
    </w:p>
    <w:p>
      <w:pPr>
        <w:spacing w:after="0" w:line="191" w:lineRule="exact"/>
        <w:rPr>
          <w:rFonts w:ascii="Times New Roman" w:cs="Times New Roman" w:eastAsia="Times New Roman" w:hAnsi="Times New Roman"/>
          <w:sz w:val="20"/>
          <w:szCs w:val="20"/>
          <w:color w:val="auto"/>
        </w:rPr>
      </w:pPr>
    </w:p>
    <w:p>
      <w:pPr>
        <w:jc w:val="both"/>
        <w:ind w:left="1500" w:hanging="743"/>
        <w:spacing w:after="0" w:line="243" w:lineRule="auto"/>
        <w:tabs>
          <w:tab w:leader="none" w:pos="150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Rights Conferred under Plan</w:t>
      </w:r>
      <w:r>
        <w:rPr>
          <w:rFonts w:ascii="Times New Roman" w:cs="Times New Roman" w:eastAsia="Times New Roman" w:hAnsi="Times New Roman"/>
          <w:sz w:val="20"/>
          <w:szCs w:val="20"/>
          <w:color w:val="auto"/>
        </w:rPr>
        <w:t>. Neither the Plan nor any action taken hereunder shall be construed as (i) giving any Eligible Person or Participant the right to continue as an Eligible Person or Participant or in the employ or service of the Company or any of its Subsidiaries, (ii) interfering in any way with the right of the Company or any of its Subsidiaries to terminate any Eligible Person’s or Participant’s employment or service relationship at any time, (iii) giving an Eligible Person or Participant any claim to be granted any Award under the Plan or to be treated uniformly with other Participants and/or employees and/or other service providers, or (iv) conferring on a Participant any of the rights of a Stockholder unless and until the Participant is duly issued or transferred shares of Stock in accordance with the terms of an Award.</w:t>
      </w:r>
    </w:p>
    <w:p>
      <w:pPr>
        <w:spacing w:after="0" w:line="189" w:lineRule="exact"/>
        <w:rPr>
          <w:rFonts w:ascii="Times New Roman" w:cs="Times New Roman" w:eastAsia="Times New Roman" w:hAnsi="Times New Roman"/>
          <w:sz w:val="20"/>
          <w:szCs w:val="20"/>
          <w:color w:val="auto"/>
        </w:rPr>
      </w:pPr>
    </w:p>
    <w:p>
      <w:pPr>
        <w:jc w:val="both"/>
        <w:ind w:left="1500" w:hanging="743"/>
        <w:spacing w:after="0" w:line="244" w:lineRule="auto"/>
        <w:tabs>
          <w:tab w:leader="none" w:pos="150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Submission to Jurisdiction</w:t>
      </w:r>
      <w:r>
        <w:rPr>
          <w:rFonts w:ascii="Times New Roman" w:cs="Times New Roman" w:eastAsia="Times New Roman" w:hAnsi="Times New Roman"/>
          <w:sz w:val="20"/>
          <w:szCs w:val="20"/>
          <w:color w:val="auto"/>
        </w:rPr>
        <w:t>. All questions arising with respect to the provisions of the Plan and Awards shall be determined by application of the laws of the State of Delaware, without giving effect to any conflict of law provisions thereof, except to the extent Delaware law is preempted by federal law. The obligation of the Company to sell and deliver Stock hereunder is subject to applicable federal and state laws and to the approval of any governmental authority required in connection with the authorization, issuance, sale, or delivery of such Stock. With respect to any claim or dispute related to or arising under the Plan, the Company and the Participants consent to the exclusive jurisdiction, forum and venue of the state and federal courts located in Oklahoma City, Oklahoma.</w:t>
      </w:r>
    </w:p>
    <w:p>
      <w:pPr>
        <w:spacing w:after="0" w:line="185" w:lineRule="exact"/>
        <w:rPr>
          <w:rFonts w:ascii="Times New Roman" w:cs="Times New Roman" w:eastAsia="Times New Roman" w:hAnsi="Times New Roman"/>
          <w:sz w:val="20"/>
          <w:szCs w:val="20"/>
          <w:color w:val="auto"/>
        </w:rPr>
      </w:pPr>
    </w:p>
    <w:p>
      <w:pPr>
        <w:jc w:val="both"/>
        <w:ind w:left="1500" w:hanging="743"/>
        <w:spacing w:after="0" w:line="258" w:lineRule="auto"/>
        <w:tabs>
          <w:tab w:leader="none" w:pos="1500"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 and Reformation</w:t>
      </w:r>
      <w:r>
        <w:rPr>
          <w:rFonts w:ascii="Times New Roman" w:cs="Times New Roman" w:eastAsia="Times New Roman" w:hAnsi="Times New Roman"/>
          <w:sz w:val="19"/>
          <w:szCs w:val="19"/>
          <w:color w:val="auto"/>
        </w:rPr>
        <w:t>. 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 If any of the terms or provisions of the Plan or any Award Agreement conflict with the requirements of Rule 16b-3 (as those terms or provisions are applied to Eligible Persons who are subject to section 16(b) of the Exchange Act) or Section 422 (with respect to Incentive Stock</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9" w:name="page120"/>
    <w:bookmarkEnd w:id="119"/>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743"/>
        <w:spacing w:after="0" w:line="244" w:lineRule="auto"/>
        <w:rPr>
          <w:sz w:val="20"/>
          <w:szCs w:val="20"/>
          <w:color w:val="auto"/>
        </w:rPr>
      </w:pPr>
      <w:r>
        <w:rPr>
          <w:rFonts w:ascii="Times New Roman" w:cs="Times New Roman" w:eastAsia="Times New Roman" w:hAnsi="Times New Roman"/>
          <w:sz w:val="20"/>
          <w:szCs w:val="20"/>
          <w:color w:val="auto"/>
        </w:rPr>
        <w:t xml:space="preserve">Options), then those conflicting terms or provisions shall be deemed inoperative to the extent they so conflict with the requirements of Rule 16b-3 (unless the Board or the Committee, as appropriate, has expressly determined that the Plan or such Award should not comply with Rule 16b-3) or Section 422. With respect to Incentive Stock Options, if the Plan does not contain any provision required to be included herein under Section 422, that provision shall be deemed to be incorporated herein with the same force and effect as if that provision had been set out at length 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any Option that is intended to qualify as an Incentive Stock Option cannot so qualify, that Option (to that extent) shall be deemed a Nonstatutory Stock Option for all purposes of the Plan.</w:t>
      </w:r>
    </w:p>
    <w:p>
      <w:pPr>
        <w:spacing w:after="0" w:line="186" w:lineRule="exact"/>
        <w:rPr>
          <w:sz w:val="20"/>
          <w:szCs w:val="20"/>
          <w:color w:val="auto"/>
        </w:rPr>
      </w:pPr>
    </w:p>
    <w:p>
      <w:pPr>
        <w:jc w:val="both"/>
        <w:ind w:left="743" w:hanging="743"/>
        <w:spacing w:after="0" w:line="246" w:lineRule="auto"/>
        <w:tabs>
          <w:tab w:leader="none" w:pos="74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Unfunded Status of Awards; No Trust or Fund Created</w:t>
      </w:r>
      <w:r>
        <w:rPr>
          <w:rFonts w:ascii="Times New Roman" w:cs="Times New Roman" w:eastAsia="Times New Roman" w:hAnsi="Times New Roman"/>
          <w:sz w:val="20"/>
          <w:szCs w:val="20"/>
          <w:color w:val="auto"/>
        </w:rPr>
        <w:t>. This Plan is intended to constitute an “unfunded” plan for certain incentive awards. Neither the Plan nor any Award shall create or be construed to create a trust or separate fund of any kind or a fiduciary relationship between the Company or any Affiliate and a Participant or any other Person. To the extent that any Person acquires a right to receive payments from the Company or any Affiliate pursuant to an Award, such right shall be no greater than the right of any general unsecured creditor of the Company or such Affiliate.</w:t>
      </w:r>
    </w:p>
    <w:p>
      <w:pPr>
        <w:spacing w:after="0" w:line="184" w:lineRule="exact"/>
        <w:rPr>
          <w:rFonts w:ascii="Times New Roman" w:cs="Times New Roman" w:eastAsia="Times New Roman" w:hAnsi="Times New Roman"/>
          <w:sz w:val="20"/>
          <w:szCs w:val="20"/>
          <w:color w:val="auto"/>
        </w:rPr>
      </w:pPr>
    </w:p>
    <w:p>
      <w:pPr>
        <w:jc w:val="both"/>
        <w:ind w:left="743" w:hanging="743"/>
        <w:spacing w:after="0" w:line="244" w:lineRule="auto"/>
        <w:tabs>
          <w:tab w:leader="none" w:pos="74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Nonexclusivity of the Plan</w:t>
      </w:r>
      <w:r>
        <w:rPr>
          <w:rFonts w:ascii="Times New Roman" w:cs="Times New Roman" w:eastAsia="Times New Roman" w:hAnsi="Times New Roman"/>
          <w:sz w:val="20"/>
          <w:szCs w:val="20"/>
          <w:color w:val="auto"/>
        </w:rPr>
        <w:t>. Neither the adoption of the Plan by the Board nor its submission to the Stockholders for approval shall be construed as creating any limitations on the power of the Board or a committee thereof to adopt such other incentive arrangements as it may deem desirable. Nothing contained in the Plan shall be construed to prevent the Company or any of its Subsidiaries from taking any corporate action which is deemed by the Company or such Subsidiary to be appropriate or in its best interest, whether or not such action would have an adverse effect on the Plan or any Award made under the Plan. No employee, beneficiary or other Person shall have any claim against the Company or any of its Subsidiaries as a result of any such action.</w:t>
      </w:r>
    </w:p>
    <w:p>
      <w:pPr>
        <w:spacing w:after="0" w:line="185" w:lineRule="exact"/>
        <w:rPr>
          <w:rFonts w:ascii="Times New Roman" w:cs="Times New Roman" w:eastAsia="Times New Roman" w:hAnsi="Times New Roman"/>
          <w:sz w:val="20"/>
          <w:szCs w:val="20"/>
          <w:color w:val="auto"/>
        </w:rPr>
      </w:pPr>
    </w:p>
    <w:p>
      <w:pPr>
        <w:jc w:val="both"/>
        <w:ind w:left="743" w:hanging="743"/>
        <w:spacing w:after="0" w:line="249" w:lineRule="auto"/>
        <w:tabs>
          <w:tab w:leader="none" w:pos="74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r>
        <w:rPr>
          <w:rFonts w:ascii="Times New Roman" w:cs="Times New Roman" w:eastAsia="Times New Roman" w:hAnsi="Times New Roman"/>
          <w:sz w:val="20"/>
          <w:szCs w:val="20"/>
          <w:color w:val="auto"/>
        </w:rPr>
        <w:t>. No fractional shares of Stock shall be issued or delivered pursuant to the Plan or any Award, and the Committee shall determine whether cash, other securities, or other property shall be paid or transferred in lieu of any fractional shares of Stock or whether such fractional shares of Stock or any rights thereto shall be canceled, terminated, or otherwise eliminated with or without consideration.</w:t>
      </w:r>
    </w:p>
    <w:p>
      <w:pPr>
        <w:spacing w:after="0" w:line="179" w:lineRule="exact"/>
        <w:rPr>
          <w:rFonts w:ascii="Times New Roman" w:cs="Times New Roman" w:eastAsia="Times New Roman" w:hAnsi="Times New Roman"/>
          <w:sz w:val="20"/>
          <w:szCs w:val="20"/>
          <w:color w:val="auto"/>
        </w:rPr>
      </w:pPr>
    </w:p>
    <w:p>
      <w:pPr>
        <w:jc w:val="both"/>
        <w:ind w:left="743" w:hanging="743"/>
        <w:spacing w:after="0" w:line="255" w:lineRule="auto"/>
        <w:tabs>
          <w:tab w:leader="none" w:pos="743"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Construction</w:t>
      </w:r>
      <w:r>
        <w:rPr>
          <w:rFonts w:ascii="Times New Roman" w:cs="Times New Roman" w:eastAsia="Times New Roman" w:hAnsi="Times New Roman"/>
          <w:sz w:val="19"/>
          <w:szCs w:val="19"/>
          <w:color w:val="auto"/>
        </w:rPr>
        <w:t>. Unless otherwise expressly provided in the Plan, (i) references to a statute or law refer to the statute or law and any amendments and supplements thereto and any successor statutes or laws, and to all valid and binding rules and regulations promulgated thereunder, court decisions and other regulatory and judicial authority issued or rendered thereunder, in each case as amended or supplemented, or their successors, as in effect at the relevant time; (ii) the words “include,” “includes” and “including” do not limit the preceding words or terms and shall be deemed to be followed by the words “without limitation”; (iii) where specific language is used to clarify by example a general statement contained herein (such as by using the words “such as”), such specific language shall not be deemed to modify, limit or restrict in any manner the construction of the general statement to which it relates; (iv) whenever required by the context, any pronoun used in the Plan shall include the corresponding masculine, feminine or neuter forms, and the singular form of nouns, pronouns and verbs shall include the plural and vice versa; (v) all references to articles, sections, exhibits and annexes are to articles, sections, exhibits and annexes in or to the Plan; (vi) the captions and headings of articles, sections, exhibits and annexes have been inserted solely for convenience of reference and shall not be considered a part of the Plan, nor shall any of them affect the meaning or interpretation of the Plan; and (vii) any reference to an agreement, plan, policy, form, document or set of documents, and the rights and obligations of the parties under any such agreement, plan, policy, form, document or set of documents, shall mean the agreement, plan, policy, form, document or set of documents as amended from time to time, and any and all modifications, extensions, renewals, substitutions or replacements thereof.</w:t>
      </w:r>
    </w:p>
    <w:p>
      <w:pPr>
        <w:spacing w:after="0" w:line="268"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Exhibit 10.7</w:t>
      </w:r>
    </w:p>
    <w:p>
      <w:pPr>
        <w:spacing w:after="0" w:line="113" w:lineRule="exact"/>
        <w:rPr>
          <w:sz w:val="20"/>
          <w:szCs w:val="20"/>
          <w:color w:val="auto"/>
        </w:rPr>
      </w:pPr>
    </w:p>
    <w:p>
      <w:pPr>
        <w:jc w:val="both"/>
        <w:ind w:left="743" w:hanging="743"/>
        <w:spacing w:after="0" w:line="249" w:lineRule="auto"/>
        <w:tabs>
          <w:tab w:leader="none" w:pos="74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Facility of Payment</w:t>
      </w:r>
      <w:r>
        <w:rPr>
          <w:rFonts w:ascii="Times New Roman" w:cs="Times New Roman" w:eastAsia="Times New Roman" w:hAnsi="Times New Roman"/>
          <w:sz w:val="20"/>
          <w:szCs w:val="20"/>
          <w:color w:val="auto"/>
        </w:rPr>
        <w:t>. Any amounts payable hereunder to any individual under legal disability or who, in the judgment of the Committee, is unable to manage properly his financial affairs, may be paid to the legal representative of such individual, or may be applied for the benefit of such individual in any manner that the Committee may select, and the Company shall be relieved of any further liability for payment of such amounts.</w:t>
      </w:r>
    </w:p>
    <w:p>
      <w:pPr>
        <w:spacing w:after="0" w:line="179" w:lineRule="exact"/>
        <w:rPr>
          <w:rFonts w:ascii="Times New Roman" w:cs="Times New Roman" w:eastAsia="Times New Roman" w:hAnsi="Times New Roman"/>
          <w:sz w:val="20"/>
          <w:szCs w:val="20"/>
          <w:color w:val="auto"/>
        </w:rPr>
      </w:pPr>
    </w:p>
    <w:p>
      <w:pPr>
        <w:jc w:val="both"/>
        <w:ind w:left="743" w:hanging="743"/>
        <w:spacing w:after="0" w:line="241" w:lineRule="auto"/>
        <w:tabs>
          <w:tab w:leader="none" w:pos="74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Delivery of Stock</w:t>
      </w:r>
      <w:r>
        <w:rPr>
          <w:rFonts w:ascii="Times New Roman" w:cs="Times New Roman" w:eastAsia="Times New Roman" w:hAnsi="Times New Roman"/>
          <w:sz w:val="20"/>
          <w:szCs w:val="20"/>
          <w:color w:val="auto"/>
        </w:rPr>
        <w:t>. Nothing herein or in any Award Agreement shall require the Company to issue any shares with respect to any Award if that issuance would, in the opinion of counsel for the Company, constitute a violation of the Securities Act or any similar or superseding statute or statutes, any other applicable statute or regulation, or the rules of any applicable securities exchange or securities association, as then in effect. In addition, each Participant who receives an Award under the Plan shall not sell or otherwise dispose of Stock that is acquired upon grant or vesting of an Award in any manner that would constitute a violation of any applicable federal or state securities laws, the Plan or the rules, regulations or other requirements of the Securities and Exchange Commission or any stock exchange upon which the Stock is then listed. At the time of any exercise of an Option or Stock Appreciation Right, or at the time of any grant of any other Award the Company may, as a condition precedent to the exercise of such Option or Stock Appreciation Right or settlement of any other Award, require from the Participant (or in the event of his or her death, his or her legal representatives, heirs, legatees, or distributees) such written representations, if any, concerning the holder’s intentions with regard to the retention or disposition of the shares of Stock being acquired pursuant to the Award and such written covenants and agreements, if any, as to the manner of disposal of such shares as, in the opinion of counsel to the Company, may be necessary to ensure that any disposition by that holder (or in the event of the holder’s death, his or her legal representatives, heirs, legatees, or distributees) shall not involve a violation of the Securities Act or any similar or superseding statute or statutes, any other applicable state or federal statute or regulation, or any rule of any applicable securities exchange or securities association, as then in effect. Stock or other securities shall not be delivered pursuant to any Award until payment in full of any amount required to be paid pursuant to the Plan or the applicable Award Agreement (including any Exercise Price, grant price, or tax withholding) is received by the Company.</w:t>
      </w:r>
    </w:p>
    <w:p>
      <w:pPr>
        <w:spacing w:after="0" w:line="188" w:lineRule="exact"/>
        <w:rPr>
          <w:rFonts w:ascii="Times New Roman" w:cs="Times New Roman" w:eastAsia="Times New Roman" w:hAnsi="Times New Roman"/>
          <w:sz w:val="20"/>
          <w:szCs w:val="20"/>
          <w:color w:val="auto"/>
        </w:rPr>
      </w:pPr>
    </w:p>
    <w:p>
      <w:pPr>
        <w:jc w:val="both"/>
        <w:ind w:left="743" w:hanging="743"/>
        <w:spacing w:after="0" w:line="241" w:lineRule="auto"/>
        <w:tabs>
          <w:tab w:leader="none" w:pos="74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It is the general intention, but not the obligation, of the Committee to design Awards to comply with or to be exempt from Section 409A, and Awards shall be operated and construed accordingly. Neither this </w:t>
      </w:r>
      <w:r>
        <w:rPr>
          <w:rFonts w:ascii="Times New Roman" w:cs="Times New Roman" w:eastAsia="Times New Roman" w:hAnsi="Times New Roman"/>
          <w:sz w:val="20"/>
          <w:szCs w:val="20"/>
          <w:u w:val="single" w:color="auto"/>
          <w:color w:val="auto"/>
        </w:rPr>
        <w:t>Section 9(k)</w:t>
      </w:r>
      <w:r>
        <w:rPr>
          <w:rFonts w:ascii="Times New Roman" w:cs="Times New Roman" w:eastAsia="Times New Roman" w:hAnsi="Times New Roman"/>
          <w:sz w:val="20"/>
          <w:szCs w:val="20"/>
          <w:color w:val="auto"/>
        </w:rPr>
        <w:t xml:space="preserve"> nor any other provision of the Plan is or contains a representation to any Participant regarding the tax consequences of the grant, vesting, exercise, settlement, or sale of any Award (or the Stock underlying such Award) granted hereunder, and should not be interpreted as such. In no event shall the Company be liable for all or any portion of any taxes, penalties, interest or other expenses that may be incurred by the Employee on account of non-compliance with Section 409A. Notwithstanding any provision in the Plan or an Award Agreement to the contrary, in the event that a “specified employee” (as defined under Section 409A) becomes entitled to a payment under an Award that would be subject to additional taxes and interest under Section 409A if the Participant’s receipt of such payment or benefits is not delayed until the earlier of (i) the date of the Participant’s death, or (ii) the date that is six months after the Participant’s “separation from service,” as defined under Section 409A (such date, the “</w:t>
      </w:r>
      <w:r>
        <w:rPr>
          <w:rFonts w:ascii="Times New Roman" w:cs="Times New Roman" w:eastAsia="Times New Roman" w:hAnsi="Times New Roman"/>
          <w:sz w:val="20"/>
          <w:szCs w:val="20"/>
          <w:b w:val="1"/>
          <w:bCs w:val="1"/>
          <w:i w:val="1"/>
          <w:iCs w:val="1"/>
          <w:color w:val="auto"/>
        </w:rPr>
        <w:t>Section 409A Payment Date</w:t>
      </w:r>
      <w:r>
        <w:rPr>
          <w:rFonts w:ascii="Times New Roman" w:cs="Times New Roman" w:eastAsia="Times New Roman" w:hAnsi="Times New Roman"/>
          <w:sz w:val="20"/>
          <w:szCs w:val="20"/>
          <w:color w:val="auto"/>
        </w:rPr>
        <w:t>”), then such payment or benefit shall not be provided to the Participant until the Section 409A Payment Date. Any amounts subject to the preceding sentence that would otherwise be payable prior to the Section 409A Payment Date shall be aggregated and paid in a lump sum without interest on the Section 409A Payment Date. The applicable provisions of Section 409A are hereby incorporated by reference and shall control over any Plan or Award Agreement provision in conflict therewith. All installment payments under the Plan shall be treated as separate payments under Section 409A.</w:t>
      </w:r>
    </w:p>
    <w:p>
      <w:pPr>
        <w:spacing w:after="0" w:line="193" w:lineRule="exact"/>
        <w:rPr>
          <w:rFonts w:ascii="Times New Roman" w:cs="Times New Roman" w:eastAsia="Times New Roman" w:hAnsi="Times New Roman"/>
          <w:sz w:val="20"/>
          <w:szCs w:val="20"/>
          <w:color w:val="auto"/>
        </w:rPr>
      </w:pPr>
    </w:p>
    <w:p>
      <w:pPr>
        <w:ind w:left="743" w:hanging="743"/>
        <w:spacing w:after="0" w:line="269" w:lineRule="auto"/>
        <w:tabs>
          <w:tab w:leader="none" w:pos="74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This Plan is subject to any written clawback policies that the Company, with the approval of the Board, may adopt. Any such policy may subject a Participant’s Awards and</w:t>
      </w:r>
    </w:p>
    <w:p>
      <w:pPr>
        <w:spacing w:after="0" w:line="254"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21" w:name="page122"/>
    <w:bookmarkEnd w:id="121"/>
    <w:p>
      <w:pPr>
        <w:ind w:left="9603"/>
        <w:spacing w:after="0"/>
        <w:rPr>
          <w:sz w:val="20"/>
          <w:szCs w:val="20"/>
          <w:color w:val="auto"/>
        </w:rPr>
      </w:pPr>
      <w:r>
        <w:rPr>
          <w:rFonts w:ascii="Times New Roman" w:cs="Times New Roman" w:eastAsia="Times New Roman" w:hAnsi="Times New Roman"/>
          <w:sz w:val="17"/>
          <w:szCs w:val="17"/>
          <w:color w:val="auto"/>
        </w:rPr>
        <w:t>Exhibit 10.7</w:t>
      </w:r>
    </w:p>
    <w:p>
      <w:pPr>
        <w:spacing w:after="0" w:line="124" w:lineRule="exact"/>
        <w:rPr>
          <w:sz w:val="20"/>
          <w:szCs w:val="20"/>
          <w:color w:val="auto"/>
        </w:rPr>
      </w:pPr>
    </w:p>
    <w:p>
      <w:pPr>
        <w:jc w:val="both"/>
        <w:ind w:left="743"/>
        <w:spacing w:after="0" w:line="245" w:lineRule="auto"/>
        <w:rPr>
          <w:sz w:val="20"/>
          <w:szCs w:val="20"/>
          <w:color w:val="auto"/>
        </w:rPr>
      </w:pPr>
      <w:r>
        <w:rPr>
          <w:rFonts w:ascii="Times New Roman" w:cs="Times New Roman" w:eastAsia="Times New Roman" w:hAnsi="Times New Roman"/>
          <w:sz w:val="20"/>
          <w:szCs w:val="20"/>
          <w:color w:val="auto"/>
        </w:rPr>
        <w:t>amounts paid or realized with respect to Awards under the Plan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 adopted to conform to the Dodd-Frank Wall Street Reform and Consumer Protection Act of 2010 and rules promulgated thereunder by the Securities and Exchange Commission and that the Company determines should apply to the Plan.</w:t>
      </w:r>
    </w:p>
    <w:p>
      <w:pPr>
        <w:spacing w:after="0" w:line="184" w:lineRule="exact"/>
        <w:rPr>
          <w:sz w:val="20"/>
          <w:szCs w:val="20"/>
          <w:color w:val="auto"/>
        </w:rPr>
      </w:pPr>
    </w:p>
    <w:p>
      <w:pPr>
        <w:jc w:val="both"/>
        <w:ind w:left="743" w:hanging="743"/>
        <w:spacing w:after="0" w:line="243" w:lineRule="auto"/>
        <w:tabs>
          <w:tab w:leader="none" w:pos="743"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Effective Date and Term</w:t>
      </w:r>
      <w:r>
        <w:rPr>
          <w:rFonts w:ascii="Times New Roman" w:cs="Times New Roman" w:eastAsia="Times New Roman" w:hAnsi="Times New Roman"/>
          <w:sz w:val="20"/>
          <w:szCs w:val="20"/>
          <w:color w:val="auto"/>
        </w:rPr>
        <w:t xml:space="preserve">. This Plan was originally adopted by the Board on April 19, 2016, and approved by the Stockholders on June 2, 2016, to be effective on April 19, 2016. When the Plan was originally adopted, it replaced the Prior Plan as set for in </w:t>
      </w:r>
      <w:r>
        <w:rPr>
          <w:rFonts w:ascii="Times New Roman" w:cs="Times New Roman" w:eastAsia="Times New Roman" w:hAnsi="Times New Roman"/>
          <w:sz w:val="20"/>
          <w:szCs w:val="20"/>
          <w:u w:val="single" w:color="auto"/>
          <w:color w:val="auto"/>
        </w:rPr>
        <w:t>Section 4(c)(2)</w:t>
      </w:r>
      <w:r>
        <w:rPr>
          <w:rFonts w:ascii="Times New Roman" w:cs="Times New Roman" w:eastAsia="Times New Roman" w:hAnsi="Times New Roman"/>
          <w:sz w:val="20"/>
          <w:szCs w:val="20"/>
          <w:color w:val="auto"/>
        </w:rPr>
        <w:t>. The Plan is being amended and restated effective on the Effective Date March 4, 2021), subject to approval by the Stockholders at the Company’s 2021 annual meeting of Stockholders. No Awards may be granted under the Plan on and after the 10th anniversary of the Effective Date. However, any Award granted prior to such termination, and the authority of the Board or Committee to amend, alter, adjust, suspend, discontinue, or terminate any such Award or to waive any conditions or rights under such Award in accordance with the terms of the Plan, shall extend beyond such termination date until the final disposition of such Award.</w:t>
      </w:r>
    </w:p>
    <w:p>
      <w:pPr>
        <w:spacing w:after="0" w:line="284" w:lineRule="exact"/>
        <w:rPr>
          <w:sz w:val="20"/>
          <w:szCs w:val="20"/>
          <w:color w:val="auto"/>
        </w:rPr>
      </w:pPr>
    </w:p>
    <w:p>
      <w:pPr>
        <w:ind w:left="4663"/>
        <w:spacing w:after="0"/>
        <w:rPr>
          <w:sz w:val="20"/>
          <w:szCs w:val="20"/>
          <w:color w:val="auto"/>
        </w:rPr>
      </w:pPr>
      <w:r>
        <w:rPr>
          <w:rFonts w:ascii="Times New Roman" w:cs="Times New Roman" w:eastAsia="Times New Roman" w:hAnsi="Times New Roman"/>
          <w:sz w:val="20"/>
          <w:szCs w:val="20"/>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481330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769" w:right="339" w:bottom="1440" w:gutter="0" w:footer="0" w:header="0"/>
        </w:sectPr>
      </w:pPr>
    </w:p>
    <w:bookmarkStart w:id="122" w:name="page123"/>
    <w:bookmarkEnd w:id="122"/>
    <w:p>
      <w:pPr>
        <w:ind w:left="10260"/>
        <w:spacing w:after="0"/>
        <w:rPr>
          <w:sz w:val="20"/>
          <w:szCs w:val="20"/>
          <w:color w:val="auto"/>
        </w:rPr>
      </w:pPr>
      <w:r>
        <w:rPr>
          <w:rFonts w:ascii="Times New Roman" w:cs="Times New Roman" w:eastAsia="Times New Roman" w:hAnsi="Times New Roman"/>
          <w:sz w:val="17"/>
          <w:szCs w:val="17"/>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w:t>
      </w:r>
      <w:r>
        <w:rPr>
          <w:rFonts w:ascii="Times New Roman" w:cs="Times New Roman" w:eastAsia="Times New Roman" w:hAnsi="Times New Roman"/>
          <w:sz w:val="17"/>
          <w:szCs w:val="17"/>
          <w:b w:val="1"/>
          <w:bCs w:val="1"/>
          <w:color w:val="auto"/>
        </w:rPr>
        <w:t>ndemnification</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greement</w:t>
      </w:r>
    </w:p>
    <w:p>
      <w:pPr>
        <w:spacing w:after="0" w:line="349" w:lineRule="exact"/>
        <w:rPr>
          <w:sz w:val="20"/>
          <w:szCs w:val="20"/>
          <w:color w:val="auto"/>
        </w:rPr>
      </w:pPr>
    </w:p>
    <w:p>
      <w:pPr>
        <w:jc w:val="both"/>
        <w:ind w:firstLine="432"/>
        <w:spacing w:after="0" w:line="219" w:lineRule="auto"/>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his</w:t>
      </w:r>
      <w:r>
        <w:rPr>
          <w:rFonts w:ascii="Times New Roman" w:cs="Times New Roman" w:eastAsia="Times New Roman" w:hAnsi="Times New Roman"/>
          <w:sz w:val="22"/>
          <w:szCs w:val="22"/>
          <w:color w:val="auto"/>
        </w:rPr>
        <w:t xml:space="preserve"> I</w:t>
      </w:r>
      <w:r>
        <w:rPr>
          <w:rFonts w:ascii="Times New Roman" w:cs="Times New Roman" w:eastAsia="Times New Roman" w:hAnsi="Times New Roman"/>
          <w:sz w:val="14"/>
          <w:szCs w:val="14"/>
          <w:color w:val="auto"/>
        </w:rPr>
        <w:t>ndemnification</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and entered into this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November, by and between LSB Industries,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______________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w:t>
      </w:r>
    </w:p>
    <w:p>
      <w:pPr>
        <w:spacing w:after="0" w:line="69" w:lineRule="exact"/>
        <w:rPr>
          <w:sz w:val="20"/>
          <w:szCs w:val="20"/>
          <w:color w:val="auto"/>
        </w:rPr>
      </w:pPr>
    </w:p>
    <w:p>
      <w:pPr>
        <w:jc w:val="both"/>
        <w:ind w:firstLine="749"/>
        <w:spacing w:after="0" w:line="308" w:lineRule="auto"/>
        <w:rPr>
          <w:sz w:val="20"/>
          <w:szCs w:val="20"/>
          <w:color w:val="auto"/>
        </w:rPr>
      </w:pPr>
      <w:r>
        <w:rPr>
          <w:rFonts w:ascii="Times New Roman" w:cs="Times New Roman" w:eastAsia="Times New Roman" w:hAnsi="Times New Roman"/>
          <w:sz w:val="20"/>
          <w:szCs w:val="20"/>
          <w:color w:val="auto"/>
        </w:rPr>
        <w:t>W</w:t>
      </w:r>
      <w:r>
        <w:rPr>
          <w:rFonts w:ascii="Times New Roman" w:cs="Times New Roman" w:eastAsia="Times New Roman" w:hAnsi="Times New Roman"/>
          <w:sz w:val="13"/>
          <w:szCs w:val="13"/>
          <w:color w:val="auto"/>
        </w:rPr>
        <w:t>hereas</w:t>
      </w:r>
      <w:r>
        <w:rPr>
          <w:rFonts w:ascii="Times New Roman" w:cs="Times New Roman" w:eastAsia="Times New Roman" w:hAnsi="Times New Roman"/>
          <w:sz w:val="20"/>
          <w:szCs w:val="20"/>
          <w:color w:val="auto"/>
        </w:rPr>
        <w:t>, qualified persons are reluctant to serve corporations as directors or otherwise unless they are provided with broad indemnification and insurance against claims arising out of their service to and activities on behalf of the corporations; and</w:t>
      </w:r>
    </w:p>
    <w:p>
      <w:pPr>
        <w:spacing w:after="0" w:line="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22"/>
          <w:szCs w:val="22"/>
          <w:color w:val="auto"/>
        </w:rPr>
        <w:t>, the Company has determined that attracting and retaining such persons is in the best interests of the Company’s stockholders and that it is reasonable, prudent and necessary for the Company to indemnify such persons to the fullest extent permitted by applicable law and to provide reasonable assurance regarding insurance;</w:t>
      </w:r>
    </w:p>
    <w:p>
      <w:pPr>
        <w:spacing w:after="0" w:line="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4"/>
          <w:szCs w:val="14"/>
          <w:color w:val="auto"/>
        </w:rPr>
        <w:t>ow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4"/>
          <w:szCs w:val="14"/>
          <w:color w:val="auto"/>
        </w:rPr>
        <w:t>therefore</w:t>
      </w:r>
      <w:r>
        <w:rPr>
          <w:rFonts w:ascii="Times New Roman" w:cs="Times New Roman" w:eastAsia="Times New Roman" w:hAnsi="Times New Roman"/>
          <w:sz w:val="22"/>
          <w:szCs w:val="22"/>
          <w:color w:val="auto"/>
        </w:rPr>
        <w:t>, the Company and Indemnitee hereby agree as follows:</w:t>
      </w:r>
    </w:p>
    <w:p>
      <w:pPr>
        <w:spacing w:after="0" w:line="98" w:lineRule="exact"/>
        <w:rPr>
          <w:sz w:val="20"/>
          <w:szCs w:val="20"/>
          <w:color w:val="auto"/>
        </w:rPr>
      </w:pPr>
    </w:p>
    <w:p>
      <w:pPr>
        <w:ind w:left="1020" w:hanging="263"/>
        <w:spacing w:after="0"/>
        <w:tabs>
          <w:tab w:leader="none" w:pos="10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 Construction</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Agreement, the following terms shall have the following meanings:</w:t>
      </w:r>
    </w:p>
    <w:p>
      <w:pPr>
        <w:spacing w:after="0" w:line="98"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and shall be deemed to have occurred if, on or after the date of this Agreement,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any “person” (as such term is used in Sections 13(d) and 14(d) of the Securities Exchange Act of 1934, as amended), other than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a trustee or other fiduciary holding securities under an employee benefit plan of the Company or any of its subsidiaries acting in such capacity,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a corporation 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more than 35% of the total voting power represented by the Company’s then outstanding Voting Securities,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during any period of two consecutive years, individuals who at the beginning of such period constitute the board of directors of the Company and any new director whose election by the board of directors of the Company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the stockholders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50% of the total voting power represented by the Voting Securities of the Company or such surviving entity outstanding immediately after such merger or consolidation,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the stockholders of the Company approve a plan of complete liquidation of the Company or an agreement for the sale or disposition by the Company of (in one transaction or a series of related transactions) all or substantially all of its assets, or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the Company shall file or have filed against it, and such filing shall not be dismissed, any bankruptcy, insolvency or dissolution proceedings, or a trustee, administrator or creditors committee shall be appointed to manage or supervise the affairs of the Company.</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Corporate Status</w:t>
      </w:r>
      <w:r>
        <w:rPr>
          <w:rFonts w:ascii="Times New Roman" w:cs="Times New Roman" w:eastAsia="Times New Roman" w:hAnsi="Times New Roman"/>
          <w:sz w:val="22"/>
          <w:szCs w:val="22"/>
          <w:color w:val="auto"/>
        </w:rPr>
        <w:t>” means the status of a person who is or was a director (or a member of any committee of a board of directors), officer, employee or agent (including without limitation a manager of a limited liability company) of the Company or any of its subsidiaries, or of any predecessor thereof, or is or was serving at the request of the Company as a director (or a member of any committee of a board of directors), officer, employee or agent (including without limitation a manager of a limited liability company) of another entity, or of any predecessor thereof, including service with respect to an employee benefit plan.</w:t>
      </w:r>
    </w:p>
    <w:p>
      <w:pPr>
        <w:spacing w:after="0" w:line="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means a determination that either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there is a reasonable basis for the conclusion that indemnification of Indemnitee is proper in the circumstances because Indemnitee met a particular standard of conduct (a “</w:t>
      </w:r>
      <w:r>
        <w:rPr>
          <w:rFonts w:ascii="Times New Roman" w:cs="Times New Roman" w:eastAsia="Times New Roman" w:hAnsi="Times New Roman"/>
          <w:sz w:val="22"/>
          <w:szCs w:val="22"/>
          <w:u w:val="single" w:color="auto"/>
          <w:color w:val="auto"/>
        </w:rPr>
        <w:t>Favorable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there is no reasonable basis for the conclusion that indemnification of Indemnitee is proper in the circumstances because Indemnitee met a particular standard of conduct (an “</w:t>
      </w:r>
      <w:r>
        <w:rPr>
          <w:rFonts w:ascii="Times New Roman" w:cs="Times New Roman" w:eastAsia="Times New Roman" w:hAnsi="Times New Roman"/>
          <w:sz w:val="22"/>
          <w:szCs w:val="22"/>
          <w:u w:val="single" w:color="auto"/>
          <w:color w:val="auto"/>
        </w:rPr>
        <w:t>Adverse Determination</w:t>
      </w:r>
      <w:r>
        <w:rPr>
          <w:rFonts w:ascii="Times New Roman" w:cs="Times New Roman" w:eastAsia="Times New Roman" w:hAnsi="Times New Roman"/>
          <w:sz w:val="22"/>
          <w:szCs w:val="22"/>
          <w:color w:val="auto"/>
        </w:rPr>
        <w:t>”). An Adverse Determination shall include the decision that a Determination was required in connection with indemnification and the decision as to the applicable standard of conduct.</w:t>
      </w:r>
    </w:p>
    <w:p>
      <w:pPr>
        <w:spacing w:after="0" w:line="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means the General Corporation Law of the State of Delaware, as amended from time to time.</w:t>
      </w:r>
    </w:p>
    <w:p>
      <w:pPr>
        <w:spacing w:after="0" w:line="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means all (i) attorneys’ fees and expenses, retainers, court, arbitration and mediation costs, transcript costs, fees and expenses of experts, witness and public relations consultants bonds and fees, traveling expenses, costs of collecting and producing documents,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appealing or otherwise participating in a Proceeding or responding to, or objecting to, a request to provide discovery in any Proceeding, (ii) damages, judgments, fines and amounts paid in settlement and any other amounts that Indemnitee becomes legally obligated to pay (including any federal, state or local taxes imposed on Indemnitee as a result of receipt of reimbursements or advances of expenses under this Agreement) and</w:t>
      </w:r>
    </w:p>
    <w:p>
      <w:pPr>
        <w:spacing w:after="0" w:line="4" w:lineRule="exact"/>
        <w:rPr>
          <w:sz w:val="20"/>
          <w:szCs w:val="20"/>
          <w:color w:val="auto"/>
        </w:rPr>
      </w:pPr>
    </w:p>
    <w:p>
      <w:pPr>
        <w:jc w:val="both"/>
        <w:ind w:firstLine="8"/>
        <w:spacing w:after="0" w:line="232" w:lineRule="auto"/>
        <w:tabs>
          <w:tab w:leader="none" w:pos="38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premium, security for, and other costs relating to any costs bond, supersedes bond or other appeal bond or its equivalent, whether civil, criminal, arbitrational, administrative or investigative with respect to any Proceeding actually and reasonably incurred by Indemnitee, or on Indemnitee’s behalf, because of any claim or claims made against or by him in connection with any Proceeding, whether formal or informal (including an action by or in the right of the Company), to which Indemnitee is, was or at any time becomes a party or a witness, or is threatened to be made a party to, participant in or a witness with respect to, by reason of Indemnitee’ Corporate Status.</w:t>
      </w:r>
    </w:p>
    <w:p>
      <w:pPr>
        <w:spacing w:after="0" w:line="7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Independent Legal Counsel</w:t>
      </w:r>
      <w:r>
        <w:rPr>
          <w:rFonts w:ascii="Times New Roman" w:cs="Times New Roman" w:eastAsia="Times New Roman" w:hAnsi="Times New Roman"/>
          <w:sz w:val="22"/>
          <w:szCs w:val="22"/>
          <w:color w:val="auto"/>
        </w:rPr>
        <w:t>” means an attorney or firm of attorneys competent to render an opinion under the applicable law, selected in accordance with the provisions of Section 5(e), who has not performed any services (other than services similar to those contemplated to be performed by Independent Legal Counsel under this Agreement) for the Company or any of its subsidiaries or for Indemnitee within the last three years.</w:t>
      </w:r>
    </w:p>
    <w:p>
      <w:pPr>
        <w:spacing w:after="0" w:line="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means a threatened, pending or completed action, suit or proceeding, whether civil, criminal, administrative or investigative, including without limitation a claim, demand, discovery request, formal or informal investigation, inquiry, administrative hearing, arbitration or other form of alternative dispute resolution, including an appeal from any of the foregoing.</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Securities</w:t>
      </w:r>
      <w:r>
        <w:rPr>
          <w:rFonts w:ascii="Times New Roman" w:cs="Times New Roman" w:eastAsia="Times New Roman" w:hAnsi="Times New Roman"/>
          <w:sz w:val="22"/>
          <w:szCs w:val="22"/>
          <w:color w:val="auto"/>
        </w:rPr>
        <w:t>” means any securities of the Company that vote generally in the election of directors.</w:t>
      </w:r>
    </w:p>
    <w:p>
      <w:pPr>
        <w:spacing w:after="0" w:line="98" w:lineRule="exact"/>
        <w:rPr>
          <w:sz w:val="20"/>
          <w:szCs w:val="20"/>
          <w:color w:val="auto"/>
        </w:rPr>
      </w:pPr>
    </w:p>
    <w:p>
      <w:pPr>
        <w:ind w:left="2040" w:hanging="535"/>
        <w:spacing w:after="0"/>
        <w:tabs>
          <w:tab w:leader="none" w:pos="20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For purposes of this Agreement,</w:t>
      </w:r>
    </w:p>
    <w:p>
      <w:pPr>
        <w:spacing w:after="0" w:line="98"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55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the Company and any of its “subsidiaries” shall include any corporation, limited liability company, partnership, joint venture, trust or other entity or enterprise that before or after the date of this Agreement is party to a merger or consolidation with the Company or any such subsidiary or that is a successor to the Company as contemplated by Section 8(e) (whether or not such successor has executed and delivered the written agreement contemplated by Section 8(e)).</w:t>
      </w:r>
    </w:p>
    <w:p>
      <w:pPr>
        <w:spacing w:after="0" w:line="68"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2557"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“fines” shall include any excise taxes assessed on Indemnitee with respect to an employee benefit plan.</w:t>
      </w:r>
    </w:p>
    <w:p>
      <w:pPr>
        <w:spacing w:after="0" w:line="50" w:lineRule="exact"/>
        <w:rPr>
          <w:sz w:val="20"/>
          <w:szCs w:val="20"/>
          <w:color w:val="auto"/>
        </w:rPr>
      </w:pPr>
    </w:p>
    <w:p>
      <w:pPr>
        <w:ind w:left="760" w:firstLine="1497"/>
        <w:spacing w:after="0" w:line="258" w:lineRule="auto"/>
        <w:rPr>
          <w:sz w:val="20"/>
          <w:szCs w:val="20"/>
          <w:color w:val="auto"/>
        </w:rPr>
      </w:pPr>
      <w:r>
        <w:rPr>
          <w:rFonts w:ascii="Times New Roman" w:cs="Times New Roman" w:eastAsia="Times New Roman" w:hAnsi="Times New Roman"/>
          <w:sz w:val="22"/>
          <w:szCs w:val="22"/>
          <w:color w:val="auto"/>
        </w:rPr>
        <w:t>(iii)References to a “witness” in connection with a Proceeding shall include any interviewee or person called upon to produce documents in connection with such Proceeding.</w:t>
      </w:r>
    </w:p>
    <w:p>
      <w:pPr>
        <w:spacing w:after="0" w:line="50" w:lineRule="exact"/>
        <w:rPr>
          <w:sz w:val="20"/>
          <w:szCs w:val="20"/>
          <w:color w:val="auto"/>
        </w:rPr>
      </w:pPr>
    </w:p>
    <w:p>
      <w:pPr>
        <w:ind w:left="1020" w:hanging="263"/>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Serve</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Indemnitee agrees to serve as a director of the Company or one or more of its subsidiaries and in such other capacities as Indemnitee may serve at the request of the Company from time to time, and by its execution of this Agreement the Company confirms its request that Indemnitee serve as a director and in such other capacities. Indemnitee shall be entitled to resign or otherwise terminate such service with immediate effect at any time, and neither such resignation or termination nor the length of such service shall affect Indemnitee’s rights under this Agreement. This Agreement shall not constitute an employment agreement, supersede any employment agreement to which Indemnitee is a party or create any right of Indemnitee to continued employment or appointment.</w:t>
      </w:r>
    </w:p>
    <w:p>
      <w:pPr>
        <w:spacing w:after="0" w:line="75" w:lineRule="exact"/>
        <w:rPr>
          <w:sz w:val="20"/>
          <w:szCs w:val="20"/>
          <w:color w:val="auto"/>
        </w:rPr>
      </w:pPr>
    </w:p>
    <w:p>
      <w:pPr>
        <w:ind w:left="1020" w:hanging="263"/>
        <w:spacing w:after="0"/>
        <w:tabs>
          <w:tab w:leader="none" w:pos="10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Indemnification</w:t>
      </w:r>
      <w:r>
        <w:rPr>
          <w:rFonts w:ascii="Times New Roman" w:cs="Times New Roman" w:eastAsia="Times New Roman" w:hAnsi="Times New Roman"/>
          <w:sz w:val="22"/>
          <w:szCs w:val="22"/>
          <w:color w:val="auto"/>
        </w:rPr>
        <w:t>. The Company shall indemnify Indemnitee, to the fullest extent permitted by applicable law in effect on the date hereof or as amended to increase the scope of permitted indemnification, against Expenses, losses, liabilities, judgments, fines, penalties and amounts paid in settlement (including all interest, taxes, assessments and other charges in connection therewith) incurred by Indemnitee or on Indemnitee’s behalf in connection with any Proceeding in any way connected with, resulting from or relating to Indemnitee’s Corporate Status.</w:t>
      </w:r>
    </w:p>
    <w:p>
      <w:pPr>
        <w:spacing w:after="0" w:line="6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Indemnification Regarding Expenses</w:t>
      </w:r>
      <w:r>
        <w:rPr>
          <w:rFonts w:ascii="Times New Roman" w:cs="Times New Roman" w:eastAsia="Times New Roman" w:hAnsi="Times New Roman"/>
          <w:sz w:val="22"/>
          <w:szCs w:val="22"/>
          <w:color w:val="auto"/>
        </w:rPr>
        <w:t>. Without limiting the foregoing, in the event any Proceeding is initiated by Indemnitee, the Company or any other person to enforce or interpret this Agreement or any rights of Indemnitee to indemnification or advancement of Expenses (or related obligations of Indemnitee) under the Company’s or any such subsidiary’s certificate of incorporation, bylaws or other organizational agreement or instrument, any other agreement to which Indemnitee and the Company or any of its subsidiaries are party, any vote of stockholders or directors of the Company or any of its subsidiaries, the DGCL, any other applicable law or any liability insurance policy, the Company shall indemnify Indemnitee against Expenses incurred by Indemnitee or on Indemnitee’s behalf in connection with such Proceeding in proportion to the success achieved by Indemnitee in such Proceeding and the efforts required to obtain such success, as determined by the court presiding over such Proceeding.</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1505"/>
        <w:spacing w:after="0" w:line="239" w:lineRule="auto"/>
        <w:tabs>
          <w:tab w:leader="none" w:pos="20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Indemnification</w:t>
      </w:r>
      <w:r>
        <w:rPr>
          <w:rFonts w:ascii="Times New Roman" w:cs="Times New Roman" w:eastAsia="Times New Roman" w:hAnsi="Times New Roman"/>
          <w:sz w:val="22"/>
          <w:szCs w:val="22"/>
          <w:color w:val="auto"/>
        </w:rPr>
        <w:t>. If Indemnitee is entitled under any provision of this Agreement to indemnification by the Company for a portion of any Expenses, losses, liabilities, judgments, fines, penalties and amounts paid in settlement incurred by Indemnitee, but not for the total amount thereof, the Company shall nevertheless indemnify Indemnitee for such portion.</w:t>
      </w:r>
    </w:p>
    <w:p>
      <w:pPr>
        <w:spacing w:after="0" w:line="72"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Nonexclusivity</w:t>
      </w:r>
      <w:r>
        <w:rPr>
          <w:rFonts w:ascii="Times New Roman" w:cs="Times New Roman" w:eastAsia="Times New Roman" w:hAnsi="Times New Roman"/>
          <w:sz w:val="22"/>
          <w:szCs w:val="22"/>
          <w:color w:val="auto"/>
        </w:rPr>
        <w:t>. The indemnification provided by this Agreement shall not be deemed exclusive of any rights to which Indemnitee may be entitled under the certificate of incorporation, bylaws or other organizational agreement or instrument of the Company or any of its subsidiaries, any other agreement, any vote of stockholders or directors, the DGCL, any other applicable law or any liability insurance policy.</w:t>
      </w:r>
    </w:p>
    <w:p>
      <w:pPr>
        <w:spacing w:after="0" w:line="72"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Any other provision herein to the contrary notwithstanding, the Company shall not be obligated under the Agreement to indemnify Indemnitee:</w:t>
      </w:r>
    </w:p>
    <w:p>
      <w:pPr>
        <w:spacing w:after="0" w:line="50"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57"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Expenses incurred in connection with Proceedings initiated or brought voluntarily by the Indemnitee and not by way of defense, counterclaim or crossclaim, except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as contemplated by Section 3(b),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in specific cases if the board of directors of the Company has approved the initiation or bringing of such Proceeding, and (</w:t>
      </w:r>
      <w:r>
        <w:rPr>
          <w:rFonts w:ascii="Times New Roman" w:cs="Times New Roman" w:eastAsia="Times New Roman" w:hAnsi="Times New Roman"/>
          <w:sz w:val="22"/>
          <w:szCs w:val="22"/>
          <w:u w:val="single" w:color="auto"/>
          <w:color w:val="auto"/>
        </w:rPr>
        <w:t>z</w:t>
      </w:r>
      <w:r>
        <w:rPr>
          <w:rFonts w:ascii="Times New Roman" w:cs="Times New Roman" w:eastAsia="Times New Roman" w:hAnsi="Times New Roman"/>
          <w:sz w:val="22"/>
          <w:szCs w:val="22"/>
          <w:color w:val="auto"/>
        </w:rPr>
        <w:t>) as may be required by law.</w:t>
      </w:r>
    </w:p>
    <w:p>
      <w:pPr>
        <w:spacing w:after="0" w:line="72"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57"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 accounting of profits arising from the purchase and sale by the Indemnitee of securities within the meaning of Section 16(b) of the Securities Exchange Act of 1934, as amended, or any similar provisions of any federal, state or local law if the final, non-appealable judgment of a court of competent jurisdiction finds Indemnitee to be liable for disgorgement under such Section 16(b).</w:t>
      </w:r>
    </w:p>
    <w:p>
      <w:pPr>
        <w:spacing w:after="0" w:line="72" w:lineRule="exact"/>
        <w:rPr>
          <w:sz w:val="20"/>
          <w:szCs w:val="20"/>
          <w:color w:val="auto"/>
        </w:rPr>
      </w:pPr>
    </w:p>
    <w:p>
      <w:pPr>
        <w:jc w:val="both"/>
        <w:ind w:left="760" w:firstLine="1497"/>
        <w:spacing w:after="0" w:line="282" w:lineRule="auto"/>
        <w:rPr>
          <w:sz w:val="20"/>
          <w:szCs w:val="20"/>
          <w:color w:val="auto"/>
        </w:rPr>
      </w:pPr>
      <w:r>
        <w:rPr>
          <w:rFonts w:ascii="Times New Roman" w:cs="Times New Roman" w:eastAsia="Times New Roman" w:hAnsi="Times New Roman"/>
          <w:sz w:val="21"/>
          <w:szCs w:val="21"/>
          <w:color w:val="auto"/>
        </w:rPr>
        <w:t>(iii)On account of Indemnitee’s conduct that is established by a final, non-appealable judgment of a court of competent jurisdiction as knowingly fraudulent or deliberately dishonest or that constituted willful misconduct.</w:t>
      </w:r>
    </w:p>
    <w:p>
      <w:pPr>
        <w:spacing w:after="0" w:line="27"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(iv)For which payment is actually made to Indemnitee under a valid and collectible insurance policy or under a valid and enforceable indemnity clause, bylaw or agreement, except in respect of any excess beyond payment actually received by Indemnitee under such insurance, clause, bylaw or agreement.</w:t>
      </w:r>
    </w:p>
    <w:p>
      <w:pPr>
        <w:spacing w:after="0" w:line="65" w:lineRule="exact"/>
        <w:rPr>
          <w:sz w:val="20"/>
          <w:szCs w:val="20"/>
          <w:color w:val="auto"/>
        </w:rPr>
      </w:pPr>
    </w:p>
    <w:p>
      <w:pPr>
        <w:ind w:left="2560" w:hanging="306"/>
        <w:spacing w:after="0"/>
        <w:tabs>
          <w:tab w:leader="none" w:pos="2560" w:val="left"/>
        </w:tabs>
        <w:numPr>
          <w:ilvl w:val="2"/>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to the extent indemnification is prohibited by applicable law.</w:t>
      </w:r>
    </w:p>
    <w:p>
      <w:pPr>
        <w:spacing w:after="0" w:line="9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Subrogation</w:t>
      </w:r>
      <w:r>
        <w:rPr>
          <w:rFonts w:ascii="Times New Roman" w:cs="Times New Roman" w:eastAsia="Times New Roman" w:hAnsi="Times New Roman"/>
          <w:sz w:val="22"/>
          <w:szCs w:val="22"/>
          <w:color w:val="auto"/>
        </w:rPr>
        <w:t>. In the event of payment under this Agreement, the Company shall be subrogated to the extent of such payment to all of the rights of recovery of the Indemnitee, who shall execute such documents and do such acts as the Company may reasonably request to secure such rights and to enable the Company effectively to bring suit to enforce such rights.</w:t>
      </w:r>
    </w:p>
    <w:p>
      <w:pPr>
        <w:spacing w:after="0" w:line="7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Advancement of Expenses</w:t>
      </w:r>
      <w:r>
        <w:rPr>
          <w:rFonts w:ascii="Times New Roman" w:cs="Times New Roman" w:eastAsia="Times New Roman" w:hAnsi="Times New Roman"/>
          <w:sz w:val="22"/>
          <w:szCs w:val="22"/>
          <w:color w:val="auto"/>
        </w:rPr>
        <w:t>.</w:t>
      </w:r>
    </w:p>
    <w:p>
      <w:pPr>
        <w:spacing w:after="0" w:line="9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The Company shall pay all Expenses incurred by Indemnitee in connection with any Proceeding in any way connected with, resulting from or relating to Indemnitee’s Corporate Status, other than a Proceeding initiated by Indemnitee for which the Company would not be obligated to indemnify Indemnitee pursuant to Section 3(e)(i), in advance of the final disposition (in accordance with Section 5(c)) of such Proceeding and without regard to whether Indemnitee will ultimately be entitled to be indemnified for such Expenses and without regard to whether an Adverse Determination has been made, except as contemplated by the last sentence of Section</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5(f). The right to advances under this Section 4 shall in all events continue until final disposition of any Proceeding, including any appeal therein. Advances shall be made without regard to Indemnitee’s ability to repay the expenses and without regard to Indemnitee’s ultimate entitlement to indemnification under the other provisions of this Agreement. Indemnitee shall qualify for advances upon the execution and delivery to the Company of this Agreement, and Indemnitee shall repay such amounts advanced only if and to the extent that it shall ultimately be determined in a decision by a court of competent jurisdiction from which no appeal can be taken that Indemnitee is not entitled to be indemnified by the Company for such Expenses. The right to advancement described in this Section 4 is vested. Such repayment obligation shall be unsecured and shall not bear interest. The Company shall not impose on Indemnitee additional conditions to advancement or require from Indemnitee additional undertakings regarding repayment.</w:t>
      </w:r>
    </w:p>
    <w:p>
      <w:pPr>
        <w:spacing w:after="0" w:line="75" w:lineRule="exact"/>
        <w:rPr>
          <w:sz w:val="20"/>
          <w:szCs w:val="20"/>
          <w:color w:val="auto"/>
        </w:rPr>
      </w:pPr>
    </w:p>
    <w:p>
      <w:pPr>
        <w:ind w:left="1020" w:hanging="263"/>
        <w:spacing w:after="0"/>
        <w:tabs>
          <w:tab w:leader="none" w:pos="10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Procedure.</w:t>
      </w:r>
    </w:p>
    <w:p>
      <w:pPr>
        <w:spacing w:after="0" w:line="98"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Proceeding; Cooperation</w:t>
      </w:r>
      <w:r>
        <w:rPr>
          <w:rFonts w:ascii="Times New Roman" w:cs="Times New Roman" w:eastAsia="Times New Roman" w:hAnsi="Times New Roman"/>
          <w:sz w:val="22"/>
          <w:szCs w:val="22"/>
          <w:color w:val="auto"/>
        </w:rPr>
        <w:t xml:space="preserve">. Indemnitee shall give the Company notice in writing as soon as practicable, and in any event, no later than 30 days after Indemnitee becomes aware, of any Proceeding for which indemnification will or could be sought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failure or delay in giving such notice shall not relieve the Company of its obligations under this Agreement unless and to the extent that (i) none of the Company and its subsidiaries are party to or aware of such Proceeding and (ii) the Company is materially prejudiced by such failure.</w:t>
      </w:r>
    </w:p>
    <w:p>
      <w:pPr>
        <w:spacing w:after="0" w:line="68" w:lineRule="exact"/>
        <w:rPr>
          <w:rFonts w:ascii="Times New Roman" w:cs="Times New Roman" w:eastAsia="Times New Roman" w:hAnsi="Times New Roman"/>
          <w:sz w:val="22"/>
          <w:szCs w:val="22"/>
          <w:color w:val="auto"/>
        </w:rPr>
      </w:pPr>
    </w:p>
    <w:p>
      <w:pPr>
        <w:jc w:val="both"/>
        <w:ind w:firstLine="1505"/>
        <w:spacing w:after="0" w:line="248" w:lineRule="auto"/>
        <w:tabs>
          <w:tab w:leader="none" w:pos="2036"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w:t>
      </w:r>
      <w:r>
        <w:rPr>
          <w:rFonts w:ascii="Times New Roman" w:cs="Times New Roman" w:eastAsia="Times New Roman" w:hAnsi="Times New Roman"/>
          <w:sz w:val="21"/>
          <w:szCs w:val="21"/>
          <w:color w:val="auto"/>
        </w:rPr>
        <w:t>. The Company will not, without the prior written consent of Indemnitee, which may be provided or withheld in Indemnitee’s sole discretion, effect any settlement of any Proceeding against Indemnitee or which could have been brought against Indemnitee unless such settlement solely involves the payment of money by persons other than Indemnitee and includes an unconditional release of Indemnitee from all liability on any matters that are the subject of such Proceeding and an acknowledgment that Indemnitee denies all wrongdoing in connection with such matters. The Company shall not be obligated to indemnify Indemnitee against amounts paid in settlement of a Proceeding against Indemnitee if such settlement is effected by Indemnitee without the Company’s prior written consent, which shall not be unreasonably withheld.</w:t>
      </w:r>
    </w:p>
    <w:p>
      <w:pPr>
        <w:spacing w:after="0" w:line="62" w:lineRule="exact"/>
        <w:rPr>
          <w:rFonts w:ascii="Times New Roman" w:cs="Times New Roman" w:eastAsia="Times New Roman" w:hAnsi="Times New Roman"/>
          <w:sz w:val="21"/>
          <w:szCs w:val="21"/>
          <w:color w:val="auto"/>
        </w:rPr>
      </w:pPr>
    </w:p>
    <w:p>
      <w:pPr>
        <w:jc w:val="both"/>
        <w:ind w:firstLine="1505"/>
        <w:spacing w:after="0" w:line="238" w:lineRule="auto"/>
        <w:tabs>
          <w:tab w:leader="none" w:pos="203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Request for Payment; Timing of Payment</w:t>
      </w:r>
      <w:r>
        <w:rPr>
          <w:rFonts w:ascii="Times New Roman" w:cs="Times New Roman" w:eastAsia="Times New Roman" w:hAnsi="Times New Roman"/>
          <w:sz w:val="22"/>
          <w:szCs w:val="22"/>
          <w:color w:val="auto"/>
        </w:rPr>
        <w:t>. To obtain indemnification payments or advances under this Agreement, Indemnitee shall submit to a Company a written request therefor, together with such invoices or other supporting information as may be reasonably requested by the Company and reasonably available to Indemnitee. The Company shall make indemnification payments to Indemnitee no later than 30 days, and advances to Indemnitee no later than 20 days, after receipt of the written request of Indemnitee.</w:t>
      </w:r>
    </w:p>
    <w:p>
      <w:pPr>
        <w:spacing w:after="0" w:line="6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The Company intends that Indemnitee shall be indemnified to the fullest extent permitted by law as provided in Section 3 and that no Determination shall be required in connection with such indemnification. In no event shall a Determination be required in connection with advancement of Expenses pursuant to Section 4 or in connection with indemnification for Expenses incurred as a witness or incurred in connection with any Proceeding or portion thereof with respect to which Indemnitee has been successful on the merits or otherwise. Any decision that a Determination is required by law in connection with any other indemnification of Indemnitee, and any such Determination, shall be made within 30 days after receipt of Indemnitee’s written request for indemnification, as follows: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5</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760" w:firstLine="1494"/>
        <w:spacing w:after="0" w:line="251" w:lineRule="auto"/>
        <w:tabs>
          <w:tab w:leader="none" w:pos="2557"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no Change in Control has occurred, (</w:t>
      </w:r>
      <w:r>
        <w:rPr>
          <w:rFonts w:ascii="Times New Roman" w:cs="Times New Roman" w:eastAsia="Times New Roman" w:hAnsi="Times New Roman"/>
          <w:sz w:val="21"/>
          <w:szCs w:val="21"/>
          <w:u w:val="single" w:color="auto"/>
          <w:color w:val="auto"/>
        </w:rPr>
        <w:t>w</w:t>
      </w:r>
      <w:r>
        <w:rPr>
          <w:rFonts w:ascii="Times New Roman" w:cs="Times New Roman" w:eastAsia="Times New Roman" w:hAnsi="Times New Roman"/>
          <w:sz w:val="21"/>
          <w:szCs w:val="21"/>
          <w:color w:val="auto"/>
        </w:rPr>
        <w:t>) by a majority vote of the directors of the Company who are not parties to such Proceeding, even though less than a quorum, with the advice of Independent Legal Counsel, or (</w:t>
      </w:r>
      <w:r>
        <w:rPr>
          <w:rFonts w:ascii="Times New Roman" w:cs="Times New Roman" w:eastAsia="Times New Roman" w:hAnsi="Times New Roman"/>
          <w:sz w:val="21"/>
          <w:szCs w:val="21"/>
          <w:u w:val="single" w:color="auto"/>
          <w:color w:val="auto"/>
        </w:rPr>
        <w:t>x</w:t>
      </w:r>
      <w:r>
        <w:rPr>
          <w:rFonts w:ascii="Times New Roman" w:cs="Times New Roman" w:eastAsia="Times New Roman" w:hAnsi="Times New Roman"/>
          <w:sz w:val="21"/>
          <w:szCs w:val="21"/>
          <w:color w:val="auto"/>
        </w:rPr>
        <w:t>) by a committee of such directors designated by majority vote of such directors, even though less than a quorum, with the advice of Independent Legal Counsel, or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if there are no such directors, or if such directors so direct, by Independent Legal Counsel in a written opinion to the Company and Indemnitee, or (</w:t>
      </w:r>
      <w:r>
        <w:rPr>
          <w:rFonts w:ascii="Times New Roman" w:cs="Times New Roman" w:eastAsia="Times New Roman" w:hAnsi="Times New Roman"/>
          <w:sz w:val="21"/>
          <w:szCs w:val="21"/>
          <w:u w:val="single" w:color="auto"/>
          <w:color w:val="auto"/>
        </w:rPr>
        <w:t>z</w:t>
      </w:r>
      <w:r>
        <w:rPr>
          <w:rFonts w:ascii="Times New Roman" w:cs="Times New Roman" w:eastAsia="Times New Roman" w:hAnsi="Times New Roman"/>
          <w:sz w:val="21"/>
          <w:szCs w:val="21"/>
          <w:color w:val="auto"/>
        </w:rPr>
        <w:t>) by the stockholders of the Company.</w:t>
      </w:r>
    </w:p>
    <w:p>
      <w:pPr>
        <w:spacing w:after="0" w:line="60" w:lineRule="exact"/>
        <w:rPr>
          <w:rFonts w:ascii="Times New Roman" w:cs="Times New Roman" w:eastAsia="Times New Roman" w:hAnsi="Times New Roman"/>
          <w:sz w:val="21"/>
          <w:szCs w:val="21"/>
          <w:color w:val="auto"/>
        </w:rPr>
      </w:pPr>
    </w:p>
    <w:p>
      <w:pPr>
        <w:ind w:left="760" w:firstLine="1494"/>
        <w:spacing w:after="0" w:line="258" w:lineRule="auto"/>
        <w:tabs>
          <w:tab w:leader="none" w:pos="255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has occurred, by Independent Legal Counsel in a written opinion to the Company and Indemnitee.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shall pay all Expenses incurred by Indemnitee in connection with a Determination.</w:t>
      </w:r>
    </w:p>
    <w:p>
      <w:pPr>
        <w:spacing w:after="0" w:line="98" w:lineRule="exact"/>
        <w:rPr>
          <w:sz w:val="20"/>
          <w:szCs w:val="20"/>
          <w:color w:val="auto"/>
        </w:rPr>
      </w:pPr>
    </w:p>
    <w:p>
      <w:pPr>
        <w:jc w:val="both"/>
        <w:ind w:firstLine="1505"/>
        <w:spacing w:after="0" w:line="236"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Legal Counsel</w:t>
      </w:r>
      <w:r>
        <w:rPr>
          <w:rFonts w:ascii="Times New Roman" w:cs="Times New Roman" w:eastAsia="Times New Roman" w:hAnsi="Times New Roman"/>
          <w:sz w:val="22"/>
          <w:szCs w:val="22"/>
          <w:color w:val="auto"/>
        </w:rPr>
        <w:t>. If there has not been a Change in Control, Independent Legal Counsel shall be selected by the board of directors of the Company and approved by Indemnitee (which approval shall not be unreasonably withheld or delayed). If there has been a Change in Control, Independent Legal Counsel shall be selected by Indemnitee and approved by the Company (which approval shall not be unreasonably withheld or delayed). The Company shall pay the fees and expenses of Independent Legal Counsel and indemnify Independent Legal Counsel against any and all expenses (including attorneys’ fees), claims, liabilities and damages arising out of or relating to its engagement.</w:t>
      </w:r>
    </w:p>
    <w:p>
      <w:pPr>
        <w:spacing w:after="0" w:line="73"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Consequences of Determination; Remedies of Indemnitee</w:t>
      </w:r>
      <w:r>
        <w:rPr>
          <w:rFonts w:ascii="Times New Roman" w:cs="Times New Roman" w:eastAsia="Times New Roman" w:hAnsi="Times New Roman"/>
          <w:sz w:val="21"/>
          <w:szCs w:val="21"/>
          <w:color w:val="auto"/>
        </w:rPr>
        <w:t>. The Company shall be bound by and shall have no right to challenge a Favorable Determination. If an Adverse Determination is made, or if for any other reason the Company does not make timely indemnification payments or advances of Expenses, Indemnitee shall have the right to commence a Proceeding before a court of competent jurisdiction to challenge such Adverse Determination and/or to require the Company to make such payments or advances. Indemnitee shall be entitled to be indemnified for all Expenses incurred in connection with such a Proceeding in accordance with Section 3(b) and to have such Expenses advanced by the Company in accordance with Section 4. If Indemnitee fails to timely challenge an Adverse Determination, or if Indemnitee challenges an Adverse Determination and such Adverse Determination has been upheld by a final judgment of a court of competent jurisdiction from which no appeal can be taken, then, to the extent and only to the extent required by such Adverse Determination or final judgment, the Company shall not be obligated to indemnify or advance Expenses to Indemnitee under this Agreement.</w:t>
      </w:r>
    </w:p>
    <w:p>
      <w:pPr>
        <w:spacing w:after="0" w:line="62" w:lineRule="exact"/>
        <w:rPr>
          <w:rFonts w:ascii="Times New Roman" w:cs="Times New Roman" w:eastAsia="Times New Roman" w:hAnsi="Times New Roman"/>
          <w:sz w:val="21"/>
          <w:szCs w:val="21"/>
          <w:color w:val="auto"/>
        </w:rPr>
      </w:pPr>
    </w:p>
    <w:p>
      <w:pPr>
        <w:ind w:right="20" w:firstLine="1505"/>
        <w:spacing w:after="0" w:line="258" w:lineRule="auto"/>
        <w:tabs>
          <w:tab w:leader="none" w:pos="203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Presumptions; Burden and Standard of Proof</w:t>
      </w:r>
      <w:r>
        <w:rPr>
          <w:rFonts w:ascii="Times New Roman" w:cs="Times New Roman" w:eastAsia="Times New Roman" w:hAnsi="Times New Roman"/>
          <w:sz w:val="22"/>
          <w:szCs w:val="22"/>
          <w:color w:val="auto"/>
        </w:rPr>
        <w:t>. In connection with any Determination, or any review of any Determination, by any person, including a court:</w:t>
      </w:r>
    </w:p>
    <w:p>
      <w:pPr>
        <w:spacing w:after="0" w:line="50"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be a presumption that a Determination is not required.</w:t>
      </w:r>
    </w:p>
    <w:p>
      <w:pPr>
        <w:spacing w:after="0" w:line="98" w:lineRule="exact"/>
        <w:rPr>
          <w:rFonts w:ascii="Times New Roman" w:cs="Times New Roman" w:eastAsia="Times New Roman" w:hAnsi="Times New Roman"/>
          <w:sz w:val="22"/>
          <w:szCs w:val="22"/>
          <w:color w:val="auto"/>
        </w:rPr>
      </w:pPr>
    </w:p>
    <w:p>
      <w:pPr>
        <w:ind w:left="760" w:firstLine="1494"/>
        <w:spacing w:after="0" w:line="258" w:lineRule="auto"/>
        <w:tabs>
          <w:tab w:leader="none" w:pos="2557"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shall be a presumption that Indemnitee has met the applicable standard of conduct and that indemnification of Indemnitee is proper in the circumstances.</w:t>
      </w:r>
    </w:p>
    <w:p>
      <w:pPr>
        <w:spacing w:after="0" w:line="50" w:lineRule="exact"/>
        <w:rPr>
          <w:sz w:val="20"/>
          <w:szCs w:val="20"/>
          <w:color w:val="auto"/>
        </w:rPr>
      </w:pPr>
    </w:p>
    <w:p>
      <w:pPr>
        <w:jc w:val="both"/>
        <w:ind w:left="760" w:firstLine="1497"/>
        <w:spacing w:after="0" w:line="282" w:lineRule="auto"/>
        <w:rPr>
          <w:sz w:val="20"/>
          <w:szCs w:val="20"/>
          <w:color w:val="auto"/>
        </w:rPr>
      </w:pPr>
      <w:r>
        <w:rPr>
          <w:rFonts w:ascii="Times New Roman" w:cs="Times New Roman" w:eastAsia="Times New Roman" w:hAnsi="Times New Roman"/>
          <w:sz w:val="21"/>
          <w:szCs w:val="21"/>
          <w:color w:val="auto"/>
        </w:rPr>
        <w:t>(iii)The burden of proof shall be on the Company to overcome the presumptions set forth in the preceding clauses (i) and (ii), and each such presumption shall only be overcome if the Company establishes otherwise.</w:t>
      </w:r>
    </w:p>
    <w:p>
      <w:pPr>
        <w:spacing w:after="0" w:line="27"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(iv)The termination of any Proceeding by judgment, order, finding, settlement (whether with or without court approval) or conviction, or upon a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or its equivalent, shall not create a presumption that indemnification is not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6</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proper or that Indemnitee did not meet the applicable standard of conduct or that a court has determined that indemnification is not permitted by this Agreement or otherwise.</w:t>
      </w:r>
    </w:p>
    <w:p>
      <w:pPr>
        <w:spacing w:after="0" w:line="50" w:lineRule="exact"/>
        <w:rPr>
          <w:sz w:val="20"/>
          <w:szCs w:val="20"/>
          <w:color w:val="auto"/>
        </w:rPr>
      </w:pPr>
    </w:p>
    <w:p>
      <w:pPr>
        <w:jc w:val="both"/>
        <w:ind w:left="760" w:firstLine="1494"/>
        <w:spacing w:after="0" w:line="239" w:lineRule="auto"/>
        <w:tabs>
          <w:tab w:leader="none" w:pos="2557"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the failure of any person or persons to have made a Determination nor an Adverse Determination by any person or persons shall be a defense to Indemnitee’s claim or create a presumption that Indemnitee did not meet the applicable standard of conduct, and any Proceeding commenced by Indemnitee pursuant to Section 5(1) shall be </w:t>
      </w:r>
      <w:r>
        <w:rPr>
          <w:rFonts w:ascii="Times New Roman" w:cs="Times New Roman" w:eastAsia="Times New Roman" w:hAnsi="Times New Roman"/>
          <w:sz w:val="22"/>
          <w:szCs w:val="22"/>
          <w:i w:val="1"/>
          <w:iCs w:val="1"/>
          <w:color w:val="auto"/>
        </w:rPr>
        <w:t>de novo</w:t>
      </w:r>
      <w:r>
        <w:rPr>
          <w:rFonts w:ascii="Times New Roman" w:cs="Times New Roman" w:eastAsia="Times New Roman" w:hAnsi="Times New Roman"/>
          <w:sz w:val="22"/>
          <w:szCs w:val="22"/>
          <w:color w:val="auto"/>
        </w:rPr>
        <w:t xml:space="preserve"> with respect to all determinations of fact and law.</w:t>
      </w:r>
    </w:p>
    <w:p>
      <w:pPr>
        <w:spacing w:after="0" w:line="72"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Directors and Officers Liability Insurance</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Insurance</w:t>
      </w:r>
      <w:r>
        <w:rPr>
          <w:rFonts w:ascii="Times New Roman" w:cs="Times New Roman" w:eastAsia="Times New Roman" w:hAnsi="Times New Roman"/>
          <w:sz w:val="22"/>
          <w:szCs w:val="22"/>
          <w:color w:val="auto"/>
        </w:rPr>
        <w:t>. So long as the Company or any of its subsidiaries maintains liability insurance for any directors, officers, employees or agents of any such person, the Company shall ensure that Indemnitee is covered by such insurance in such a manner as to provide Indemnitee the same rights and benefits as are accorded to the most favorably insured of the Company’s and its subsidiaries’ then current directors and officers. If at any date (i) such insurance ceases to cover acts and omissions occurring during all or any part of the period of Indemnitee’s Corporate Status or (ii) neither the Company nor any of its subsidiaries maintains any such insurance, the Company shall ensure that Indemnitee is covered, with respect to acts and omissions prior to such date, for at least six years (or such shorter period as is available on commercially reasonable terms) from such date, by other directors and officers liability insurance, in amounts and on terms (including the portion of the period of Indemnitee’s Corporate Status covered) no less favorable to Indemnitee than the amounts and terms of the liability insurance maintained by the Company on the date hereof.</w:t>
      </w:r>
    </w:p>
    <w:p>
      <w:pPr>
        <w:spacing w:after="0" w:line="71"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to Insurers</w:t>
      </w:r>
      <w:r>
        <w:rPr>
          <w:rFonts w:ascii="Times New Roman" w:cs="Times New Roman" w:eastAsia="Times New Roman" w:hAnsi="Times New Roman"/>
          <w:sz w:val="22"/>
          <w:szCs w:val="22"/>
          <w:color w:val="auto"/>
        </w:rPr>
        <w:t>. Upon receipt of notice of a Proceeding pursuant to Section 5(a), the Company shall give or cause to be given prompt notice of such Proceeding to all insurers providing liability insurance in accordance with the procedures set forth in all applicable or potentially applicable policies. The Company shall thereafter take all necessary action to cause such insurers to pay all amounts payable in accordance with the terms of such policies.</w:t>
      </w:r>
    </w:p>
    <w:p>
      <w:pPr>
        <w:spacing w:after="0" w:line="72" w:lineRule="exact"/>
        <w:rPr>
          <w:rFonts w:ascii="Times New Roman" w:cs="Times New Roman" w:eastAsia="Times New Roman" w:hAnsi="Times New Roman"/>
          <w:sz w:val="22"/>
          <w:szCs w:val="22"/>
          <w:color w:val="auto"/>
        </w:rPr>
      </w:pPr>
    </w:p>
    <w:p>
      <w:pPr>
        <w:jc w:val="both"/>
        <w:ind w:firstLine="757"/>
        <w:spacing w:after="0" w:line="246" w:lineRule="auto"/>
        <w:tabs>
          <w:tab w:leader="none" w:pos="101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of Liability</w:t>
      </w:r>
      <w:r>
        <w:rPr>
          <w:rFonts w:ascii="Times New Roman" w:cs="Times New Roman" w:eastAsia="Times New Roman" w:hAnsi="Times New Roman"/>
          <w:sz w:val="21"/>
          <w:szCs w:val="21"/>
          <w:color w:val="auto"/>
        </w:rPr>
        <w:t xml:space="preserve">. Indemnitee shall not be personally liable to the Company or any of its subsidiaries or to the stockholders of the Company or any such subsidiary for monetary damages for breach of fiduciary duty as a director of the Company or any such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foregoing shall not eliminate or limit the liability of the Indemnitee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for any breach of the Indemnitee’s duty of loyalty to the Company or such subsidiary or the stockholders thereof;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for acts or omissions not in good faith or which involve intentional misconduct or a knowing violation of the law;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under Section 174 of the DGCL or any similar provision of other applicable corporations law; or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for any transaction from which the Indemnitee derived an improper personal benefit. If the DGCL or such other applicable law shall be amended to permit further elimination or limitation of the personal liability of directors, then the liability of the Indemnitee shall, automatically, without any further action, be eliminated or limited to the fullest extent permitted by the DGCL or such other applicable law as so amended.</w:t>
      </w:r>
    </w:p>
    <w:p>
      <w:pPr>
        <w:spacing w:after="0" w:line="67" w:lineRule="exact"/>
        <w:rPr>
          <w:rFonts w:ascii="Times New Roman" w:cs="Times New Roman" w:eastAsia="Times New Roman" w:hAnsi="Times New Roman"/>
          <w:sz w:val="21"/>
          <w:szCs w:val="21"/>
          <w:color w:val="auto"/>
        </w:rPr>
      </w:pPr>
    </w:p>
    <w:p>
      <w:pPr>
        <w:ind w:left="1020" w:hanging="263"/>
        <w:spacing w:after="0"/>
        <w:tabs>
          <w:tab w:leader="none" w:pos="10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Non-Circumvention</w:t>
      </w:r>
      <w:r>
        <w:rPr>
          <w:rFonts w:ascii="Times New Roman" w:cs="Times New Roman" w:eastAsia="Times New Roman" w:hAnsi="Times New Roman"/>
          <w:sz w:val="22"/>
          <w:szCs w:val="22"/>
          <w:color w:val="auto"/>
        </w:rPr>
        <w:t>. The Company shall not seek or agree to any order of any court or other governmental authority that would prohibit or otherwise interfere, and shall not take or fail to take any other action if such action or failure would reasonably be expected to have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7</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effect of prohibiting or otherwise interfering, with the performance of the Company’s indemnification, advancement or other obligations under this Agreement.</w:t>
      </w:r>
    </w:p>
    <w:p>
      <w:pPr>
        <w:spacing w:after="0" w:line="50" w:lineRule="exact"/>
        <w:rPr>
          <w:sz w:val="20"/>
          <w:szCs w:val="20"/>
          <w:color w:val="auto"/>
        </w:rPr>
      </w:pPr>
    </w:p>
    <w:p>
      <w:pPr>
        <w:jc w:val="both"/>
        <w:ind w:firstLine="1505"/>
        <w:spacing w:after="0" w:line="234"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or provisions of this Agreement shall be held to be invalid, illegal or unenforceable. for any reason whatsoever: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such provision or provisions shall be deemed reformed to the extent necessary to conform to applicable law and to give the maximum effect to the intent of the parties hereto;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75"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demands and other communications under this Agreement shall be in writing and shall be deemed duly given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on the date of delivery if delivered personally, or by facsimile, upon confirmation of receipt,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on the first business day following the date of dispatch if delivered by a recognized next-day courier service or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on the third business day following the date of mailing if delivered by domestic registered or certified mail, properly addressed, or on the fifth business day following the date of mailing if sent by airmail from a country outside of North America, to Indemnitee at the address shown on the signature page of this Agreement, to the Company at the address shown on the signature page of this Agreement, or in either case as subsequently modified by written notice.</w:t>
      </w:r>
    </w:p>
    <w:p>
      <w:pPr>
        <w:spacing w:after="0" w:line="75"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No amendment, modification, termination or cancellation of this Agreement shall be effective unless it is in writing signed by all the parties hereto. No waiver of any of the provisions of this Agreement shall be deemed or shall constitute a waiver of any other provisions hereof (whether or not similar), nor shall such waiver constitute a continuing waiver.</w:t>
      </w:r>
    </w:p>
    <w:p>
      <w:pPr>
        <w:spacing w:after="0" w:line="7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shall be binding upon the Company and its respective successors and assigns, including without limitation any acquiror of all or substantially all of the Company’s assets or business, any person (as such term is used in Sections 13(d) and 14(d) of the Securities Exchange Act of 1934, as amended) that acquires beneficial ownership of securities of the Company representing more than 35% of the total voting power represented by the Company’s then outstanding Voting Securities, and any survivor of any merger or consolidation to which the Company is party. The Company shall require and cause any such successor, by written agreement in form and substance satisfactory to Indemnitee, expressly to assume and agree to perform this Agreement as if it were named as the Company herein, and the Company shall not permit any such purchase of assets or business, acquisition of securities or merger or consolidation to occur until such written agreement has been executed and delivered. No such assumption and agreement shall relieve the Company of any of its obligations hereunder, and this Agreement shall not otherwise be assignable by the Company. This Agreement is personal in nature and neither of the parties hereto shall, without the consent of the other, assign or delegate this Agreement or any rights or obligations. Without limiting the generality or effect of the foregoing, Indemnitee’s right to receive payments hereunder shall not be assignable, whether by pledge, creation of a security interest or otherwise, other than by a transfer by the Indemnitee’s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8</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will or by estate law, and, in the event of any attempted assignment or transfer contrary to this Section 8(e), the Company shall have no liability to pay any amount so attempted to be assigned or transferred.</w:t>
      </w:r>
    </w:p>
    <w:p>
      <w:pPr>
        <w:spacing w:after="0" w:line="50" w:lineRule="exact"/>
        <w:rPr>
          <w:sz w:val="20"/>
          <w:szCs w:val="20"/>
          <w:color w:val="auto"/>
        </w:rPr>
      </w:pPr>
    </w:p>
    <w:p>
      <w:pPr>
        <w:jc w:val="both"/>
        <w:ind w:firstLine="1505"/>
        <w:spacing w:after="0" w:line="236" w:lineRule="auto"/>
        <w:tabs>
          <w:tab w:leader="none" w:pos="20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Consent to Jurisdiction</w:t>
      </w:r>
      <w:r>
        <w:rPr>
          <w:rFonts w:ascii="Times New Roman" w:cs="Times New Roman" w:eastAsia="Times New Roman" w:hAnsi="Times New Roman"/>
          <w:sz w:val="22"/>
          <w:szCs w:val="22"/>
          <w:color w:val="auto"/>
        </w:rPr>
        <w:t>. This Agreement shall be governed by and its provisions construed in accordance with the laws of the State of Delaware, as applied to contracts between Delaware residents entered into and to be performed entirely within Delaware, without regard to the conflict of law principles thereof. The Company and Indemnitee each hereby irrevocably consents to the jurisdiction of the courts of the State of Delaware for all purposes in connection with any Proceeding which arises out of or relates to this Agreement and agree that any action instituted under this Agreement shall be brought only in the state courts of the State of Delaware.</w:t>
      </w:r>
    </w:p>
    <w:p>
      <w:pPr>
        <w:spacing w:after="0" w:line="7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 and Entire Agreement</w:t>
      </w:r>
      <w:r>
        <w:rPr>
          <w:rFonts w:ascii="Times New Roman" w:cs="Times New Roman" w:eastAsia="Times New Roman" w:hAnsi="Times New Roman"/>
          <w:sz w:val="22"/>
          <w:szCs w:val="22"/>
          <w:color w:val="auto"/>
        </w:rPr>
        <w:t>. This Agreement sets forth the entire understanding between the parties hereto and supersedes and merges all previous written and oral negotiations, commitments, understandings and agreements relating to the subject matter hereof between the parties hereto, provided that the provisions hereof shall not supersede the provisions of the Company’s certificate of incorporation, bylaws or other organizational agreement or instrument, any other agreement, any vote of stockholders or directors, the DGCL or other applicable law, to the extent any such provisions shall be more favorable to Indemnitee than the provisions hereof.</w:t>
      </w:r>
    </w:p>
    <w:p>
      <w:pPr>
        <w:spacing w:after="0" w:line="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 an original.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this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9</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color w:val="auto"/>
        </w:rPr>
        <w:t>Exhibit 10.13</w:t>
      </w:r>
    </w:p>
    <w:p>
      <w:pPr>
        <w:spacing w:after="0" w:line="200" w:lineRule="exact"/>
        <w:rPr>
          <w:sz w:val="20"/>
          <w:szCs w:val="20"/>
          <w:color w:val="auto"/>
        </w:rPr>
      </w:pP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22"/>
          <w:szCs w:val="22"/>
          <w:color w:val="auto"/>
        </w:rPr>
        <w:t>, the parties hereto have executed this Agreement as of the date first above written.</w:t>
      </w:r>
    </w:p>
    <w:p>
      <w:pPr>
        <w:spacing w:after="0" w:line="20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LSB INDUSTRIES,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-22860</wp:posOffset>
            </wp:positionV>
            <wp:extent cx="1485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1">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-29210</wp:posOffset>
            </wp:positionV>
            <wp:extent cx="2171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2">
                      <a:extLst>
                        <a:ext uri="{28A0092B-C50C-407E-A947-70E740481C1C}"/>
                      </a:extLst>
                    </a:blip>
                    <a:srcRect/>
                    <a:stretch>
                      <a:fillRect/>
                    </a:stretch>
                  </pic:blipFill>
                  <pic:spPr bwMode="auto">
                    <a:xfrm>
                      <a:off x="0" y="0"/>
                      <a:ext cx="217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greed to and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ccepted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4"/>
          <w:szCs w:val="14"/>
          <w:color w:val="auto"/>
        </w:rPr>
        <w:t>ndemnitee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-13970</wp:posOffset>
            </wp:positionV>
            <wp:extent cx="28194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3">
                      <a:extLst>
                        <a:ext uri="{28A0092B-C50C-407E-A947-70E740481C1C}"/>
                      </a:extLst>
                    </a:blip>
                    <a:srcRect/>
                    <a:stretch>
                      <a:fillRect/>
                    </a:stretch>
                  </pic:blipFill>
                  <pic:spPr bwMode="auto">
                    <a:xfrm>
                      <a:off x="0" y="0"/>
                      <a:ext cx="2819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-22860</wp:posOffset>
            </wp:positionV>
            <wp:extent cx="38862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4">
                      <a:extLst>
                        <a:ext uri="{28A0092B-C50C-407E-A947-70E740481C1C}"/>
                      </a:extLst>
                    </a:blip>
                    <a:srcRect/>
                    <a:stretch>
                      <a:fillRect/>
                    </a:stretch>
                  </pic:blipFill>
                  <pic:spPr bwMode="auto">
                    <a:xfrm>
                      <a:off x="0" y="0"/>
                      <a:ext cx="388620" cy="8255"/>
                    </a:xfrm>
                    <a:prstGeom prst="rect">
                      <a:avLst/>
                    </a:prstGeom>
                    <a:noFill/>
                  </pic:spPr>
                </pic:pic>
              </a:graphicData>
            </a:graphic>
          </wp:anchor>
        </w:drawing>
      </w:r>
    </w:p>
    <w:p>
      <w:pPr>
        <w:spacing w:after="0"/>
        <w:tabs>
          <w:tab w:leader="none" w:pos="6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Director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-13970</wp:posOffset>
            </wp:positionV>
            <wp:extent cx="2667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5">
                      <a:extLst>
                        <a:ext uri="{28A0092B-C50C-407E-A947-70E740481C1C}"/>
                      </a:extLst>
                    </a:blip>
                    <a:srcRect/>
                    <a:stretch>
                      <a:fillRect/>
                    </a:stretch>
                  </pic:blipFill>
                  <pic:spPr bwMode="auto">
                    <a:xfrm>
                      <a:off x="0" y="0"/>
                      <a:ext cx="26670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139700</wp:posOffset>
            </wp:positionV>
            <wp:extent cx="2743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wp:posOffset>
            </wp:positionH>
            <wp:positionV relativeFrom="paragraph">
              <wp:posOffset>294005</wp:posOffset>
            </wp:positionV>
            <wp:extent cx="2743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9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Director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color w:val="auto"/>
        </w:rPr>
        <w:t>Exhibit 10.40</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LSB Funding LLC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SBT Investors LLC</w:t>
      </w:r>
    </w:p>
    <w:p>
      <w:pPr>
        <w:jc w:val="center"/>
        <w:spacing w:after="0"/>
        <w:rPr>
          <w:sz w:val="20"/>
          <w:szCs w:val="20"/>
          <w:color w:val="auto"/>
        </w:rPr>
      </w:pPr>
      <w:r>
        <w:rPr>
          <w:rFonts w:ascii="Times New Roman" w:cs="Times New Roman" w:eastAsia="Times New Roman" w:hAnsi="Times New Roman"/>
          <w:sz w:val="20"/>
          <w:szCs w:val="20"/>
          <w:color w:val="auto"/>
        </w:rPr>
        <w:t>600 Steamboat Road, Suite 200</w:t>
      </w:r>
    </w:p>
    <w:p>
      <w:pPr>
        <w:jc w:val="center"/>
        <w:spacing w:after="0"/>
        <w:rPr>
          <w:sz w:val="20"/>
          <w:szCs w:val="20"/>
          <w:color w:val="auto"/>
        </w:rPr>
      </w:pPr>
      <w:r>
        <w:rPr>
          <w:rFonts w:ascii="Times New Roman" w:cs="Times New Roman" w:eastAsia="Times New Roman" w:hAnsi="Times New Roman"/>
          <w:sz w:val="20"/>
          <w:szCs w:val="20"/>
          <w:color w:val="auto"/>
        </w:rPr>
        <w:t>Greenwich, Connecticut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14,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LSB Industries, Inc.</w:t>
      </w:r>
    </w:p>
    <w:p>
      <w:pPr>
        <w:spacing w:after="0" w:line="212" w:lineRule="auto"/>
        <w:rPr>
          <w:sz w:val="20"/>
          <w:szCs w:val="20"/>
          <w:color w:val="auto"/>
        </w:rPr>
      </w:pPr>
      <w:r>
        <w:rPr>
          <w:rFonts w:ascii="Times New Roman" w:cs="Times New Roman" w:eastAsia="Times New Roman" w:hAnsi="Times New Roman"/>
          <w:sz w:val="20"/>
          <w:szCs w:val="20"/>
          <w:color w:val="auto"/>
        </w:rPr>
        <w:t>3503 NW 63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xml:space="preserve"> Street, Suite 500</w:t>
      </w:r>
    </w:p>
    <w:p>
      <w:pPr>
        <w:spacing w:after="0"/>
        <w:rPr>
          <w:sz w:val="20"/>
          <w:szCs w:val="20"/>
          <w:color w:val="auto"/>
        </w:rPr>
      </w:pPr>
      <w:r>
        <w:rPr>
          <w:rFonts w:ascii="Times New Roman" w:cs="Times New Roman" w:eastAsia="Times New Roman" w:hAnsi="Times New Roman"/>
          <w:sz w:val="20"/>
          <w:szCs w:val="20"/>
          <w:color w:val="auto"/>
        </w:rPr>
        <w:t>Oklahoma City, Oklahoma 73107</w:t>
      </w:r>
    </w:p>
    <w:p>
      <w:pPr>
        <w:spacing w:after="0"/>
        <w:rPr>
          <w:sz w:val="20"/>
          <w:szCs w:val="20"/>
          <w:color w:val="auto"/>
        </w:rPr>
      </w:pPr>
      <w:r>
        <w:rPr>
          <w:rFonts w:ascii="Times New Roman" w:cs="Times New Roman" w:eastAsia="Times New Roman" w:hAnsi="Times New Roman"/>
          <w:sz w:val="20"/>
          <w:szCs w:val="20"/>
          <w:color w:val="auto"/>
        </w:rPr>
        <w:t>Attention: Michael J. Foster,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 Registration Rights Agreement; Securities Exchange 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1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letter agreement is being entered into as of the date first listed above by and among LSB Industries,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LSB Funding LLC, a Delaware limited liability company (“</w:t>
      </w:r>
      <w:r>
        <w:rPr>
          <w:rFonts w:ascii="Times New Roman" w:cs="Times New Roman" w:eastAsia="Times New Roman" w:hAnsi="Times New Roman"/>
          <w:sz w:val="20"/>
          <w:szCs w:val="20"/>
          <w:u w:val="single" w:color="auto"/>
          <w:color w:val="auto"/>
        </w:rPr>
        <w:t>LSB Funding</w:t>
      </w:r>
      <w:r>
        <w:rPr>
          <w:rFonts w:ascii="Times New Roman" w:cs="Times New Roman" w:eastAsia="Times New Roman" w:hAnsi="Times New Roman"/>
          <w:sz w:val="20"/>
          <w:szCs w:val="20"/>
          <w:color w:val="auto"/>
        </w:rPr>
        <w:t>”), SBT Investors LLC, a Delaware limited liability company (“</w:t>
      </w:r>
      <w:r>
        <w:rPr>
          <w:rFonts w:ascii="Times New Roman" w:cs="Times New Roman" w:eastAsia="Times New Roman" w:hAnsi="Times New Roman"/>
          <w:sz w:val="20"/>
          <w:szCs w:val="20"/>
          <w:u w:val="single" w:color="auto"/>
          <w:color w:val="auto"/>
        </w:rPr>
        <w:t>SBT Investors</w:t>
      </w:r>
      <w:r>
        <w:rPr>
          <w:rFonts w:ascii="Times New Roman" w:cs="Times New Roman" w:eastAsia="Times New Roman" w:hAnsi="Times New Roman"/>
          <w:sz w:val="20"/>
          <w:szCs w:val="20"/>
          <w:color w:val="auto"/>
        </w:rPr>
        <w:t>”), and TLB-LSB, LLC , a Delaware limited liability company (“</w:t>
      </w:r>
      <w:r>
        <w:rPr>
          <w:rFonts w:ascii="Times New Roman" w:cs="Times New Roman" w:eastAsia="Times New Roman" w:hAnsi="Times New Roman"/>
          <w:sz w:val="20"/>
          <w:szCs w:val="20"/>
          <w:u w:val="single" w:color="auto"/>
          <w:color w:val="auto"/>
        </w:rPr>
        <w:t>TLB-LSB</w:t>
      </w:r>
      <w:r>
        <w:rPr>
          <w:rFonts w:ascii="Times New Roman" w:cs="Times New Roman" w:eastAsia="Times New Roman" w:hAnsi="Times New Roman"/>
          <w:sz w:val="20"/>
          <w:szCs w:val="20"/>
          <w:color w:val="auto"/>
        </w:rPr>
        <w:t>”), in connection with the pro rata distribution in kind by LSB Funding and SBT Investors of shares of the Company’s common stock, par value $0.10 per share (“</w:t>
      </w:r>
      <w:r>
        <w:rPr>
          <w:rFonts w:ascii="Times New Roman" w:cs="Times New Roman" w:eastAsia="Times New Roman" w:hAnsi="Times New Roman"/>
          <w:sz w:val="20"/>
          <w:szCs w:val="20"/>
          <w:u w:val="single" w:color="auto"/>
          <w:color w:val="auto"/>
        </w:rPr>
        <w:t>Common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and related subsequent pro rata distributions in kind by certain of their direct and indirect parent companies and members to their respective members, partners or stockholders (collectively, the “</w:t>
      </w:r>
      <w:r>
        <w:rPr>
          <w:rFonts w:ascii="Times New Roman" w:cs="Times New Roman" w:eastAsia="Times New Roman" w:hAnsi="Times New Roman"/>
          <w:sz w:val="20"/>
          <w:szCs w:val="20"/>
          <w:u w:val="single" w:color="auto"/>
          <w:color w:val="auto"/>
        </w:rPr>
        <w:t>Distribution in Kind</w:t>
      </w:r>
      <w:r>
        <w:rPr>
          <w:rFonts w:ascii="Times New Roman" w:cs="Times New Roman" w:eastAsia="Times New Roman" w:hAnsi="Times New Roman"/>
          <w:sz w:val="20"/>
          <w:szCs w:val="20"/>
          <w:color w:val="auto"/>
        </w:rPr>
        <w:t>”), such Distribution in Kind to occur immediately following the effectiveness of this letter agreement.</w:t>
      </w:r>
    </w:p>
    <w:p>
      <w:pPr>
        <w:spacing w:after="0" w:line="186" w:lineRule="exact"/>
        <w:rPr>
          <w:sz w:val="20"/>
          <w:szCs w:val="20"/>
          <w:color w:val="auto"/>
        </w:rPr>
      </w:pPr>
    </w:p>
    <w:p>
      <w:pPr>
        <w:jc w:val="both"/>
        <w:ind w:firstLine="8"/>
        <w:spacing w:after="0" w:line="254" w:lineRule="auto"/>
        <w:tabs>
          <w:tab w:leader="none" w:pos="261"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Reference is made to that certain Registration Rights Agreement, dated as of December 4, 2015, by and between the Company and LSB Funding (as amended, the “</w:t>
      </w: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Capitalized terms used and not otherwise defined in this Section 1 shall have the respective meanings ascribed to them in the Registration Rights Agreement.</w:t>
      </w:r>
    </w:p>
    <w:p>
      <w:pPr>
        <w:spacing w:after="0" w:line="174" w:lineRule="exact"/>
        <w:rPr>
          <w:rFonts w:ascii="Times New Roman" w:cs="Times New Roman" w:eastAsia="Times New Roman" w:hAnsi="Times New Roman"/>
          <w:sz w:val="20"/>
          <w:szCs w:val="20"/>
          <w:color w:val="auto"/>
        </w:rPr>
      </w:pPr>
    </w:p>
    <w:p>
      <w:pPr>
        <w:jc w:val="both"/>
        <w:ind w:left="760" w:hanging="378"/>
        <w:spacing w:after="0" w:line="255" w:lineRule="auto"/>
        <w:tabs>
          <w:tab w:leader="none" w:pos="760" w:val="left"/>
        </w:tabs>
        <w:numPr>
          <w:ilvl w:val="1"/>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Rights Transfer</w:t>
      </w:r>
      <w:r>
        <w:rPr>
          <w:rFonts w:ascii="Times New Roman" w:cs="Times New Roman" w:eastAsia="Times New Roman" w:hAnsi="Times New Roman"/>
          <w:sz w:val="19"/>
          <w:szCs w:val="19"/>
          <w:color w:val="auto"/>
        </w:rPr>
        <w:t>. Pursuant to Section 2.11 of the Registration Rights Agreement, each of LSB Funding and SBT Investors hereby gives notice of its intention to transfer (the “</w:t>
      </w:r>
      <w:r>
        <w:rPr>
          <w:rFonts w:ascii="Times New Roman" w:cs="Times New Roman" w:eastAsia="Times New Roman" w:hAnsi="Times New Roman"/>
          <w:sz w:val="19"/>
          <w:szCs w:val="19"/>
          <w:u w:val="single" w:color="auto"/>
          <w:color w:val="auto"/>
        </w:rPr>
        <w:t>Registration Rights Transfer</w:t>
      </w:r>
      <w:r>
        <w:rPr>
          <w:rFonts w:ascii="Times New Roman" w:cs="Times New Roman" w:eastAsia="Times New Roman" w:hAnsi="Times New Roman"/>
          <w:sz w:val="19"/>
          <w:szCs w:val="19"/>
          <w:color w:val="auto"/>
        </w:rPr>
        <w:t>”), immediately following the effectiveness of this letter agreement, its rights under the Registration Rights Agreement, including its rights to cause the Company to register up to an aggregate of 15,263,493 Registrable Securities (the “</w:t>
      </w:r>
      <w:r>
        <w:rPr>
          <w:rFonts w:ascii="Times New Roman" w:cs="Times New Roman" w:eastAsia="Times New Roman" w:hAnsi="Times New Roman"/>
          <w:sz w:val="19"/>
          <w:szCs w:val="19"/>
          <w:u w:val="single" w:color="auto"/>
          <w:color w:val="auto"/>
        </w:rPr>
        <w:t>Specified Securities</w:t>
      </w:r>
      <w:r>
        <w:rPr>
          <w:rFonts w:ascii="Times New Roman" w:cs="Times New Roman" w:eastAsia="Times New Roman" w:hAnsi="Times New Roman"/>
          <w:sz w:val="19"/>
          <w:szCs w:val="19"/>
          <w:color w:val="auto"/>
        </w:rPr>
        <w:t>”), to TLB-LSB, located at 600 Steamboat Road, Suite 200, Greenwich, Connecticut 06830 in connection with the distribution of such Specified Securities to TLB-LSB pursuant to the Distribution in Kind. In connection with the Registration Rights Transfer, LSB Funding, SBT Investors and TLB-LSB each hereby represent and warrant to the Company that (a) the transfer of the Specified Securities to TLB-LSB pursuant to the Distribution in Kind would be permitted for a transfer of “Securities” (as defined in the Securities Purchase Agreement (as defined in the Registration Rights Agreement)) pursuant to Section 7.05 of the Securities Purchase Agreement (as defined in the Registration Rights Agreement), (b) TLB-LSB is an Affiliate of LSB Funding and SBT Investors and, after the Registration Rights Transfer, will continue to be an Affiliate of LSB Funding and SBT Investors, and (c) the Distribution in Kind is being made in compliance with all applicable securities laws. LSB Funding and SBT Investors each further represent that they are not relieved of any obligation or liabilities under the Registration Rights Agreement arising out of events occurring prior to the Registration Rights Transfer. By signature of its authorized representative below, TLB-LSB hereby assumes responsibility for the portion of the obligations of each of LSB Funding and SBT Investors under the Registration Rights Agreement related to the Specified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3" w:name="page134"/>
    <w:bookmarkEnd w:id="133"/>
    <w:p>
      <w:pPr>
        <w:jc w:val="both"/>
        <w:ind w:firstLine="8"/>
        <w:spacing w:after="0" w:line="254" w:lineRule="auto"/>
        <w:tabs>
          <w:tab w:leader="none" w:pos="211"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Securities Exchange Agreement</w:t>
      </w:r>
      <w:r>
        <w:rPr>
          <w:rFonts w:ascii="Times New Roman" w:cs="Times New Roman" w:eastAsia="Times New Roman" w:hAnsi="Times New Roman"/>
          <w:sz w:val="20"/>
          <w:szCs w:val="20"/>
          <w:color w:val="auto"/>
        </w:rPr>
        <w:t>. Reference is made to that certain Securities Exchange Agreement, dated as of July 19, 2021, by and between the Company and LSB Funding (as amended from time to time, the “</w:t>
      </w:r>
      <w:r>
        <w:rPr>
          <w:rFonts w:ascii="Times New Roman" w:cs="Times New Roman" w:eastAsia="Times New Roman" w:hAnsi="Times New Roman"/>
          <w:sz w:val="20"/>
          <w:szCs w:val="20"/>
          <w:u w:val="single" w:color="auto"/>
          <w:color w:val="auto"/>
        </w:rPr>
        <w:t>Exchange Agreement</w:t>
      </w:r>
      <w:r>
        <w:rPr>
          <w:rFonts w:ascii="Times New Roman" w:cs="Times New Roman" w:eastAsia="Times New Roman" w:hAnsi="Times New Roman"/>
          <w:sz w:val="20"/>
          <w:szCs w:val="20"/>
          <w:color w:val="auto"/>
        </w:rPr>
        <w:t>”). Capitalized terms used and not otherwise defined in this Section 2 shall have the respective meanings ascribed to them in the Exchange Agreement.</w:t>
      </w:r>
    </w:p>
    <w:p>
      <w:pPr>
        <w:spacing w:after="0" w:line="17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4.6 of the Exchange Agreement, the Company hereby consents to the Distribution in Kind.</w:t>
      </w:r>
    </w:p>
    <w:p>
      <w:pPr>
        <w:spacing w:after="0" w:line="215" w:lineRule="exact"/>
        <w:rPr>
          <w:rFonts w:ascii="Times New Roman" w:cs="Times New Roman" w:eastAsia="Times New Roman" w:hAnsi="Times New Roman"/>
          <w:sz w:val="20"/>
          <w:szCs w:val="20"/>
          <w:color w:val="auto"/>
        </w:rPr>
      </w:pPr>
    </w:p>
    <w:p>
      <w:pPr>
        <w:jc w:val="both"/>
        <w:ind w:left="760" w:hanging="378"/>
        <w:spacing w:after="0" w:line="245" w:lineRule="auto"/>
        <w:tabs>
          <w:tab w:leader="none" w:pos="76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Pursuant to Section 7.10 of the Exchange Agreement, each of LSB Funding and SBT Investors hereby notifies the Company that it is assigning all of its rights under Sections 4.11, 4.12, 4.13 and 4.14 of the Exchange Agreement to TLB-LSB effective as of immediately following the consummation of the Distribution in Kind. In connection with such assignment, LSB Funding, SBT Investors and TLB-LSB hereby represent and warrant to the Company that TLB-LSB is an Affiliate of LSB Funding and SBT Investors and TLB-LSB is financially capable of performing the obligations of the Holder under the above-referenced sections of the Exchange Agreement.</w:t>
      </w:r>
    </w:p>
    <w:p>
      <w:pPr>
        <w:spacing w:after="0" w:line="184" w:lineRule="exact"/>
        <w:rPr>
          <w:rFonts w:ascii="Times New Roman" w:cs="Times New Roman" w:eastAsia="Times New Roman" w:hAnsi="Times New Roman"/>
          <w:sz w:val="20"/>
          <w:szCs w:val="20"/>
          <w:color w:val="auto"/>
        </w:rPr>
      </w:pPr>
    </w:p>
    <w:p>
      <w:pPr>
        <w:ind w:left="200" w:hanging="192"/>
        <w:spacing w:after="0"/>
        <w:tabs>
          <w:tab w:leader="none" w:pos="20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Representations, Warranties and Acknowledgements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LSB Funding, SBT Investors and the Company hereby agree that no recipient of Common Stock pursuant to the Distribution in Kind other than TLB-LSB is entitled to any registration rights pursuant to the Registration Rights Agreement.</w:t>
      </w:r>
    </w:p>
    <w:p>
      <w:pPr>
        <w:spacing w:after="0" w:line="174" w:lineRule="exact"/>
        <w:rPr>
          <w:rFonts w:ascii="Times New Roman" w:cs="Times New Roman" w:eastAsia="Times New Roman" w:hAnsi="Times New Roman"/>
          <w:sz w:val="20"/>
          <w:szCs w:val="20"/>
          <w:color w:val="auto"/>
        </w:rPr>
      </w:pPr>
    </w:p>
    <w:p>
      <w:pPr>
        <w:ind w:left="260" w:hanging="252"/>
        <w:spacing w:after="0"/>
        <w:tabs>
          <w:tab w:leader="none" w:pos="2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Except for the consents, amendments and modifications expressly made in this letter agreement, the Registration Rights Agreement and the Exchange Agreement shall remain unchanged and in full force and effect in accordance with their terms. By its signature below, each party consents and agrees to the transactions described herein and agrees to execute, acknowledge, deliver, file and record such further certificates, amendments, instruments and documents, and to do all such other acts and things, as may be required by law or as, in the reasonable judgment of the parties hereto, may be necessary or advisable to carry out the intent and purposes of the transactions described in this letter agreement.</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letter agreement, and all claims or causes of action (whether in contract or tort) that may be based upon, arise out of or relate to this letter agreement, will be construed in accordance with and governed by the laws of the State of Delaware without regard to principles of conflicts of laws.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letter agreement may be executed in any number of counterparts and by different parties hereto in separate counterparts, each of which counterparts, when so executed and delivered, shall be deemed to be an original and all of which counterparts, taken together, shall constitute one and the same agreement.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1032510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p>
      <w:pPr>
        <w:ind w:left="198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b w:val="1"/>
          <w:bCs w:val="1"/>
          <w:color w:val="auto"/>
        </w:rPr>
        <w:t>LSB FUNDING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Todd L. Boehly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-10795</wp:posOffset>
            </wp:positionV>
            <wp:extent cx="125603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1">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Todd L. Boehly</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SBT INVESTORS LLC</w:t>
      </w:r>
    </w:p>
    <w:p>
      <w:pPr>
        <w:spacing w:after="0" w:line="200" w:lineRule="exact"/>
        <w:rPr>
          <w:sz w:val="20"/>
          <w:szCs w:val="20"/>
          <w:color w:val="auto"/>
        </w:rPr>
      </w:pPr>
    </w:p>
    <w:p>
      <w:pPr>
        <w:spacing w:after="0" w:line="236"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By: NZC Capital LLC, its Member Manager</w:t>
      </w:r>
    </w:p>
    <w:p>
      <w:pPr>
        <w:spacing w:after="0" w:line="200" w:lineRule="exact"/>
        <w:rPr>
          <w:sz w:val="20"/>
          <w:szCs w:val="20"/>
          <w:color w:val="auto"/>
        </w:rPr>
      </w:pPr>
    </w:p>
    <w:p>
      <w:pPr>
        <w:spacing w:after="0" w:line="23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color w:val="auto"/>
        </w:rPr>
        <w:t>By: /s/ Todd L. Boehly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1510030</wp:posOffset>
            </wp:positionH>
            <wp:positionV relativeFrom="paragraph">
              <wp:posOffset>-10795</wp:posOffset>
            </wp:positionV>
            <wp:extent cx="125666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2">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 w:lineRule="exact"/>
        <w:rPr>
          <w:sz w:val="20"/>
          <w:szCs w:val="20"/>
          <w:color w:val="auto"/>
        </w:rPr>
      </w:pPr>
    </w:p>
    <w:p>
      <w:pPr>
        <w:ind w:left="1980"/>
        <w:spacing w:after="0"/>
        <w:tabs>
          <w:tab w:leader="none" w:pos="2760" w:val="left"/>
        </w:tabs>
        <w:rPr>
          <w:sz w:val="20"/>
          <w:szCs w:val="20"/>
          <w:color w:val="auto"/>
        </w:rPr>
      </w:pPr>
      <w:r>
        <w:rPr>
          <w:rFonts w:ascii="Times New Roman" w:cs="Times New Roman" w:eastAsia="Times New Roman" w:hAnsi="Times New Roman"/>
          <w:sz w:val="20"/>
          <w:szCs w:val="20"/>
          <w:color w:val="auto"/>
        </w:rPr>
        <w:t>Name:</w:t>
        <w:tab/>
        <w:t>Todd L. Boehly</w:t>
      </w:r>
    </w:p>
    <w:p>
      <w:pPr>
        <w:ind w:left="1980"/>
        <w:spacing w:after="0"/>
        <w:tabs>
          <w:tab w:leader="none" w:pos="27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0"/>
          <w:szCs w:val="20"/>
          <w:b w:val="1"/>
          <w:bCs w:val="1"/>
          <w:color w:val="auto"/>
        </w:rPr>
        <w:t>TLB-LSB,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Todd L. Boehly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-10795</wp:posOffset>
            </wp:positionV>
            <wp:extent cx="12560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Todd L. Boehly</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4"/>
          <w:szCs w:val="14"/>
          <w:i w:val="1"/>
          <w:iCs w:val="1"/>
          <w:color w:val="auto"/>
        </w:rPr>
        <w:t>[Signature Page to Letter Agreement re: Registration Rights Agreement and Securities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474980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39"/>
          </w:cols>
          <w:pgMar w:left="720" w:top="1413" w:right="1440"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Consented to, acknowledged and agreed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LSB INDUSTRIES,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75895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5">
                      <a:extLst>
                        <a:ext uri="{28A0092B-C50C-407E-A947-70E740481C1C}"/>
                      </a:extLst>
                    </a:blip>
                    <a:srcRect/>
                    <a:stretch>
                      <a:fillRect/>
                    </a:stretch>
                  </pic:blipFill>
                  <pic:spPr bwMode="auto">
                    <a:xfrm>
                      <a:off x="0" y="0"/>
                      <a:ext cx="1758950" cy="8890"/>
                    </a:xfrm>
                    <a:prstGeom prst="rect">
                      <a:avLst/>
                    </a:prstGeom>
                    <a:noFill/>
                  </pic:spPr>
                </pic:pic>
              </a:graphicData>
            </a:graphic>
          </wp:anchor>
        </w:drawing>
      </w:r>
    </w:p>
    <w:p>
      <w:pPr>
        <w:spacing w:after="0" w:line="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Name:</w:t>
        <w:tab/>
        <w:t>Cheryl A. Maguire</w:t>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Executive Vice President and Chief Financial Officer</w:t>
      </w:r>
    </w:p>
    <w:p>
      <w:pPr>
        <w:spacing w:after="0" w:line="200" w:lineRule="exact"/>
        <w:rPr>
          <w:sz w:val="20"/>
          <w:szCs w:val="20"/>
          <w:color w:val="auto"/>
        </w:rPr>
      </w:pPr>
    </w:p>
    <w:p>
      <w:pPr>
        <w:spacing w:after="0" w:line="275" w:lineRule="exact"/>
        <w:rPr>
          <w:sz w:val="20"/>
          <w:szCs w:val="20"/>
          <w:color w:val="auto"/>
        </w:rPr>
      </w:pPr>
    </w:p>
    <w:p>
      <w:pPr>
        <w:jc w:val="right"/>
        <w:ind w:right="1359"/>
        <w:spacing w:after="0"/>
        <w:rPr>
          <w:sz w:val="20"/>
          <w:szCs w:val="20"/>
          <w:color w:val="auto"/>
        </w:rPr>
      </w:pPr>
      <w:r>
        <w:rPr>
          <w:rFonts w:ascii="Times New Roman" w:cs="Times New Roman" w:eastAsia="Times New Roman" w:hAnsi="Times New Roman"/>
          <w:sz w:val="14"/>
          <w:szCs w:val="14"/>
          <w:i w:val="1"/>
          <w:iCs w:val="1"/>
          <w:color w:val="auto"/>
        </w:rPr>
        <w:t>[Signature Page to Letter Agreement re: Registration Rights Agreement and Securities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8"/>
        <w:spacing w:after="0"/>
        <w:rPr>
          <w:sz w:val="20"/>
          <w:szCs w:val="20"/>
          <w:color w:val="auto"/>
        </w:rPr>
      </w:pPr>
      <w:r>
        <w:rPr>
          <w:rFonts w:ascii="Times New Roman" w:cs="Times New Roman" w:eastAsia="Times New Roman" w:hAnsi="Times New Roman"/>
          <w:sz w:val="20"/>
          <w:szCs w:val="20"/>
          <w:b w:val="1"/>
          <w:bCs w:val="1"/>
          <w:color w:val="auto"/>
        </w:rPr>
        <w:t xml:space="preserve">LSB INDUSTRIES, INC. </w:t>
      </w:r>
      <w:r>
        <w:rPr>
          <w:rFonts w:ascii="Times New Roman" w:cs="Times New Roman" w:eastAsia="Times New Roman" w:hAnsi="Times New Roman"/>
          <w:sz w:val="20"/>
          <w:szCs w:val="20"/>
          <w:b w:val="1"/>
          <w:bCs w:val="1"/>
          <w:u w:val="single" w:color="auto"/>
          <w:color w:val="auto"/>
        </w:rPr>
        <w:t>INSIDER TRADING</w:t>
      </w:r>
    </w:p>
    <w:p>
      <w:pPr>
        <w:spacing w:after="0" w:line="25" w:lineRule="exact"/>
        <w:rPr>
          <w:sz w:val="20"/>
          <w:szCs w:val="20"/>
          <w:color w:val="auto"/>
        </w:rPr>
      </w:pPr>
    </w:p>
    <w:p>
      <w:pPr>
        <w:ind w:left="3768"/>
        <w:spacing w:after="0"/>
        <w:rPr>
          <w:sz w:val="20"/>
          <w:szCs w:val="20"/>
          <w:color w:val="auto"/>
        </w:rPr>
      </w:pPr>
      <w:r>
        <w:rPr>
          <w:rFonts w:ascii="Times New Roman" w:cs="Times New Roman" w:eastAsia="Times New Roman" w:hAnsi="Times New Roman"/>
          <w:sz w:val="20"/>
          <w:szCs w:val="20"/>
          <w:b w:val="1"/>
          <w:bCs w:val="1"/>
          <w:u w:val="single" w:color="auto"/>
          <w:color w:val="auto"/>
        </w:rPr>
        <w:t>POLICY</w:t>
      </w:r>
    </w:p>
    <w:p>
      <w:pPr>
        <w:ind w:left="748" w:hanging="748"/>
        <w:spacing w:after="0"/>
        <w:tabs>
          <w:tab w:leader="none" w:pos="748" w:val="left"/>
        </w:tabs>
        <w:numPr>
          <w:ilvl w:val="0"/>
          <w:numId w:val="1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INTRODUCTION</w:t>
      </w:r>
    </w:p>
    <w:p>
      <w:pPr>
        <w:spacing w:after="0" w:line="203" w:lineRule="exact"/>
        <w:rPr>
          <w:sz w:val="20"/>
          <w:szCs w:val="20"/>
          <w:color w:val="auto"/>
        </w:rPr>
      </w:pPr>
    </w:p>
    <w:p>
      <w:pPr>
        <w:jc w:val="both"/>
        <w:ind w:left="8" w:right="120" w:firstLine="747"/>
        <w:spacing w:after="0" w:line="273" w:lineRule="auto"/>
        <w:rPr>
          <w:sz w:val="20"/>
          <w:szCs w:val="20"/>
          <w:color w:val="auto"/>
        </w:rPr>
      </w:pPr>
      <w:r>
        <w:rPr>
          <w:rFonts w:ascii="Times New Roman" w:cs="Times New Roman" w:eastAsia="Times New Roman" w:hAnsi="Times New Roman"/>
          <w:sz w:val="20"/>
          <w:szCs w:val="20"/>
          <w:color w:val="auto"/>
        </w:rPr>
        <w:t>This Insider Trading Policy (this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is intended to prevent violations of the federal securities laws and to protect LSB Industries, Inc.’s and its subsidiaries’ (collectively,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reputation for integrity and ethical conduct.</w:t>
      </w:r>
    </w:p>
    <w:p>
      <w:pPr>
        <w:spacing w:after="0" w:line="165" w:lineRule="exact"/>
        <w:rPr>
          <w:sz w:val="20"/>
          <w:szCs w:val="20"/>
          <w:color w:val="auto"/>
        </w:rPr>
      </w:pPr>
    </w:p>
    <w:p>
      <w:pPr>
        <w:jc w:val="both"/>
        <w:ind w:left="8" w:right="120" w:firstLine="747"/>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Insider trading</w:t>
      </w:r>
      <w:r>
        <w:rPr>
          <w:rFonts w:ascii="Times New Roman" w:cs="Times New Roman" w:eastAsia="Times New Roman" w:hAnsi="Times New Roman"/>
          <w:sz w:val="20"/>
          <w:szCs w:val="20"/>
          <w:color w:val="auto"/>
        </w:rPr>
        <w:t>” refers generally to buying or selling a security, in breach of a fiduciary duty or other relationship of trust and confidence, while in possession of material non-public information about the security. Trading includes engaging in short sales, transactions in put or call options, hedging transactions, and other inherently speculative transactions. Insider trading violations may also include “tipping” such information, securities trading by the person “tipped,” and securities trading by those who misappropriate such information.</w:t>
      </w:r>
    </w:p>
    <w:p>
      <w:pPr>
        <w:spacing w:after="0" w:line="207" w:lineRule="exact"/>
        <w:rPr>
          <w:sz w:val="20"/>
          <w:szCs w:val="20"/>
          <w:color w:val="auto"/>
        </w:rPr>
      </w:pPr>
    </w:p>
    <w:p>
      <w:pPr>
        <w:jc w:val="both"/>
        <w:ind w:left="8" w:right="120" w:firstLine="747"/>
        <w:spacing w:after="0" w:line="245" w:lineRule="auto"/>
        <w:rPr>
          <w:sz w:val="20"/>
          <w:szCs w:val="20"/>
          <w:color w:val="auto"/>
        </w:rPr>
      </w:pPr>
      <w:r>
        <w:rPr>
          <w:rFonts w:ascii="Times New Roman" w:cs="Times New Roman" w:eastAsia="Times New Roman" w:hAnsi="Times New Roman"/>
          <w:sz w:val="20"/>
          <w:szCs w:val="20"/>
          <w:color w:val="auto"/>
        </w:rPr>
        <w:t>The scope of insider trading violations can be wide reaching. The U.S.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has brought insider trading cases against corporate officers, directors, and employees who traded the corporation’s securities after learning of significant, confidential corporate developments; friends, business associates, family members, and other “tippees” of such officers, directors, and employees who traded the securities after receiving such information; employees of law, banking, brokerage, and printing firms who were given such information in order to provide services to the corporation whose securities they traded; government employees who learned of such information because of their employment by the government; and other persons who misappropriated, and took advantage of, confidential information from their employers.</w:t>
      </w:r>
    </w:p>
    <w:p>
      <w:pPr>
        <w:spacing w:after="0" w:line="179" w:lineRule="exact"/>
        <w:rPr>
          <w:sz w:val="20"/>
          <w:szCs w:val="20"/>
          <w:color w:val="auto"/>
        </w:rPr>
      </w:pPr>
    </w:p>
    <w:p>
      <w:pPr>
        <w:jc w:val="both"/>
        <w:ind w:left="8" w:right="120" w:firstLine="747"/>
        <w:spacing w:after="0" w:line="245" w:lineRule="auto"/>
        <w:rPr>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i w:val="1"/>
          <w:iCs w:val="1"/>
          <w:color w:val="auto"/>
        </w:rPr>
        <w:t>insider</w:t>
      </w:r>
      <w:r>
        <w:rPr>
          <w:rFonts w:ascii="Times New Roman" w:cs="Times New Roman" w:eastAsia="Times New Roman" w:hAnsi="Times New Roman"/>
          <w:sz w:val="20"/>
          <w:szCs w:val="20"/>
          <w:color w:val="auto"/>
        </w:rPr>
        <w:t xml:space="preserve">” can include officers, directors, major stockholders and employees of an entity whose securities are publicly traded. In general, an insider must not trade for personal gain in the securities of that entity if that person possesses material non-public information about the entity. In addition, an insider who is aware of material non-public information must not disclose such information to family, friends, business or social acquaintances, employees or independent contractors of the entity (unless such employees or independent contractors have a position within the entity giving them a clear right and need to know), and other third parties. </w:t>
      </w:r>
      <w:r>
        <w:rPr>
          <w:rFonts w:ascii="Times New Roman" w:cs="Times New Roman" w:eastAsia="Times New Roman" w:hAnsi="Times New Roman"/>
          <w:sz w:val="20"/>
          <w:szCs w:val="20"/>
          <w:b w:val="1"/>
          <w:bCs w:val="1"/>
          <w:color w:val="auto"/>
        </w:rPr>
        <w:t>An insider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is responsible for assuring that his or her family members comply with insider trading laws. </w:t>
      </w:r>
      <w:r>
        <w:rPr>
          <w:rFonts w:ascii="Times New Roman" w:cs="Times New Roman" w:eastAsia="Times New Roman" w:hAnsi="Times New Roman"/>
          <w:sz w:val="20"/>
          <w:szCs w:val="20"/>
          <w:color w:val="auto"/>
        </w:rPr>
        <w:t>An insider may make trades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 or discuss material information only after the material information has been made public.</w:t>
      </w:r>
    </w:p>
    <w:p>
      <w:pPr>
        <w:spacing w:after="0" w:line="179" w:lineRule="exact"/>
        <w:rPr>
          <w:sz w:val="20"/>
          <w:szCs w:val="20"/>
          <w:color w:val="auto"/>
        </w:rPr>
      </w:pPr>
    </w:p>
    <w:p>
      <w:pPr>
        <w:ind w:left="748" w:hanging="748"/>
        <w:spacing w:after="0"/>
        <w:tabs>
          <w:tab w:leader="none" w:pos="748" w:val="left"/>
        </w:tabs>
        <w:numPr>
          <w:ilvl w:val="0"/>
          <w:numId w:val="1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PENALTIES; SANCTIONS</w:t>
      </w:r>
    </w:p>
    <w:p>
      <w:pPr>
        <w:spacing w:after="0" w:line="247" w:lineRule="exact"/>
        <w:rPr>
          <w:sz w:val="20"/>
          <w:szCs w:val="20"/>
          <w:color w:val="auto"/>
        </w:rPr>
      </w:pPr>
    </w:p>
    <w:p>
      <w:pPr>
        <w:jc w:val="both"/>
        <w:ind w:left="8" w:right="120" w:firstLine="747"/>
        <w:spacing w:after="0" w:line="249" w:lineRule="auto"/>
        <w:rPr>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Violation of the prohibition on insider trading can result in a prison sentence and civil and criminal fines for the individuals who commit the violation, and civil and criminal fines for the entities that commit the violation. The Company can be subject to a civil monetary penalty even if the directors, officers or employees who committed the violation concealed their activities from the Company.</w:t>
      </w:r>
    </w:p>
    <w:p>
      <w:pPr>
        <w:spacing w:after="0" w:line="193"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20"/>
          <w:szCs w:val="20"/>
          <w:u w:val="single" w:color="auto"/>
          <w:color w:val="auto"/>
        </w:rPr>
        <w:t>Bounties</w:t>
      </w:r>
      <w:r>
        <w:rPr>
          <w:rFonts w:ascii="Times New Roman" w:cs="Times New Roman" w:eastAsia="Times New Roman" w:hAnsi="Times New Roman"/>
          <w:sz w:val="20"/>
          <w:szCs w:val="20"/>
          <w:color w:val="auto"/>
        </w:rPr>
        <w:t>. The SEC is offering bounties to persons who provide information leading to the imposition of the civil penalty.</w:t>
      </w:r>
    </w:p>
    <w:p>
      <w:pPr>
        <w:spacing w:after="0" w:line="239" w:lineRule="exact"/>
        <w:rPr>
          <w:sz w:val="20"/>
          <w:szCs w:val="20"/>
          <w:color w:val="auto"/>
        </w:rPr>
      </w:pPr>
    </w:p>
    <w:p>
      <w:pPr>
        <w:ind w:left="748" w:hanging="748"/>
        <w:spacing w:after="0"/>
        <w:tabs>
          <w:tab w:leader="none" w:pos="748" w:val="left"/>
        </w:tabs>
        <w:numPr>
          <w:ilvl w:val="0"/>
          <w:numId w:val="1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STATEMENT</w:t>
      </w:r>
    </w:p>
    <w:p>
      <w:pPr>
        <w:spacing w:after="0" w:line="233" w:lineRule="exact"/>
        <w:rPr>
          <w:sz w:val="20"/>
          <w:szCs w:val="20"/>
          <w:color w:val="auto"/>
        </w:rPr>
      </w:pPr>
    </w:p>
    <w:p>
      <w:pPr>
        <w:ind w:left="8" w:right="120" w:firstLine="747"/>
        <w:spacing w:after="0" w:line="250" w:lineRule="auto"/>
        <w:rPr>
          <w:sz w:val="20"/>
          <w:szCs w:val="20"/>
          <w:color w:val="auto"/>
        </w:rPr>
      </w:pPr>
      <w:r>
        <w:rPr>
          <w:rFonts w:ascii="Times New Roman" w:cs="Times New Roman" w:eastAsia="Times New Roman" w:hAnsi="Times New Roman"/>
          <w:sz w:val="20"/>
          <w:szCs w:val="20"/>
          <w:color w:val="auto"/>
        </w:rPr>
        <w:t>Illegal insider trading is against the policy of the Company. Such trading can cause significant harm to the reputation for integrity and ethical conduct of the Company. Individuals who fail to comply with the</w:t>
      </w:r>
    </w:p>
    <w:p>
      <w:pPr>
        <w:spacing w:after="0" w:line="2"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467360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8"/>
          </w:cols>
          <w:pgMar w:left="492" w:top="37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 w:right="540"/>
        <w:spacing w:after="0" w:line="269" w:lineRule="auto"/>
        <w:rPr>
          <w:sz w:val="20"/>
          <w:szCs w:val="20"/>
          <w:color w:val="auto"/>
        </w:rPr>
      </w:pPr>
      <w:r>
        <w:rPr>
          <w:rFonts w:ascii="Times New Roman" w:cs="Times New Roman" w:eastAsia="Times New Roman" w:hAnsi="Times New Roman"/>
          <w:sz w:val="20"/>
          <w:szCs w:val="20"/>
          <w:color w:val="auto"/>
        </w:rPr>
        <w:t>requirements of this Policy are subject to disciplinary action, at the sole discretion of the Company, including dismissal for cause. In addition, it is the policy of the Company to comply with all applicable securities laws when transacting in its own securities.</w:t>
      </w:r>
    </w:p>
    <w:p>
      <w:pPr>
        <w:spacing w:after="0" w:line="155" w:lineRule="exact"/>
        <w:rPr>
          <w:sz w:val="20"/>
          <w:szCs w:val="20"/>
          <w:color w:val="auto"/>
        </w:rPr>
      </w:pPr>
    </w:p>
    <w:p>
      <w:pPr>
        <w:ind w:left="8"/>
        <w:spacing w:after="0"/>
        <w:tabs>
          <w:tab w:leader="none" w:pos="727"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WHAT IS MATERIAL NON-PUBLIC INFORMATION?</w:t>
      </w:r>
    </w:p>
    <w:p>
      <w:pPr>
        <w:spacing w:after="0" w:line="233" w:lineRule="exact"/>
        <w:rPr>
          <w:sz w:val="20"/>
          <w:szCs w:val="20"/>
          <w:color w:val="auto"/>
        </w:rPr>
      </w:pPr>
    </w:p>
    <w:p>
      <w:pPr>
        <w:jc w:val="both"/>
        <w:ind w:left="8" w:right="120" w:firstLine="747"/>
        <w:spacing w:after="0" w:line="245" w:lineRule="auto"/>
        <w:rPr>
          <w:sz w:val="20"/>
          <w:szCs w:val="20"/>
          <w:color w:val="auto"/>
        </w:rPr>
      </w:pPr>
      <w:r>
        <w:rPr>
          <w:rFonts w:ascii="Times New Roman" w:cs="Times New Roman" w:eastAsia="Times New Roman" w:hAnsi="Times New Roman"/>
          <w:sz w:val="20"/>
          <w:szCs w:val="20"/>
          <w:color w:val="auto"/>
        </w:rPr>
        <w:t>Non-public, or inside, information about the Company that is not known to the investing public may include, among other things, strategic plans; significant capital investment plans; negotiations concerning acquisitions or dispositions; major new contracts (or the loss of a major contract); other favorable or unfavorable business or financial developments, projections or prospects; a change in control or a significant change in management; significant litigation, settlements, or regulatory developments; price shares or discount policies; impending securities splits, securities repurchases, securities dividends or changes in dividends to be paid; a call of securities for redemption; and, most frequently, financial results.</w:t>
      </w:r>
    </w:p>
    <w:p>
      <w:pPr>
        <w:spacing w:after="0" w:line="211" w:lineRule="exact"/>
        <w:rPr>
          <w:sz w:val="20"/>
          <w:szCs w:val="20"/>
          <w:color w:val="auto"/>
        </w:rPr>
      </w:pPr>
    </w:p>
    <w:p>
      <w:pPr>
        <w:jc w:val="both"/>
        <w:ind w:left="8" w:right="120" w:firstLine="747"/>
        <w:spacing w:after="0" w:line="246" w:lineRule="auto"/>
        <w:rPr>
          <w:sz w:val="20"/>
          <w:szCs w:val="20"/>
          <w:color w:val="auto"/>
        </w:rPr>
      </w:pPr>
      <w:r>
        <w:rPr>
          <w:rFonts w:ascii="Times New Roman" w:cs="Times New Roman" w:eastAsia="Times New Roman" w:hAnsi="Times New Roman"/>
          <w:sz w:val="20"/>
          <w:szCs w:val="20"/>
          <w:color w:val="auto"/>
        </w:rPr>
        <w:t xml:space="preserve">All information about the Company is considered non-public information until it is disseminated in a manner calculated to reach the securities marketplace through recognized channels of distribution </w:t>
      </w:r>
      <w:r>
        <w:rPr>
          <w:rFonts w:ascii="Times New Roman" w:cs="Times New Roman" w:eastAsia="Times New Roman" w:hAnsi="Times New Roman"/>
          <w:sz w:val="20"/>
          <w:szCs w:val="20"/>
          <w:u w:val="single" w:color="auto"/>
          <w:color w:val="auto"/>
        </w:rPr>
        <w:t>and</w:t>
      </w:r>
      <w:r>
        <w:rPr>
          <w:rFonts w:ascii="Times New Roman" w:cs="Times New Roman" w:eastAsia="Times New Roman" w:hAnsi="Times New Roman"/>
          <w:sz w:val="20"/>
          <w:szCs w:val="20"/>
          <w:color w:val="auto"/>
        </w:rPr>
        <w:t xml:space="preserve"> public investors have had a reasonable period of time to react to the information. Generally, information which has not been available to the investing public for at least </w:t>
      </w:r>
      <w:r>
        <w:rPr>
          <w:rFonts w:ascii="Times New Roman" w:cs="Times New Roman" w:eastAsia="Times New Roman" w:hAnsi="Times New Roman"/>
          <w:sz w:val="20"/>
          <w:szCs w:val="20"/>
          <w:u w:val="single" w:color="auto"/>
          <w:color w:val="auto"/>
        </w:rPr>
        <w:t>two (2) full business days</w:t>
      </w:r>
      <w:r>
        <w:rPr>
          <w:rFonts w:ascii="Times New Roman" w:cs="Times New Roman" w:eastAsia="Times New Roman" w:hAnsi="Times New Roman"/>
          <w:sz w:val="20"/>
          <w:szCs w:val="20"/>
          <w:color w:val="auto"/>
        </w:rPr>
        <w:t xml:space="preserve"> is considered to be non-public. Recognized channels of distribution include annual reports, SEC filings, press releases, marketing materials, and publication of information in prominent financial publications, such as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left="8" w:right="120" w:firstLine="747"/>
        <w:spacing w:after="0" w:line="254" w:lineRule="auto"/>
        <w:rPr>
          <w:sz w:val="20"/>
          <w:szCs w:val="20"/>
          <w:color w:val="auto"/>
        </w:rPr>
      </w:pPr>
      <w:r>
        <w:rPr>
          <w:rFonts w:ascii="Times New Roman" w:cs="Times New Roman" w:eastAsia="Times New Roman" w:hAnsi="Times New Roman"/>
          <w:sz w:val="20"/>
          <w:szCs w:val="20"/>
          <w:color w:val="auto"/>
        </w:rPr>
        <w:t>Non-public information is material if it might reasonably be expected to affect the market value of the securities and/or influence investor decisions to buy, sell or hold securities. If a person feels the information is material, it probably is. Moreover, it should be remembered that plaintiffs who challenge and judges who rule on particular transactions have the benefit of hindsight.</w:t>
      </w:r>
    </w:p>
    <w:p>
      <w:pPr>
        <w:spacing w:after="0" w:line="201" w:lineRule="exact"/>
        <w:rPr>
          <w:sz w:val="20"/>
          <w:szCs w:val="20"/>
          <w:color w:val="auto"/>
        </w:rPr>
      </w:pPr>
    </w:p>
    <w:p>
      <w:pPr>
        <w:jc w:val="both"/>
        <w:ind w:left="8" w:right="120" w:firstLine="747"/>
        <w:spacing w:after="0" w:line="246" w:lineRule="auto"/>
        <w:rPr>
          <w:sz w:val="20"/>
          <w:szCs w:val="20"/>
          <w:color w:val="auto"/>
        </w:rPr>
      </w:pPr>
      <w:r>
        <w:rPr>
          <w:rFonts w:ascii="Times New Roman" w:cs="Times New Roman" w:eastAsia="Times New Roman" w:hAnsi="Times New Roman"/>
          <w:sz w:val="20"/>
          <w:szCs w:val="20"/>
          <w:color w:val="auto"/>
        </w:rPr>
        <w:t>In all cases, the responsibility for determining whether a person is in possession of material non-public information rests with that person, and any action on the part of the Company, the General Counsel or any other employee or director pursuant to this Policy (or otherwise) does not in any way constitute legal advice or insulate an individual from liability under applicable securities laws. If a person is in doubt as to whether information is public or material, that person should wait until the information becomes public, or should refer questions to the Company’s General Counsel.</w:t>
      </w:r>
    </w:p>
    <w:p>
      <w:pPr>
        <w:spacing w:after="0" w:line="181" w:lineRule="exact"/>
        <w:rPr>
          <w:sz w:val="20"/>
          <w:szCs w:val="20"/>
          <w:color w:val="auto"/>
        </w:rPr>
      </w:pPr>
    </w:p>
    <w:p>
      <w:pPr>
        <w:ind w:left="748" w:hanging="748"/>
        <w:spacing w:after="0"/>
        <w:tabs>
          <w:tab w:leader="none" w:pos="748" w:val="left"/>
        </w:tabs>
        <w:numPr>
          <w:ilvl w:val="0"/>
          <w:numId w:val="1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HANDLING OF INFORMATION</w:t>
      </w:r>
    </w:p>
    <w:p>
      <w:pPr>
        <w:spacing w:after="0" w:line="247" w:lineRule="exact"/>
        <w:rPr>
          <w:sz w:val="20"/>
          <w:szCs w:val="20"/>
          <w:color w:val="auto"/>
        </w:rPr>
      </w:pPr>
    </w:p>
    <w:p>
      <w:pPr>
        <w:jc w:val="both"/>
        <w:ind w:left="8" w:right="120" w:firstLine="747"/>
        <w:spacing w:after="0" w:line="246" w:lineRule="auto"/>
        <w:rPr>
          <w:sz w:val="20"/>
          <w:szCs w:val="20"/>
          <w:color w:val="auto"/>
        </w:rPr>
      </w:pPr>
      <w:r>
        <w:rPr>
          <w:rFonts w:ascii="Times New Roman" w:cs="Times New Roman" w:eastAsia="Times New Roman" w:hAnsi="Times New Roman"/>
          <w:sz w:val="20"/>
          <w:szCs w:val="20"/>
          <w:color w:val="auto"/>
        </w:rPr>
        <w:t>The Company’s records must always be treated as confidential. Items such as interim and annual financial statements and similar information are proprietary (that is, information pertaining to and used exclusively by the Company), and proprietary information must not be disclosed or used for any purpose other than for Company business and only to such individuals whose jobs require them to have that information. All Company policies and procedures designed to preserve and protect confidential information must be strictly followed at all times.</w:t>
      </w:r>
    </w:p>
    <w:p>
      <w:pPr>
        <w:spacing w:after="0" w:line="198" w:lineRule="exact"/>
        <w:rPr>
          <w:sz w:val="20"/>
          <w:szCs w:val="20"/>
          <w:color w:val="auto"/>
        </w:rPr>
      </w:pPr>
    </w:p>
    <w:p>
      <w:pPr>
        <w:jc w:val="both"/>
        <w:ind w:left="8" w:right="140" w:firstLine="747"/>
        <w:spacing w:after="0" w:line="269" w:lineRule="auto"/>
        <w:rPr>
          <w:sz w:val="20"/>
          <w:szCs w:val="20"/>
          <w:color w:val="auto"/>
        </w:rPr>
      </w:pPr>
      <w:r>
        <w:rPr>
          <w:rFonts w:ascii="Times New Roman" w:cs="Times New Roman" w:eastAsia="Times New Roman" w:hAnsi="Times New Roman"/>
          <w:sz w:val="20"/>
          <w:szCs w:val="20"/>
          <w:color w:val="auto"/>
        </w:rPr>
        <w:t>No director, officer or employee of the Company shall at any time make any recommendation or express any opinion as to trading in the Company’s securities.</w:t>
      </w:r>
    </w:p>
    <w:p>
      <w:pPr>
        <w:spacing w:after="0" w:line="173" w:lineRule="exact"/>
        <w:rPr>
          <w:sz w:val="20"/>
          <w:szCs w:val="20"/>
          <w:color w:val="auto"/>
        </w:rPr>
      </w:pPr>
    </w:p>
    <w:p>
      <w:pPr>
        <w:jc w:val="both"/>
        <w:ind w:left="8" w:right="120" w:firstLine="747"/>
        <w:spacing w:after="0" w:line="269" w:lineRule="auto"/>
        <w:rPr>
          <w:sz w:val="20"/>
          <w:szCs w:val="20"/>
          <w:color w:val="auto"/>
        </w:rPr>
      </w:pPr>
      <w:r>
        <w:rPr>
          <w:rFonts w:ascii="Times New Roman" w:cs="Times New Roman" w:eastAsia="Times New Roman" w:hAnsi="Times New Roman"/>
          <w:sz w:val="20"/>
          <w:szCs w:val="20"/>
          <w:color w:val="auto"/>
        </w:rPr>
        <w:t>Information learned about other entities in a special relationship with the Company, such as acquisition negotiations, is confidential and must not be given to outside persons without proper authorization.</w:t>
      </w:r>
    </w:p>
    <w:p>
      <w:pPr>
        <w:spacing w:after="0" w:line="173" w:lineRule="exact"/>
        <w:rPr>
          <w:sz w:val="20"/>
          <w:szCs w:val="20"/>
          <w:color w:val="auto"/>
        </w:rPr>
      </w:pPr>
    </w:p>
    <w:p>
      <w:pPr>
        <w:jc w:val="both"/>
        <w:ind w:left="8" w:right="120" w:firstLine="747"/>
        <w:spacing w:after="0" w:line="250" w:lineRule="auto"/>
        <w:rPr>
          <w:sz w:val="20"/>
          <w:szCs w:val="20"/>
          <w:color w:val="auto"/>
        </w:rPr>
      </w:pPr>
      <w:r>
        <w:rPr>
          <w:rFonts w:ascii="Times New Roman" w:cs="Times New Roman" w:eastAsia="Times New Roman" w:hAnsi="Times New Roman"/>
          <w:sz w:val="20"/>
          <w:szCs w:val="20"/>
          <w:color w:val="auto"/>
        </w:rPr>
        <w:t>All confidential information in the possession of a director, officer or employee is to be returned to the Company at the termination his or her relationship with the Company.</w:t>
      </w:r>
    </w:p>
    <w:p>
      <w:pPr>
        <w:spacing w:after="0" w:line="2"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467360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8"/>
          </w:cols>
          <w:pgMar w:left="492" w:top="118"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color w:val="auto"/>
        </w:rPr>
        <w:t>TRADING IN THE COMPANY AND OTHER SECURITIES</w:t>
      </w:r>
    </w:p>
    <w:p>
      <w:pPr>
        <w:spacing w:after="0" w:line="247" w:lineRule="exact"/>
        <w:rPr>
          <w:sz w:val="20"/>
          <w:szCs w:val="20"/>
          <w:color w:val="auto"/>
        </w:rPr>
      </w:pPr>
    </w:p>
    <w:p>
      <w:pPr>
        <w:jc w:val="both"/>
        <w:ind w:right="120" w:firstLine="747"/>
        <w:spacing w:after="0" w:line="246" w:lineRule="auto"/>
        <w:rPr>
          <w:sz w:val="20"/>
          <w:szCs w:val="20"/>
          <w:color w:val="auto"/>
        </w:rPr>
      </w:pPr>
      <w:r>
        <w:rPr>
          <w:rFonts w:ascii="Times New Roman" w:cs="Times New Roman" w:eastAsia="Times New Roman" w:hAnsi="Times New Roman"/>
          <w:sz w:val="20"/>
          <w:szCs w:val="20"/>
          <w:u w:val="single" w:color="auto"/>
          <w:color w:val="auto"/>
        </w:rPr>
        <w:t>General Rule</w:t>
      </w:r>
      <w:r>
        <w:rPr>
          <w:rFonts w:ascii="Times New Roman" w:cs="Times New Roman" w:eastAsia="Times New Roman" w:hAnsi="Times New Roman"/>
          <w:sz w:val="20"/>
          <w:szCs w:val="20"/>
          <w:color w:val="auto"/>
        </w:rPr>
        <w:t>. Directors, officers and employees of the Company shall not effect any transaction in the Company’s securities if they possess material non-public information about the Company. This restriction generally does not apply to the exercise of stock options under the Company’s stock option or deferred compensation plans, but would apply to the sale of any shares acquired under such plans. The provisions set forth in this Paragraph VI and all other provisions of this Policy shall equally apply to the directors, officers and employees of any subsidiary of the Company.</w:t>
      </w:r>
    </w:p>
    <w:p>
      <w:pPr>
        <w:spacing w:after="0" w:line="198" w:lineRule="exact"/>
        <w:rPr>
          <w:sz w:val="20"/>
          <w:szCs w:val="20"/>
          <w:color w:val="auto"/>
        </w:rPr>
      </w:pPr>
    </w:p>
    <w:p>
      <w:pPr>
        <w:jc w:val="both"/>
        <w:ind w:right="120" w:firstLine="747"/>
        <w:spacing w:after="0" w:line="242" w:lineRule="auto"/>
        <w:rPr>
          <w:sz w:val="20"/>
          <w:szCs w:val="20"/>
          <w:color w:val="auto"/>
        </w:rPr>
      </w:pPr>
      <w:r>
        <w:rPr>
          <w:rFonts w:ascii="Times New Roman" w:cs="Times New Roman" w:eastAsia="Times New Roman" w:hAnsi="Times New Roman"/>
          <w:sz w:val="20"/>
          <w:szCs w:val="20"/>
          <w:u w:val="single" w:color="auto"/>
          <w:color w:val="auto"/>
        </w:rPr>
        <w:t>Open Window</w:t>
      </w:r>
      <w:r>
        <w:rPr>
          <w:rFonts w:ascii="Times New Roman" w:cs="Times New Roman" w:eastAsia="Times New Roman" w:hAnsi="Times New Roman"/>
          <w:sz w:val="20"/>
          <w:szCs w:val="20"/>
          <w:color w:val="auto"/>
        </w:rPr>
        <w:t>. Generally, except as described in this policy, all Company employees, directors, officers, and consultants may buy or sell the Company’s securities only during an “open window” that opens at the opening of the market on the first trading day following the public dissemination of the Company’s annual or quarterly financial results and closes at the close of market on the last trading day two weeks before the end of the next fiscal quarter (or such other period as the board of directors may define from time to time). In addition, the Company shall have the right to impose special blackout periods during which such persons will be prohibited from trading any securities of the Company even though the trading window would otherwise be open. The fact that the open window has closed early or has not opened should be considered material non-public information. An employee, director, officer or consultant who believes that special circumstances require them to trade outside the open window should consult the General Counsel or his designee. Permission to trade outside the open window will be granted only where the circumstances are extenuating and there appears to be no significant risk that the trade may be subsequently questioned.</w:t>
      </w:r>
    </w:p>
    <w:p>
      <w:pPr>
        <w:spacing w:after="0" w:line="2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auto"/>
        </w:rPr>
        <w:t>Exceptions to Open Window Period</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120" w:firstLine="749"/>
        <w:spacing w:after="0" w:line="246" w:lineRule="auto"/>
        <w:rPr>
          <w:sz w:val="20"/>
          <w:szCs w:val="20"/>
          <w:color w:val="auto"/>
        </w:rPr>
      </w:pPr>
      <w:r>
        <w:rPr>
          <w:rFonts w:ascii="Times New Roman" w:cs="Times New Roman" w:eastAsia="Times New Roman" w:hAnsi="Times New Roman"/>
          <w:sz w:val="20"/>
          <w:szCs w:val="20"/>
          <w:color w:val="auto"/>
        </w:rPr>
        <w:t>1.Option Exercises and RSU Net Settlement. Employees, directors, and consultants may (i) exercise options for cash granted under the Company’s stock-option plans, and (ii) net settle restricted stock or restricted stock units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and have the Company withhold shares of common stock to satisfy tax withholding obligations when RSUs settle. But this policy would then apply to any later sales of stock that were acquired on the exercise of options (including sales of stock acquired in a cashless exercise) or delivery of the vested RSUs.</w:t>
      </w:r>
    </w:p>
    <w:p>
      <w:pPr>
        <w:spacing w:after="0" w:line="181" w:lineRule="exact"/>
        <w:rPr>
          <w:sz w:val="20"/>
          <w:szCs w:val="20"/>
          <w:color w:val="auto"/>
        </w:rPr>
      </w:pPr>
    </w:p>
    <w:p>
      <w:pPr>
        <w:jc w:val="both"/>
        <w:ind w:right="120" w:firstLine="749"/>
        <w:spacing w:after="0" w:line="243" w:lineRule="auto"/>
        <w:rPr>
          <w:sz w:val="20"/>
          <w:szCs w:val="20"/>
          <w:color w:val="auto"/>
        </w:rPr>
      </w:pPr>
      <w:r>
        <w:rPr>
          <w:rFonts w:ascii="Times New Roman" w:cs="Times New Roman" w:eastAsia="Times New Roman" w:hAnsi="Times New Roman"/>
          <w:sz w:val="20"/>
          <w:szCs w:val="20"/>
          <w:color w:val="auto"/>
        </w:rPr>
        <w:t>2.10b5-1 Automatic Trading Programs. Under Rule 10b5-1 of the Securities Exchange Act of 1934, as amended (“</w:t>
      </w:r>
      <w:r>
        <w:rPr>
          <w:rFonts w:ascii="Times New Roman" w:cs="Times New Roman" w:eastAsia="Times New Roman" w:hAnsi="Times New Roman"/>
          <w:sz w:val="20"/>
          <w:szCs w:val="20"/>
          <w:b w:val="1"/>
          <w:bCs w:val="1"/>
          <w:i w:val="1"/>
          <w:iCs w:val="1"/>
          <w:color w:val="auto"/>
        </w:rPr>
        <w:t>Exchange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Act</w:t>
      </w:r>
      <w:r>
        <w:rPr>
          <w:rFonts w:ascii="Times New Roman" w:cs="Times New Roman" w:eastAsia="Times New Roman" w:hAnsi="Times New Roman"/>
          <w:sz w:val="20"/>
          <w:szCs w:val="20"/>
          <w:color w:val="auto"/>
        </w:rPr>
        <w:t>”), employees, directors, officers and consultants may establish a trading plan under which a broker is instructed to buy and sell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Company’s securities based on pre-determined criteria (a “</w:t>
      </w:r>
      <w:r>
        <w:rPr>
          <w:rFonts w:ascii="Times New Roman" w:cs="Times New Roman" w:eastAsia="Times New Roman" w:hAnsi="Times New Roman"/>
          <w:sz w:val="20"/>
          <w:szCs w:val="20"/>
          <w:b w:val="1"/>
          <w:bCs w:val="1"/>
          <w:i w:val="1"/>
          <w:iCs w:val="1"/>
          <w:color w:val="auto"/>
        </w:rPr>
        <w:t>Trading Plan</w:t>
      </w:r>
      <w:r>
        <w:rPr>
          <w:rFonts w:ascii="Times New Roman" w:cs="Times New Roman" w:eastAsia="Times New Roman" w:hAnsi="Times New Roman"/>
          <w:sz w:val="20"/>
          <w:szCs w:val="20"/>
          <w:color w:val="auto"/>
        </w:rPr>
        <w:t>”). So long as a Trading Plan is properly established and operated in accordance with Rule 10b5-1, purchases and sales of the Company’s securities pursuant to that plan may be made at any time—even in a blackout period. An employee’s, director’s, officer’s or consultant’s Trading Plan must be established in compliance with the requirements of Rule 10b5-1 and the Company’s 10b5-1 Trading Plan Guidelines, attached hereto as Exhibit B, at a time when such person was not in possession of material non-public information about the Company and when the Company was not in a trading blackout period. Moreover, all Trading Plans must be reviewed by the Company before being established. That is because the Company wants to confirm that the Trading Plan complies with all pertinent company policies and the securities laws. The Company must be notified before a Trading Plan is established, amended, or terminated.</w:t>
      </w:r>
    </w:p>
    <w:p>
      <w:pPr>
        <w:spacing w:after="0" w:line="213" w:lineRule="exact"/>
        <w:rPr>
          <w:sz w:val="20"/>
          <w:szCs w:val="20"/>
          <w:color w:val="auto"/>
        </w:rPr>
      </w:pPr>
    </w:p>
    <w:p>
      <w:pPr>
        <w:jc w:val="both"/>
        <w:ind w:right="140" w:firstLine="749"/>
        <w:spacing w:after="0" w:line="269" w:lineRule="auto"/>
        <w:rPr>
          <w:sz w:val="20"/>
          <w:szCs w:val="20"/>
          <w:color w:val="auto"/>
        </w:rPr>
      </w:pPr>
      <w:r>
        <w:rPr>
          <w:rFonts w:ascii="Times New Roman" w:cs="Times New Roman" w:eastAsia="Times New Roman" w:hAnsi="Times New Roman"/>
          <w:sz w:val="20"/>
          <w:szCs w:val="20"/>
          <w:color w:val="auto"/>
        </w:rPr>
        <w:t>3.Transactions with the Company. Any purchase of Company Securities from the Company or sales of Company Securities to the Company not already identified in Section VI are not subject to this Policy.</w:t>
      </w:r>
    </w:p>
    <w:p>
      <w:pPr>
        <w:spacing w:after="0" w:line="173" w:lineRule="exact"/>
        <w:rPr>
          <w:sz w:val="20"/>
          <w:szCs w:val="20"/>
          <w:color w:val="auto"/>
        </w:rPr>
      </w:pPr>
    </w:p>
    <w:p>
      <w:pPr>
        <w:jc w:val="both"/>
        <w:ind w:right="120" w:firstLine="749"/>
        <w:spacing w:after="0" w:line="250" w:lineRule="auto"/>
        <w:rPr>
          <w:sz w:val="20"/>
          <w:szCs w:val="20"/>
          <w:color w:val="auto"/>
        </w:rPr>
      </w:pPr>
      <w:r>
        <w:rPr>
          <w:rFonts w:ascii="Times New Roman" w:cs="Times New Roman" w:eastAsia="Times New Roman" w:hAnsi="Times New Roman"/>
          <w:sz w:val="20"/>
          <w:szCs w:val="20"/>
          <w:color w:val="auto"/>
        </w:rPr>
        <w:t>4. Transactions Not Involving a Purchase or Sale. Bona fide gifts are not transactions subject to this Policy, unless the person making the gift has reason to believe that the recipient intends to sell the</w:t>
      </w:r>
    </w:p>
    <w:p>
      <w:pPr>
        <w:spacing w:after="0" w:line="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3</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493395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18"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securities while the officer, employee or director is aware of material non-public information or subject to a blackout.</w:t>
      </w:r>
    </w:p>
    <w:p>
      <w:pPr>
        <w:spacing w:after="0" w:line="67" w:lineRule="exact"/>
        <w:rPr>
          <w:sz w:val="20"/>
          <w:szCs w:val="20"/>
          <w:color w:val="auto"/>
        </w:rPr>
      </w:pPr>
    </w:p>
    <w:p>
      <w:pPr>
        <w:ind w:right="400" w:firstLine="749"/>
        <w:spacing w:after="0" w:line="250" w:lineRule="auto"/>
        <w:rPr>
          <w:sz w:val="20"/>
          <w:szCs w:val="20"/>
          <w:color w:val="auto"/>
        </w:rPr>
      </w:pPr>
      <w:r>
        <w:rPr>
          <w:rFonts w:ascii="Times New Roman" w:cs="Times New Roman" w:eastAsia="Times New Roman" w:hAnsi="Times New Roman"/>
          <w:sz w:val="20"/>
          <w:szCs w:val="20"/>
          <w:color w:val="auto"/>
        </w:rPr>
        <w:t>5.Transactions in Mutual Funds. Transactions in mutual funds that are invested in the Company’s securities are not subject to this Policy.</w:t>
      </w:r>
    </w:p>
    <w:p>
      <w:pPr>
        <w:spacing w:after="0" w:line="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493395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18"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120" w:firstLine="747"/>
        <w:spacing w:after="0" w:line="243" w:lineRule="auto"/>
        <w:rPr>
          <w:sz w:val="20"/>
          <w:szCs w:val="20"/>
          <w:color w:val="auto"/>
        </w:rPr>
      </w:pPr>
      <w:r>
        <w:rPr>
          <w:rFonts w:ascii="Times New Roman" w:cs="Times New Roman" w:eastAsia="Times New Roman" w:hAnsi="Times New Roman"/>
          <w:sz w:val="20"/>
          <w:szCs w:val="20"/>
          <w:u w:val="single" w:color="auto"/>
          <w:color w:val="auto"/>
        </w:rPr>
        <w:t>Pre-Clearance and Advance Notice of Transactions</w:t>
      </w:r>
      <w:r>
        <w:rPr>
          <w:rFonts w:ascii="Times New Roman" w:cs="Times New Roman" w:eastAsia="Times New Roman" w:hAnsi="Times New Roman"/>
          <w:sz w:val="20"/>
          <w:szCs w:val="20"/>
          <w:color w:val="auto"/>
        </w:rPr>
        <w:t>. In addition to the requirements above, officers, directors, and other applicable members of management who have been notified that they are subject to pre- clearance requirements face a further restriction: Even during an open trading window, they may not engage in any transaction in the Company’s securities, including any purchase or sale in the open market, loan, or other transfer of beneficial ownership without first obtaining pre-clearance of the transaction from the Company’s General Counsel or his designee at least two business days before the proposed transaction. The General Counsel or his designee will then determine whether the transaction may proceed and, if so, will direct the legal department to assist such person in complying with any required reporting requirements under Section 16(a) of the Exchange Act. Pre-cleared transactions not completed within five business days will require new pre-clearance. The Company may choose to shorten this period.</w:t>
      </w:r>
    </w:p>
    <w:p>
      <w:pPr>
        <w:spacing w:after="0" w:line="122" w:lineRule="exact"/>
        <w:rPr>
          <w:sz w:val="20"/>
          <w:szCs w:val="20"/>
          <w:color w:val="auto"/>
        </w:rPr>
      </w:pPr>
    </w:p>
    <w:p>
      <w:pPr>
        <w:jc w:val="both"/>
        <w:ind w:right="120" w:firstLine="747"/>
        <w:spacing w:after="0" w:line="249" w:lineRule="auto"/>
        <w:rPr>
          <w:sz w:val="20"/>
          <w:szCs w:val="20"/>
          <w:color w:val="auto"/>
        </w:rPr>
      </w:pPr>
      <w:r>
        <w:rPr>
          <w:rFonts w:ascii="Times New Roman" w:cs="Times New Roman" w:eastAsia="Times New Roman" w:hAnsi="Times New Roman"/>
          <w:sz w:val="20"/>
          <w:szCs w:val="20"/>
          <w:color w:val="auto"/>
        </w:rPr>
        <w:t>For persons subject to pre-clearance, advance notice of gifts or plans to exercise an outstanding stock option must be given to the General Counsel or his designee. Once any transaction takes place, the officer, director, or applicable member of management must immediately notify the General Counsel or his designee so that the Company may assist such person with any Section 16 reporting obligations.</w:t>
      </w:r>
    </w:p>
    <w:p>
      <w:pPr>
        <w:spacing w:after="0" w:line="99" w:lineRule="exact"/>
        <w:rPr>
          <w:sz w:val="20"/>
          <w:szCs w:val="20"/>
          <w:color w:val="auto"/>
        </w:rPr>
      </w:pPr>
    </w:p>
    <w:p>
      <w:pPr>
        <w:jc w:val="both"/>
        <w:ind w:right="120" w:firstLine="747"/>
        <w:spacing w:after="0" w:line="254" w:lineRule="auto"/>
        <w:rPr>
          <w:sz w:val="20"/>
          <w:szCs w:val="20"/>
          <w:color w:val="auto"/>
        </w:rPr>
      </w:pPr>
      <w:r>
        <w:rPr>
          <w:rFonts w:ascii="Times New Roman" w:cs="Times New Roman" w:eastAsia="Times New Roman" w:hAnsi="Times New Roman"/>
          <w:sz w:val="20"/>
          <w:szCs w:val="20"/>
          <w:u w:val="single" w:color="auto"/>
          <w:color w:val="auto"/>
        </w:rPr>
        <w:t>Black-out Communications</w:t>
      </w:r>
      <w:r>
        <w:rPr>
          <w:rFonts w:ascii="Times New Roman" w:cs="Times New Roman" w:eastAsia="Times New Roman" w:hAnsi="Times New Roman"/>
          <w:sz w:val="20"/>
          <w:szCs w:val="20"/>
          <w:color w:val="auto"/>
        </w:rPr>
        <w:t>. In addition to the foregoing restrictions, the Company reserves the right to issue “black-out notices” to specified persons when material non-public information exists. Any person who receives such a notice shall treat the notice as confidential and shall not disclose its existence to anyone else.</w:t>
      </w:r>
    </w:p>
    <w:p>
      <w:pPr>
        <w:spacing w:after="0" w:line="188" w:lineRule="exact"/>
        <w:rPr>
          <w:sz w:val="20"/>
          <w:szCs w:val="20"/>
          <w:color w:val="auto"/>
        </w:rPr>
      </w:pPr>
    </w:p>
    <w:p>
      <w:pPr>
        <w:jc w:val="both"/>
        <w:ind w:right="120" w:firstLine="747"/>
        <w:spacing w:after="0" w:line="249" w:lineRule="auto"/>
        <w:rPr>
          <w:sz w:val="20"/>
          <w:szCs w:val="20"/>
          <w:color w:val="auto"/>
        </w:rPr>
      </w:pPr>
      <w:r>
        <w:rPr>
          <w:rFonts w:ascii="Times New Roman" w:cs="Times New Roman" w:eastAsia="Times New Roman" w:hAnsi="Times New Roman"/>
          <w:sz w:val="20"/>
          <w:szCs w:val="20"/>
          <w:u w:val="single" w:color="auto"/>
          <w:color w:val="auto"/>
        </w:rPr>
        <w:t>Trading in Securities of Other Entities</w:t>
      </w:r>
      <w:r>
        <w:rPr>
          <w:rFonts w:ascii="Times New Roman" w:cs="Times New Roman" w:eastAsia="Times New Roman" w:hAnsi="Times New Roman"/>
          <w:sz w:val="20"/>
          <w:szCs w:val="20"/>
          <w:color w:val="auto"/>
        </w:rPr>
        <w:t>. In addition, no director, officer or employee of the Company shall effect any transaction in the securities of another entity, the value of which is likely to be affected by actions of the Company that have not yet been publicly disclosed. This provision is in addition to the restrictions on trading in securities of other entities set forth in any Code of Business Conduct and Ethics of the Company.</w:t>
      </w:r>
    </w:p>
    <w:p>
      <w:pPr>
        <w:spacing w:after="0" w:line="207" w:lineRule="exact"/>
        <w:rPr>
          <w:sz w:val="20"/>
          <w:szCs w:val="20"/>
          <w:color w:val="auto"/>
        </w:rPr>
      </w:pPr>
    </w:p>
    <w:p>
      <w:pPr>
        <w:jc w:val="both"/>
        <w:ind w:right="120" w:firstLine="747"/>
        <w:spacing w:after="0" w:line="254" w:lineRule="auto"/>
        <w:rPr>
          <w:sz w:val="20"/>
          <w:szCs w:val="20"/>
          <w:color w:val="auto"/>
        </w:rPr>
      </w:pPr>
      <w:r>
        <w:rPr>
          <w:rFonts w:ascii="Times New Roman" w:cs="Times New Roman" w:eastAsia="Times New Roman" w:hAnsi="Times New Roman"/>
          <w:sz w:val="20"/>
          <w:szCs w:val="20"/>
          <w:u w:val="single" w:color="auto"/>
          <w:color w:val="auto"/>
        </w:rPr>
        <w:t>Post-Termination Transactions</w:t>
      </w:r>
      <w:r>
        <w:rPr>
          <w:rFonts w:ascii="Times New Roman" w:cs="Times New Roman" w:eastAsia="Times New Roman" w:hAnsi="Times New Roman"/>
          <w:sz w:val="20"/>
          <w:szCs w:val="20"/>
          <w:color w:val="auto"/>
        </w:rPr>
        <w:t>. 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w:t>
      </w:r>
    </w:p>
    <w:p>
      <w:pPr>
        <w:spacing w:after="0" w:line="201" w:lineRule="exact"/>
        <w:rPr>
          <w:sz w:val="20"/>
          <w:szCs w:val="20"/>
          <w:color w:val="auto"/>
        </w:rPr>
      </w:pPr>
    </w:p>
    <w:p>
      <w:pPr>
        <w:jc w:val="both"/>
        <w:ind w:right="120" w:firstLine="747"/>
        <w:spacing w:after="0" w:line="245" w:lineRule="auto"/>
        <w:rPr>
          <w:sz w:val="20"/>
          <w:szCs w:val="20"/>
          <w:color w:val="auto"/>
        </w:rPr>
      </w:pPr>
      <w:r>
        <w:rPr>
          <w:rFonts w:ascii="Times New Roman" w:cs="Times New Roman" w:eastAsia="Times New Roman" w:hAnsi="Times New Roman"/>
          <w:sz w:val="20"/>
          <w:szCs w:val="20"/>
          <w:u w:val="single" w:color="auto"/>
          <w:color w:val="auto"/>
        </w:rPr>
        <w:t>Applicability to Family Members</w:t>
      </w:r>
      <w:r>
        <w:rPr>
          <w:rFonts w:ascii="Times New Roman" w:cs="Times New Roman" w:eastAsia="Times New Roman" w:hAnsi="Times New Roman"/>
          <w:sz w:val="20"/>
          <w:szCs w:val="20"/>
          <w:color w:val="auto"/>
        </w:rPr>
        <w:t xml:space="preserve">. The foregoing restrictions on trading are also applicable to family members’ accounts, accounts subject to the control of personnel subject to this Policy or any family member, and accounts in which personnel subject to this Policy or any family member has any beneficial interest, except that the restrictions on trading do not apply to accounts where investment decisions are made by an independent investment manager in a fully discretionary account. </w:t>
      </w:r>
      <w:r>
        <w:rPr>
          <w:rFonts w:ascii="Times New Roman" w:cs="Times New Roman" w:eastAsia="Times New Roman" w:hAnsi="Times New Roman"/>
          <w:sz w:val="20"/>
          <w:szCs w:val="20"/>
          <w:b w:val="1"/>
          <w:bCs w:val="1"/>
          <w:color w:val="auto"/>
        </w:rPr>
        <w:t>Personnel subject to this Policy 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responsible for assuring that their family members comply with the foregoing restrictions on trading. </w:t>
      </w:r>
      <w:r>
        <w:rPr>
          <w:rFonts w:ascii="Times New Roman" w:cs="Times New Roman" w:eastAsia="Times New Roman" w:hAnsi="Times New Roman"/>
          <w:sz w:val="20"/>
          <w:szCs w:val="20"/>
          <w:color w:val="auto"/>
        </w:rPr>
        <w:t>For purposes of this Policy,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“Family Members” include one’s spouse and all members of the family who reside in one’s home.</w:t>
      </w:r>
    </w:p>
    <w:p>
      <w:pPr>
        <w:spacing w:after="0" w:line="184" w:lineRule="exact"/>
        <w:rPr>
          <w:sz w:val="20"/>
          <w:szCs w:val="20"/>
          <w:color w:val="auto"/>
        </w:rPr>
      </w:pPr>
    </w:p>
    <w:p>
      <w:pPr>
        <w:jc w:val="both"/>
        <w:ind w:right="120" w:firstLine="747"/>
        <w:spacing w:after="0" w:line="245" w:lineRule="auto"/>
        <w:rPr>
          <w:sz w:val="20"/>
          <w:szCs w:val="20"/>
          <w:color w:val="auto"/>
        </w:rPr>
      </w:pPr>
      <w:r>
        <w:rPr>
          <w:rFonts w:ascii="Times New Roman" w:cs="Times New Roman" w:eastAsia="Times New Roman" w:hAnsi="Times New Roman"/>
          <w:sz w:val="20"/>
          <w:szCs w:val="20"/>
          <w:u w:val="single" w:color="auto"/>
          <w:color w:val="auto"/>
        </w:rPr>
        <w:t>Prohibition of Speculative or Short-term Trading</w:t>
      </w:r>
      <w:r>
        <w:rPr>
          <w:rFonts w:ascii="Times New Roman" w:cs="Times New Roman" w:eastAsia="Times New Roman" w:hAnsi="Times New Roman"/>
          <w:sz w:val="20"/>
          <w:szCs w:val="20"/>
          <w:color w:val="auto"/>
        </w:rPr>
        <w:t>. No employee, director, or consultant to the Company may engage in short sales, transactions in put or call options, hedging transactions, margin accounts, pledges, or other inherently speculative transactions with respect to the Company’s stock. For more information, see the Company’s Policy Regarding Pledging and Hedging of Company Securities.</w:t>
      </w:r>
    </w:p>
    <w:p>
      <w:pPr>
        <w:spacing w:after="0" w:line="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493395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18"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
        <w:spacing w:after="0"/>
        <w:tabs>
          <w:tab w:leader="none" w:pos="727" w:val="left"/>
        </w:tabs>
        <w:rPr>
          <w:sz w:val="20"/>
          <w:szCs w:val="20"/>
          <w:color w:val="auto"/>
        </w:rPr>
      </w:pPr>
      <w:r>
        <w:rPr>
          <w:rFonts w:ascii="Times New Roman" w:cs="Times New Roman" w:eastAsia="Times New Roman" w:hAnsi="Times New Roman"/>
          <w:sz w:val="20"/>
          <w:szCs w:val="20"/>
          <w:b w:val="1"/>
          <w:bCs w:val="1"/>
          <w:color w:val="auto"/>
        </w:rPr>
        <w:t>VII.</w:t>
      </w:r>
      <w:r>
        <w:rPr>
          <w:sz w:val="20"/>
          <w:szCs w:val="20"/>
          <w:color w:val="auto"/>
        </w:rPr>
        <w:tab/>
      </w:r>
      <w:r>
        <w:rPr>
          <w:rFonts w:ascii="Times New Roman" w:cs="Times New Roman" w:eastAsia="Times New Roman" w:hAnsi="Times New Roman"/>
          <w:sz w:val="20"/>
          <w:szCs w:val="20"/>
          <w:b w:val="1"/>
          <w:bCs w:val="1"/>
          <w:color w:val="auto"/>
        </w:rPr>
        <w:t>INVESTIGATIONS; SUPERVISION</w:t>
      </w:r>
    </w:p>
    <w:p>
      <w:pPr>
        <w:spacing w:after="0" w:line="247" w:lineRule="exact"/>
        <w:rPr>
          <w:sz w:val="20"/>
          <w:szCs w:val="20"/>
          <w:color w:val="auto"/>
        </w:rPr>
      </w:pPr>
    </w:p>
    <w:p>
      <w:pPr>
        <w:jc w:val="both"/>
        <w:ind w:left="8" w:right="120" w:firstLine="747"/>
        <w:spacing w:after="0" w:line="269" w:lineRule="auto"/>
        <w:rPr>
          <w:sz w:val="20"/>
          <w:szCs w:val="20"/>
          <w:color w:val="auto"/>
        </w:rPr>
      </w:pPr>
      <w:r>
        <w:rPr>
          <w:rFonts w:ascii="Times New Roman" w:cs="Times New Roman" w:eastAsia="Times New Roman" w:hAnsi="Times New Roman"/>
          <w:sz w:val="20"/>
          <w:szCs w:val="20"/>
          <w:color w:val="auto"/>
        </w:rPr>
        <w:t>If any person subject to this Policy has reason to believe that material non-public information of the Company has been disclosed to an outside party without authorization, that person should report this to the General Counsel or his designee immediately.</w:t>
      </w:r>
    </w:p>
    <w:p>
      <w:pPr>
        <w:spacing w:after="0" w:line="159" w:lineRule="exact"/>
        <w:rPr>
          <w:sz w:val="20"/>
          <w:szCs w:val="20"/>
          <w:color w:val="auto"/>
        </w:rPr>
      </w:pPr>
    </w:p>
    <w:p>
      <w:pPr>
        <w:jc w:val="both"/>
        <w:ind w:left="8" w:right="120" w:firstLine="747"/>
        <w:spacing w:after="0" w:line="254" w:lineRule="auto"/>
        <w:rPr>
          <w:sz w:val="20"/>
          <w:szCs w:val="20"/>
          <w:color w:val="auto"/>
        </w:rPr>
      </w:pPr>
      <w:r>
        <w:rPr>
          <w:rFonts w:ascii="Times New Roman" w:cs="Times New Roman" w:eastAsia="Times New Roman" w:hAnsi="Times New Roman"/>
          <w:sz w:val="20"/>
          <w:szCs w:val="20"/>
          <w:color w:val="auto"/>
        </w:rPr>
        <w:t>If any person subject to this Policy has reason to believe that an insider of the Company or someone outside of the Company has acted, or intends to act, on material non-public information, that person should report this to the General Counsel or his designee immediately.</w:t>
      </w:r>
    </w:p>
    <w:p>
      <w:pPr>
        <w:spacing w:after="0" w:line="188" w:lineRule="exact"/>
        <w:rPr>
          <w:sz w:val="20"/>
          <w:szCs w:val="20"/>
          <w:color w:val="auto"/>
        </w:rPr>
      </w:pPr>
    </w:p>
    <w:p>
      <w:pPr>
        <w:jc w:val="both"/>
        <w:ind w:left="8" w:right="120" w:firstLine="747"/>
        <w:spacing w:after="0" w:line="254" w:lineRule="auto"/>
        <w:rPr>
          <w:sz w:val="20"/>
          <w:szCs w:val="20"/>
          <w:color w:val="auto"/>
        </w:rPr>
      </w:pPr>
      <w:r>
        <w:rPr>
          <w:rFonts w:ascii="Times New Roman" w:cs="Times New Roman" w:eastAsia="Times New Roman" w:hAnsi="Times New Roman"/>
          <w:sz w:val="20"/>
          <w:szCs w:val="20"/>
          <w:color w:val="auto"/>
        </w:rPr>
        <w:t>If it is determined that an individual maliciously and knowingly reports false information to the Company with intent to do harm to another person or the Company, appropriate disciplinary action will be taken according to the severity of the charges, up to and including dismissal. All such disciplinary action will be taken at the sole discretion of the Company.</w:t>
      </w:r>
    </w:p>
    <w:p>
      <w:pPr>
        <w:spacing w:after="0" w:line="197" w:lineRule="exact"/>
        <w:rPr>
          <w:sz w:val="20"/>
          <w:szCs w:val="20"/>
          <w:color w:val="auto"/>
        </w:rPr>
      </w:pPr>
    </w:p>
    <w:p>
      <w:pPr>
        <w:ind w:left="8"/>
        <w:spacing w:after="0"/>
        <w:tabs>
          <w:tab w:leader="none" w:pos="727" w:val="left"/>
        </w:tabs>
        <w:rPr>
          <w:sz w:val="20"/>
          <w:szCs w:val="20"/>
          <w:color w:val="auto"/>
        </w:rPr>
      </w:pPr>
      <w:r>
        <w:rPr>
          <w:rFonts w:ascii="Times New Roman" w:cs="Times New Roman" w:eastAsia="Times New Roman" w:hAnsi="Times New Roman"/>
          <w:sz w:val="20"/>
          <w:szCs w:val="20"/>
          <w:b w:val="1"/>
          <w:bCs w:val="1"/>
          <w:color w:val="auto"/>
        </w:rPr>
        <w:t>VIII.</w:t>
        <w:tab/>
        <w:t>LIABILITY OF THE COMPANY</w:t>
      </w:r>
    </w:p>
    <w:p>
      <w:pPr>
        <w:spacing w:after="0" w:line="247" w:lineRule="exact"/>
        <w:rPr>
          <w:sz w:val="20"/>
          <w:szCs w:val="20"/>
          <w:color w:val="auto"/>
        </w:rPr>
      </w:pPr>
    </w:p>
    <w:p>
      <w:pPr>
        <w:jc w:val="both"/>
        <w:ind w:left="8" w:right="120" w:firstLine="747"/>
        <w:spacing w:after="0" w:line="269" w:lineRule="auto"/>
        <w:rPr>
          <w:sz w:val="20"/>
          <w:szCs w:val="20"/>
          <w:color w:val="auto"/>
        </w:rPr>
      </w:pPr>
      <w:r>
        <w:rPr>
          <w:rFonts w:ascii="Times New Roman" w:cs="Times New Roman" w:eastAsia="Times New Roman" w:hAnsi="Times New Roman"/>
          <w:sz w:val="20"/>
          <w:szCs w:val="20"/>
          <w:color w:val="auto"/>
        </w:rPr>
        <w:t>The adoption, maintenance and enforcement of this Policy is not intended to result in the imposition of liability upon the Company for any insider trading violations where such liability would not exist in the absence of this Policy.</w:t>
      </w:r>
    </w:p>
    <w:p>
      <w:pPr>
        <w:sectPr>
          <w:pgSz w:w="11900" w:h="16838" w:orient="portrait"/>
          <w:cols w:equalWidth="0" w:num="1">
            <w:col w:w="11068"/>
          </w:cols>
          <w:pgMar w:left="492" w:top="118" w:right="339" w:bottom="1440" w:gutter="0" w:footer="0" w:header="0"/>
        </w:sectPr>
      </w:pPr>
    </w:p>
    <w:p>
      <w:pPr>
        <w:spacing w:after="0" w:line="1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color w:val="auto"/>
        </w:rPr>
        <w:t>IX.</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860"/>
        <w:spacing w:after="0" w:line="273" w:lineRule="auto"/>
        <w:rPr>
          <w:sz w:val="20"/>
          <w:szCs w:val="20"/>
          <w:color w:val="auto"/>
        </w:rPr>
      </w:pPr>
      <w:r>
        <w:rPr>
          <w:rFonts w:ascii="Times New Roman" w:cs="Times New Roman" w:eastAsia="Times New Roman" w:hAnsi="Times New Roman"/>
          <w:sz w:val="20"/>
          <w:szCs w:val="20"/>
          <w:b w:val="1"/>
          <w:bCs w:val="1"/>
          <w:color w:val="auto"/>
        </w:rPr>
        <w:t>INDIVIDUAL RESPONSIBILITY OF EACH EMPLOYEE, OFFICER, DIRECTOR AND CONSULTANT TO COMPLY WITH POLICY</w:t>
      </w:r>
    </w:p>
    <w:p>
      <w:pPr>
        <w:spacing w:after="0" w:line="169" w:lineRule="exact"/>
        <w:rPr>
          <w:sz w:val="20"/>
          <w:szCs w:val="20"/>
          <w:color w:val="auto"/>
        </w:rPr>
      </w:pPr>
    </w:p>
    <w:p>
      <w:pPr>
        <w:sectPr>
          <w:pgSz w:w="11900" w:h="16838" w:orient="portrait"/>
          <w:cols w:equalWidth="0" w:num="2">
            <w:col w:w="268" w:space="460"/>
            <w:col w:w="10340"/>
          </w:cols>
          <w:pgMar w:left="492" w:top="118" w:right="339" w:bottom="1440" w:gutter="0" w:footer="0" w:header="0"/>
          <w:type w:val="continuous"/>
        </w:sectPr>
      </w:pPr>
    </w:p>
    <w:p>
      <w:pPr>
        <w:jc w:val="both"/>
        <w:ind w:left="8" w:right="240" w:firstLine="747"/>
        <w:spacing w:after="0" w:line="246" w:lineRule="auto"/>
        <w:rPr>
          <w:sz w:val="20"/>
          <w:szCs w:val="20"/>
          <w:color w:val="auto"/>
        </w:rPr>
      </w:pPr>
      <w:r>
        <w:rPr>
          <w:rFonts w:ascii="Times New Roman" w:cs="Times New Roman" w:eastAsia="Times New Roman" w:hAnsi="Times New Roman"/>
          <w:sz w:val="20"/>
          <w:szCs w:val="20"/>
          <w:color w:val="auto"/>
        </w:rPr>
        <w:t>Each of the officers and directors of the Company and employees of and consultants and contractors to the Company and its subsidiaries has the individual responsibility to comply with this Policy against insider trading for themselves as well as their family members and members of their household, regardless of whether the Company has recommended a trading window to that insider or any other insiders of the Company. The guidelines set forth in this Policy are guidelines only, and appropriate judgment should be exercised in connection with any trade in the Company’s securities.</w:t>
      </w:r>
    </w:p>
    <w:p>
      <w:pPr>
        <w:spacing w:after="0" w:line="198" w:lineRule="exact"/>
        <w:rPr>
          <w:sz w:val="20"/>
          <w:szCs w:val="20"/>
          <w:color w:val="auto"/>
        </w:rPr>
      </w:pPr>
    </w:p>
    <w:p>
      <w:pPr>
        <w:jc w:val="both"/>
        <w:ind w:left="8" w:right="260" w:firstLine="747"/>
        <w:spacing w:after="0" w:line="254" w:lineRule="auto"/>
        <w:rPr>
          <w:sz w:val="20"/>
          <w:szCs w:val="20"/>
          <w:color w:val="auto"/>
        </w:rPr>
      </w:pPr>
      <w:r>
        <w:rPr>
          <w:rFonts w:ascii="Times New Roman" w:cs="Times New Roman" w:eastAsia="Times New Roman" w:hAnsi="Times New Roman"/>
          <w:sz w:val="20"/>
          <w:szCs w:val="20"/>
          <w:color w:val="auto"/>
        </w:rPr>
        <w:t>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w:t>
      </w:r>
    </w:p>
    <w:p>
      <w:pPr>
        <w:spacing w:after="0" w:line="197" w:lineRule="exact"/>
        <w:rPr>
          <w:sz w:val="20"/>
          <w:szCs w:val="20"/>
          <w:color w:val="auto"/>
        </w:rPr>
      </w:pPr>
    </w:p>
    <w:p>
      <w:pPr>
        <w:ind w:left="748" w:hanging="748"/>
        <w:spacing w:after="0"/>
        <w:tabs>
          <w:tab w:leader="none" w:pos="748"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DURATION OF POLICY’S APPLICABILITY</w:t>
      </w:r>
    </w:p>
    <w:p>
      <w:pPr>
        <w:spacing w:after="0" w:line="233" w:lineRule="exact"/>
        <w:rPr>
          <w:sz w:val="20"/>
          <w:szCs w:val="20"/>
          <w:color w:val="auto"/>
        </w:rPr>
      </w:pPr>
    </w:p>
    <w:p>
      <w:pPr>
        <w:jc w:val="both"/>
        <w:ind w:left="8" w:right="240" w:firstLine="747"/>
        <w:spacing w:after="0" w:line="249" w:lineRule="auto"/>
        <w:rPr>
          <w:sz w:val="20"/>
          <w:szCs w:val="20"/>
          <w:color w:val="auto"/>
        </w:rPr>
      </w:pPr>
      <w:r>
        <w:rPr>
          <w:rFonts w:ascii="Times New Roman" w:cs="Times New Roman" w:eastAsia="Times New Roman" w:hAnsi="Times New Roman"/>
          <w:sz w:val="20"/>
          <w:szCs w:val="20"/>
          <w:color w:val="auto"/>
        </w:rPr>
        <w:t>This policy continues to apply to your transactions in the Company’s stock or the stock of other public companies engaged in business transactions with the Company even after your employment or directorship with the Company has terminated. If you are in possession of material non-public information when your relationship with the Company concludes, you may not trade in the Company’s stock or the stock of such other company until the information has been publicly disseminated or is no longer material.</w:t>
      </w:r>
    </w:p>
    <w:p>
      <w:pPr>
        <w:spacing w:after="0" w:line="18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20"/>
          <w:szCs w:val="20"/>
          <w:u w:val="single" w:color="auto"/>
          <w:color w:val="auto"/>
        </w:rPr>
        <w:t>Questions</w:t>
      </w:r>
      <w:r>
        <w:rPr>
          <w:rFonts w:ascii="Times New Roman" w:cs="Times New Roman" w:eastAsia="Times New Roman" w:hAnsi="Times New Roman"/>
          <w:sz w:val="20"/>
          <w:szCs w:val="20"/>
          <w:color w:val="auto"/>
        </w:rPr>
        <w:t>. All questions regarding this Policy should be directed to the General Counsel.</w:t>
      </w:r>
    </w:p>
    <w:p>
      <w:pPr>
        <w:spacing w:after="0" w:line="2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Last Updated: January, 2023</w:t>
      </w:r>
    </w:p>
    <w:p>
      <w:pPr>
        <w:spacing w:after="0" w:line="22"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6</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467360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8"/>
          </w:cols>
          <w:pgMar w:left="492" w:top="118" w:right="339" w:bottom="1440" w:gutter="0" w:footer="0" w:header="0"/>
          <w:type w:val="continuous"/>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CONFIRMATION</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[To be signed by members of the Board of Directors and Covered Persons]</w:t>
      </w:r>
    </w:p>
    <w:p>
      <w:pPr>
        <w:spacing w:after="0" w:line="229" w:lineRule="exact"/>
        <w:rPr>
          <w:sz w:val="20"/>
          <w:szCs w:val="20"/>
          <w:color w:val="auto"/>
        </w:rPr>
      </w:pPr>
    </w:p>
    <w:p>
      <w:pPr>
        <w:ind w:right="300" w:firstLine="747"/>
        <w:spacing w:after="0" w:line="273" w:lineRule="auto"/>
        <w:rPr>
          <w:sz w:val="20"/>
          <w:szCs w:val="20"/>
          <w:color w:val="auto"/>
        </w:rPr>
      </w:pPr>
      <w:r>
        <w:rPr>
          <w:rFonts w:ascii="Times New Roman" w:cs="Times New Roman" w:eastAsia="Times New Roman" w:hAnsi="Times New Roman"/>
          <w:sz w:val="20"/>
          <w:szCs w:val="20"/>
          <w:b w:val="1"/>
          <w:bCs w:val="1"/>
          <w:color w:val="auto"/>
        </w:rPr>
        <w:t>I HEREBY ACKNOWLEDGE THAT I HAVE RECEIVED, HAVE READ AND UNDERSTAND THE FOREGOING POLICIES OF THE COMPANY.</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Date:</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Signature</w:t>
      </w:r>
    </w:p>
    <w:p>
      <w:pPr>
        <w:spacing w:after="0" w:line="200" w:lineRule="exact"/>
        <w:rPr>
          <w:sz w:val="20"/>
          <w:szCs w:val="20"/>
          <w:color w:val="auto"/>
        </w:rPr>
      </w:pPr>
    </w:p>
    <w:p>
      <w:pPr>
        <w:spacing w:after="0" w:line="27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color w:val="auto"/>
        </w:rPr>
        <w:t>Print Name</w:t>
      </w:r>
    </w:p>
    <w:p>
      <w:pPr>
        <w:spacing w:after="0" w:line="2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i w:val="1"/>
          <w:iCs w:val="1"/>
          <w:color w:val="auto"/>
        </w:rPr>
        <w:t>Signature Page to</w:t>
      </w:r>
    </w:p>
    <w:p>
      <w:pPr>
        <w:spacing w:after="0" w:line="2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i w:val="1"/>
          <w:iCs w:val="1"/>
          <w:color w:val="auto"/>
        </w:rPr>
        <w:t>Insider Trading Policy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381635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18"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Submitted Pursuant to:</w:t>
      </w:r>
    </w:p>
    <w:p>
      <w:pPr>
        <w:spacing w:after="0" w:line="2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 xml:space="preserve">LSB INDUSTRIES, INC. INSIDER TRADING POLICY </w:t>
      </w:r>
      <w:r>
        <w:rPr>
          <w:rFonts w:ascii="Times New Roman" w:cs="Times New Roman" w:eastAsia="Times New Roman" w:hAnsi="Times New Roman"/>
          <w:sz w:val="20"/>
          <w:szCs w:val="20"/>
          <w:u w:val="single" w:color="auto"/>
          <w:color w:val="auto"/>
        </w:rPr>
        <w:t>PRE-CLEARANCE</w:t>
      </w:r>
    </w:p>
    <w:p>
      <w:pPr>
        <w:spacing w:after="0" w:line="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u w:val="single" w:color="auto"/>
          <w:color w:val="auto"/>
        </w:rPr>
        <w:t>TRADING APPROVAL FORM</w:t>
      </w:r>
    </w:p>
    <w:p>
      <w:pPr>
        <w:spacing w:after="0" w:line="194" w:lineRule="exact"/>
        <w:rPr>
          <w:sz w:val="20"/>
          <w:szCs w:val="20"/>
          <w:color w:val="auto"/>
        </w:rPr>
      </w:pPr>
    </w:p>
    <w:p>
      <w:pPr>
        <w:ind w:left="20"/>
        <w:spacing w:after="0"/>
        <w:tabs>
          <w:tab w:leader="none" w:pos="400" w:val="left"/>
        </w:tabs>
        <w:rPr>
          <w:sz w:val="20"/>
          <w:szCs w:val="20"/>
          <w:color w:val="auto"/>
        </w:rPr>
      </w:pPr>
      <w:r>
        <w:rPr>
          <w:rFonts w:ascii="Times New Roman" w:cs="Times New Roman" w:eastAsia="Times New Roman" w:hAnsi="Times New Roman"/>
          <w:sz w:val="20"/>
          <w:szCs w:val="20"/>
          <w:color w:val="auto"/>
        </w:rPr>
        <w:t>I,</w:t>
        <w:tab/>
        <w:t>(name), seek pre-clearance to engage in the transaction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-10795</wp:posOffset>
            </wp:positionV>
            <wp:extent cx="14668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4">
                      <a:extLst>
                        <a:ext uri="{28A0092B-C50C-407E-A947-70E740481C1C}"/>
                      </a:extLst>
                    </a:blip>
                    <a:srcRect/>
                    <a:stretch>
                      <a:fillRect/>
                    </a:stretch>
                  </pic:blipFill>
                  <pic:spPr bwMode="auto">
                    <a:xfrm>
                      <a:off x="0" y="0"/>
                      <a:ext cx="146685" cy="8255"/>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Acquisition or Disposition</w:t>
      </w:r>
      <w:r>
        <w:rPr>
          <w:rFonts w:ascii="Times New Roman" w:cs="Times New Roman" w:eastAsia="Times New Roman" w:hAnsi="Times New Roman"/>
          <w:sz w:val="20"/>
          <w:szCs w:val="20"/>
          <w:color w:val="auto"/>
        </w:rPr>
        <w:t xml:space="preserve"> (circle one)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-10795</wp:posOffset>
            </wp:positionV>
            <wp:extent cx="2514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of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-10795</wp:posOffset>
            </wp:positionV>
            <wp:extent cx="2514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Amount or # of Shares: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Broker:</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 hereby certify that, to the best of my knowledge, the transaction described herein is not prohibited by the Insider Trading Policy.</w:t>
      </w:r>
    </w:p>
    <w:p>
      <w:pPr>
        <w:spacing w:after="0" w:line="229"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-10795</wp:posOffset>
            </wp:positionV>
            <wp:extent cx="20574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17">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1404620</wp:posOffset>
            </wp:positionH>
            <wp:positionV relativeFrom="paragraph">
              <wp:posOffset>-10795</wp:posOffset>
            </wp:positionV>
            <wp:extent cx="1117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1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u w:val="single" w:color="auto"/>
          <w:color w:val="auto"/>
        </w:rPr>
        <w:t>Approved or Disapproved</w:t>
      </w:r>
      <w:r>
        <w:rPr>
          <w:rFonts w:ascii="Times New Roman" w:cs="Times New Roman" w:eastAsia="Times New Roman" w:hAnsi="Times New Roman"/>
          <w:sz w:val="20"/>
          <w:szCs w:val="20"/>
          <w:color w:val="auto"/>
        </w:rPr>
        <w:t xml:space="preserve"> (circle one)</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of Approval:</w:t>
      </w:r>
    </w:p>
    <w:p>
      <w:pPr>
        <w:spacing w:after="0" w:line="216"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-10795</wp:posOffset>
            </wp:positionV>
            <wp:extent cx="23749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9">
                      <a:extLst>
                        <a:ext uri="{28A0092B-C50C-407E-A947-70E740481C1C}"/>
                      </a:extLst>
                    </a:blip>
                    <a:srcRect/>
                    <a:stretch>
                      <a:fillRect/>
                    </a:stretch>
                  </pic:blipFill>
                  <pic:spPr bwMode="auto">
                    <a:xfrm>
                      <a:off x="0" y="0"/>
                      <a:ext cx="237490" cy="8890"/>
                    </a:xfrm>
                    <a:prstGeom prst="rect">
                      <a:avLst/>
                    </a:prstGeom>
                    <a:noFill/>
                  </pic:spPr>
                </pic:pic>
              </a:graphicData>
            </a:graphic>
          </wp:anchor>
        </w:drawing>
        <w:drawing>
          <wp:anchor simplePos="0" relativeHeight="251657728" behindDoc="1" locked="0" layoutInCell="0" allowOverlap="1">
            <wp:simplePos x="0" y="0"/>
            <wp:positionH relativeFrom="column">
              <wp:posOffset>1377950</wp:posOffset>
            </wp:positionH>
            <wp:positionV relativeFrom="paragraph">
              <wp:posOffset>-10795</wp:posOffset>
            </wp:positionV>
            <wp:extent cx="14287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0">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General Counsel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1390650</wp:posOffset>
            </wp:positionH>
            <wp:positionV relativeFrom="paragraph">
              <wp:posOffset>-10795</wp:posOffset>
            </wp:positionV>
            <wp:extent cx="12573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09" w:lineRule="exact"/>
        <w:rPr>
          <w:sz w:val="20"/>
          <w:szCs w:val="20"/>
          <w:color w:val="auto"/>
        </w:rPr>
      </w:pPr>
    </w:p>
    <w:p>
      <w:pPr>
        <w:ind w:left="20" w:right="320"/>
        <w:spacing w:after="0" w:line="250" w:lineRule="auto"/>
        <w:rPr>
          <w:sz w:val="20"/>
          <w:szCs w:val="20"/>
          <w:color w:val="auto"/>
        </w:rPr>
      </w:pPr>
      <w:r>
        <w:rPr>
          <w:rFonts w:ascii="Times New Roman" w:cs="Times New Roman" w:eastAsia="Times New Roman" w:hAnsi="Times New Roman"/>
          <w:sz w:val="20"/>
          <w:szCs w:val="20"/>
          <w:color w:val="auto"/>
        </w:rPr>
        <w:t>If approval is granted, you are authorized to proceed with this transaction for immediate execution, but not during a blackout period if a Covered Person.</w:t>
      </w:r>
    </w:p>
    <w:p>
      <w:pPr>
        <w:spacing w:after="0" w:line="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467360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80" w:top="118"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GUIDELINES FOR 10b5-1 TRADING PLANS</w:t>
      </w:r>
    </w:p>
    <w:p>
      <w:pPr>
        <w:spacing w:after="0" w:line="200" w:lineRule="exact"/>
        <w:rPr>
          <w:sz w:val="20"/>
          <w:szCs w:val="20"/>
          <w:color w:val="auto"/>
        </w:rPr>
      </w:pPr>
    </w:p>
    <w:p>
      <w:pPr>
        <w:spacing w:after="0" w:line="209" w:lineRule="exact"/>
        <w:rPr>
          <w:sz w:val="20"/>
          <w:szCs w:val="20"/>
          <w:color w:val="auto"/>
        </w:rPr>
      </w:pPr>
    </w:p>
    <w:p>
      <w:pPr>
        <w:ind w:right="180" w:firstLine="747"/>
        <w:spacing w:after="0" w:line="245" w:lineRule="auto"/>
        <w:rPr>
          <w:sz w:val="20"/>
          <w:szCs w:val="20"/>
          <w:color w:val="auto"/>
        </w:rPr>
      </w:pPr>
      <w:r>
        <w:rPr>
          <w:rFonts w:ascii="Times New Roman" w:cs="Times New Roman" w:eastAsia="Times New Roman" w:hAnsi="Times New Roman"/>
          <w:sz w:val="20"/>
          <w:szCs w:val="20"/>
          <w:color w:val="auto"/>
        </w:rPr>
        <w:t>Rule 10b-5, promulgated under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imposes significant liabilities on insiders who trade the securities of companies while in possession of material non-public information. However, Rule 10b5-1 provides an affirmative defense that applies to persons who can establish that a trade was made pursuant to a binding contract, written plan or instruction to another person that came into existence before the person became aware of the material non-public information and meets very specific conditions set forth in the rule. These so-called “</w:t>
      </w:r>
      <w:r>
        <w:rPr>
          <w:rFonts w:ascii="Times New Roman" w:cs="Times New Roman" w:eastAsia="Times New Roman" w:hAnsi="Times New Roman"/>
          <w:sz w:val="20"/>
          <w:szCs w:val="20"/>
          <w:u w:val="single" w:color="auto"/>
          <w:color w:val="auto"/>
        </w:rPr>
        <w:t>10b5-1 plans</w:t>
      </w:r>
      <w:r>
        <w:rPr>
          <w:rFonts w:ascii="Times New Roman" w:cs="Times New Roman" w:eastAsia="Times New Roman" w:hAnsi="Times New Roman"/>
          <w:sz w:val="20"/>
          <w:szCs w:val="20"/>
          <w:color w:val="auto"/>
        </w:rPr>
        <w:t>” provide corporate insiders with increased trading flexibility.</w:t>
      </w:r>
    </w:p>
    <w:p>
      <w:pPr>
        <w:spacing w:after="0" w:line="211" w:lineRule="exact"/>
        <w:rPr>
          <w:sz w:val="20"/>
          <w:szCs w:val="20"/>
          <w:color w:val="auto"/>
        </w:rPr>
      </w:pPr>
    </w:p>
    <w:p>
      <w:pPr>
        <w:jc w:val="both"/>
        <w:ind w:right="480" w:firstLine="747"/>
        <w:spacing w:after="0" w:line="274" w:lineRule="auto"/>
        <w:rPr>
          <w:sz w:val="20"/>
          <w:szCs w:val="20"/>
          <w:color w:val="auto"/>
        </w:rPr>
      </w:pPr>
      <w:r>
        <w:rPr>
          <w:rFonts w:ascii="Times New Roman" w:cs="Times New Roman" w:eastAsia="Times New Roman" w:hAnsi="Times New Roman"/>
          <w:sz w:val="19"/>
          <w:szCs w:val="19"/>
          <w:color w:val="auto"/>
        </w:rPr>
        <w:t xml:space="preserve">To gain the protections of the affirmative defense available under Rule 10b5-1, an insider must, among other requirements, </w:t>
      </w:r>
      <w:r>
        <w:rPr>
          <w:rFonts w:ascii="Times New Roman" w:cs="Times New Roman" w:eastAsia="Times New Roman" w:hAnsi="Times New Roman"/>
          <w:sz w:val="19"/>
          <w:szCs w:val="19"/>
          <w:b w:val="1"/>
          <w:bCs w:val="1"/>
          <w:u w:val="single" w:color="auto"/>
          <w:color w:val="auto"/>
        </w:rPr>
        <w:t>adopt the 10b5-1 plan while not aware of material non-public information</w:t>
      </w:r>
      <w:r>
        <w:rPr>
          <w:rFonts w:ascii="Times New Roman" w:cs="Times New Roman" w:eastAsia="Times New Roman" w:hAnsi="Times New Roman"/>
          <w:sz w:val="19"/>
          <w:szCs w:val="19"/>
          <w:color w:val="auto"/>
        </w:rPr>
        <w:t>, enter into such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b w:val="1"/>
          <w:bCs w:val="1"/>
          <w:u w:val="single" w:color="auto"/>
          <w:color w:val="auto"/>
        </w:rPr>
        <w:t>in good faith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not as a plan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scheme to evade the prohibitions of Section 10(b) of the Exchange Act, and act </w:t>
      </w:r>
      <w:r>
        <w:rPr>
          <w:rFonts w:ascii="Times New Roman" w:cs="Times New Roman" w:eastAsia="Times New Roman" w:hAnsi="Times New Roman"/>
          <w:sz w:val="19"/>
          <w:szCs w:val="19"/>
          <w:b w:val="1"/>
          <w:bCs w:val="1"/>
          <w:color w:val="auto"/>
        </w:rPr>
        <w:t>in good faith</w:t>
      </w:r>
      <w:r>
        <w:rPr>
          <w:rFonts w:ascii="Times New Roman" w:cs="Times New Roman" w:eastAsia="Times New Roman" w:hAnsi="Times New Roman"/>
          <w:sz w:val="19"/>
          <w:szCs w:val="19"/>
          <w:color w:val="auto"/>
        </w:rPr>
        <w:t xml:space="preserve"> with respect to such 10b5-1 plan.</w:t>
      </w:r>
    </w:p>
    <w:p>
      <w:pPr>
        <w:spacing w:after="0" w:line="170"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20"/>
          <w:szCs w:val="20"/>
          <w:color w:val="auto"/>
        </w:rPr>
        <w:t>Any document intended to qualify as a 10b5-1 plan must adhere to the requirements of Rule 10b5-1, including the restrictions set forth below, and such document (including any amendments or modifications thereof) must be reviewed and approved by the General Counsel or his designee in advance of adoption, amendment or modification.</w:t>
      </w:r>
    </w:p>
    <w:p>
      <w:pPr>
        <w:spacing w:after="0" w:line="184" w:lineRule="exact"/>
        <w:rPr>
          <w:sz w:val="20"/>
          <w:szCs w:val="20"/>
          <w:color w:val="auto"/>
        </w:rPr>
      </w:pPr>
    </w:p>
    <w:p>
      <w:pPr>
        <w:ind w:left="780" w:right="40" w:hanging="383"/>
        <w:spacing w:after="0" w:line="258" w:lineRule="auto"/>
        <w:tabs>
          <w:tab w:leader="none" w:pos="78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i w:val="1"/>
          <w:iCs w:val="1"/>
          <w:color w:val="auto"/>
        </w:rPr>
        <w:t>Cooling-Off Period</w:t>
      </w:r>
      <w:r>
        <w:rPr>
          <w:rFonts w:ascii="Times New Roman" w:cs="Times New Roman" w:eastAsia="Times New Roman" w:hAnsi="Times New Roman"/>
          <w:sz w:val="19"/>
          <w:szCs w:val="19"/>
          <w:color w:val="auto"/>
        </w:rPr>
        <w:t>. Each 10b5-1 plan must provide for a cooling-off period prior to the commencement of trading thereunder.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If you are a director or officer (as defined in Section 16 of the Exchange Act), the cooling-off period must expire no earlier than the later of (i) ninety (90) days following adoption of the plan or (ii) two (2) business days after the filing of the Company’s Form 10-K or Form 10-Q that includes financial results for the quarter during which the plan was adopted, subject to a maximum cooling-off period of one hundred twenty (120) days after adoption of the plan. If you are not a director or officer, the cooling-off period must be at least thirty (30) days after adoption of the plan. In addition, in the event of any modification or change to the amount, price or timing of a trade under a 10b5-1 plan, a new cooling-off period as described above will be required between such modification or change and the first possible transaction under such revised 10b5-1 plan or any new 10b5-1 plan.</w:t>
      </w:r>
    </w:p>
    <w:p>
      <w:pPr>
        <w:spacing w:after="0" w:line="335" w:lineRule="exact"/>
        <w:rPr>
          <w:rFonts w:ascii="Times New Roman" w:cs="Times New Roman" w:eastAsia="Times New Roman" w:hAnsi="Times New Roman"/>
          <w:sz w:val="17"/>
          <w:szCs w:val="17"/>
          <w:color w:val="auto"/>
        </w:rPr>
      </w:pPr>
    </w:p>
    <w:p>
      <w:pPr>
        <w:ind w:left="780" w:right="20" w:hanging="383"/>
        <w:spacing w:after="0" w:line="256" w:lineRule="auto"/>
        <w:tabs>
          <w:tab w:leader="none" w:pos="7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Modifications to 10b5-1 Plans</w:t>
      </w:r>
      <w:r>
        <w:rPr>
          <w:rFonts w:ascii="Times New Roman" w:cs="Times New Roman" w:eastAsia="Times New Roman" w:hAnsi="Times New Roman"/>
          <w:sz w:val="20"/>
          <w:szCs w:val="20"/>
          <w:color w:val="auto"/>
        </w:rPr>
        <w:t>. Any modification or change to the amount, price or timing of a trade under a 10b5-1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constitutes the adoption of a new plan with such modified terms, subject to compliance with all of the requirements of Rule 10b5-1 associated with establishing a 10b5-1 plan.</w:t>
      </w:r>
    </w:p>
    <w:p>
      <w:pPr>
        <w:spacing w:after="0" w:line="330" w:lineRule="exact"/>
        <w:rPr>
          <w:rFonts w:ascii="Times New Roman" w:cs="Times New Roman" w:eastAsia="Times New Roman" w:hAnsi="Times New Roman"/>
          <w:sz w:val="18"/>
          <w:szCs w:val="18"/>
          <w:color w:val="auto"/>
        </w:rPr>
      </w:pPr>
    </w:p>
    <w:p>
      <w:pPr>
        <w:ind w:left="780" w:right="20" w:hanging="383"/>
        <w:spacing w:after="0" w:line="245" w:lineRule="auto"/>
        <w:tabs>
          <w:tab w:leader="none" w:pos="7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No Multiple Overlapping Plans</w:t>
      </w:r>
      <w:r>
        <w:rPr>
          <w:rFonts w:ascii="Times New Roman" w:cs="Times New Roman" w:eastAsia="Times New Roman" w:hAnsi="Times New Roman"/>
          <w:sz w:val="20"/>
          <w:szCs w:val="20"/>
          <w:color w:val="auto"/>
        </w:rPr>
        <w:t>. No person entering into a 10b5-1 plan may have a separate 10b5-1 plan outstanding, except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person may (i) use multiple brokers to effect transactions that, when taken together, satisfy the requirements for a 10b5-1 plan, (ii) maintain another 10b5-1 plan so long as transactions under the later-commencing plan cannot begin until after all transactions under the earlier-commencing plan have been completed or expire without completion and the applicable cooling-off period is satisfied, treating any early termination of the earlier-commencing plan as the date of adoption of the later-commencing plan, or (iii) adopt a second plan that only allows sales that are necessary to satisfy tax withholding obligations that arise from the vesting of a compensatory award and such person does not exercise control over the timing of such sales.</w:t>
      </w:r>
    </w:p>
    <w:p>
      <w:pPr>
        <w:spacing w:after="0" w:line="31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515620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18"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80" w:right="140" w:hanging="383"/>
        <w:spacing w:after="0" w:line="273" w:lineRule="auto"/>
        <w:tabs>
          <w:tab w:leader="none" w:pos="7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Limitation on Single Trade Plans</w:t>
      </w:r>
      <w:r>
        <w:rPr>
          <w:rFonts w:ascii="Times New Roman" w:cs="Times New Roman" w:eastAsia="Times New Roman" w:hAnsi="Times New Roman"/>
          <w:sz w:val="20"/>
          <w:szCs w:val="20"/>
          <w:color w:val="auto"/>
        </w:rPr>
        <w:t>. No person may adopt a 10b5-1 plan that contemplates only a single transaction if such person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had adopted a plan contemplating only a single transaction within the prior twelve (12) months.</w:t>
      </w:r>
    </w:p>
    <w:p>
      <w:pPr>
        <w:spacing w:after="0" w:line="313" w:lineRule="exact"/>
        <w:rPr>
          <w:rFonts w:ascii="Times New Roman" w:cs="Times New Roman" w:eastAsia="Times New Roman" w:hAnsi="Times New Roman"/>
          <w:sz w:val="18"/>
          <w:szCs w:val="18"/>
          <w:color w:val="auto"/>
        </w:rPr>
      </w:pPr>
    </w:p>
    <w:p>
      <w:pPr>
        <w:ind w:left="780" w:right="240" w:hanging="383"/>
        <w:spacing w:after="0" w:line="247" w:lineRule="auto"/>
        <w:tabs>
          <w:tab w:leader="none" w:pos="7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Certification by Directors and Officers</w:t>
      </w:r>
      <w:r>
        <w:rPr>
          <w:rFonts w:ascii="Times New Roman" w:cs="Times New Roman" w:eastAsia="Times New Roman" w:hAnsi="Times New Roman"/>
          <w:sz w:val="20"/>
          <w:szCs w:val="20"/>
          <w:color w:val="auto"/>
        </w:rPr>
        <w:t>. Directors and officers (as defined in Section 16 of the Exchange Act) must include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representation in the 10b5-1 plan certifying that, on the date of adoption of the plan, such director or officer is not aware of material non-public information about the Company or its securities and such director or officer is adopting the 10b5-1 plan in good faith and not as part of a plan or scheme to evade the prohibitions of Exchange Act Section 10(b) and Exchange Act Rule 10b-5.</w:t>
      </w:r>
    </w:p>
    <w:p>
      <w:pPr>
        <w:spacing w:after="0" w:line="261" w:lineRule="exact"/>
        <w:rPr>
          <w:rFonts w:ascii="Times New Roman" w:cs="Times New Roman" w:eastAsia="Times New Roman" w:hAnsi="Times New Roman"/>
          <w:sz w:val="18"/>
          <w:szCs w:val="18"/>
          <w:color w:val="auto"/>
        </w:rPr>
      </w:pPr>
    </w:p>
    <w:p>
      <w:pPr>
        <w:ind w:left="780" w:right="20" w:hanging="383"/>
        <w:spacing w:after="0" w:line="243" w:lineRule="auto"/>
        <w:tabs>
          <w:tab w:leader="none" w:pos="7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Information Provided by Directors and Officers</w:t>
      </w:r>
      <w:r>
        <w:rPr>
          <w:rFonts w:ascii="Times New Roman" w:cs="Times New Roman" w:eastAsia="Times New Roman" w:hAnsi="Times New Roman"/>
          <w:sz w:val="20"/>
          <w:szCs w:val="20"/>
          <w:color w:val="auto"/>
        </w:rPr>
        <w:t>. Each quarter (commencing with the quarterly period ending June 30, 2023),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is required to publicly disclose when directors or officers adopt or terminate 10b5-1 plans and provide a description of the material terms of each plan, including the name of the director or officer, the date of adoption or termination, the duration and the aggregate number of securities to be purchased or sold (however, the price at which the person executing the plan is authorized to trade does not need to be publicly disclosed). Therefore, directors and officers (as defined in Section 16 of the Exchange Act) must provide the General Counsel or his designee with a final executed copy of, and any amendments to, (i) any 10b5-1 plan and (ii) any other adopted written arrangement for trading the Company’s securities, in each case within two business days of the adoption or amendment thereof. In addition, directors and officers (as defined in Section 16 of the Exchange Act) must notify the General Counsel or his designee of any termination of any 10b5-1 plan or such other written securities trading arrangement promptly upon termination.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40" w:firstLine="747"/>
        <w:spacing w:after="0" w:line="254" w:lineRule="auto"/>
        <w:rPr>
          <w:sz w:val="20"/>
          <w:szCs w:val="20"/>
          <w:color w:val="auto"/>
        </w:rPr>
      </w:pPr>
      <w:r>
        <w:rPr>
          <w:rFonts w:ascii="Times New Roman" w:cs="Times New Roman" w:eastAsia="Times New Roman" w:hAnsi="Times New Roman"/>
          <w:sz w:val="20"/>
          <w:szCs w:val="20"/>
          <w:color w:val="auto"/>
        </w:rPr>
        <w:t>[In addition to the requirements of Rule 10b5-1 as set forth above or otherwise contained in such rule, and in order to avoid even the appearance of practices that might be viewed as abusive based on later developments, the following additional requirements apply to 10b5-1 plans under the Company’s Insider Trading Policy:</w:t>
      </w:r>
    </w:p>
    <w:p>
      <w:pPr>
        <w:spacing w:after="0" w:line="184" w:lineRule="exact"/>
        <w:rPr>
          <w:sz w:val="20"/>
          <w:szCs w:val="20"/>
          <w:color w:val="auto"/>
        </w:rPr>
      </w:pPr>
    </w:p>
    <w:p>
      <w:pPr>
        <w:ind w:left="1460" w:right="1020" w:hanging="719"/>
        <w:spacing w:after="0" w:line="273" w:lineRule="auto"/>
        <w:tabs>
          <w:tab w:leader="none" w:pos="14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Trading windows</w:t>
      </w:r>
      <w:r>
        <w:rPr>
          <w:rFonts w:ascii="Times New Roman" w:cs="Times New Roman" w:eastAsia="Times New Roman" w:hAnsi="Times New Roman"/>
          <w:sz w:val="20"/>
          <w:szCs w:val="20"/>
          <w:color w:val="auto"/>
        </w:rPr>
        <w:t>. Persons should not enter into, modify or terminate a 10b5-1 plan outside of open trading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windows.</w:t>
      </w:r>
    </w:p>
    <w:p>
      <w:pPr>
        <w:spacing w:after="0" w:line="165" w:lineRule="exact"/>
        <w:rPr>
          <w:rFonts w:ascii="Times New Roman" w:cs="Times New Roman" w:eastAsia="Times New Roman" w:hAnsi="Times New Roman"/>
          <w:sz w:val="20"/>
          <w:szCs w:val="20"/>
          <w:color w:val="auto"/>
        </w:rPr>
      </w:pPr>
    </w:p>
    <w:p>
      <w:pPr>
        <w:ind w:left="1480" w:right="200" w:hanging="739"/>
        <w:spacing w:after="0" w:line="253" w:lineRule="auto"/>
        <w:tabs>
          <w:tab w:leader="none" w:pos="14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Length of plans</w:t>
      </w:r>
      <w:r>
        <w:rPr>
          <w:rFonts w:ascii="Times New Roman" w:cs="Times New Roman" w:eastAsia="Times New Roman" w:hAnsi="Times New Roman"/>
          <w:sz w:val="20"/>
          <w:szCs w:val="20"/>
          <w:color w:val="auto"/>
        </w:rPr>
        <w:t>. 10b5-1 plans should have a maximum length of 12 to 24 months, and with a minimum length of 3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6 months.</w:t>
      </w:r>
    </w:p>
    <w:p>
      <w:pPr>
        <w:ind w:left="740"/>
        <w:spacing w:after="0"/>
        <w:rPr>
          <w:sz w:val="20"/>
          <w:szCs w:val="20"/>
          <w:color w:val="auto"/>
        </w:rPr>
      </w:pP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w:t>
      </w:r>
    </w:p>
    <w:p>
      <w:pPr>
        <w:spacing w:after="0" w:line="225" w:lineRule="exact"/>
        <w:rPr>
          <w:sz w:val="20"/>
          <w:szCs w:val="20"/>
          <w:color w:val="auto"/>
        </w:rPr>
      </w:pPr>
    </w:p>
    <w:p>
      <w:pPr>
        <w:ind w:left="1460" w:right="600" w:hanging="719"/>
        <w:spacing w:after="0" w:line="247" w:lineRule="auto"/>
        <w:tabs>
          <w:tab w:leader="none" w:pos="146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Short-swing trading liability</w:t>
      </w:r>
      <w:r>
        <w:rPr>
          <w:rFonts w:ascii="Times New Roman" w:cs="Times New Roman" w:eastAsia="Times New Roman" w:hAnsi="Times New Roman"/>
          <w:sz w:val="20"/>
          <w:szCs w:val="20"/>
          <w:color w:val="auto"/>
        </w:rPr>
        <w:t>. 10b5-1 plans will not shield a Section 16 officer from short-swing trading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Section 16 of the Exchange Act. Accordingly, a 10b5-1 sales plan will not be approved for any Section 16 officer who has purchased company common shares within 6 months of the proposed first transaction under a 10b5-1 plan, or for any such officer who has the intent to purchase company common shares within 6 months of the proposed last transaction under a 10b5-1 plan.</w:t>
      </w:r>
    </w:p>
    <w:p>
      <w:pPr>
        <w:spacing w:after="0" w:line="207"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Relationships with Plan Broker; No Subsequent Influence. </w:t>
      </w:r>
      <w:r>
        <w:rPr>
          <w:rFonts w:ascii="Times New Roman" w:cs="Times New Roman" w:eastAsia="Times New Roman" w:hAnsi="Times New Roman"/>
          <w:sz w:val="20"/>
          <w:szCs w:val="20"/>
          <w:color w:val="auto"/>
        </w:rPr>
        <w:t>If the 10b5-1 trading plan</w:t>
      </w:r>
    </w:p>
    <w:p>
      <w:pPr>
        <w:spacing w:after="0" w:line="2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501650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18"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40" w:right="240"/>
        <w:spacing w:after="0" w:line="246" w:lineRule="auto"/>
        <w:rPr>
          <w:sz w:val="20"/>
          <w:szCs w:val="20"/>
          <w:color w:val="auto"/>
        </w:rPr>
      </w:pPr>
      <w:r>
        <w:rPr>
          <w:rFonts w:ascii="Times New Roman" w:cs="Times New Roman" w:eastAsia="Times New Roman" w:hAnsi="Times New Roman"/>
          <w:sz w:val="20"/>
          <w:szCs w:val="20"/>
          <w:color w:val="auto"/>
        </w:rPr>
        <w:t>allows a broker discretion regarding the details of trading (e.g., timing, share amounts), the participant cannot communicate any material non-public information about the Company, any of its affiliate or subsidiary companies or its securities to the broker, or attempt to influence how the broker exercises its discretion. In addition, any individual who executes the participant’s 10b5-1 trading plan must be a different individual from the person who executes trades for the participant in other securities.</w:t>
      </w:r>
    </w:p>
    <w:p>
      <w:pPr>
        <w:spacing w:after="0" w:line="200" w:lineRule="exact"/>
        <w:rPr>
          <w:sz w:val="20"/>
          <w:szCs w:val="20"/>
          <w:color w:val="auto"/>
        </w:rPr>
      </w:pPr>
    </w:p>
    <w:p>
      <w:pPr>
        <w:spacing w:after="0" w:line="237" w:lineRule="exact"/>
        <w:rPr>
          <w:sz w:val="20"/>
          <w:szCs w:val="20"/>
          <w:color w:val="auto"/>
        </w:rPr>
      </w:pPr>
    </w:p>
    <w:p>
      <w:pPr>
        <w:ind w:left="740" w:right="260" w:hanging="739"/>
        <w:spacing w:after="0" w:line="259" w:lineRule="auto"/>
        <w:tabs>
          <w:tab w:leader="none" w:pos="740"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No Hedging</w:t>
      </w:r>
      <w:r>
        <w:rPr>
          <w:rFonts w:ascii="Times New Roman" w:cs="Times New Roman" w:eastAsia="Times New Roman" w:hAnsi="Times New Roman"/>
          <w:sz w:val="19"/>
          <w:szCs w:val="19"/>
          <w:color w:val="auto"/>
        </w:rPr>
        <w:t>. Individuals subject to the Insider Trading Policy are prohibited from engaging in any hedging or similar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transactions designed to decrease the risks associated with holding Company securities. Likewise, before adopting a 10b5-1 trading plan, the participant may not have entered into a transaction or position that has yet to settle with respect to the securities subject to the 10b5-1 plan. The participant must also agree not to enter into any such</w:t>
      </w:r>
    </w:p>
    <w:p>
      <w:pPr>
        <w:ind w:left="740"/>
        <w:spacing w:after="0"/>
        <w:rPr>
          <w:sz w:val="20"/>
          <w:szCs w:val="20"/>
          <w:color w:val="auto"/>
        </w:rPr>
      </w:pPr>
      <w:r>
        <w:rPr>
          <w:rFonts w:ascii="Times New Roman" w:cs="Times New Roman" w:eastAsia="Times New Roman" w:hAnsi="Times New Roman"/>
          <w:sz w:val="20"/>
          <w:szCs w:val="20"/>
          <w:color w:val="auto"/>
        </w:rPr>
        <w:t>transaction while the 10b5-1 plan is in effect.</w:t>
      </w:r>
    </w:p>
    <w:p>
      <w:pPr>
        <w:ind w:left="4320"/>
        <w:spacing w:after="0"/>
        <w:rPr>
          <w:sz w:val="20"/>
          <w:szCs w:val="20"/>
          <w:color w:val="auto"/>
        </w:rPr>
      </w:pPr>
      <w:r>
        <w:rPr>
          <w:rFonts w:ascii="Times New Roman" w:cs="Times New Roman" w:eastAsia="Times New Roman" w:hAnsi="Times New Roman"/>
          <w:sz w:val="20"/>
          <w:szCs w:val="20"/>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501650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240" w:top="118"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40" w:hanging="719"/>
        <w:spacing w:after="0"/>
        <w:tabs>
          <w:tab w:leader="none" w:pos="16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Compliance with Rule 144. </w:t>
      </w:r>
      <w:r>
        <w:rPr>
          <w:rFonts w:ascii="Times New Roman" w:cs="Times New Roman" w:eastAsia="Times New Roman" w:hAnsi="Times New Roman"/>
          <w:sz w:val="20"/>
          <w:szCs w:val="20"/>
          <w:color w:val="auto"/>
        </w:rPr>
        <w:t>Each 10b5-1 trading plan must provide for specific procedures to comply with Rule</w:t>
      </w:r>
    </w:p>
    <w:p>
      <w:pPr>
        <w:spacing w:after="0" w:line="25" w:lineRule="exact"/>
        <w:rPr>
          <w:rFonts w:ascii="Times New Roman" w:cs="Times New Roman" w:eastAsia="Times New Roman" w:hAnsi="Times New Roman"/>
          <w:sz w:val="20"/>
          <w:szCs w:val="20"/>
          <w:color w:val="auto"/>
        </w:rPr>
      </w:pPr>
    </w:p>
    <w:p>
      <w:pPr>
        <w:ind w:left="1640" w:right="46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144 under the Securities Act of 1933, including the filing of Forms 144. If you need additional information on Rule 144 and Form 144, please contact the General Counsel or his designee.</w:t>
      </w:r>
    </w:p>
    <w:p>
      <w:pPr>
        <w:spacing w:after="0" w:line="191" w:lineRule="exact"/>
        <w:rPr>
          <w:rFonts w:ascii="Times New Roman" w:cs="Times New Roman" w:eastAsia="Times New Roman" w:hAnsi="Times New Roman"/>
          <w:sz w:val="20"/>
          <w:szCs w:val="20"/>
          <w:color w:val="auto"/>
        </w:rPr>
      </w:pPr>
    </w:p>
    <w:p>
      <w:pPr>
        <w:ind w:left="1660" w:right="120" w:hanging="739"/>
        <w:spacing w:after="0" w:line="256" w:lineRule="auto"/>
        <w:tabs>
          <w:tab w:leader="none" w:pos="16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Broker Obligation to Provide Notice of Trades. </w:t>
      </w:r>
      <w:r>
        <w:rPr>
          <w:rFonts w:ascii="Times New Roman" w:cs="Times New Roman" w:eastAsia="Times New Roman" w:hAnsi="Times New Roman"/>
          <w:sz w:val="20"/>
          <w:szCs w:val="20"/>
          <w:color w:val="auto"/>
        </w:rPr>
        <w:t>Each 10b5-1 trading plan must provide that the broker will promptly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notify the participant and the Company of any trades under the plan so that the participant can make timely filings under the Exchange Act.</w:t>
      </w:r>
    </w:p>
    <w:p>
      <w:pPr>
        <w:spacing w:after="0" w:line="195" w:lineRule="exact"/>
        <w:rPr>
          <w:rFonts w:ascii="Times New Roman" w:cs="Times New Roman" w:eastAsia="Times New Roman" w:hAnsi="Times New Roman"/>
          <w:sz w:val="20"/>
          <w:szCs w:val="20"/>
          <w:color w:val="auto"/>
        </w:rPr>
      </w:pPr>
    </w:p>
    <w:p>
      <w:pPr>
        <w:ind w:left="1660" w:right="320" w:hanging="739"/>
        <w:spacing w:after="0" w:line="256" w:lineRule="auto"/>
        <w:tabs>
          <w:tab w:leader="none" w:pos="166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Participant Obligation to Make Exchange Act Filings. </w:t>
      </w:r>
      <w:r>
        <w:rPr>
          <w:rFonts w:ascii="Times New Roman" w:cs="Times New Roman" w:eastAsia="Times New Roman" w:hAnsi="Times New Roman"/>
          <w:sz w:val="20"/>
          <w:szCs w:val="20"/>
          <w:color w:val="auto"/>
        </w:rPr>
        <w:t>Each 10b5-1 plan must contain an explicit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acknowledgement by the participant that all filings required by the Exchange Act, as a result of or in connection with trades under the plan, are the sole obligation of the participant and not the Company.</w:t>
      </w:r>
    </w:p>
    <w:p>
      <w:pPr>
        <w:spacing w:after="0" w:line="168" w:lineRule="exact"/>
        <w:rPr>
          <w:rFonts w:ascii="Times New Roman" w:cs="Times New Roman" w:eastAsia="Times New Roman" w:hAnsi="Times New Roman"/>
          <w:sz w:val="20"/>
          <w:szCs w:val="20"/>
          <w:color w:val="auto"/>
        </w:rPr>
      </w:pPr>
    </w:p>
    <w:p>
      <w:pPr>
        <w:ind w:left="1640" w:right="520" w:hanging="719"/>
        <w:spacing w:after="0" w:line="269" w:lineRule="auto"/>
        <w:tabs>
          <w:tab w:leader="none" w:pos="16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Required Footnote Disclosure. </w:t>
      </w:r>
      <w:r>
        <w:rPr>
          <w:rFonts w:ascii="Times New Roman" w:cs="Times New Roman" w:eastAsia="Times New Roman" w:hAnsi="Times New Roman"/>
          <w:sz w:val="20"/>
          <w:szCs w:val="20"/>
          <w:color w:val="auto"/>
        </w:rPr>
        <w:t>Participants must footnote trades disclosed on Forms 4 and Forms 144 to indicate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trades were made pursuant to a 10b5-1 plan as well as identify, by check box, the use of Rule 10b5-1 as required by the applicable form.]</w:t>
      </w:r>
      <w:r>
        <w:rPr>
          <w:rFonts w:ascii="Times New Roman" w:cs="Times New Roman" w:eastAsia="Times New Roman" w:hAnsi="Times New Roman"/>
          <w:sz w:val="26"/>
          <w:szCs w:val="26"/>
          <w:color w:val="auto"/>
          <w:vertAlign w:val="superscript"/>
        </w:rPr>
        <w:t>1</w:t>
      </w:r>
    </w:p>
    <w:p>
      <w:pPr>
        <w:spacing w:after="0" w:line="108" w:lineRule="exact"/>
        <w:rPr>
          <w:sz w:val="20"/>
          <w:szCs w:val="20"/>
          <w:color w:val="auto"/>
        </w:rPr>
      </w:pPr>
    </w:p>
    <w:p>
      <w:pPr>
        <w:ind w:left="180" w:right="100" w:firstLine="747"/>
        <w:spacing w:after="0" w:line="250" w:lineRule="auto"/>
        <w:rPr>
          <w:sz w:val="20"/>
          <w:szCs w:val="20"/>
          <w:color w:val="auto"/>
        </w:rPr>
      </w:pPr>
      <w:r>
        <w:rPr>
          <w:rFonts w:ascii="Times New Roman" w:cs="Times New Roman" w:eastAsia="Times New Roman" w:hAnsi="Times New Roman"/>
          <w:sz w:val="20"/>
          <w:szCs w:val="20"/>
          <w:b w:val="1"/>
          <w:bCs w:val="1"/>
          <w:u w:val="single" w:color="auto"/>
          <w:color w:val="auto"/>
        </w:rPr>
        <w:t>Under the Company’s Insider Trading Policy, the General Counsel is required to be notified prior to any director, officer, employee or consultant entering into, modifying or terminating a 10b5-1 plan or selling shares outside of a 10b5-1 plan</w:t>
      </w:r>
      <w:r>
        <w:rPr>
          <w:rFonts w:ascii="Times New Roman" w:cs="Times New Roman" w:eastAsia="Times New Roman" w:hAnsi="Times New Roman"/>
          <w:sz w:val="20"/>
          <w:szCs w:val="20"/>
          <w:color w:val="auto"/>
        </w:rPr>
        <w: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 the General Counsel must be notified prior to any other person who is subject to the Company’s Insider Trading Policy entering into, modifying or terminating a 10b5-1 plan.</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center"/>
        <w:ind w:right="-79"/>
        <w:spacing w:after="0"/>
        <w:tabs>
          <w:tab w:leader="none" w:pos="280" w:val="left"/>
          <w:tab w:leader="none" w:pos="260" w:val="left"/>
          <w:tab w:leader="none" w:pos="280" w:val="left"/>
          <w:tab w:leader="none" w:pos="280" w:val="left"/>
        </w:tabs>
        <w:rPr>
          <w:sz w:val="20"/>
          <w:szCs w:val="20"/>
          <w:color w:val="auto"/>
        </w:rPr>
      </w:pPr>
      <w:r>
        <w:rPr>
          <w:rFonts w:ascii="Times New Roman" w:cs="Times New Roman" w:eastAsia="Times New Roman" w:hAnsi="Times New Roman"/>
          <w:sz w:val="20"/>
          <w:szCs w:val="20"/>
          <w:color w:val="auto"/>
        </w:rPr>
        <w:t>*</w:t>
        <w:tab/>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1688465" cy="508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6">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54" w:lineRule="exact"/>
        <w:rPr>
          <w:sz w:val="20"/>
          <w:szCs w:val="20"/>
          <w:color w:val="auto"/>
        </w:rPr>
      </w:pPr>
    </w:p>
    <w:p>
      <w:pPr>
        <w:ind w:right="320" w:firstLine="8"/>
        <w:spacing w:after="0" w:line="210" w:lineRule="auto"/>
        <w:tabs>
          <w:tab w:leader="none" w:pos="117" w:val="left"/>
        </w:tabs>
        <w:numPr>
          <w:ilvl w:val="0"/>
          <w:numId w:val="120"/>
        </w:numPr>
        <w:rPr>
          <w:rFonts w:ascii="Arial" w:cs="Arial" w:eastAsia="Arial" w:hAnsi="Arial"/>
          <w:sz w:val="24"/>
          <w:szCs w:val="24"/>
          <w:color w:val="auto"/>
          <w:vertAlign w:val="superscript"/>
        </w:rPr>
      </w:pPr>
      <w:r>
        <w:rPr>
          <w:rFonts w:ascii="Arial" w:cs="Arial" w:eastAsia="Arial" w:hAnsi="Arial"/>
          <w:sz w:val="18"/>
          <w:szCs w:val="18"/>
          <w:color w:val="auto"/>
        </w:rPr>
        <w:t>Discuss whether, given the new requirement to file a copy of the Company’s insider trading policy, these additional provisions should be removed from the policy.</w:t>
      </w:r>
    </w:p>
    <w:p>
      <w:pPr>
        <w:jc w:val="center"/>
        <w:spacing w:after="0"/>
        <w:rPr>
          <w:sz w:val="20"/>
          <w:szCs w:val="20"/>
          <w:color w:val="auto"/>
        </w:rPr>
      </w:pPr>
      <w:r>
        <w:rPr>
          <w:rFonts w:ascii="Times New Roman" w:cs="Times New Roman" w:eastAsia="Times New Roman" w:hAnsi="Times New Roman"/>
          <w:sz w:val="20"/>
          <w:szCs w:val="20"/>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2"/>
          <w:szCs w:val="22"/>
          <w:color w:val="auto"/>
        </w:rPr>
        <w:t>Exhibit 21.1</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LSB INDUSTRIES,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SUBSIDIARY LISTING</w:t>
      </w: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LSB INDUSTRIES, INC. (Direct subsidiaries in bold italics)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LSB Insurance L.L.C.</w:t>
      </w:r>
    </w:p>
    <w:p>
      <w:pPr>
        <w:spacing w:after="0" w:line="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LSB Chemical L.L.C.</w:t>
      </w:r>
    </w:p>
    <w:p>
      <w:pPr>
        <w:ind w:left="1500"/>
        <w:spacing w:after="0" w:line="230" w:lineRule="auto"/>
        <w:rPr>
          <w:sz w:val="20"/>
          <w:szCs w:val="20"/>
          <w:color w:val="auto"/>
        </w:rPr>
      </w:pPr>
      <w:r>
        <w:rPr>
          <w:rFonts w:ascii="Times New Roman" w:cs="Times New Roman" w:eastAsia="Times New Roman" w:hAnsi="Times New Roman"/>
          <w:sz w:val="22"/>
          <w:szCs w:val="22"/>
          <w:color w:val="auto"/>
        </w:rPr>
        <w:t>Chemex I Corp.</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TRISON Construction, Inc.</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companies are Oklahoma entities, except LSB industries, Inc., which is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1020" w:hanging="503"/>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333-212281) pertaining to the LSB Industries, Inc. 2016 Long Term Incentive Plan, as amended;</w:t>
      </w:r>
    </w:p>
    <w:p>
      <w:pPr>
        <w:spacing w:after="0" w:line="225"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333-256573) pertaining to the LSB Industries, Inc. 2016 Long Term Incentive Plan, as amended and restated;</w:t>
      </w:r>
    </w:p>
    <w:p>
      <w:pPr>
        <w:spacing w:after="0" w:line="1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333-261131) of LSB Industries, Inc.;</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ASR No. 333-263882) of LSB Industries, Inc.;</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333-265926) pertaining to the LSB Industries, Inc. 2022 Employee Stock Purchase Plan.</w:t>
      </w:r>
    </w:p>
    <w:p>
      <w:pPr>
        <w:spacing w:after="0" w:line="225"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of our reports dated February 27, 2025, with respect to the consolidated financial statements of LSB Industries, Inc. and the effectiveness of internal control over financial reporting of LSB Industries, Inc. included in this Annual Report (Form 10-K) of LSB Industries, Inc. for the year ended December 31,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6"/>
          <w:szCs w:val="16"/>
          <w:color w:val="auto"/>
        </w:rPr>
        <w:t>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Oklahoma City, Oklahoma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T. Behrman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Cheryl A. Maguire, certify that:</w:t>
      </w:r>
    </w:p>
    <w:p>
      <w:pPr>
        <w:spacing w:after="0" w:line="117"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LSB Industries, Inc. (the “registrant”);</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514"/>
        <w:spacing w:after="0" w:line="266"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2025</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LSB Industries, Inc. (“LSB”) on Form 10-K for the year ended December 31, 2024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Mark T. Behrman</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LSB Industries, Inc. (“LSB”) on Form 10-K for the year ended December 31, 2024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 (a) or 15 (d)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LSB.</w:t>
      </w:r>
    </w:p>
    <w:p>
      <w:pPr>
        <w:spacing w:after="0" w:line="25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Cheryl A. Maguire</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certification is furnished to the Securities and Exchange Commission solely for purpose of 18 U.S.C.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ind w:left="10340"/>
        <w:spacing w:after="0"/>
        <w:rPr>
          <w:sz w:val="20"/>
          <w:szCs w:val="20"/>
          <w:color w:val="auto"/>
        </w:rPr>
      </w:pPr>
      <w:r>
        <w:rPr>
          <w:rFonts w:ascii="Times New Roman" w:cs="Times New Roman" w:eastAsia="Times New Roman" w:hAnsi="Times New Roman"/>
          <w:sz w:val="17"/>
          <w:szCs w:val="17"/>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1388745" cy="9601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38">
                      <a:extLst>
                        <a:ext uri="{28A0092B-C50C-407E-A947-70E740481C1C}"/>
                      </a:extLst>
                    </a:blip>
                    <a:srcRect/>
                    <a:stretch>
                      <a:fillRect/>
                    </a:stretch>
                  </pic:blipFill>
                  <pic:spPr bwMode="auto">
                    <a:xfrm>
                      <a:off x="0" y="0"/>
                      <a:ext cx="1388745" cy="960120"/>
                    </a:xfrm>
                    <a:prstGeom prst="rect">
                      <a:avLst/>
                    </a:prstGeom>
                    <a:noFill/>
                  </pic:spPr>
                </pic:pic>
              </a:graphicData>
            </a:graphic>
          </wp:anchor>
        </w:drawing>
      </w:r>
    </w:p>
    <w:p>
      <w:pPr>
        <w:sectPr>
          <w:pgSz w:w="11900" w:h="16838" w:orient="portrait"/>
          <w:cols w:equalWidth="0" w:num="1">
            <w:col w:w="11220"/>
          </w:cols>
          <w:pgMar w:left="34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7"/>
          <w:szCs w:val="17"/>
          <w:b w:val="1"/>
          <w:bCs w:val="1"/>
          <w:color w:val="auto"/>
        </w:rPr>
        <w:t>Effective Date November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1.</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INTRODUCTION</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2.</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ADMINISTRATION</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3.</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EFFECTIVE DATE</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4.</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COVERED EXECUTIVES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5.</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COVERED COMPENSATION</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6.</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FINANCIAL RESTATEMENTS; RECOUPMENT</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7.</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METHOD OF RECOUPMENT</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8.</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IMPRACTICABILITY EXCEPTIONS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9.</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NO INDEMNIFICATION</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10.</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SEVERABILITY</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11.</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AMENDMENTS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2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0000FF"/>
              </w:rPr>
              <w:t>12.</w:t>
            </w:r>
          </w:p>
        </w:tc>
        <w:tc>
          <w:tcPr>
            <w:tcW w:w="74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NO IMPAIRMENT OF OTHER REMEDIES</w:t>
            </w:r>
          </w:p>
        </w:tc>
        <w:tc>
          <w:tcPr>
            <w:tcW w:w="3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0" w:hanging="398"/>
        <w:spacing w:after="0"/>
        <w:tabs>
          <w:tab w:leader="none" w:pos="480" w:val="left"/>
        </w:tabs>
        <w:numPr>
          <w:ilvl w:val="0"/>
          <w:numId w:val="126"/>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INTRODUCTION</w:t>
      </w:r>
    </w:p>
    <w:p>
      <w:pPr>
        <w:spacing w:after="0" w:line="233" w:lineRule="exact"/>
        <w:rPr>
          <w:sz w:val="20"/>
          <w:szCs w:val="20"/>
          <w:color w:val="auto"/>
        </w:rPr>
      </w:pPr>
    </w:p>
    <w:p>
      <w:pPr>
        <w:jc w:val="both"/>
        <w:ind w:left="80"/>
        <w:spacing w:after="0" w:line="260" w:lineRule="auto"/>
        <w:rPr>
          <w:sz w:val="20"/>
          <w:szCs w:val="20"/>
          <w:color w:val="auto"/>
        </w:rPr>
      </w:pPr>
      <w:r>
        <w:rPr>
          <w:rFonts w:ascii="Times New Roman" w:cs="Times New Roman" w:eastAsia="Times New Roman" w:hAnsi="Times New Roman"/>
          <w:sz w:val="19"/>
          <w:szCs w:val="19"/>
          <w:color w:val="auto"/>
        </w:rPr>
        <w:t>In accordance with Section 10D of the Securities Exchange Act of 1934, as amended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and the regulations thereunder, the Board of Directors (the “</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of LSB Industries, Inc.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has adopted this policy (the “</w:t>
      </w:r>
      <w:r>
        <w:rPr>
          <w:rFonts w:ascii="Times New Roman" w:cs="Times New Roman" w:eastAsia="Times New Roman" w:hAnsi="Times New Roman"/>
          <w:sz w:val="19"/>
          <w:szCs w:val="19"/>
          <w:u w:val="single" w:color="auto"/>
          <w:color w:val="auto"/>
        </w:rPr>
        <w:t>Policy</w:t>
      </w:r>
      <w:r>
        <w:rPr>
          <w:rFonts w:ascii="Times New Roman" w:cs="Times New Roman" w:eastAsia="Times New Roman" w:hAnsi="Times New Roman"/>
          <w:sz w:val="19"/>
          <w:szCs w:val="19"/>
          <w:color w:val="auto"/>
        </w:rPr>
        <w:t>”) providing for the Company’s recoupment of certain incentive-based compensation received by Covered Executives (as defined below) in the event that the Company is required to prepare an accounting restatement due to its material noncompliance with any financial reporting requirement under the securities laws. This Policy is designed to comply with, and shall be construed and interpreted to be consistent with, Section 10D of the Exchange Act, Rule 10D-1 promulgated under the Exchange Act and the related listing rules of the New York Stock Exchange.</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635000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13" w:right="339" w:bottom="1440" w:gutter="0" w:footer="0" w:header="0"/>
          <w:type w:val="continuous"/>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1388745" cy="9601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13887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0" w:hanging="398"/>
        <w:spacing w:after="0"/>
        <w:tabs>
          <w:tab w:leader="none" w:pos="400" w:val="left"/>
        </w:tabs>
        <w:numPr>
          <w:ilvl w:val="0"/>
          <w:numId w:val="12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ADMINISTRATION</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Administration and enforcement of this Policy is delegated to the Compensation and Talent Management Committee of the Board (as constituted from time to time, and including any successor committee, the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The Committee shall make all determinations under this Policy in its sole discretion. Determinations of the Committee under this Policy need not be uniform with respect to any or all Covered Executives and will be final and binding.</w:t>
      </w:r>
    </w:p>
    <w:p>
      <w:pPr>
        <w:spacing w:after="0" w:line="200" w:lineRule="exact"/>
        <w:rPr>
          <w:sz w:val="20"/>
          <w:szCs w:val="20"/>
          <w:color w:val="auto"/>
        </w:rPr>
      </w:pPr>
    </w:p>
    <w:p>
      <w:pPr>
        <w:spacing w:after="0" w:line="205" w:lineRule="exact"/>
        <w:rPr>
          <w:sz w:val="20"/>
          <w:szCs w:val="20"/>
          <w:color w:val="auto"/>
        </w:rPr>
      </w:pPr>
    </w:p>
    <w:p>
      <w:pPr>
        <w:ind w:left="400" w:hanging="398"/>
        <w:spacing w:after="0"/>
        <w:tabs>
          <w:tab w:leader="none" w:pos="400" w:val="left"/>
        </w:tabs>
        <w:numPr>
          <w:ilvl w:val="0"/>
          <w:numId w:val="128"/>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EFFECTIVE DATE</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This Policy shall be effective with respect to Covered Compensation (as defined below) that is received by Covered Executives on or after October 2,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385" w:lineRule="exact"/>
        <w:rPr>
          <w:sz w:val="20"/>
          <w:szCs w:val="20"/>
          <w:color w:val="auto"/>
        </w:rPr>
      </w:pPr>
    </w:p>
    <w:p>
      <w:pPr>
        <w:ind w:left="400" w:hanging="398"/>
        <w:spacing w:after="0"/>
        <w:tabs>
          <w:tab w:leader="none" w:pos="400" w:val="left"/>
        </w:tabs>
        <w:numPr>
          <w:ilvl w:val="0"/>
          <w:numId w:val="12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COVERED EXECUTIVES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Policy covers each current or former officer of the Company subject to Section 16 of the Exchange Act (each, a “</w:t>
      </w:r>
      <w:r>
        <w:rPr>
          <w:rFonts w:ascii="Times New Roman" w:cs="Times New Roman" w:eastAsia="Times New Roman" w:hAnsi="Times New Roman"/>
          <w:sz w:val="19"/>
          <w:szCs w:val="19"/>
          <w:u w:val="single" w:color="auto"/>
          <w:color w:val="auto"/>
        </w:rPr>
        <w:t>Covered Executive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53" w:lineRule="exact"/>
        <w:rPr>
          <w:sz w:val="20"/>
          <w:szCs w:val="20"/>
          <w:color w:val="auto"/>
        </w:rPr>
      </w:pPr>
    </w:p>
    <w:p>
      <w:pPr>
        <w:ind w:left="400" w:hanging="398"/>
        <w:spacing w:after="0"/>
        <w:tabs>
          <w:tab w:leader="none" w:pos="400" w:val="left"/>
        </w:tabs>
        <w:numPr>
          <w:ilvl w:val="0"/>
          <w:numId w:val="130"/>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COVERED COMPENSATION</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Policy applies to any cash-based or equity-based incentive compensation, bonus, and/or award that is or was received by a Covered Executive and that is based, wholly or in part, upon the attainment of any financial reporting measure (“</w:t>
      </w:r>
      <w:r>
        <w:rPr>
          <w:rFonts w:ascii="Times New Roman" w:cs="Times New Roman" w:eastAsia="Times New Roman" w:hAnsi="Times New Roman"/>
          <w:sz w:val="20"/>
          <w:szCs w:val="20"/>
          <w:u w:val="single" w:color="auto"/>
          <w:color w:val="auto"/>
        </w:rPr>
        <w:t>Covered Compensation</w:t>
      </w:r>
      <w:r>
        <w:rPr>
          <w:rFonts w:ascii="Times New Roman" w:cs="Times New Roman" w:eastAsia="Times New Roman" w:hAnsi="Times New Roman"/>
          <w:sz w:val="20"/>
          <w:szCs w:val="20"/>
          <w:color w:val="auto"/>
        </w:rPr>
        <w:t>”). For the avoidance of doubt, none of the following shall be deemed to be Covered Compensation: base salary, a bonus that is paid solely at the discretion of the Committee or Board and not paid from a bonus pool determined by satisfying a financial reporting measure performance goal, and cash or equity-based awards that are earned solely upon satisfaction of one or more subjective or strategic standards. This Policy shall apply to any Covered Compensation received by an employee who served as a Covered Executive at any time during the performance period for that Covered Compensation.</w:t>
      </w:r>
    </w:p>
    <w:p>
      <w:pPr>
        <w:spacing w:after="0" w:line="200" w:lineRule="exact"/>
        <w:rPr>
          <w:sz w:val="20"/>
          <w:szCs w:val="20"/>
          <w:color w:val="auto"/>
        </w:rPr>
      </w:pPr>
    </w:p>
    <w:p>
      <w:pPr>
        <w:spacing w:after="0" w:line="211" w:lineRule="exact"/>
        <w:rPr>
          <w:sz w:val="20"/>
          <w:szCs w:val="20"/>
          <w:color w:val="auto"/>
        </w:rPr>
      </w:pPr>
    </w:p>
    <w:p>
      <w:pPr>
        <w:ind w:left="400" w:hanging="398"/>
        <w:spacing w:after="0"/>
        <w:tabs>
          <w:tab w:leader="none" w:pos="400" w:val="left"/>
        </w:tabs>
        <w:numPr>
          <w:ilvl w:val="0"/>
          <w:numId w:val="13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FINANCIAL RESTATEMENTS; RECOUPMENT</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(such an accounting restatement, a “</w:t>
      </w:r>
      <w:r>
        <w:rPr>
          <w:rFonts w:ascii="Times New Roman" w:cs="Times New Roman" w:eastAsia="Times New Roman" w:hAnsi="Times New Roman"/>
          <w:sz w:val="20"/>
          <w:szCs w:val="20"/>
          <w:u w:val="single" w:color="auto"/>
          <w:color w:val="auto"/>
        </w:rPr>
        <w:t>Restatement</w:t>
      </w:r>
      <w:r>
        <w:rPr>
          <w:rFonts w:ascii="Times New Roman" w:cs="Times New Roman" w:eastAsia="Times New Roman" w:hAnsi="Times New Roman"/>
          <w:sz w:val="20"/>
          <w:szCs w:val="20"/>
          <w:color w:val="auto"/>
        </w:rPr>
        <w:t>”), the Committee shall review the Covered Compensation received by a</w:t>
      </w:r>
    </w:p>
    <w:p>
      <w:pPr>
        <w:spacing w:after="0" w:line="1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2</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638175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1388745" cy="9601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42">
                      <a:clrChange>
                        <a:clrFrom>
                          <a:srgbClr val="FFFFFF"/>
                        </a:clrFrom>
                        <a:clrTo>
                          <a:srgbClr val="FFFFFF">
                            <a:alpha val="0"/>
                          </a:srgbClr>
                        </a:clrTo>
                      </a:clrChange>
                      <a:extLst>
                        <a:ext uri="{28A0092B-C50C-407E-A947-70E740481C1C}"/>
                      </a:extLst>
                    </a:blip>
                    <a:srcRect/>
                    <a:stretch>
                      <a:fillRect/>
                    </a:stretch>
                  </pic:blipFill>
                  <pic:spPr bwMode="auto">
                    <a:xfrm>
                      <a:off x="0" y="0"/>
                      <a:ext cx="13887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Covered Executive during the three-fiscal year period preceding the Required Financial Restatement Date (as defined below) as well as any transition period that results from a change in the Company’s fiscal year within or immediately following those three completed fiscal years. Regardless of whether the Company files the restated financial statements, the Committee shall seek recoupment of any Covered Compensation, whether in the form of cash or equity, received by a Covered Executive (computed without regard to any taxes paid), if and to the extent:</w:t>
      </w:r>
    </w:p>
    <w:p>
      <w:pPr>
        <w:spacing w:after="0" w:line="198" w:lineRule="exact"/>
        <w:rPr>
          <w:sz w:val="20"/>
          <w:szCs w:val="20"/>
          <w:color w:val="auto"/>
        </w:rPr>
      </w:pPr>
    </w:p>
    <w:p>
      <w:pPr>
        <w:ind w:left="1040" w:right="40" w:hanging="383"/>
        <w:spacing w:after="0" w:line="269" w:lineRule="auto"/>
        <w:tabs>
          <w:tab w:leader="none" w:pos="106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Covered Compensation was calculated based upon the achievement of certain financial results that were subsequently the subject of a Restatement; and</w:t>
      </w:r>
    </w:p>
    <w:p>
      <w:pPr>
        <w:spacing w:after="0" w:line="172" w:lineRule="exact"/>
        <w:rPr>
          <w:rFonts w:ascii="Times New Roman" w:cs="Times New Roman" w:eastAsia="Times New Roman" w:hAnsi="Times New Roman"/>
          <w:sz w:val="20"/>
          <w:szCs w:val="20"/>
          <w:color w:val="auto"/>
        </w:rPr>
      </w:pPr>
    </w:p>
    <w:p>
      <w:pPr>
        <w:jc w:val="both"/>
        <w:ind w:left="1040" w:right="20" w:hanging="383"/>
        <w:spacing w:after="0" w:line="254" w:lineRule="auto"/>
        <w:tabs>
          <w:tab w:leader="none" w:pos="106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the Covered Compensation that would have been received by the Covered Executive had the financial results been properly reported would have been lower than the amount actually awarded (any such amount, “</w:t>
      </w:r>
      <w:r>
        <w:rPr>
          <w:rFonts w:ascii="Times New Roman" w:cs="Times New Roman" w:eastAsia="Times New Roman" w:hAnsi="Times New Roman"/>
          <w:sz w:val="20"/>
          <w:szCs w:val="20"/>
          <w:u w:val="single" w:color="auto"/>
          <w:color w:val="auto"/>
        </w:rPr>
        <w:t>Erroneously-Awarded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 the extent Covered Compensation was based on the achievement of a financial reporting measure, but the amount of such Covered Compensation was not awarded or paid on a formulaic basis, the Committee shall determine the amount, if any, of such Covered Compensation that is deemed to be Erroneously-Awarded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purposes of this Policy, the “</w:t>
      </w:r>
      <w:r>
        <w:rPr>
          <w:rFonts w:ascii="Times New Roman" w:cs="Times New Roman" w:eastAsia="Times New Roman" w:hAnsi="Times New Roman"/>
          <w:sz w:val="20"/>
          <w:szCs w:val="20"/>
          <w:u w:val="single" w:color="auto"/>
          <w:color w:val="auto"/>
        </w:rPr>
        <w:t>Required Financial Restatement Date</w:t>
      </w:r>
      <w:r>
        <w:rPr>
          <w:rFonts w:ascii="Times New Roman" w:cs="Times New Roman" w:eastAsia="Times New Roman" w:hAnsi="Times New Roman"/>
          <w:sz w:val="20"/>
          <w:szCs w:val="20"/>
          <w:color w:val="auto"/>
        </w:rPr>
        <w:t>” is the earlier to occur of:</w:t>
      </w:r>
    </w:p>
    <w:p>
      <w:pPr>
        <w:spacing w:after="0" w:line="229" w:lineRule="exact"/>
        <w:rPr>
          <w:sz w:val="20"/>
          <w:szCs w:val="20"/>
          <w:color w:val="auto"/>
        </w:rPr>
      </w:pPr>
    </w:p>
    <w:p>
      <w:pPr>
        <w:ind w:left="1040" w:right="20" w:hanging="383"/>
        <w:spacing w:after="0" w:line="269" w:lineRule="auto"/>
        <w:tabs>
          <w:tab w:leader="none" w:pos="106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the Board, a committee of the Board, or any officer or officers authorized to take such action if Board action is not required, concludes, or reasonably should have concluded, that the Company is required to prepare a Restatement; or</w:t>
      </w:r>
    </w:p>
    <w:p>
      <w:pPr>
        <w:spacing w:after="0" w:line="172" w:lineRule="exact"/>
        <w:rPr>
          <w:rFonts w:ascii="Times New Roman" w:cs="Times New Roman" w:eastAsia="Times New Roman" w:hAnsi="Times New Roman"/>
          <w:sz w:val="20"/>
          <w:szCs w:val="20"/>
          <w:color w:val="auto"/>
        </w:rPr>
      </w:pPr>
    </w:p>
    <w:p>
      <w:pPr>
        <w:ind w:left="1060" w:hanging="403"/>
        <w:spacing w:after="0"/>
        <w:tabs>
          <w:tab w:leader="none" w:pos="1060"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a court, regulator, or other legally authorized body directs the Company to prepare a Restatement.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avoidance of doubt, a Covered Executive will be deemed to have received Covered Compensation in the Company’s fiscal period during which the financial reporting measure specified in the award is attained, even if the Covered Executive remains subject to additional payment conditions with respect to such award.</w:t>
      </w:r>
    </w:p>
    <w:p>
      <w:pPr>
        <w:spacing w:after="0" w:line="400" w:lineRule="exact"/>
        <w:rPr>
          <w:sz w:val="20"/>
          <w:szCs w:val="20"/>
          <w:color w:val="auto"/>
        </w:rPr>
      </w:pPr>
    </w:p>
    <w:p>
      <w:pPr>
        <w:ind w:left="400" w:hanging="398"/>
        <w:spacing w:after="0"/>
        <w:tabs>
          <w:tab w:leader="none" w:pos="400" w:val="left"/>
        </w:tabs>
        <w:numPr>
          <w:ilvl w:val="0"/>
          <w:numId w:val="134"/>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METHOD OF RECOUPMENT</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Committee will determine, in its sole discretion, the method for recouping Erroneously-Awarded Compensation, which may include, without limitation:</w:t>
      </w:r>
    </w:p>
    <w:p>
      <w:pPr>
        <w:spacing w:after="0" w:line="173" w:lineRule="exact"/>
        <w:rPr>
          <w:sz w:val="20"/>
          <w:szCs w:val="20"/>
          <w:color w:val="auto"/>
        </w:rPr>
      </w:pPr>
    </w:p>
    <w:p>
      <w:pPr>
        <w:ind w:left="4440" w:right="4260" w:hanging="3783"/>
        <w:spacing w:after="0" w:line="725" w:lineRule="auto"/>
        <w:tabs>
          <w:tab w:leader="none" w:pos="1056" w:val="left"/>
        </w:tabs>
        <w:numPr>
          <w:ilvl w:val="0"/>
          <w:numId w:val="1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requiring reimbursement of cash incentive compensation previously paid; Page </w:t>
      </w:r>
      <w:r>
        <w:rPr>
          <w:rFonts w:ascii="Times New Roman" w:cs="Times New Roman" w:eastAsia="Times New Roman" w:hAnsi="Times New Roman"/>
          <w:sz w:val="19"/>
          <w:szCs w:val="19"/>
          <w:b w:val="1"/>
          <w:bCs w:val="1"/>
          <w:color w:val="auto"/>
        </w:rPr>
        <w:t>3</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337820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1388745" cy="9601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44">
                      <a:clrChange>
                        <a:clrFrom>
                          <a:srgbClr val="FFFFFF"/>
                        </a:clrFrom>
                        <a:clrTo>
                          <a:srgbClr val="FFFFFF">
                            <a:alpha val="0"/>
                          </a:srgbClr>
                        </a:clrTo>
                      </a:clrChange>
                      <a:extLst>
                        <a:ext uri="{28A0092B-C50C-407E-A947-70E740481C1C}"/>
                      </a:extLst>
                    </a:blip>
                    <a:srcRect/>
                    <a:stretch>
                      <a:fillRect/>
                    </a:stretch>
                  </pic:blipFill>
                  <pic:spPr bwMode="auto">
                    <a:xfrm>
                      <a:off x="0" y="0"/>
                      <a:ext cx="13887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60" w:hanging="403"/>
        <w:spacing w:after="0"/>
        <w:tabs>
          <w:tab w:leader="none" w:pos="10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cancelling or rescinding some or all outstanding vested or unvested equity (and/or equity-based) awards; and/or</w:t>
      </w:r>
    </w:p>
    <w:p>
      <w:pPr>
        <w:spacing w:after="0" w:line="229" w:lineRule="exact"/>
        <w:rPr>
          <w:rFonts w:ascii="Times New Roman" w:cs="Times New Roman" w:eastAsia="Times New Roman" w:hAnsi="Times New Roman"/>
          <w:sz w:val="20"/>
          <w:szCs w:val="20"/>
          <w:color w:val="auto"/>
        </w:rPr>
      </w:pPr>
    </w:p>
    <w:p>
      <w:pPr>
        <w:ind w:left="1060" w:hanging="403"/>
        <w:spacing w:after="0"/>
        <w:tabs>
          <w:tab w:leader="none" w:pos="106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adjusting or withholding from unpaid compensation or other set-off to the extent permitted by applicable law; and/or</w:t>
      </w:r>
    </w:p>
    <w:p>
      <w:pPr>
        <w:spacing w:after="0" w:line="229" w:lineRule="exact"/>
        <w:rPr>
          <w:rFonts w:ascii="Times New Roman" w:cs="Times New Roman" w:eastAsia="Times New Roman" w:hAnsi="Times New Roman"/>
          <w:sz w:val="20"/>
          <w:szCs w:val="20"/>
          <w:color w:val="auto"/>
        </w:rPr>
      </w:pPr>
    </w:p>
    <w:p>
      <w:pPr>
        <w:ind w:left="1040" w:right="20" w:hanging="383"/>
        <w:spacing w:after="0" w:line="269" w:lineRule="auto"/>
        <w:tabs>
          <w:tab w:leader="none" w:pos="1061"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or eliminating entitlements to future salary increases, cash-based or equity-based incentive compensation, bonuses, awards or severance.</w:t>
      </w:r>
    </w:p>
    <w:p>
      <w:pPr>
        <w:spacing w:after="0" w:line="385" w:lineRule="exact"/>
        <w:rPr>
          <w:sz w:val="20"/>
          <w:szCs w:val="20"/>
          <w:color w:val="auto"/>
        </w:rPr>
      </w:pPr>
    </w:p>
    <w:p>
      <w:pPr>
        <w:ind w:left="400" w:hanging="398"/>
        <w:spacing w:after="0"/>
        <w:tabs>
          <w:tab w:leader="none" w:pos="400" w:val="left"/>
        </w:tabs>
        <w:numPr>
          <w:ilvl w:val="0"/>
          <w:numId w:val="137"/>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IMPRACTICABILITY EXCEPTIONS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Committee shall not seek recoupment of any Erroneously-Awarded Compensation to the extent it determines that:</w:t>
      </w:r>
    </w:p>
    <w:p>
      <w:pPr>
        <w:spacing w:after="0" w:line="229" w:lineRule="exact"/>
        <w:rPr>
          <w:sz w:val="20"/>
          <w:szCs w:val="20"/>
          <w:color w:val="auto"/>
        </w:rPr>
      </w:pPr>
    </w:p>
    <w:p>
      <w:pPr>
        <w:ind w:left="1040" w:right="20" w:hanging="383"/>
        <w:spacing w:after="0" w:line="269" w:lineRule="auto"/>
        <w:tabs>
          <w:tab w:leader="none" w:pos="106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 expense paid to a third party to assist in enforcing this Policy would exceed the amount of Erroneously-Awarded Compensation to be recovered;</w:t>
      </w:r>
    </w:p>
    <w:p>
      <w:pPr>
        <w:spacing w:after="0" w:line="172" w:lineRule="exact"/>
        <w:rPr>
          <w:rFonts w:ascii="Times New Roman" w:cs="Times New Roman" w:eastAsia="Times New Roman" w:hAnsi="Times New Roman"/>
          <w:sz w:val="20"/>
          <w:szCs w:val="20"/>
          <w:color w:val="auto"/>
        </w:rPr>
      </w:pPr>
    </w:p>
    <w:p>
      <w:pPr>
        <w:ind w:left="1060" w:hanging="403"/>
        <w:spacing w:after="0"/>
        <w:tabs>
          <w:tab w:leader="none" w:pos="106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where that law was adopted prior to November 28, 2022; and/or</w:t>
      </w:r>
    </w:p>
    <w:p>
      <w:pPr>
        <w:spacing w:after="0" w:line="229" w:lineRule="exact"/>
        <w:rPr>
          <w:rFonts w:ascii="Times New Roman" w:cs="Times New Roman" w:eastAsia="Times New Roman" w:hAnsi="Times New Roman"/>
          <w:sz w:val="20"/>
          <w:szCs w:val="20"/>
          <w:color w:val="auto"/>
        </w:rPr>
      </w:pPr>
    </w:p>
    <w:p>
      <w:pPr>
        <w:jc w:val="both"/>
        <w:ind w:left="1040" w:hanging="383"/>
        <w:spacing w:after="0" w:line="254" w:lineRule="auto"/>
        <w:tabs>
          <w:tab w:leader="none" w:pos="1061"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an otherwise tax-qualified retirement plan, under which benefits are broadly available to Company employees, to fail to meet the requirements of Sections 401(a)(13) and 411(a) of the Internal Revenue Code of 1986, as amended, and the regulations thereunder.</w:t>
      </w:r>
    </w:p>
    <w:p>
      <w:pPr>
        <w:spacing w:after="0" w:line="400" w:lineRule="exact"/>
        <w:rPr>
          <w:sz w:val="20"/>
          <w:szCs w:val="20"/>
          <w:color w:val="auto"/>
        </w:rPr>
      </w:pPr>
    </w:p>
    <w:p>
      <w:pPr>
        <w:ind w:left="400" w:hanging="398"/>
        <w:spacing w:after="0"/>
        <w:tabs>
          <w:tab w:leader="none" w:pos="400" w:val="left"/>
        </w:tabs>
        <w:numPr>
          <w:ilvl w:val="0"/>
          <w:numId w:val="139"/>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u w:val="single" w:color="auto"/>
          <w:color w:val="auto"/>
        </w:rPr>
        <w:t>NO INDEMNIFICATION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avoidance of doubt, the Company shall not indemnify any Covered Executive against the loss of any Erroneously-Awarded Compensation or any Covered Compensation that is recouped pursuant to the terms of this Policy, or any claims relating to the Company’s enforcement of its rights under this Policy.</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10.  SEVERABILITY</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any provision of this Policy or the application of any such provision to any Covered Executive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3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4</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638175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1388745" cy="9601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46">
                      <a:clrChange>
                        <a:clrFrom>
                          <a:srgbClr val="FFFFFF"/>
                        </a:clrFrom>
                        <a:clrTo>
                          <a:srgbClr val="FFFFFF">
                            <a:alpha val="0"/>
                          </a:srgbClr>
                        </a:clrTo>
                      </a:clrChange>
                      <a:extLst>
                        <a:ext uri="{28A0092B-C50C-407E-A947-70E740481C1C}"/>
                      </a:extLst>
                    </a:blip>
                    <a:srcRect/>
                    <a:stretch>
                      <a:fillRect/>
                    </a:stretch>
                  </pic:blipFill>
                  <pic:spPr bwMode="auto">
                    <a:xfrm>
                      <a:off x="0" y="0"/>
                      <a:ext cx="13887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11.  AMENDMENTS</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Committee may amend, modify or terminate this Policy in whole or in part at any time and may adopt such rules and procedures that it deems necessary or appropriate to implement this Policy or to comply with applicable laws and regulations.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12.  NO IMPAIRMENT OF OTHER REMEDIES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remedies under this Policy are in addition to, and not in lieu of, any legal and equitable claims the Company may have, the Company’s ability to enforce, without duplication, the recoupment provisions set forth in any separate Company policy or in any Company plan, program or agreement (each, a “</w:t>
      </w:r>
      <w:r>
        <w:rPr>
          <w:rFonts w:ascii="Times New Roman" w:cs="Times New Roman" w:eastAsia="Times New Roman" w:hAnsi="Times New Roman"/>
          <w:sz w:val="20"/>
          <w:szCs w:val="20"/>
          <w:u w:val="single" w:color="auto"/>
          <w:color w:val="auto"/>
        </w:rPr>
        <w:t>Separate Recoupment Policy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Separate Recoupment Policies</w:t>
      </w:r>
      <w:r>
        <w:rPr>
          <w:rFonts w:ascii="Times New Roman" w:cs="Times New Roman" w:eastAsia="Times New Roman" w:hAnsi="Times New Roman"/>
          <w:sz w:val="20"/>
          <w:szCs w:val="20"/>
          <w:color w:val="auto"/>
        </w:rPr>
        <w:t>”), or any actions that may be imposed by law enforcement agencies, regulators or other authorities. Notwithstanding the foregoing, in the event that there is a conflict between the application of this Policy to a Covered Executive in the event of a Restatement and any additional recoupment provisions set forth in a Separate Recoupment Policy to which a Covered Executive is subject, the provisions of this Policy shall control. The Company may also adopt additional Separate Recoupment Policies in the future or amend existing requirements as required by law or regulation.</w:t>
      </w:r>
    </w:p>
    <w:p>
      <w:pPr>
        <w:spacing w:after="0" w:line="1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b w:val="1"/>
          <w:bCs w:val="1"/>
          <w:color w:val="auto"/>
        </w:rPr>
        <w:t>NUMPAGES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638175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1388745" cy="8312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48">
                      <a:clrChange>
                        <a:clrFrom>
                          <a:srgbClr val="FFFFFF"/>
                        </a:clrFrom>
                        <a:clrTo>
                          <a:srgbClr val="FFFFFF">
                            <a:alpha val="0"/>
                          </a:srgbClr>
                        </a:clrTo>
                      </a:clrChange>
                      <a:extLst>
                        <a:ext uri="{28A0092B-C50C-407E-A947-70E740481C1C}"/>
                      </a:extLst>
                    </a:blip>
                    <a:srcRect/>
                    <a:stretch>
                      <a:fillRect/>
                    </a:stretch>
                  </pic:blipFill>
                  <pic:spPr bwMode="auto">
                    <a:xfrm>
                      <a:off x="0" y="0"/>
                      <a:ext cx="138874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LSB INDUSTRIES, INC.</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auto"/>
        </w:rPr>
        <w:t>CLAWBACK POLICY ACKNOWLEDGMENT</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Reference is made to the LSB Industries, Inc. Policy for Recoupment of Incentive Compensation, effective as of November 8, 2023 (the “</w:t>
      </w:r>
      <w:r>
        <w:rPr>
          <w:rFonts w:ascii="Times New Roman" w:cs="Times New Roman" w:eastAsia="Times New Roman" w:hAnsi="Times New Roman"/>
          <w:sz w:val="20"/>
          <w:szCs w:val="20"/>
          <w:u w:val="single" w:color="auto"/>
          <w:color w:val="auto"/>
        </w:rPr>
        <w:t>Clawback Policy</w:t>
      </w:r>
      <w:r>
        <w:rPr>
          <w:rFonts w:ascii="Times New Roman" w:cs="Times New Roman" w:eastAsia="Times New Roman" w:hAnsi="Times New Roman"/>
          <w:sz w:val="20"/>
          <w:szCs w:val="20"/>
          <w:color w:val="auto"/>
        </w:rPr>
        <w:t>”). By signing in the space indicated below, you acknowledge and agree that you have received and understand the Clawback Policy and that effective as of November 8, 2023 the Clawback Policy applies and will continue to apply to you during and after your employment or other service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EXECUTIVE:</w:t>
      </w:r>
    </w:p>
    <w:p>
      <w:pPr>
        <w:spacing w:after="0" w:line="200" w:lineRule="exact"/>
        <w:rPr>
          <w:sz w:val="20"/>
          <w:szCs w:val="20"/>
          <w:color w:val="auto"/>
        </w:rPr>
      </w:pPr>
    </w:p>
    <w:p>
      <w:pPr>
        <w:spacing w:after="0" w:line="23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_____________________________________</w:t>
      </w:r>
    </w:p>
    <w:p>
      <w:pPr>
        <w:spacing w:after="0" w:line="2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0"/>
          <w:szCs w:val="20"/>
          <w:color w:val="auto"/>
        </w:rPr>
        <w:t>Name: [NAME]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[DATE], 2023</w:t>
      </w: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i w:val="1"/>
          <w:iCs w:val="1"/>
          <w:color w:val="auto"/>
        </w:rPr>
        <w:t>Signature Page to</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i w:val="1"/>
          <w:iCs w:val="1"/>
          <w:color w:val="auto"/>
        </w:rPr>
        <w:t>Clawback Policy Acknowledgement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467360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60" w:name="page161"/>
    <w:bookmarkEnd w:id="1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1)"/>
      <w:numFmt w:val="upperLetter"/>
      <w:start w:val="1"/>
    </w:lvl>
  </w:abstractNum>
  <w:abstractNum w:abstractNumId="13">
    <w:nsid w:val="BF72B14"/>
    <w:multiLevelType w:val="hybridMultilevel"/>
    <w:lvl w:ilvl="0">
      <w:lvlJc w:val="left"/>
      <w:lvlText w:val="•"/>
      <w:numFmt w:val="bullet"/>
      <w:start w:val="1"/>
    </w:lvl>
    <w:lvl w:ilvl="1">
      <w:lvlJc w:val="left"/>
      <w:lvlText w:val="▪"/>
      <w:numFmt w:val="bullet"/>
      <w:start w:val="1"/>
    </w:lvl>
  </w:abstractNum>
  <w:abstractNum w:abstractNumId="14">
    <w:nsid w:val="11447B73"/>
    <w:multiLevelType w:val="hybridMultilevel"/>
    <w:lvl w:ilvl="0">
      <w:lvlJc w:val="left"/>
      <w:lvlText w:val="•"/>
      <w:numFmt w:val="bullet"/>
      <w:start w:val="1"/>
    </w:lvl>
    <w:lvl w:ilvl="1">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1)"/>
      <w:numFmt w:val="decimal"/>
      <w:start w:val="1"/>
    </w:lvl>
  </w:abstractNum>
  <w:abstractNum w:abstractNumId="18">
    <w:nsid w:val="1A32234B"/>
    <w:multiLevelType w:val="hybridMultilevel"/>
    <w:lvl w:ilvl="0">
      <w:lvlJc w:val="left"/>
      <w:lvlText w:val="(%1)"/>
      <w:numFmt w:val="decimal"/>
      <w:start w:val="1"/>
    </w:lvl>
  </w:abstractNum>
  <w:abstractNum w:abstractNumId="19">
    <w:nsid w:val="3B0FD379"/>
    <w:multiLevelType w:val="hybridMultilevel"/>
    <w:lvl w:ilvl="0">
      <w:lvlJc w:val="left"/>
      <w:lvlText w:val="(%1)"/>
      <w:numFmt w:val="decimal"/>
      <w:start w:val="1"/>
    </w:lvl>
  </w:abstractNum>
  <w:abstractNum w:abstractNumId="20">
    <w:nsid w:val="68EB2F63"/>
    <w:multiLevelType w:val="hybridMultilevel"/>
    <w:lvl w:ilvl="0">
      <w:lvlJc w:val="left"/>
      <w:lvlText w:val="(%1)"/>
      <w:numFmt w:val="decimal"/>
      <w:start w:val="1"/>
    </w:lvl>
  </w:abstractNum>
  <w:abstractNum w:abstractNumId="21">
    <w:nsid w:val="4962813B"/>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1)"/>
      <w:numFmt w:val="decimal"/>
      <w:start w:val="1"/>
    </w:lvl>
  </w:abstractNum>
  <w:abstractNum w:abstractNumId="25">
    <w:nsid w:val="7FFFCA11"/>
    <w:multiLevelType w:val="hybridMultilevel"/>
    <w:lvl w:ilvl="0">
      <w:lvlJc w:val="left"/>
      <w:lvlText w:val="(%1)"/>
      <w:numFmt w:val="decimal"/>
      <w:start w:val="1"/>
    </w:lvl>
  </w:abstractNum>
  <w:abstractNum w:abstractNumId="26">
    <w:nsid w:val="1A27709E"/>
    <w:multiLevelType w:val="hybridMultilevel"/>
    <w:lvl w:ilvl="0">
      <w:lvlJc w:val="left"/>
      <w:lvlText w:val="%1."/>
      <w:numFmt w:val="decimal"/>
      <w:start w:val="8"/>
    </w:lvl>
  </w:abstractNum>
  <w:abstractNum w:abstractNumId="27">
    <w:nsid w:val="71EA1109"/>
    <w:multiLevelType w:val="hybridMultilevel"/>
    <w:lvl w:ilvl="0">
      <w:lvlJc w:val="left"/>
      <w:lvlText w:val="%1."/>
      <w:numFmt w:val="decimal"/>
      <w:start w:val="1"/>
    </w:lvl>
  </w:abstractNum>
  <w:abstractNum w:abstractNumId="28">
    <w:nsid w:val="100F59DC"/>
    <w:multiLevelType w:val="hybridMultilevel"/>
    <w:lvl w:ilvl="0">
      <w:lvlJc w:val="left"/>
      <w:lvlText w:val="(%1)"/>
      <w:numFmt w:val="decimal"/>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1)"/>
      <w:numFmt w:val="decimal"/>
      <w:start w:val="1"/>
    </w:lvl>
  </w:abstractNum>
  <w:abstractNum w:abstractNumId="31">
    <w:nsid w:val="6F6DD9AC"/>
    <w:multiLevelType w:val="hybridMultilevel"/>
    <w:lvl w:ilvl="0">
      <w:lvlJc w:val="left"/>
      <w:lvlText w:val="(%1)"/>
      <w:numFmt w:val="lowerLetter"/>
      <w:start w:val="1"/>
    </w:lvl>
  </w:abstractNum>
  <w:abstractNum w:abstractNumId="32">
    <w:nsid w:val="94211F2"/>
    <w:multiLevelType w:val="hybridMultilevel"/>
    <w:lvl w:ilvl="0">
      <w:lvlJc w:val="left"/>
      <w:lvlText w:val="(%1)"/>
      <w:numFmt w:val="decimal"/>
      <w:start w:val="1"/>
    </w:lvl>
  </w:abstractNum>
  <w:abstractNum w:abstractNumId="33">
    <w:nsid w:val="885E1B"/>
    <w:multiLevelType w:val="hybridMultilevel"/>
    <w:lvl w:ilvl="0">
      <w:lvlJc w:val="left"/>
      <w:lvlText w:val="(%1)"/>
      <w:numFmt w:val="lowerLetter"/>
      <w:start w:val="1"/>
    </w:lvl>
  </w:abstractNum>
  <w:abstractNum w:abstractNumId="34">
    <w:nsid w:val="76272110"/>
    <w:multiLevelType w:val="hybridMultilevel"/>
    <w:lvl w:ilvl="0">
      <w:lvlJc w:val="left"/>
      <w:lvlText w:val="(%1)"/>
      <w:numFmt w:val="lowerRoman"/>
      <w:start w:val="1"/>
    </w:lvl>
  </w:abstractNum>
  <w:abstractNum w:abstractNumId="35">
    <w:nsid w:val="4C04A8AF"/>
    <w:multiLevelType w:val="hybridMultilevel"/>
    <w:lvl w:ilvl="0">
      <w:lvlJc w:val="left"/>
      <w:lvlText w:val="(%1)"/>
      <w:numFmt w:val="lowerRoman"/>
      <w:start w:val="2"/>
    </w:lvl>
  </w:abstractNum>
  <w:abstractNum w:abstractNumId="36">
    <w:nsid w:val="1716703B"/>
    <w:multiLevelType w:val="hybridMultilevel"/>
    <w:lvl w:ilvl="0">
      <w:lvlJc w:val="left"/>
      <w:lvlText w:val="(%1)"/>
      <w:numFmt w:val="lowerRoman"/>
      <w:start w:val="1"/>
    </w:lvl>
  </w:abstractNum>
  <w:abstractNum w:abstractNumId="37">
    <w:nsid w:val="14E17E33"/>
    <w:multiLevelType w:val="hybridMultilevel"/>
    <w:lvl w:ilvl="0">
      <w:lvlJc w:val="left"/>
      <w:lvlText w:val="(%1)"/>
      <w:numFmt w:val="lowerRoman"/>
      <w:start w:val="1"/>
    </w:lvl>
  </w:abstractNum>
  <w:abstractNum w:abstractNumId="38">
    <w:nsid w:val="3222E7CD"/>
    <w:multiLevelType w:val="hybridMultilevel"/>
    <w:lvl w:ilvl="0">
      <w:lvlJc w:val="left"/>
      <w:lvlText w:val="(%1)"/>
      <w:numFmt w:val="lowerRoman"/>
      <w:start w:val="1"/>
    </w:lvl>
  </w:abstractNum>
  <w:abstractNum w:abstractNumId="39">
    <w:nsid w:val="74DE0EE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0">
    <w:nsid w:val="68EBC550"/>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1">
    <w:nsid w:val="2DF6D648"/>
    <w:multiLevelType w:val="hybridMultilevel"/>
    <w:lvl w:ilvl="0">
      <w:lvlJc w:val="left"/>
      <w:lvlText w:val="(%1)"/>
      <w:numFmt w:val="lowerRoman"/>
      <w:start w:val="4"/>
    </w:lvl>
    <w:lvl w:ilvl="1">
      <w:lvlJc w:val="left"/>
      <w:lvlText w:val="(%2)"/>
      <w:numFmt w:val="lowerLetter"/>
      <w:start w:val="3"/>
    </w:lvl>
    <w:lvl w:ilvl="2">
      <w:lvlJc w:val="left"/>
      <w:lvlText w:val="(%3)"/>
      <w:numFmt w:val="lowerLetter"/>
      <w:start w:val="9"/>
    </w:lvl>
  </w:abstractNum>
  <w:abstractNum w:abstractNumId="42">
    <w:nsid w:val="46B7D447"/>
    <w:multiLevelType w:val="hybridMultilevel"/>
    <w:lvl w:ilvl="0">
      <w:lvlJc w:val="left"/>
      <w:lvlText w:val="(%1)"/>
      <w:numFmt w:val="lowerRoman"/>
      <w:start w:val="2"/>
    </w:lvl>
    <w:lvl w:ilvl="1">
      <w:lvlJc w:val="left"/>
      <w:lvlText w:val="(%2)"/>
      <w:numFmt w:val="lowerRoman"/>
      <w:start w:val="6"/>
    </w:lvl>
  </w:abstractNum>
  <w:abstractNum w:abstractNumId="43">
    <w:nsid w:val="4A2AC315"/>
    <w:multiLevelType w:val="hybridMultilevel"/>
    <w:lvl w:ilvl="0">
      <w:lvlJc w:val="left"/>
      <w:lvlText w:val="(%1)"/>
      <w:numFmt w:val="lowerLetter"/>
      <w:start w:val="5"/>
    </w:lvl>
    <w:lvl w:ilvl="1">
      <w:lvlJc w:val="left"/>
      <w:lvlText w:val="(%2)"/>
      <w:numFmt w:val="lowerRoman"/>
      <w:start w:val="1"/>
    </w:lvl>
  </w:abstractNum>
  <w:abstractNum w:abstractNumId="44">
    <w:nsid w:val="39EE015C"/>
    <w:multiLevelType w:val="hybridMultilevel"/>
    <w:lvl w:ilvl="0">
      <w:lvlJc w:val="left"/>
      <w:lvlText w:val="(%1)"/>
      <w:numFmt w:val="lowerLetter"/>
      <w:start w:val="7"/>
    </w:lvl>
  </w:abstractNum>
  <w:abstractNum w:abstractNumId="45">
    <w:nsid w:val="57FC4FBB"/>
    <w:multiLevelType w:val="hybridMultilevel"/>
    <w:lvl w:ilvl="0">
      <w:lvlJc w:val="left"/>
      <w:lvlText w:val="(%1)"/>
      <w:numFmt w:val="lowerRoman"/>
      <w:start w:val="2"/>
    </w:lvl>
  </w:abstractNum>
  <w:abstractNum w:abstractNumId="46">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7">
    <w:nsid w:val="43F18422"/>
    <w:multiLevelType w:val="hybridMultilevel"/>
    <w:lvl w:ilvl="0">
      <w:lvlJc w:val="left"/>
      <w:lvlText w:val="(%1)"/>
      <w:numFmt w:val="lowerLetter"/>
      <w:start w:val="1"/>
    </w:lvl>
    <w:lvl w:ilvl="1">
      <w:lvlJc w:val="left"/>
      <w:lvlText w:val="(%2)"/>
      <w:numFmt w:val="lowerRoman"/>
      <w:start w:val="1"/>
    </w:lvl>
  </w:abstractNum>
  <w:abstractNum w:abstractNumId="48">
    <w:nsid w:val="60EF0119"/>
    <w:multiLevelType w:val="hybridMultilevel"/>
    <w:lvl w:ilvl="0">
      <w:lvlJc w:val="left"/>
      <w:lvlText w:val="%1."/>
      <w:numFmt w:val="decimal"/>
      <w:start w:val="7"/>
    </w:lvl>
    <w:lvl w:ilvl="1">
      <w:lvlJc w:val="left"/>
      <w:lvlText w:val="(%2)"/>
      <w:numFmt w:val="lowerLetter"/>
      <w:start w:val="1"/>
    </w:lvl>
  </w:abstractNum>
  <w:abstractNum w:abstractNumId="49">
    <w:nsid w:val="26F324BA"/>
    <w:multiLevelType w:val="hybridMultilevel"/>
    <w:lvl w:ilvl="0">
      <w:lvlJc w:val="left"/>
      <w:lvlText w:val="(%1)"/>
      <w:numFmt w:val="lowerLetter"/>
      <w:start w:val="2"/>
    </w:lvl>
  </w:abstractNum>
  <w:abstractNum w:abstractNumId="50">
    <w:nsid w:val="7F01579B"/>
    <w:multiLevelType w:val="hybridMultilevel"/>
    <w:lvl w:ilvl="0">
      <w:lvlJc w:val="left"/>
      <w:lvlText w:val="%1"/>
      <w:numFmt w:val="decimal"/>
      <w:start w:val="1"/>
    </w:lvl>
    <w:lvl w:ilvl="1">
      <w:lvlJc w:val="left"/>
      <w:lvlText w:val="(%2)"/>
      <w:numFmt w:val="lowerLetter"/>
      <w:start w:val="10"/>
    </w:lvl>
  </w:abstractNum>
  <w:abstractNum w:abstractNumId="51">
    <w:nsid w:val="49DA307D"/>
    <w:multiLevelType w:val="hybridMultilevel"/>
    <w:lvl w:ilvl="0">
      <w:lvlJc w:val="left"/>
      <w:lvlText w:val="%1."/>
      <w:numFmt w:val="decimal"/>
      <w:start w:val="12"/>
    </w:lvl>
    <w:lvl w:ilvl="1">
      <w:lvlJc w:val="left"/>
      <w:lvlText w:val="%2"/>
      <w:numFmt w:val="lowerLetter"/>
      <w:start w:val="1"/>
    </w:lvl>
  </w:abstractNum>
  <w:abstractNum w:abstractNumId="52">
    <w:nsid w:val="7055A5F5"/>
    <w:multiLevelType w:val="hybridMultilevel"/>
    <w:lvl w:ilvl="0">
      <w:lvlJc w:val="left"/>
      <w:lvlText w:val="(%1)"/>
      <w:numFmt w:val="lowerLetter"/>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1)"/>
      <w:numFmt w:val="decimal"/>
      <w:start w:val="1"/>
    </w:lvl>
  </w:abstractNum>
  <w:abstractNum w:abstractNumId="56">
    <w:nsid w:val="5FB8011C"/>
    <w:multiLevelType w:val="hybridMultilevel"/>
    <w:lvl w:ilvl="0">
      <w:lvlJc w:val="left"/>
      <w:lvlText w:val="(%1)"/>
      <w:numFmt w:val="lowerLetter"/>
      <w:start w:val="1"/>
    </w:lvl>
  </w:abstractNum>
  <w:abstractNum w:abstractNumId="57">
    <w:nsid w:val="6AA78F7F"/>
    <w:multiLevelType w:val="hybridMultilevel"/>
    <w:lvl w:ilvl="0">
      <w:lvlJc w:val="left"/>
      <w:lvlText w:val="(%1)"/>
      <w:numFmt w:val="lowerLetter"/>
      <w:start w:val="4"/>
    </w:lvl>
  </w:abstractNum>
  <w:abstractNum w:abstractNumId="58">
    <w:nsid w:val="7672BD2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9">
    <w:nsid w:val="6FC75AF8"/>
    <w:multiLevelType w:val="hybridMultilevel"/>
    <w:lvl w:ilvl="0">
      <w:lvlJc w:val="left"/>
      <w:lvlText w:val="(%1)"/>
      <w:numFmt w:val="lowerRoman"/>
      <w:start w:val="2"/>
    </w:lvl>
  </w:abstractNum>
  <w:abstractNum w:abstractNumId="60">
    <w:nsid w:val="6A5F7029"/>
    <w:multiLevelType w:val="hybridMultilevel"/>
    <w:lvl w:ilvl="0">
      <w:lvlJc w:val="left"/>
      <w:lvlText w:val="(%1)"/>
      <w:numFmt w:val="lowerLetter"/>
      <w:start w:val="8"/>
    </w:lvl>
  </w:abstractNum>
  <w:abstractNum w:abstractNumId="61">
    <w:nsid w:val="7D5E18F8"/>
    <w:multiLevelType w:val="hybridMultilevel"/>
    <w:lvl w:ilvl="0">
      <w:lvlJc w:val="left"/>
      <w:lvlText w:val="(%1)"/>
      <w:numFmt w:val="lowerLetter"/>
      <w:start w:val="9"/>
    </w:lvl>
  </w:abstractNum>
  <w:abstractNum w:abstractNumId="62">
    <w:nsid w:val="5F3534A4"/>
    <w:multiLevelType w:val="hybridMultilevel"/>
    <w:lvl w:ilvl="0">
      <w:lvlJc w:val="left"/>
      <w:lvlText w:val="(%1)"/>
      <w:numFmt w:val="lowerLetter"/>
      <w:start w:val="23"/>
    </w:lvl>
  </w:abstractNum>
  <w:abstractNum w:abstractNumId="63">
    <w:nsid w:val="73A1821B"/>
    <w:multiLevelType w:val="hybridMultilevel"/>
    <w:lvl w:ilvl="0">
      <w:lvlJc w:val="left"/>
      <w:lvlText w:val="(%1)"/>
      <w:numFmt w:val="lowerLetter"/>
      <w:start w:val="27"/>
    </w:lvl>
  </w:abstractNum>
  <w:abstractNum w:abstractNumId="64">
    <w:nsid w:val="7DE67713"/>
    <w:multiLevelType w:val="hybridMultilevel"/>
    <w:lvl w:ilvl="0">
      <w:lvlJc w:val="left"/>
      <w:lvlText w:val="%1"/>
      <w:numFmt w:val="decimal"/>
      <w:start w:val="1"/>
    </w:lvl>
    <w:lvl w:ilvl="1">
      <w:lvlJc w:val="left"/>
      <w:lvlText w:val="(%2)"/>
      <w:numFmt w:val="lowerLetter"/>
      <w:start w:val="36"/>
    </w:lvl>
  </w:abstractNum>
  <w:abstractNum w:abstractNumId="65">
    <w:nsid w:val="555C55B5"/>
    <w:multiLevelType w:val="hybridMultilevel"/>
    <w:lvl w:ilvl="0">
      <w:lvlJc w:val="left"/>
      <w:lvlText w:val="%1."/>
      <w:numFmt w:val="decimal"/>
      <w:start w:val="3"/>
    </w:lvl>
    <w:lvl w:ilvl="1">
      <w:lvlJc w:val="left"/>
      <w:lvlText w:val="(%2)"/>
      <w:numFmt w:val="lowerLetter"/>
      <w:start w:val="1"/>
    </w:lvl>
  </w:abstractNum>
  <w:abstractNum w:abstractNumId="66">
    <w:nsid w:val="3FA62ACA"/>
    <w:multiLevelType w:val="hybridMultilevel"/>
    <w:lvl w:ilvl="0">
      <w:lvlJc w:val="left"/>
      <w:lvlText w:val="(%1)"/>
      <w:numFmt w:val="lowerLetter"/>
      <w:start w:val="3"/>
    </w:lvl>
  </w:abstractNum>
  <w:abstractNum w:abstractNumId="67">
    <w:nsid w:val="14FCE74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8">
    <w:nsid w:val="6A3DD3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69">
    <w:nsid w:val="71C9129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70">
    <w:nsid w:val="9DAF632"/>
    <w:multiLevelType w:val="hybridMultilevel"/>
    <w:lvl w:ilvl="0">
      <w:lvlJc w:val="left"/>
      <w:lvlText w:val="(%1)"/>
      <w:numFmt w:val="lowerRoman"/>
      <w:start w:val="2"/>
    </w:lvl>
  </w:abstractNum>
  <w:abstractNum w:abstractNumId="71">
    <w:nsid w:val="53299938"/>
    <w:multiLevelType w:val="hybridMultilevel"/>
    <w:lvl w:ilvl="0">
      <w:lvlJc w:val="left"/>
      <w:lvlText w:val="%1"/>
      <w:numFmt w:val="lowerLetter"/>
      <w:start w:val="1"/>
    </w:lvl>
    <w:lvl w:ilvl="1">
      <w:lvlJc w:val="left"/>
      <w:lvlText w:val="(%2)"/>
      <w:numFmt w:val="lowerLetter"/>
      <w:start w:val="61"/>
    </w:lvl>
  </w:abstractNum>
  <w:abstractNum w:abstractNumId="72">
    <w:nsid w:val="1FBFE8E0"/>
    <w:multiLevelType w:val="hybridMultilevel"/>
    <w:lvl w:ilvl="0">
      <w:lvlJc w:val="left"/>
      <w:lvlText w:val="(%1)"/>
      <w:numFmt w:val="lowerLetter"/>
      <w:start w:val="3"/>
    </w:lvl>
    <w:lvl w:ilvl="1">
      <w:lvlJc w:val="left"/>
      <w:lvlText w:val="(%2)"/>
      <w:numFmt w:val="lowerLetter"/>
      <w:start w:val="9"/>
    </w:lvl>
  </w:abstractNum>
  <w:abstractNum w:abstractNumId="73">
    <w:nsid w:val="5092CA79"/>
    <w:multiLevelType w:val="hybridMultilevel"/>
    <w:lvl w:ilvl="0">
      <w:lvlJc w:val="left"/>
      <w:lvlText w:val="(%1)"/>
      <w:numFmt w:val="lowerRoman"/>
      <w:start w:val="2"/>
    </w:lvl>
  </w:abstractNum>
  <w:abstractNum w:abstractNumId="74">
    <w:nsid w:val="1D545C4D"/>
    <w:multiLevelType w:val="hybridMultilevel"/>
    <w:lvl w:ilvl="0">
      <w:lvlJc w:val="left"/>
      <w:lvlText w:val="%1"/>
      <w:numFmt w:val="lowerLetter"/>
      <w:start w:val="1"/>
    </w:lvl>
    <w:lvl w:ilvl="1">
      <w:lvlJc w:val="left"/>
      <w:lvlText w:val="(%2)"/>
      <w:numFmt w:val="lowerRoman"/>
      <w:start w:val="4"/>
    </w:lvl>
  </w:abstractNum>
  <w:abstractNum w:abstractNumId="75">
    <w:nsid w:val="59ADEA3D"/>
    <w:multiLevelType w:val="hybridMultilevel"/>
    <w:lvl w:ilvl="0">
      <w:lvlJc w:val="left"/>
      <w:lvlText w:val="(%1)"/>
      <w:numFmt w:val="lowerLetter"/>
      <w:start w:val="4"/>
    </w:lvl>
    <w:lvl w:ilvl="1">
      <w:lvlJc w:val="left"/>
      <w:lvlText w:val="(%2)"/>
      <w:numFmt w:val="lowerRoman"/>
      <w:start w:val="1"/>
    </w:lvl>
  </w:abstractNum>
  <w:abstractNum w:abstractNumId="76">
    <w:nsid w:val="288F1A34"/>
    <w:multiLevelType w:val="hybridMultilevel"/>
    <w:lvl w:ilvl="0">
      <w:lvlJc w:val="left"/>
      <w:lvlText w:val="(%1)"/>
      <w:numFmt w:val="lowerLetter"/>
      <w:start w:val="6"/>
    </w:lvl>
  </w:abstractNum>
  <w:abstractNum w:abstractNumId="77">
    <w:nsid w:val="2A155DBC"/>
    <w:multiLevelType w:val="hybridMultilevel"/>
    <w:lvl w:ilvl="0">
      <w:lvlJc w:val="left"/>
      <w:lvlText w:val="(%1)"/>
      <w:numFmt w:val="lowerLetter"/>
      <w:start w:val="11"/>
    </w:lvl>
    <w:lvl w:ilvl="1">
      <w:lvlJc w:val="left"/>
      <w:lvlText w:val="(%2)"/>
      <w:numFmt w:val="lowerRoman"/>
      <w:start w:val="1"/>
    </w:lvl>
    <w:lvl w:ilvl="2">
      <w:lvlJc w:val="left"/>
      <w:lvlText w:val="(%3)"/>
      <w:numFmt w:val="decimal"/>
      <w:start w:val="28"/>
    </w:lvl>
  </w:abstractNum>
  <w:abstractNum w:abstractNumId="78">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79">
    <w:nsid w:val="97E1B4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0">
    <w:nsid w:val="51088277"/>
    <w:multiLevelType w:val="hybridMultilevel"/>
    <w:lvl w:ilvl="0">
      <w:lvlJc w:val="left"/>
      <w:lvlText w:val="%1"/>
      <w:numFmt w:val="decimal"/>
      <w:start w:val="1"/>
    </w:lvl>
    <w:lvl w:ilvl="1">
      <w:lvlJc w:val="left"/>
      <w:lvlText w:val="(%2)"/>
      <w:numFmt w:val="lowerLetter"/>
      <w:start w:val="3"/>
    </w:lvl>
  </w:abstractNum>
  <w:abstractNum w:abstractNumId="81">
    <w:nsid w:val="1CA0C5FA"/>
    <w:multiLevelType w:val="hybridMultilevel"/>
    <w:lvl w:ilvl="0">
      <w:lvlJc w:val="left"/>
      <w:lvlText w:val="%1."/>
      <w:numFmt w:val="decimal"/>
      <w:start w:val="8"/>
    </w:lvl>
    <w:lvl w:ilvl="1">
      <w:lvlJc w:val="left"/>
      <w:lvlText w:val="(%2)"/>
      <w:numFmt w:val="lowerLetter"/>
      <w:start w:val="1"/>
    </w:lvl>
  </w:abstractNum>
  <w:abstractNum w:abstractNumId="82">
    <w:nsid w:val="53584BCB"/>
    <w:multiLevelType w:val="hybridMultilevel"/>
    <w:lvl w:ilvl="0">
      <w:lvlJc w:val="left"/>
      <w:lvlText w:val="(%1)"/>
      <w:numFmt w:val="lowerLetter"/>
      <w:start w:val="3"/>
    </w:lvl>
    <w:lvl w:ilvl="1">
      <w:lvlJc w:val="left"/>
      <w:lvlText w:val="(%2)"/>
      <w:numFmt w:val="lowerRoman"/>
      <w:start w:val="1"/>
    </w:lvl>
  </w:abstractNum>
  <w:abstractNum w:abstractNumId="83">
    <w:nsid w:val="415E286C"/>
    <w:multiLevelType w:val="hybridMultilevel"/>
    <w:lvl w:ilvl="0">
      <w:lvlJc w:val="left"/>
      <w:lvlText w:val="(%1)"/>
      <w:numFmt w:val="lowerLetter"/>
      <w:start w:val="5"/>
    </w:lvl>
    <w:lvl w:ilvl="1">
      <w:lvlJc w:val="left"/>
      <w:lvlText w:val="(%2)"/>
      <w:numFmt w:val="lowerLetter"/>
      <w:start w:val="61"/>
    </w:lvl>
  </w:abstractNum>
  <w:abstractNum w:abstractNumId="84">
    <w:nsid w:val="7C58FD05"/>
    <w:multiLevelType w:val="hybridMultilevel"/>
    <w:lvl w:ilvl="0">
      <w:lvlJc w:val="left"/>
      <w:lvlText w:val="%1"/>
      <w:numFmt w:val="lowerLetter"/>
      <w:start w:val="1"/>
    </w:lvl>
    <w:lvl w:ilvl="1">
      <w:lvlJc w:val="left"/>
      <w:lvlText w:val="(%2)"/>
      <w:numFmt w:val="lowerLetter"/>
      <w:start w:val="24"/>
    </w:lvl>
  </w:abstractNum>
  <w:abstractNum w:abstractNumId="85">
    <w:nsid w:val="23D86AAC"/>
    <w:multiLevelType w:val="hybridMultilevel"/>
    <w:lvl w:ilvl="0">
      <w:lvlJc w:val="left"/>
      <w:lvlText w:val="(%1)"/>
      <w:numFmt w:val="lowerLetter"/>
      <w:start w:val="7"/>
    </w:lvl>
    <w:lvl w:ilvl="1">
      <w:lvlJc w:val="left"/>
      <w:lvlText w:val="%2"/>
      <w:numFmt w:val="lowerLetter"/>
      <w:start w:val="1"/>
    </w:lvl>
  </w:abstractNum>
  <w:abstractNum w:abstractNumId="86">
    <w:nsid w:val="45E6D486"/>
    <w:multiLevelType w:val="hybridMultilevel"/>
    <w:lvl w:ilvl="0">
      <w:lvlJc w:val="left"/>
      <w:lvlText w:val="%1."/>
      <w:numFmt w:val="decimal"/>
      <w:start w:val="9"/>
    </w:lvl>
    <w:lvl w:ilvl="1">
      <w:lvlJc w:val="left"/>
      <w:lvlText w:val="(%2)"/>
      <w:numFmt w:val="lowerLetter"/>
      <w:start w:val="1"/>
    </w:lvl>
  </w:abstractNum>
  <w:abstractNum w:abstractNumId="87">
    <w:nsid w:val="5C10FE21"/>
    <w:multiLevelType w:val="hybridMultilevel"/>
    <w:lvl w:ilvl="0">
      <w:lvlJc w:val="left"/>
      <w:lvlText w:val="(%1)"/>
      <w:numFmt w:val="lowerLetter"/>
      <w:start w:val="5"/>
    </w:lvl>
  </w:abstractNum>
  <w:abstractNum w:abstractNumId="88">
    <w:nsid w:val="E7FFA2B"/>
    <w:multiLevelType w:val="hybridMultilevel"/>
    <w:lvl w:ilvl="0">
      <w:lvlJc w:val="left"/>
      <w:lvlText w:val="(%1)"/>
      <w:numFmt w:val="lowerLetter"/>
      <w:start w:val="9"/>
    </w:lvl>
  </w:abstractNum>
  <w:abstractNum w:abstractNumId="89">
    <w:nsid w:val="3C5991AA"/>
    <w:multiLevelType w:val="hybridMultilevel"/>
    <w:lvl w:ilvl="0">
      <w:lvlJc w:val="left"/>
      <w:lvlText w:val="(%1)"/>
      <w:numFmt w:val="lowerLetter"/>
      <w:start w:val="13"/>
    </w:lvl>
  </w:abstractNum>
  <w:abstractNum w:abstractNumId="90">
    <w:nsid w:val="4BD8591A"/>
    <w:multiLevelType w:val="hybridMultilevel"/>
    <w:lvl w:ilvl="0">
      <w:lvlJc w:val="left"/>
      <w:lvlText w:val="%1."/>
      <w:numFmt w:val="decimal"/>
      <w:start w:val="1"/>
    </w:lvl>
    <w:lvl w:ilvl="1">
      <w:lvlJc w:val="left"/>
      <w:lvlText w:val="(%2)"/>
      <w:numFmt w:val="lowerLetter"/>
      <w:start w:val="1"/>
    </w:lvl>
  </w:abstractNum>
  <w:abstractNum w:abstractNumId="91">
    <w:nsid w:val="78DF6A55"/>
    <w:multiLevelType w:val="hybridMultilevel"/>
    <w:lvl w:ilvl="0">
      <w:lvlJc w:val="left"/>
      <w:lvlText w:val="(%1)"/>
      <w:numFmt w:val="lowerRoman"/>
      <w:start w:val="3"/>
    </w:lvl>
  </w:abstractNum>
  <w:abstractNum w:abstractNumId="92">
    <w:nsid w:val="39B7AAA2"/>
    <w:multiLevelType w:val="hybridMultilevel"/>
    <w:lvl w:ilvl="0">
      <w:lvlJc w:val="left"/>
      <w:lvlText w:val="(%1)"/>
      <w:numFmt w:val="lowerLetter"/>
      <w:start w:val="2"/>
    </w:lvl>
    <w:lvl w:ilvl="1">
      <w:lvlJc w:val="left"/>
      <w:lvlText w:val="(%2)"/>
      <w:numFmt w:val="lowerRoman"/>
      <w:start w:val="1"/>
    </w:lvl>
  </w:abstractNum>
  <w:abstractNum w:abstractNumId="93">
    <w:nsid w:val="2B0D8DBE"/>
    <w:multiLevelType w:val="hybridMultilevel"/>
    <w:lvl w:ilvl="0">
      <w:lvlJc w:val="left"/>
      <w:lvlText w:val="%1."/>
      <w:numFmt w:val="decimal"/>
      <w:start w:val="2"/>
    </w:lvl>
  </w:abstractNum>
  <w:abstractNum w:abstractNumId="94">
    <w:nsid w:val="6C80EC70"/>
    <w:multiLevelType w:val="hybridMultilevel"/>
    <w:lvl w:ilvl="0">
      <w:lvlJc w:val="left"/>
      <w:lvlText w:val="%1."/>
      <w:numFmt w:val="decimal"/>
      <w:start w:val="3"/>
    </w:lvl>
    <w:lvl w:ilvl="1">
      <w:lvlJc w:val="left"/>
      <w:lvlText w:val="(%2)"/>
      <w:numFmt w:val="lowerLetter"/>
      <w:start w:val="1"/>
    </w:lvl>
  </w:abstractNum>
  <w:abstractNum w:abstractNumId="95">
    <w:nsid w:val="379E21B5"/>
    <w:multiLevelType w:val="hybridMultilevel"/>
    <w:lvl w:ilvl="0">
      <w:lvlJc w:val="left"/>
      <w:lvlText w:val="(%1)"/>
      <w:numFmt w:val="lowerLetter"/>
      <w:start w:val="3"/>
    </w:lvl>
    <w:lvl w:ilvl="1">
      <w:lvlJc w:val="left"/>
      <w:lvlText w:val="(%2)"/>
      <w:numFmt w:val="lowerRoman"/>
      <w:start w:val="1"/>
    </w:lvl>
  </w:abstractNum>
  <w:abstractNum w:abstractNumId="96">
    <w:nsid w:val="69E3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97">
    <w:nsid w:val="2C27173B"/>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98">
    <w:nsid w:val="4C9B090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99">
    <w:nsid w:val="6AA7B75C"/>
    <w:multiLevelType w:val="hybridMultilevel"/>
    <w:lvl w:ilvl="0">
      <w:lvlJc w:val="left"/>
      <w:lvlText w:val="%1."/>
      <w:numFmt w:val="decimal"/>
      <w:start w:val="5"/>
    </w:lvl>
    <w:lvl w:ilvl="1">
      <w:lvlJc w:val="left"/>
      <w:lvlText w:val="(%2)"/>
      <w:numFmt w:val="lowerLetter"/>
      <w:start w:val="1"/>
    </w:lvl>
  </w:abstractNum>
  <w:abstractNum w:abstractNumId="100">
    <w:nsid w:val="1DF029D3"/>
    <w:multiLevelType w:val="hybridMultilevel"/>
    <w:lvl w:ilvl="0">
      <w:lvlJc w:val="left"/>
      <w:lvlText w:val="(%1)"/>
      <w:numFmt w:val="lowerRoman"/>
      <w:start w:val="1"/>
    </w:lvl>
  </w:abstractNum>
  <w:abstractNum w:abstractNumId="101">
    <w:nsid w:val="5675FF36"/>
    <w:multiLevelType w:val="hybridMultilevel"/>
    <w:lvl w:ilvl="0">
      <w:lvlJc w:val="left"/>
      <w:lvlText w:val="(%1)"/>
      <w:numFmt w:val="lowerLetter"/>
      <w:start w:val="5"/>
    </w:lvl>
    <w:lvl w:ilvl="1">
      <w:lvlJc w:val="left"/>
      <w:lvlText w:val="(%2)"/>
      <w:numFmt w:val="lowerRoman"/>
      <w:start w:val="1"/>
    </w:lvl>
  </w:abstractNum>
  <w:abstractNum w:abstractNumId="102">
    <w:nsid w:val="3DD150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03">
    <w:nsid w:val="3DB012B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4">
    <w:nsid w:val="2708C9AF"/>
    <w:multiLevelType w:val="hybridMultilevel"/>
    <w:lvl w:ilvl="0">
      <w:lvlJc w:val="left"/>
      <w:lvlText w:val="(%1)"/>
      <w:numFmt w:val="lowerLetter"/>
      <w:start w:val="2"/>
    </w:lvl>
  </w:abstractNum>
  <w:abstractNum w:abstractNumId="105">
    <w:nsid w:val="5B25ACE2"/>
    <w:multiLevelType w:val="hybridMultilevel"/>
    <w:lvl w:ilvl="0">
      <w:lvlJc w:val="left"/>
      <w:lvlText w:val="(%1)"/>
      <w:numFmt w:val="lowerLetter"/>
      <w:start w:val="6"/>
    </w:lvl>
  </w:abstractNum>
  <w:abstractNum w:abstractNumId="106">
    <w:nsid w:val="175DFCF0"/>
    <w:multiLevelType w:val="hybridMultilevel"/>
    <w:lvl w:ilvl="0">
      <w:lvlJc w:val="left"/>
      <w:lvlText w:val="%1."/>
      <w:numFmt w:val="decimal"/>
      <w:start w:val="1"/>
    </w:lvl>
    <w:lvl w:ilvl="1">
      <w:lvlJc w:val="left"/>
      <w:lvlText w:val="%2)"/>
      <w:numFmt w:val="lowerLetter"/>
      <w:start w:val="1"/>
    </w:lvl>
  </w:abstractNum>
  <w:abstractNum w:abstractNumId="107">
    <w:nsid w:val="4F97E3E4"/>
    <w:multiLevelType w:val="hybridMultilevel"/>
    <w:lvl w:ilvl="0">
      <w:lvlJc w:val="left"/>
      <w:lvlText w:val="%1."/>
      <w:numFmt w:val="decimal"/>
      <w:start w:val="2"/>
    </w:lvl>
    <w:lvl w:ilvl="1">
      <w:lvlJc w:val="left"/>
      <w:lvlText w:val="%2)"/>
      <w:numFmt w:val="lowerLetter"/>
      <w:start w:val="1"/>
    </w:lvl>
  </w:abstractNum>
  <w:abstractNum w:abstractNumId="108">
    <w:nsid w:val="53B0A9E"/>
    <w:multiLevelType w:val="hybridMultilevel"/>
    <w:lvl w:ilvl="0">
      <w:lvlJc w:val="left"/>
      <w:lvlText w:val="%1."/>
      <w:numFmt w:val="upperLetter"/>
      <w:start w:val="9"/>
    </w:lvl>
  </w:abstractNum>
  <w:abstractNum w:abstractNumId="109">
    <w:nsid w:val="34FD6B4F"/>
    <w:multiLevelType w:val="hybridMultilevel"/>
    <w:lvl w:ilvl="0">
      <w:lvlJc w:val="left"/>
      <w:lvlText w:val="%1."/>
      <w:numFmt w:val="upperLetter"/>
      <w:start w:val="35"/>
    </w:lvl>
  </w:abstractNum>
  <w:abstractNum w:abstractNumId="110">
    <w:nsid w:val="5915FF32"/>
    <w:multiLevelType w:val="hybridMultilevel"/>
    <w:lvl w:ilvl="0">
      <w:lvlJc w:val="left"/>
      <w:lvlText w:val="%1."/>
      <w:numFmt w:val="upperLetter"/>
      <w:start w:val="61"/>
    </w:lvl>
  </w:abstractNum>
  <w:abstractNum w:abstractNumId="111">
    <w:nsid w:val="56438D15"/>
    <w:multiLevelType w:val="hybridMultilevel"/>
    <w:lvl w:ilvl="0">
      <w:lvlJc w:val="left"/>
      <w:lvlText w:val="%1."/>
      <w:numFmt w:val="upperLetter"/>
      <w:start w:val="22"/>
    </w:lvl>
  </w:abstractNum>
  <w:abstractNum w:abstractNumId="112">
    <w:nsid w:val="519E3149"/>
    <w:multiLevelType w:val="hybridMultilevel"/>
    <w:lvl w:ilvl="0">
      <w:lvlJc w:val="left"/>
      <w:lvlText w:val="%1."/>
      <w:numFmt w:val="upperLetter"/>
      <w:start w:val="24"/>
    </w:lvl>
  </w:abstractNum>
  <w:abstractNum w:abstractNumId="113">
    <w:nsid w:val="2C6E4AFD"/>
    <w:multiLevelType w:val="hybridMultilevel"/>
    <w:lvl w:ilvl="0">
      <w:lvlJc w:val="left"/>
      <w:lvlText w:val="▪"/>
      <w:numFmt w:val="bullet"/>
      <w:start w:val="1"/>
    </w:lvl>
  </w:abstractNum>
  <w:abstractNum w:abstractNumId="114">
    <w:nsid w:val="17A1B582"/>
    <w:multiLevelType w:val="hybridMultilevel"/>
    <w:lvl w:ilvl="0">
      <w:lvlJc w:val="left"/>
      <w:lvlText w:val="▪"/>
      <w:numFmt w:val="bullet"/>
      <w:start w:val="1"/>
    </w:lvl>
  </w:abstractNum>
  <w:abstractNum w:abstractNumId="115">
    <w:nsid w:val="4DF72E4E"/>
    <w:multiLevelType w:val="hybridMultilevel"/>
    <w:lvl w:ilvl="0">
      <w:lvlJc w:val="left"/>
      <w:lvlText w:val="•"/>
      <w:numFmt w:val="bullet"/>
      <w:start w:val="1"/>
    </w:lvl>
  </w:abstractNum>
  <w:abstractNum w:abstractNumId="116">
    <w:nsid w:val="5046B5A9"/>
    <w:multiLevelType w:val="hybridMultilevel"/>
    <w:lvl w:ilvl="0">
      <w:lvlJc w:val="left"/>
      <w:lvlText w:val="•"/>
      <w:numFmt w:val="bullet"/>
      <w:start w:val="1"/>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
      <w:numFmt w:val="bullet"/>
      <w:start w:val="1"/>
    </w:lvl>
  </w:abstractNum>
  <w:abstractNum w:abstractNumId="119">
    <w:nsid w:val="5EC6AFD4"/>
    <w:multiLevelType w:val="hybridMultilevel"/>
    <w:lvl w:ilvl="0">
      <w:lvlJc w:val="left"/>
      <w:lvlText w:val="1"/>
      <w:numFmt w:val="bullet"/>
      <w:start w:val="1"/>
    </w:lvl>
  </w:abstractNum>
  <w:abstractNum w:abstractNumId="120">
    <w:nsid w:val="19E21BB2"/>
    <w:multiLevelType w:val="hybridMultilevel"/>
    <w:lvl w:ilvl="0">
      <w:lvlJc w:val="left"/>
      <w:lvlText w:val="%1."/>
      <w:numFmt w:val="decimal"/>
      <w:start w:val="1"/>
    </w:lvl>
  </w:abstractNum>
  <w:abstractNum w:abstractNumId="121">
    <w:nsid w:val="75E0858A"/>
    <w:multiLevelType w:val="hybridMultilevel"/>
    <w:lvl w:ilvl="0">
      <w:lvlJc w:val="left"/>
      <w:lvlText w:val="%1."/>
      <w:numFmt w:val="decimal"/>
      <w:start w:val="1"/>
    </w:lvl>
    <w:lvl w:ilvl="1">
      <w:lvlJc w:val="left"/>
      <w:lvlText w:val="%2)"/>
      <w:numFmt w:val="lowerLetter"/>
      <w:start w:val="1"/>
    </w:lvl>
  </w:abstractNum>
  <w:abstractNum w:abstractNumId="122">
    <w:nsid w:val="57A61A29"/>
    <w:multiLevelType w:val="hybridMultilevel"/>
    <w:lvl w:ilvl="0">
      <w:lvlJc w:val="left"/>
      <w:lvlText w:val="%1."/>
      <w:numFmt w:val="decimal"/>
      <w:start w:val="1"/>
    </w:lvl>
    <w:lvl w:ilvl="1">
      <w:lvlJc w:val="left"/>
      <w:lvlText w:val="%2)"/>
      <w:numFmt w:val="lowerLetter"/>
      <w:start w:val="1"/>
    </w:lvl>
  </w:abstractNum>
  <w:abstractNum w:abstractNumId="123">
    <w:nsid w:val="5399C654"/>
    <w:multiLevelType w:val="hybridMultilevel"/>
    <w:lvl w:ilvl="0">
      <w:lvlJc w:val="left"/>
      <w:lvlText w:val="(%1)"/>
      <w:numFmt w:val="decimal"/>
      <w:start w:val="1"/>
    </w:lvl>
  </w:abstractNum>
  <w:abstractNum w:abstractNumId="124">
    <w:nsid w:val="20EE1348"/>
    <w:multiLevelType w:val="hybridMultilevel"/>
    <w:lvl w:ilvl="0">
      <w:lvlJc w:val="left"/>
      <w:lvlText w:val="(%1)"/>
      <w:numFmt w:val="decimal"/>
      <w:start w:val="1"/>
    </w:lvl>
  </w:abstractNum>
  <w:abstractNum w:abstractNumId="125">
    <w:nsid w:val="4427069A"/>
    <w:multiLevelType w:val="hybridMultilevel"/>
    <w:lvl w:ilvl="0">
      <w:lvlJc w:val="left"/>
      <w:lvlText w:val="%1."/>
      <w:numFmt w:val="decimal"/>
      <w:start w:val="1"/>
    </w:lvl>
  </w:abstractNum>
  <w:abstractNum w:abstractNumId="126">
    <w:nsid w:val="B37E80A"/>
    <w:multiLevelType w:val="hybridMultilevel"/>
    <w:lvl w:ilvl="0">
      <w:lvlJc w:val="left"/>
      <w:lvlText w:val="%1."/>
      <w:numFmt w:val="decimal"/>
      <w:start w:val="2"/>
    </w:lvl>
  </w:abstractNum>
  <w:abstractNum w:abstractNumId="127">
    <w:nsid w:val="2157F6BC"/>
    <w:multiLevelType w:val="hybridMultilevel"/>
    <w:lvl w:ilvl="0">
      <w:lvlJc w:val="left"/>
      <w:lvlText w:val="%1."/>
      <w:numFmt w:val="decimal"/>
      <w:start w:val="3"/>
    </w:lvl>
  </w:abstractNum>
  <w:abstractNum w:abstractNumId="128">
    <w:nsid w:val="704E1DD5"/>
    <w:multiLevelType w:val="hybridMultilevel"/>
    <w:lvl w:ilvl="0">
      <w:lvlJc w:val="left"/>
      <w:lvlText w:val="%1."/>
      <w:numFmt w:val="decimal"/>
      <w:start w:val="4"/>
    </w:lvl>
  </w:abstractNum>
  <w:abstractNum w:abstractNumId="129">
    <w:nsid w:val="57D2F10E"/>
    <w:multiLevelType w:val="hybridMultilevel"/>
    <w:lvl w:ilvl="0">
      <w:lvlJc w:val="left"/>
      <w:lvlText w:val="%1."/>
      <w:numFmt w:val="decimal"/>
      <w:start w:val="5"/>
    </w:lvl>
  </w:abstractNum>
  <w:abstractNum w:abstractNumId="130">
    <w:nsid w:val="BFFAE18"/>
    <w:multiLevelType w:val="hybridMultilevel"/>
    <w:lvl w:ilvl="0">
      <w:lvlJc w:val="left"/>
      <w:lvlText w:val="%1."/>
      <w:numFmt w:val="decimal"/>
      <w:start w:val="6"/>
    </w:lvl>
  </w:abstractNum>
  <w:abstractNum w:abstractNumId="131">
    <w:nsid w:val="E3E47A8"/>
    <w:multiLevelType w:val="hybridMultilevel"/>
    <w:lvl w:ilvl="0">
      <w:lvlJc w:val="left"/>
      <w:lvlText w:val="%1."/>
      <w:numFmt w:val="lowerLetter"/>
      <w:start w:val="1"/>
    </w:lvl>
  </w:abstractNum>
  <w:abstractNum w:abstractNumId="132">
    <w:nsid w:val="2E48F044"/>
    <w:multiLevelType w:val="hybridMultilevel"/>
    <w:lvl w:ilvl="0">
      <w:lvlJc w:val="left"/>
      <w:lvlText w:val="%1."/>
      <w:numFmt w:val="lowerLetter"/>
      <w:start w:val="1"/>
    </w:lvl>
  </w:abstractNum>
  <w:abstractNum w:abstractNumId="133">
    <w:nsid w:val="49D0FEAC"/>
    <w:multiLevelType w:val="hybridMultilevel"/>
    <w:lvl w:ilvl="0">
      <w:lvlJc w:val="left"/>
      <w:lvlText w:val="%1."/>
      <w:numFmt w:val="decimal"/>
      <w:start w:val="7"/>
    </w:lvl>
  </w:abstractNum>
  <w:abstractNum w:abstractNumId="134">
    <w:nsid w:val="4BEE5A5B"/>
    <w:multiLevelType w:val="hybridMultilevel"/>
    <w:lvl w:ilvl="0">
      <w:lvlJc w:val="left"/>
      <w:lvlText w:val="%1."/>
      <w:numFmt w:val="lowerLetter"/>
      <w:start w:val="1"/>
    </w:lvl>
  </w:abstractNum>
  <w:abstractNum w:abstractNumId="135">
    <w:nsid w:val="5551B9F3"/>
    <w:multiLevelType w:val="hybridMultilevel"/>
    <w:lvl w:ilvl="0">
      <w:lvlJc w:val="left"/>
      <w:lvlText w:val="%1."/>
      <w:numFmt w:val="lowerLetter"/>
      <w:start w:val="2"/>
    </w:lvl>
  </w:abstractNum>
  <w:abstractNum w:abstractNumId="136">
    <w:nsid w:val="24F6AB8E"/>
    <w:multiLevelType w:val="hybridMultilevel"/>
    <w:lvl w:ilvl="0">
      <w:lvlJc w:val="left"/>
      <w:lvlText w:val="%1."/>
      <w:numFmt w:val="decimal"/>
      <w:start w:val="8"/>
    </w:lvl>
  </w:abstractNum>
  <w:abstractNum w:abstractNumId="137">
    <w:nsid w:val="634C574C"/>
    <w:multiLevelType w:val="hybridMultilevel"/>
    <w:lvl w:ilvl="0">
      <w:lvlJc w:val="left"/>
      <w:lvlText w:val="%1."/>
      <w:numFmt w:val="lowerLetter"/>
      <w:start w:val="1"/>
    </w:lvl>
  </w:abstractNum>
  <w:abstractNum w:abstractNumId="138">
    <w:nsid w:val="24E99DD7"/>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188"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png"/><Relationship Id="rId246" Type="http://schemas.openxmlformats.org/officeDocument/2006/relationships/image" Target="media/image195.png"/><Relationship Id="rId247" Type="http://schemas.openxmlformats.org/officeDocument/2006/relationships/image" Target="media/image196.png"/><Relationship Id="rId248" Type="http://schemas.openxmlformats.org/officeDocument/2006/relationships/image" Target="media/image197.png"/><Relationship Id="rId249" Type="http://schemas.openxmlformats.org/officeDocument/2006/relationships/image" Target="media/image198.png"/><Relationship Id="rId250" Type="http://schemas.openxmlformats.org/officeDocument/2006/relationships/image" Target="media/image199.png"/><Relationship Id="rId251" Type="http://schemas.openxmlformats.org/officeDocument/2006/relationships/image" Target="media/image200.png"/><Relationship Id="rId252" Type="http://schemas.openxmlformats.org/officeDocument/2006/relationships/image" Target="media/image201.png"/><Relationship Id="rId253" Type="http://schemas.openxmlformats.org/officeDocument/2006/relationships/image" Target="media/image202.png"/><Relationship Id="rId254" Type="http://schemas.openxmlformats.org/officeDocument/2006/relationships/image" Target="media/image203.png"/><Relationship Id="rId255" Type="http://schemas.openxmlformats.org/officeDocument/2006/relationships/image" Target="media/image204.png"/><Relationship Id="rId256" Type="http://schemas.openxmlformats.org/officeDocument/2006/relationships/image" Target="media/image205.png"/><Relationship Id="rId257" Type="http://schemas.openxmlformats.org/officeDocument/2006/relationships/image" Target="media/image206.png"/><Relationship Id="rId258" Type="http://schemas.openxmlformats.org/officeDocument/2006/relationships/image" Target="media/image207.png"/><Relationship Id="rId259" Type="http://schemas.openxmlformats.org/officeDocument/2006/relationships/image" Target="media/image208.png"/><Relationship Id="rId260" Type="http://schemas.openxmlformats.org/officeDocument/2006/relationships/image" Target="media/image209.png"/><Relationship Id="rId261" Type="http://schemas.openxmlformats.org/officeDocument/2006/relationships/image" Target="media/image210.png"/><Relationship Id="rId262" Type="http://schemas.openxmlformats.org/officeDocument/2006/relationships/image" Target="media/image211.png"/><Relationship Id="rId263" Type="http://schemas.openxmlformats.org/officeDocument/2006/relationships/image" Target="media/image212.png"/><Relationship Id="rId264" Type="http://schemas.openxmlformats.org/officeDocument/2006/relationships/image" Target="media/image213.png"/><Relationship Id="rId265" Type="http://schemas.openxmlformats.org/officeDocument/2006/relationships/image" Target="media/image214.png"/><Relationship Id="rId266" Type="http://schemas.openxmlformats.org/officeDocument/2006/relationships/image" Target="media/image215.png"/><Relationship Id="rId267" Type="http://schemas.openxmlformats.org/officeDocument/2006/relationships/image" Target="media/image216.png"/><Relationship Id="rId268" Type="http://schemas.openxmlformats.org/officeDocument/2006/relationships/image" Target="media/image217.png"/><Relationship Id="rId269" Type="http://schemas.openxmlformats.org/officeDocument/2006/relationships/image" Target="media/image218.png"/><Relationship Id="rId270" Type="http://schemas.openxmlformats.org/officeDocument/2006/relationships/image" Target="media/image219.png"/><Relationship Id="rId271" Type="http://schemas.openxmlformats.org/officeDocument/2006/relationships/image" Target="media/image220.png"/><Relationship Id="rId272" Type="http://schemas.openxmlformats.org/officeDocument/2006/relationships/image" Target="media/image221.png"/><Relationship Id="rId273" Type="http://schemas.openxmlformats.org/officeDocument/2006/relationships/image" Target="media/image222.png"/><Relationship Id="rId274" Type="http://schemas.openxmlformats.org/officeDocument/2006/relationships/image" Target="media/image223.png"/><Relationship Id="rId275" Type="http://schemas.openxmlformats.org/officeDocument/2006/relationships/image" Target="media/image224.png"/><Relationship Id="rId276" Type="http://schemas.openxmlformats.org/officeDocument/2006/relationships/image" Target="media/image225.png"/><Relationship Id="rId277" Type="http://schemas.openxmlformats.org/officeDocument/2006/relationships/image" Target="media/image226.png"/><Relationship Id="rId278" Type="http://schemas.openxmlformats.org/officeDocument/2006/relationships/image" Target="media/image227.png"/><Relationship Id="rId279" Type="http://schemas.openxmlformats.org/officeDocument/2006/relationships/image" Target="media/image228.png"/><Relationship Id="rId280" Type="http://schemas.openxmlformats.org/officeDocument/2006/relationships/image" Target="media/image229.png"/><Relationship Id="rId281" Type="http://schemas.openxmlformats.org/officeDocument/2006/relationships/image" Target="media/image230.png"/><Relationship Id="rId282" Type="http://schemas.openxmlformats.org/officeDocument/2006/relationships/image" Target="media/image231.png"/><Relationship Id="rId283" Type="http://schemas.openxmlformats.org/officeDocument/2006/relationships/image" Target="media/image232.png"/><Relationship Id="rId284" Type="http://schemas.openxmlformats.org/officeDocument/2006/relationships/image" Target="media/image233.png"/><Relationship Id="rId285" Type="http://schemas.openxmlformats.org/officeDocument/2006/relationships/image" Target="media/image234.png"/><Relationship Id="rId286" Type="http://schemas.openxmlformats.org/officeDocument/2006/relationships/image" Target="media/image235.png"/><Relationship Id="rId287" Type="http://schemas.openxmlformats.org/officeDocument/2006/relationships/image" Target="media/image236.png"/><Relationship Id="rId288" Type="http://schemas.openxmlformats.org/officeDocument/2006/relationships/image" Target="media/image237.png"/><Relationship Id="rId289" Type="http://schemas.openxmlformats.org/officeDocument/2006/relationships/image" Target="media/image238.png"/><Relationship Id="rId290" Type="http://schemas.openxmlformats.org/officeDocument/2006/relationships/image" Target="media/image239.png"/><Relationship Id="rId291" Type="http://schemas.openxmlformats.org/officeDocument/2006/relationships/image" Target="media/image240.png"/><Relationship Id="rId292" Type="http://schemas.openxmlformats.org/officeDocument/2006/relationships/image" Target="media/image241.png"/><Relationship Id="rId293" Type="http://schemas.openxmlformats.org/officeDocument/2006/relationships/image" Target="media/image242.png"/><Relationship Id="rId294" Type="http://schemas.openxmlformats.org/officeDocument/2006/relationships/image" Target="media/image243.png"/><Relationship Id="rId295" Type="http://schemas.openxmlformats.org/officeDocument/2006/relationships/image" Target="media/image244.png"/><Relationship Id="rId296" Type="http://schemas.openxmlformats.org/officeDocument/2006/relationships/image" Target="media/image245.png"/><Relationship Id="rId297" Type="http://schemas.openxmlformats.org/officeDocument/2006/relationships/image" Target="media/image246.png"/><Relationship Id="rId298" Type="http://schemas.openxmlformats.org/officeDocument/2006/relationships/image" Target="media/image247.png"/><Relationship Id="rId299" Type="http://schemas.openxmlformats.org/officeDocument/2006/relationships/image" Target="media/image248.png"/><Relationship Id="rId300" Type="http://schemas.openxmlformats.org/officeDocument/2006/relationships/image" Target="media/image249.png"/><Relationship Id="rId301" Type="http://schemas.openxmlformats.org/officeDocument/2006/relationships/image" Target="media/image250.png"/><Relationship Id="rId302" Type="http://schemas.openxmlformats.org/officeDocument/2006/relationships/image" Target="media/image251.png"/><Relationship Id="rId303" Type="http://schemas.openxmlformats.org/officeDocument/2006/relationships/image" Target="media/image252.png"/><Relationship Id="rId304" Type="http://schemas.openxmlformats.org/officeDocument/2006/relationships/image" Target="media/image253.png"/><Relationship Id="rId305" Type="http://schemas.openxmlformats.org/officeDocument/2006/relationships/image" Target="media/image254.png"/><Relationship Id="rId306" Type="http://schemas.openxmlformats.org/officeDocument/2006/relationships/image" Target="media/image255.png"/><Relationship Id="rId307" Type="http://schemas.openxmlformats.org/officeDocument/2006/relationships/image" Target="media/image256.png"/><Relationship Id="rId308" Type="http://schemas.openxmlformats.org/officeDocument/2006/relationships/image" Target="media/image257.png"/><Relationship Id="rId309" Type="http://schemas.openxmlformats.org/officeDocument/2006/relationships/image" Target="media/image258.png"/><Relationship Id="rId310" Type="http://schemas.openxmlformats.org/officeDocument/2006/relationships/image" Target="media/image259.png"/><Relationship Id="rId311" Type="http://schemas.openxmlformats.org/officeDocument/2006/relationships/image" Target="media/image260.png"/><Relationship Id="rId312" Type="http://schemas.openxmlformats.org/officeDocument/2006/relationships/image" Target="media/image261.png"/><Relationship Id="rId313" Type="http://schemas.openxmlformats.org/officeDocument/2006/relationships/image" Target="media/image262.png"/><Relationship Id="rId314" Type="http://schemas.openxmlformats.org/officeDocument/2006/relationships/image" Target="media/image263.png"/><Relationship Id="rId315" Type="http://schemas.openxmlformats.org/officeDocument/2006/relationships/image" Target="media/image264.png"/><Relationship Id="rId316" Type="http://schemas.openxmlformats.org/officeDocument/2006/relationships/image" Target="media/image265.png"/><Relationship Id="rId317" Type="http://schemas.openxmlformats.org/officeDocument/2006/relationships/image" Target="media/image266.png"/><Relationship Id="rId318" Type="http://schemas.openxmlformats.org/officeDocument/2006/relationships/image" Target="media/image267.png"/><Relationship Id="rId319" Type="http://schemas.openxmlformats.org/officeDocument/2006/relationships/image" Target="media/image268.png"/><Relationship Id="rId320" Type="http://schemas.openxmlformats.org/officeDocument/2006/relationships/image" Target="media/image269.png"/><Relationship Id="rId321" Type="http://schemas.openxmlformats.org/officeDocument/2006/relationships/image" Target="media/image270.png"/><Relationship Id="rId322" Type="http://schemas.openxmlformats.org/officeDocument/2006/relationships/image" Target="media/image271.png"/><Relationship Id="rId323" Type="http://schemas.openxmlformats.org/officeDocument/2006/relationships/image" Target="media/image272.png"/><Relationship Id="rId324" Type="http://schemas.openxmlformats.org/officeDocument/2006/relationships/image" Target="media/image273.png"/><Relationship Id="rId325" Type="http://schemas.openxmlformats.org/officeDocument/2006/relationships/image" Target="media/image274.png"/><Relationship Id="rId326" Type="http://schemas.openxmlformats.org/officeDocument/2006/relationships/image" Target="media/image275.png"/><Relationship Id="rId327" Type="http://schemas.openxmlformats.org/officeDocument/2006/relationships/image" Target="media/image276.png"/><Relationship Id="rId328" Type="http://schemas.openxmlformats.org/officeDocument/2006/relationships/image" Target="media/image277.png"/><Relationship Id="rId329" Type="http://schemas.openxmlformats.org/officeDocument/2006/relationships/image" Target="media/image278.png"/><Relationship Id="rId330" Type="http://schemas.openxmlformats.org/officeDocument/2006/relationships/image" Target="media/image279.png"/><Relationship Id="rId331" Type="http://schemas.openxmlformats.org/officeDocument/2006/relationships/image" Target="media/image280.png"/><Relationship Id="rId332" Type="http://schemas.openxmlformats.org/officeDocument/2006/relationships/image" Target="media/image281.png"/><Relationship Id="rId333" Type="http://schemas.openxmlformats.org/officeDocument/2006/relationships/image" Target="media/image282.png"/><Relationship Id="rId334" Type="http://schemas.openxmlformats.org/officeDocument/2006/relationships/image" Target="media/image283.png"/><Relationship Id="rId335" Type="http://schemas.openxmlformats.org/officeDocument/2006/relationships/image" Target="media/image284.png"/><Relationship Id="rId336" Type="http://schemas.openxmlformats.org/officeDocument/2006/relationships/image" Target="media/image285.png"/><Relationship Id="rId337" Type="http://schemas.openxmlformats.org/officeDocument/2006/relationships/image" Target="media/image286.png"/><Relationship Id="rId338" Type="http://schemas.openxmlformats.org/officeDocument/2006/relationships/image" Target="media/image287.png"/><Relationship Id="rId339" Type="http://schemas.openxmlformats.org/officeDocument/2006/relationships/image" Target="media/image288.png"/><Relationship Id="rId340" Type="http://schemas.openxmlformats.org/officeDocument/2006/relationships/image" Target="media/image289.png"/><Relationship Id="rId341" Type="http://schemas.openxmlformats.org/officeDocument/2006/relationships/image" Target="media/image290.png"/><Relationship Id="rId342" Type="http://schemas.openxmlformats.org/officeDocument/2006/relationships/image" Target="media/image291.png"/><Relationship Id="rId343" Type="http://schemas.openxmlformats.org/officeDocument/2006/relationships/image" Target="media/image292.png"/><Relationship Id="rId344" Type="http://schemas.openxmlformats.org/officeDocument/2006/relationships/image" Target="media/image293.png"/><Relationship Id="rId345" Type="http://schemas.openxmlformats.org/officeDocument/2006/relationships/image" Target="media/image294.png"/><Relationship Id="rId346" Type="http://schemas.openxmlformats.org/officeDocument/2006/relationships/image" Target="media/image295.png"/><Relationship Id="rId347" Type="http://schemas.openxmlformats.org/officeDocument/2006/relationships/image" Target="media/image296.png"/><Relationship Id="rId348" Type="http://schemas.openxmlformats.org/officeDocument/2006/relationships/image" Target="media/image297.png"/><Relationship Id="rId349" Type="http://schemas.openxmlformats.org/officeDocument/2006/relationships/image" Target="media/image298.png"/><Relationship Id="rId350" Type="http://schemas.openxmlformats.org/officeDocument/2006/relationships/image" Target="media/image299.png"/><Relationship Id="rId351" Type="http://schemas.openxmlformats.org/officeDocument/2006/relationships/image" Target="media/image300.png"/><Relationship Id="rId352" Type="http://schemas.openxmlformats.org/officeDocument/2006/relationships/image" Target="media/image301.png"/><Relationship Id="rId353" Type="http://schemas.openxmlformats.org/officeDocument/2006/relationships/image" Target="media/image302.png"/><Relationship Id="rId354" Type="http://schemas.openxmlformats.org/officeDocument/2006/relationships/image" Target="media/image303.png"/><Relationship Id="rId355" Type="http://schemas.openxmlformats.org/officeDocument/2006/relationships/image" Target="media/image304.png"/><Relationship Id="rId356" Type="http://schemas.openxmlformats.org/officeDocument/2006/relationships/image" Target="media/image305.png"/><Relationship Id="rId357" Type="http://schemas.openxmlformats.org/officeDocument/2006/relationships/image" Target="media/image306.png"/><Relationship Id="rId358" Type="http://schemas.openxmlformats.org/officeDocument/2006/relationships/image" Target="media/image307.png"/><Relationship Id="rId359" Type="http://schemas.openxmlformats.org/officeDocument/2006/relationships/image" Target="media/image308.png"/><Relationship Id="rId360" Type="http://schemas.openxmlformats.org/officeDocument/2006/relationships/image" Target="media/image309.png"/><Relationship Id="rId361" Type="http://schemas.openxmlformats.org/officeDocument/2006/relationships/image" Target="media/image310.png"/><Relationship Id="rId362" Type="http://schemas.openxmlformats.org/officeDocument/2006/relationships/image" Target="media/image311.png"/><Relationship Id="rId363" Type="http://schemas.openxmlformats.org/officeDocument/2006/relationships/image" Target="media/image312.png"/><Relationship Id="rId364" Type="http://schemas.openxmlformats.org/officeDocument/2006/relationships/image" Target="media/image313.png"/><Relationship Id="rId365" Type="http://schemas.openxmlformats.org/officeDocument/2006/relationships/image" Target="media/image314.png"/><Relationship Id="rId366" Type="http://schemas.openxmlformats.org/officeDocument/2006/relationships/image" Target="media/image315.png"/><Relationship Id="rId367" Type="http://schemas.openxmlformats.org/officeDocument/2006/relationships/image" Target="media/image316.png"/><Relationship Id="rId368" Type="http://schemas.openxmlformats.org/officeDocument/2006/relationships/image" Target="media/image317.png"/><Relationship Id="rId369" Type="http://schemas.openxmlformats.org/officeDocument/2006/relationships/image" Target="media/image318.png"/><Relationship Id="rId370" Type="http://schemas.openxmlformats.org/officeDocument/2006/relationships/image" Target="media/image319.png"/><Relationship Id="rId371" Type="http://schemas.openxmlformats.org/officeDocument/2006/relationships/image" Target="media/image320.png"/><Relationship Id="rId372" Type="http://schemas.openxmlformats.org/officeDocument/2006/relationships/image" Target="media/image321.png"/><Relationship Id="rId373" Type="http://schemas.openxmlformats.org/officeDocument/2006/relationships/image" Target="media/image322.png"/><Relationship Id="rId374" Type="http://schemas.openxmlformats.org/officeDocument/2006/relationships/image" Target="media/image323.png"/><Relationship Id="rId375" Type="http://schemas.openxmlformats.org/officeDocument/2006/relationships/image" Target="media/image324.png"/><Relationship Id="rId376" Type="http://schemas.openxmlformats.org/officeDocument/2006/relationships/image" Target="media/image325.png"/><Relationship Id="rId377" Type="http://schemas.openxmlformats.org/officeDocument/2006/relationships/image" Target="media/image326.png"/><Relationship Id="rId378" Type="http://schemas.openxmlformats.org/officeDocument/2006/relationships/image" Target="media/image327.png"/><Relationship Id="rId379" Type="http://schemas.openxmlformats.org/officeDocument/2006/relationships/image" Target="media/image328.png"/><Relationship Id="rId380" Type="http://schemas.openxmlformats.org/officeDocument/2006/relationships/image" Target="media/image329.png"/><Relationship Id="rId381" Type="http://schemas.openxmlformats.org/officeDocument/2006/relationships/image" Target="media/image330.png"/><Relationship Id="rId382" Type="http://schemas.openxmlformats.org/officeDocument/2006/relationships/image" Target="media/image331.png"/><Relationship Id="rId383" Type="http://schemas.openxmlformats.org/officeDocument/2006/relationships/image" Target="media/image332.png"/><Relationship Id="rId384" Type="http://schemas.openxmlformats.org/officeDocument/2006/relationships/image" Target="media/image333.png"/><Relationship Id="rId385" Type="http://schemas.openxmlformats.org/officeDocument/2006/relationships/image" Target="media/image334.png"/><Relationship Id="rId386" Type="http://schemas.openxmlformats.org/officeDocument/2006/relationships/image" Target="media/image335.png"/><Relationship Id="rId387" Type="http://schemas.openxmlformats.org/officeDocument/2006/relationships/image" Target="media/image336.png"/><Relationship Id="rId388" Type="http://schemas.openxmlformats.org/officeDocument/2006/relationships/image" Target="media/image337.png"/><Relationship Id="rId389" Type="http://schemas.openxmlformats.org/officeDocument/2006/relationships/image" Target="media/image338.png"/><Relationship Id="rId390" Type="http://schemas.openxmlformats.org/officeDocument/2006/relationships/image" Target="media/image339.png"/><Relationship Id="rId391" Type="http://schemas.openxmlformats.org/officeDocument/2006/relationships/image" Target="media/image340.png"/><Relationship Id="rId392" Type="http://schemas.openxmlformats.org/officeDocument/2006/relationships/image" Target="media/image341.png"/><Relationship Id="rId393" Type="http://schemas.openxmlformats.org/officeDocument/2006/relationships/image" Target="media/image342.png"/><Relationship Id="rId394" Type="http://schemas.openxmlformats.org/officeDocument/2006/relationships/image" Target="media/image343.png"/><Relationship Id="rId395" Type="http://schemas.openxmlformats.org/officeDocument/2006/relationships/image" Target="media/image344.png"/><Relationship Id="rId396" Type="http://schemas.openxmlformats.org/officeDocument/2006/relationships/image" Target="media/image345.png"/><Relationship Id="rId397" Type="http://schemas.openxmlformats.org/officeDocument/2006/relationships/image" Target="media/image346.png"/><Relationship Id="rId398" Type="http://schemas.openxmlformats.org/officeDocument/2006/relationships/image" Target="media/image347.png"/><Relationship Id="rId399" Type="http://schemas.openxmlformats.org/officeDocument/2006/relationships/image" Target="media/image348.png"/><Relationship Id="rId400" Type="http://schemas.openxmlformats.org/officeDocument/2006/relationships/image" Target="media/image349.png"/><Relationship Id="rId401" Type="http://schemas.openxmlformats.org/officeDocument/2006/relationships/image" Target="media/image350.png"/><Relationship Id="rId402" Type="http://schemas.openxmlformats.org/officeDocument/2006/relationships/image" Target="media/image351.png"/><Relationship Id="rId403" Type="http://schemas.openxmlformats.org/officeDocument/2006/relationships/image" Target="media/image352.png"/><Relationship Id="rId404" Type="http://schemas.openxmlformats.org/officeDocument/2006/relationships/image" Target="media/image353.png"/><Relationship Id="rId405" Type="http://schemas.openxmlformats.org/officeDocument/2006/relationships/image" Target="media/image354.png"/><Relationship Id="rId406" Type="http://schemas.openxmlformats.org/officeDocument/2006/relationships/image" Target="media/image355.png"/><Relationship Id="rId407" Type="http://schemas.openxmlformats.org/officeDocument/2006/relationships/image" Target="media/image356.png"/><Relationship Id="rId408" Type="http://schemas.openxmlformats.org/officeDocument/2006/relationships/image" Target="media/image357.png"/><Relationship Id="rId409" Type="http://schemas.openxmlformats.org/officeDocument/2006/relationships/image" Target="media/image358.png"/><Relationship Id="rId410" Type="http://schemas.openxmlformats.org/officeDocument/2006/relationships/image" Target="media/image359.png"/><Relationship Id="rId411" Type="http://schemas.openxmlformats.org/officeDocument/2006/relationships/image" Target="media/image360.png"/><Relationship Id="rId412" Type="http://schemas.openxmlformats.org/officeDocument/2006/relationships/image" Target="media/image361.png"/><Relationship Id="rId413" Type="http://schemas.openxmlformats.org/officeDocument/2006/relationships/image" Target="media/image362.png"/><Relationship Id="rId414" Type="http://schemas.openxmlformats.org/officeDocument/2006/relationships/image" Target="media/image363.png"/><Relationship Id="rId415" Type="http://schemas.openxmlformats.org/officeDocument/2006/relationships/image" Target="media/image364.png"/><Relationship Id="rId416" Type="http://schemas.openxmlformats.org/officeDocument/2006/relationships/image" Target="media/image365.png"/><Relationship Id="rId417" Type="http://schemas.openxmlformats.org/officeDocument/2006/relationships/image" Target="media/image366.png"/><Relationship Id="rId418" Type="http://schemas.openxmlformats.org/officeDocument/2006/relationships/image" Target="media/image367.png"/><Relationship Id="rId419" Type="http://schemas.openxmlformats.org/officeDocument/2006/relationships/image" Target="media/image368.png"/><Relationship Id="rId420" Type="http://schemas.openxmlformats.org/officeDocument/2006/relationships/image" Target="media/image369.png"/><Relationship Id="rId421" Type="http://schemas.openxmlformats.org/officeDocument/2006/relationships/image" Target="media/image370.png"/><Relationship Id="rId422" Type="http://schemas.openxmlformats.org/officeDocument/2006/relationships/image" Target="media/image371.png"/><Relationship Id="rId423" Type="http://schemas.openxmlformats.org/officeDocument/2006/relationships/image" Target="media/image372.png"/><Relationship Id="rId424" Type="http://schemas.openxmlformats.org/officeDocument/2006/relationships/image" Target="media/image373.png"/><Relationship Id="rId425" Type="http://schemas.openxmlformats.org/officeDocument/2006/relationships/image" Target="media/image374.png"/><Relationship Id="rId426" Type="http://schemas.openxmlformats.org/officeDocument/2006/relationships/image" Target="media/image375.png"/><Relationship Id="rId427" Type="http://schemas.openxmlformats.org/officeDocument/2006/relationships/image" Target="media/image376.png"/><Relationship Id="rId428" Type="http://schemas.openxmlformats.org/officeDocument/2006/relationships/image" Target="media/image377.png"/><Relationship Id="rId429" Type="http://schemas.openxmlformats.org/officeDocument/2006/relationships/image" Target="media/image378.png"/><Relationship Id="rId430" Type="http://schemas.openxmlformats.org/officeDocument/2006/relationships/image" Target="media/image379.png"/><Relationship Id="rId431" Type="http://schemas.openxmlformats.org/officeDocument/2006/relationships/image" Target="media/image380.png"/><Relationship Id="rId432" Type="http://schemas.openxmlformats.org/officeDocument/2006/relationships/image" Target="media/image381.png"/><Relationship Id="rId433" Type="http://schemas.openxmlformats.org/officeDocument/2006/relationships/image" Target="media/image382.png"/><Relationship Id="rId434" Type="http://schemas.openxmlformats.org/officeDocument/2006/relationships/image" Target="media/image383.png"/><Relationship Id="rId435" Type="http://schemas.openxmlformats.org/officeDocument/2006/relationships/image" Target="media/image384.png"/><Relationship Id="rId436" Type="http://schemas.openxmlformats.org/officeDocument/2006/relationships/image" Target="media/image385.png"/><Relationship Id="rId437" Type="http://schemas.openxmlformats.org/officeDocument/2006/relationships/image" Target="media/image386.png"/><Relationship Id="rId438" Type="http://schemas.openxmlformats.org/officeDocument/2006/relationships/image" Target="media/image387.png"/><Relationship Id="rId439" Type="http://schemas.openxmlformats.org/officeDocument/2006/relationships/image" Target="media/image388.png"/><Relationship Id="rId440" Type="http://schemas.openxmlformats.org/officeDocument/2006/relationships/image" Target="media/image389.png"/><Relationship Id="rId441" Type="http://schemas.openxmlformats.org/officeDocument/2006/relationships/image" Target="media/image390.png"/><Relationship Id="rId442" Type="http://schemas.openxmlformats.org/officeDocument/2006/relationships/image" Target="media/image391.png"/><Relationship Id="rId443" Type="http://schemas.openxmlformats.org/officeDocument/2006/relationships/image" Target="media/image392.png"/><Relationship Id="rId444" Type="http://schemas.openxmlformats.org/officeDocument/2006/relationships/image" Target="media/image393.png"/><Relationship Id="rId445" Type="http://schemas.openxmlformats.org/officeDocument/2006/relationships/image" Target="media/image394.png"/><Relationship Id="rId446" Type="http://schemas.openxmlformats.org/officeDocument/2006/relationships/image" Target="media/image395.png"/><Relationship Id="rId447" Type="http://schemas.openxmlformats.org/officeDocument/2006/relationships/image" Target="media/image396.png"/><Relationship Id="rId448" Type="http://schemas.openxmlformats.org/officeDocument/2006/relationships/image" Target="media/image397.png"/><Relationship Id="rId449" Type="http://schemas.openxmlformats.org/officeDocument/2006/relationships/image" Target="media/image398.png"/><Relationship Id="rId450" Type="http://schemas.openxmlformats.org/officeDocument/2006/relationships/image" Target="media/image399.png"/><Relationship Id="rId451" Type="http://schemas.openxmlformats.org/officeDocument/2006/relationships/image" Target="media/image400.png"/><Relationship Id="rId452" Type="http://schemas.openxmlformats.org/officeDocument/2006/relationships/image" Target="media/image401.png"/><Relationship Id="rId453" Type="http://schemas.openxmlformats.org/officeDocument/2006/relationships/image" Target="media/image402.png"/><Relationship Id="rId454" Type="http://schemas.openxmlformats.org/officeDocument/2006/relationships/image" Target="media/image403.png"/><Relationship Id="rId455" Type="http://schemas.openxmlformats.org/officeDocument/2006/relationships/image" Target="media/image404.png"/><Relationship Id="rId456" Type="http://schemas.openxmlformats.org/officeDocument/2006/relationships/image" Target="media/image405.png"/><Relationship Id="rId457" Type="http://schemas.openxmlformats.org/officeDocument/2006/relationships/image" Target="media/image406.png"/><Relationship Id="rId458" Type="http://schemas.openxmlformats.org/officeDocument/2006/relationships/image" Target="media/image407.png"/><Relationship Id="rId459" Type="http://schemas.openxmlformats.org/officeDocument/2006/relationships/image" Target="media/image408.png"/><Relationship Id="rId460" Type="http://schemas.openxmlformats.org/officeDocument/2006/relationships/image" Target="media/image409.png"/><Relationship Id="rId461" Type="http://schemas.openxmlformats.org/officeDocument/2006/relationships/image" Target="media/image410.png"/><Relationship Id="rId462" Type="http://schemas.openxmlformats.org/officeDocument/2006/relationships/image" Target="media/image411.png"/><Relationship Id="rId463" Type="http://schemas.openxmlformats.org/officeDocument/2006/relationships/image" Target="media/image412.png"/><Relationship Id="rId464" Type="http://schemas.openxmlformats.org/officeDocument/2006/relationships/image" Target="media/image413.png"/><Relationship Id="rId465" Type="http://schemas.openxmlformats.org/officeDocument/2006/relationships/image" Target="media/image414.png"/><Relationship Id="rId466" Type="http://schemas.openxmlformats.org/officeDocument/2006/relationships/image" Target="media/image415.png"/><Relationship Id="rId467" Type="http://schemas.openxmlformats.org/officeDocument/2006/relationships/image" Target="media/image416.png"/><Relationship Id="rId468" Type="http://schemas.openxmlformats.org/officeDocument/2006/relationships/image" Target="media/image417.png"/><Relationship Id="rId469" Type="http://schemas.openxmlformats.org/officeDocument/2006/relationships/image" Target="media/image418.png"/><Relationship Id="rId470" Type="http://schemas.openxmlformats.org/officeDocument/2006/relationships/image" Target="media/image419.png"/><Relationship Id="rId471" Type="http://schemas.openxmlformats.org/officeDocument/2006/relationships/image" Target="media/image420.png"/><Relationship Id="rId472" Type="http://schemas.openxmlformats.org/officeDocument/2006/relationships/image" Target="media/image421.png"/><Relationship Id="rId473" Type="http://schemas.openxmlformats.org/officeDocument/2006/relationships/image" Target="media/image422.png"/><Relationship Id="rId474" Type="http://schemas.openxmlformats.org/officeDocument/2006/relationships/image" Target="media/image423.png"/><Relationship Id="rId475" Type="http://schemas.openxmlformats.org/officeDocument/2006/relationships/image" Target="media/image424.png"/><Relationship Id="rId476" Type="http://schemas.openxmlformats.org/officeDocument/2006/relationships/image" Target="media/image425.png"/><Relationship Id="rId477" Type="http://schemas.openxmlformats.org/officeDocument/2006/relationships/image" Target="media/image426.png"/><Relationship Id="rId478" Type="http://schemas.openxmlformats.org/officeDocument/2006/relationships/image" Target="media/image427.png"/><Relationship Id="rId479" Type="http://schemas.openxmlformats.org/officeDocument/2006/relationships/image" Target="media/image428.png"/><Relationship Id="rId480" Type="http://schemas.openxmlformats.org/officeDocument/2006/relationships/image" Target="media/image429.png"/><Relationship Id="rId481" Type="http://schemas.openxmlformats.org/officeDocument/2006/relationships/image" Target="media/image430.png"/><Relationship Id="rId482" Type="http://schemas.openxmlformats.org/officeDocument/2006/relationships/image" Target="media/image431.png"/><Relationship Id="rId483" Type="http://schemas.openxmlformats.org/officeDocument/2006/relationships/image" Target="media/image432.png"/><Relationship Id="rId484" Type="http://schemas.openxmlformats.org/officeDocument/2006/relationships/image" Target="media/image433.png"/><Relationship Id="rId485" Type="http://schemas.openxmlformats.org/officeDocument/2006/relationships/image" Target="media/image434.png"/><Relationship Id="rId486" Type="http://schemas.openxmlformats.org/officeDocument/2006/relationships/image" Target="media/image435.png"/><Relationship Id="rId487" Type="http://schemas.openxmlformats.org/officeDocument/2006/relationships/image" Target="media/image436.png"/><Relationship Id="rId488" Type="http://schemas.openxmlformats.org/officeDocument/2006/relationships/image" Target="media/image437.png"/><Relationship Id="rId489" Type="http://schemas.openxmlformats.org/officeDocument/2006/relationships/image" Target="media/image438.png"/><Relationship Id="rId490" Type="http://schemas.openxmlformats.org/officeDocument/2006/relationships/image" Target="media/image439.png"/><Relationship Id="rId491" Type="http://schemas.openxmlformats.org/officeDocument/2006/relationships/image" Target="media/image440.png"/><Relationship Id="rId492" Type="http://schemas.openxmlformats.org/officeDocument/2006/relationships/image" Target="media/image441.png"/><Relationship Id="rId493" Type="http://schemas.openxmlformats.org/officeDocument/2006/relationships/image" Target="media/image442.png"/><Relationship Id="rId494" Type="http://schemas.openxmlformats.org/officeDocument/2006/relationships/image" Target="media/image443.png"/><Relationship Id="rId495" Type="http://schemas.openxmlformats.org/officeDocument/2006/relationships/image" Target="media/image444.png"/><Relationship Id="rId496" Type="http://schemas.openxmlformats.org/officeDocument/2006/relationships/image" Target="media/image445.png"/><Relationship Id="rId497" Type="http://schemas.openxmlformats.org/officeDocument/2006/relationships/image" Target="media/image446.png"/><Relationship Id="rId498" Type="http://schemas.openxmlformats.org/officeDocument/2006/relationships/image" Target="media/image447.png"/><Relationship Id="rId499" Type="http://schemas.openxmlformats.org/officeDocument/2006/relationships/image" Target="media/image448.png"/><Relationship Id="rId500" Type="http://schemas.openxmlformats.org/officeDocument/2006/relationships/image" Target="media/image449.png"/><Relationship Id="rId501" Type="http://schemas.openxmlformats.org/officeDocument/2006/relationships/image" Target="media/image450.png"/><Relationship Id="rId502" Type="http://schemas.openxmlformats.org/officeDocument/2006/relationships/image" Target="media/image451.png"/><Relationship Id="rId503" Type="http://schemas.openxmlformats.org/officeDocument/2006/relationships/image" Target="media/image452.png"/><Relationship Id="rId504" Type="http://schemas.openxmlformats.org/officeDocument/2006/relationships/image" Target="media/image453.png"/><Relationship Id="rId505" Type="http://schemas.openxmlformats.org/officeDocument/2006/relationships/image" Target="media/image454.png"/><Relationship Id="rId506" Type="http://schemas.openxmlformats.org/officeDocument/2006/relationships/image" Target="media/image455.png"/><Relationship Id="rId507" Type="http://schemas.openxmlformats.org/officeDocument/2006/relationships/image" Target="media/image456.png"/><Relationship Id="rId508" Type="http://schemas.openxmlformats.org/officeDocument/2006/relationships/image" Target="media/image457.png"/><Relationship Id="rId509" Type="http://schemas.openxmlformats.org/officeDocument/2006/relationships/image" Target="media/image458.png"/><Relationship Id="rId510" Type="http://schemas.openxmlformats.org/officeDocument/2006/relationships/image" Target="media/image459.png"/><Relationship Id="rId511" Type="http://schemas.openxmlformats.org/officeDocument/2006/relationships/image" Target="media/image460.png"/><Relationship Id="rId512" Type="http://schemas.openxmlformats.org/officeDocument/2006/relationships/image" Target="media/image461.png"/><Relationship Id="rId513" Type="http://schemas.openxmlformats.org/officeDocument/2006/relationships/image" Target="media/image462.png"/><Relationship Id="rId514" Type="http://schemas.openxmlformats.org/officeDocument/2006/relationships/image" Target="media/image463.png"/><Relationship Id="rId515" Type="http://schemas.openxmlformats.org/officeDocument/2006/relationships/image" Target="media/image464.png"/><Relationship Id="rId516" Type="http://schemas.openxmlformats.org/officeDocument/2006/relationships/image" Target="media/image465.png"/><Relationship Id="rId517" Type="http://schemas.openxmlformats.org/officeDocument/2006/relationships/image" Target="media/image466.png"/><Relationship Id="rId518" Type="http://schemas.openxmlformats.org/officeDocument/2006/relationships/image" Target="media/image467.png"/><Relationship Id="rId519" Type="http://schemas.openxmlformats.org/officeDocument/2006/relationships/image" Target="media/image468.png"/><Relationship Id="rId520" Type="http://schemas.openxmlformats.org/officeDocument/2006/relationships/image" Target="media/image469.png"/><Relationship Id="rId521" Type="http://schemas.openxmlformats.org/officeDocument/2006/relationships/image" Target="media/image470.png"/><Relationship Id="rId522" Type="http://schemas.openxmlformats.org/officeDocument/2006/relationships/image" Target="media/image471.png"/><Relationship Id="rId523" Type="http://schemas.openxmlformats.org/officeDocument/2006/relationships/image" Target="media/image472.png"/><Relationship Id="rId524" Type="http://schemas.openxmlformats.org/officeDocument/2006/relationships/image" Target="media/image473.png"/><Relationship Id="rId525" Type="http://schemas.openxmlformats.org/officeDocument/2006/relationships/image" Target="media/image474.png"/><Relationship Id="rId526" Type="http://schemas.openxmlformats.org/officeDocument/2006/relationships/image" Target="media/image475.png"/><Relationship Id="rId527" Type="http://schemas.openxmlformats.org/officeDocument/2006/relationships/image" Target="media/image476.png"/><Relationship Id="rId528" Type="http://schemas.openxmlformats.org/officeDocument/2006/relationships/image" Target="media/image477.png"/><Relationship Id="rId529" Type="http://schemas.openxmlformats.org/officeDocument/2006/relationships/image" Target="media/image478.png"/><Relationship Id="rId530" Type="http://schemas.openxmlformats.org/officeDocument/2006/relationships/image" Target="media/image479.png"/><Relationship Id="rId531" Type="http://schemas.openxmlformats.org/officeDocument/2006/relationships/image" Target="media/image480.png"/><Relationship Id="rId532" Type="http://schemas.openxmlformats.org/officeDocument/2006/relationships/image" Target="media/image481.png"/><Relationship Id="rId533" Type="http://schemas.openxmlformats.org/officeDocument/2006/relationships/image" Target="media/image482.png"/><Relationship Id="rId534" Type="http://schemas.openxmlformats.org/officeDocument/2006/relationships/image" Target="media/image483.png"/><Relationship Id="rId535" Type="http://schemas.openxmlformats.org/officeDocument/2006/relationships/image" Target="media/image484.png"/><Relationship Id="rId536" Type="http://schemas.openxmlformats.org/officeDocument/2006/relationships/image" Target="media/image485.png"/><Relationship Id="rId537" Type="http://schemas.openxmlformats.org/officeDocument/2006/relationships/image" Target="media/image486.png"/><Relationship Id="rId538" Type="http://schemas.openxmlformats.org/officeDocument/2006/relationships/image" Target="media/image487.jpeg"/><Relationship Id="rId539" Type="http://schemas.openxmlformats.org/officeDocument/2006/relationships/image" Target="media/image488.png"/><Relationship Id="rId540" Type="http://schemas.openxmlformats.org/officeDocument/2006/relationships/image" Target="media/image489.jpeg"/><Relationship Id="rId541" Type="http://schemas.openxmlformats.org/officeDocument/2006/relationships/image" Target="media/image490.png"/><Relationship Id="rId542" Type="http://schemas.openxmlformats.org/officeDocument/2006/relationships/image" Target="media/image491.jpeg"/><Relationship Id="rId543" Type="http://schemas.openxmlformats.org/officeDocument/2006/relationships/image" Target="media/image492.png"/><Relationship Id="rId544" Type="http://schemas.openxmlformats.org/officeDocument/2006/relationships/image" Target="media/image493.jpeg"/><Relationship Id="rId545" Type="http://schemas.openxmlformats.org/officeDocument/2006/relationships/image" Target="media/image494.png"/><Relationship Id="rId546" Type="http://schemas.openxmlformats.org/officeDocument/2006/relationships/image" Target="media/image495.jpeg"/><Relationship Id="rId547" Type="http://schemas.openxmlformats.org/officeDocument/2006/relationships/image" Target="media/image496.png"/><Relationship Id="rId548" Type="http://schemas.openxmlformats.org/officeDocument/2006/relationships/image" Target="media/image497.jpeg"/><Relationship Id="rId549" Type="http://schemas.openxmlformats.org/officeDocument/2006/relationships/image" Target="media/image498.png"/><Relationship Id="rId134" Type="http://schemas.openxmlformats.org/officeDocument/2006/relationships/hyperlink" Target="https://www.sec.gov/Archives/edgar/data/60714/000119312513084410/d447083dex3i1.htm" TargetMode="External"/><Relationship Id="rId135" Type="http://schemas.openxmlformats.org/officeDocument/2006/relationships/hyperlink" Target="https://www.sec.gov/Archives/edgar/data/0000060714/000119312521331386/d173096dex3i2.htm" TargetMode="External"/><Relationship Id="rId136" Type="http://schemas.openxmlformats.org/officeDocument/2006/relationships/hyperlink" Target="https://www.sec.gov/Archives/edgar/data/60714/000119312512474073/d440760dex43.htm" TargetMode="External"/><Relationship Id="rId137" Type="http://schemas.openxmlformats.org/officeDocument/2006/relationships/hyperlink" Target="https://www.sec.gov/Archives/edgar/data/60714/000095017023044575/lxu-ex4_1.htm" TargetMode="External"/><Relationship Id="rId138" Type="http://schemas.openxmlformats.org/officeDocument/2006/relationships/hyperlink" Target="https://www.sec.gov/Archives/edgar/data/60714/000119312524130861/d808850dex41.htm" TargetMode="External"/><Relationship Id="rId139" Type="http://schemas.openxmlformats.org/officeDocument/2006/relationships/hyperlink" Target="https://www.sec.gov/Archives/edgar/data/60714/000119312521298982/d239869dex41.htm" TargetMode="External"/><Relationship Id="rId140" Type="http://schemas.openxmlformats.org/officeDocument/2006/relationships/hyperlink" Target="https://www.sec.gov/Archives/edgar/data/60714/000156459022006694/lxu-ex417_382.htm" TargetMode="External"/><Relationship Id="rId141" Type="http://schemas.openxmlformats.org/officeDocument/2006/relationships/hyperlink" Target="https://www.sec.gov/Archives/edgar/data/60714/000119312516634750/d218339dex48.htm" TargetMode="External"/><Relationship Id="rId142" Type="http://schemas.openxmlformats.org/officeDocument/2006/relationships/hyperlink" Target="https://www.sec.gov/Archives/edgar/data/60714/000119312516634750/d218339dex49.htm" TargetMode="External"/><Relationship Id="rId143" Type="http://schemas.openxmlformats.org/officeDocument/2006/relationships/hyperlink" Target="https://www.sec.gov/Archives/edgar/data/60714/000119312516634750/d218339dex410.htm" TargetMode="External"/><Relationship Id="rId144" Type="http://schemas.openxmlformats.org/officeDocument/2006/relationships/hyperlink" Target="https://www.sec.gov/Archives/edgar/data/60714/000119312516634750/d218339dex411.htm" TargetMode="External"/><Relationship Id="rId145" Type="http://schemas.openxmlformats.org/officeDocument/2006/relationships/hyperlink" Target="https://www.sec.gov/Archives/edgar/data/60714/000119312519000948/d684802dex104.htm" TargetMode="External"/><Relationship Id="rId146" Type="http://schemas.openxmlformats.org/officeDocument/2006/relationships/hyperlink" Target="https://www.sec.gov/Archives/edgar/data/60714/000119312519000948/d684802dex105.htm" TargetMode="External"/><Relationship Id="rId147" Type="http://schemas.openxmlformats.org/officeDocument/2006/relationships/hyperlink" Target="https://www.sec.gov/Archives/edgar/data/60714/000119312519000948/d684802dex101.htm" TargetMode="External"/><Relationship Id="rId148" Type="http://schemas.openxmlformats.org/officeDocument/2006/relationships/hyperlink" Target="https://www.sec.gov/Archives/edgar/data/60714/000119312519000948/d684802dex103.htm" TargetMode="External"/><Relationship Id="rId149" Type="http://schemas.openxmlformats.org/officeDocument/2006/relationships/hyperlink" Target="https://www.sec.gov/Archives/edgar/data/60714/000119312519000948/d684802dex102.htm" TargetMode="External"/><Relationship Id="rId152" Type="http://schemas.openxmlformats.org/officeDocument/2006/relationships/hyperlink" Target="https://www.sec.gov/Archives/edgar/data/60714/000156459020006380/lxu-ex1030_263.htm" TargetMode="External"/><Relationship Id="rId153" Type="http://schemas.openxmlformats.org/officeDocument/2006/relationships/hyperlink" Target="https://www.sec.gov/Archives/edgar/data/60714/000156459020022839/lxu-ex101_172.htm" TargetMode="External"/><Relationship Id="rId154" Type="http://schemas.openxmlformats.org/officeDocument/2006/relationships/hyperlink" Target="https://www.sec.gov/Archives/edgar/data/60714/000119312515346822/d84269dex102.htm" TargetMode="External"/><Relationship Id="rId155" Type="http://schemas.openxmlformats.org/officeDocument/2006/relationships/hyperlink" Target="https://www.sec.gov/Archives/edgar/data/60714/000119312516589507/d158530dex101.htm" TargetMode="External"/><Relationship Id="rId156" Type="http://schemas.openxmlformats.org/officeDocument/2006/relationships/hyperlink" Target="https://www.sec.gov/Archives/edgar/data/60714/000119312512493957/d450320dex992.htm" TargetMode="External"/><Relationship Id="rId157" Type="http://schemas.openxmlformats.org/officeDocument/2006/relationships/hyperlink" Target="https://www.sec.gov/Archives/edgar/data/60714/000119312513336457/d584968dex101.htm" TargetMode="External"/><Relationship Id="rId158" Type="http://schemas.openxmlformats.org/officeDocument/2006/relationships/hyperlink" Target="https://www.sec.gov/Archives/edgar/data/60714/000119312513437582/d624909dex991.htm" TargetMode="External"/><Relationship Id="rId159" Type="http://schemas.openxmlformats.org/officeDocument/2006/relationships/hyperlink" Target="https://www.sec.gov/Archives/edgar/data/60714/000119312513437582/d624909dex992.htm" TargetMode="External"/><Relationship Id="rId160" Type="http://schemas.openxmlformats.org/officeDocument/2006/relationships/hyperlink" Target="https://www.sec.gov/Archives/edgar/data/60714/000119312514003788/d654209dex991.htm" TargetMode="External"/><Relationship Id="rId161" Type="http://schemas.openxmlformats.org/officeDocument/2006/relationships/hyperlink" Target="https://www.sec.gov/Archives/edgar/data/60714/000119312515352882/d70894dex101.htm" TargetMode="External"/><Relationship Id="rId162" Type="http://schemas.openxmlformats.org/officeDocument/2006/relationships/hyperlink" Target="https://www.sec.gov/Archives/edgar/data/60714/000119312514223976/d737274dex991.htm" TargetMode="External"/><Relationship Id="rId163" Type="http://schemas.openxmlformats.org/officeDocument/2006/relationships/hyperlink" Target="https://www.sec.gov/Archives/edgar/data/60714/000119312513332936/d583332dex991.htm" TargetMode="External"/><Relationship Id="rId164" Type="http://schemas.openxmlformats.org/officeDocument/2006/relationships/hyperlink" Target="https://www.sec.gov/Archives/edgar/data/60714/000119312515377933/d95941dex104.htm" TargetMode="External"/><Relationship Id="rId169" Type="http://schemas.openxmlformats.org/officeDocument/2006/relationships/hyperlink" Target="https://www.sec.gov/Archives/edgar/data/60714/000119312518131457/d576542dex101.htm" TargetMode="External"/><Relationship Id="rId170" Type="http://schemas.openxmlformats.org/officeDocument/2006/relationships/hyperlink" Target="https://www.sec.gov/Archives/edgar/data/60714/000119312521298982/d239869dex101.htm" TargetMode="External"/><Relationship Id="rId171" Type="http://schemas.openxmlformats.org/officeDocument/2006/relationships/hyperlink" Target="https://www.sec.gov/Archives/edgar/data/60714/000119312523303035/d669761dex103.htm" TargetMode="External"/><Relationship Id="rId172" Type="http://schemas.openxmlformats.org/officeDocument/2006/relationships/hyperlink" Target="https://www.sec.gov/Archives/edgar/data/60714/000119312523303035/d669761dex101.htm" TargetMode="External"/><Relationship Id="rId173" Type="http://schemas.openxmlformats.org/officeDocument/2006/relationships/hyperlink" Target="https://www.sec.gov/Archives/edgar/data/60714/000119312523303035/d669761dex102.htm" TargetMode="External"/><Relationship Id="rId174" Type="http://schemas.openxmlformats.org/officeDocument/2006/relationships/hyperlink" Target="https://www.sec.gov/Archives/edgar/data/60714/000119312515397856/d22963dex104.htm" TargetMode="External"/><Relationship Id="rId175" Type="http://schemas.openxmlformats.org/officeDocument/2006/relationships/hyperlink" Target="https://www.sec.gov/Archives/edgar/data/60714/000119312515397856/d22963dex103.htm" TargetMode="External"/><Relationship Id="rId176" Type="http://schemas.openxmlformats.org/officeDocument/2006/relationships/hyperlink" Target="https://www.sec.gov/Archives/edgar/data/60714/000119312517325152/d458883dex101.htm" TargetMode="External"/><Relationship Id="rId177" Type="http://schemas.openxmlformats.org/officeDocument/2006/relationships/hyperlink" Target="https://www.sec.gov/Archives/edgar/data/60714/000119312518303142/d635267dex102.htm" TargetMode="External"/><Relationship Id="rId178" Type="http://schemas.openxmlformats.org/officeDocument/2006/relationships/hyperlink" Target="https://www.sec.gov/Archives/edgar/data/60714/000119312521286899/d218002dex101.htm" TargetMode="External"/><Relationship Id="rId179" Type="http://schemas.openxmlformats.org/officeDocument/2006/relationships/hyperlink" Target="https://www.sec.gov/Archives/edgar/data/60714/000119312521219140/d189542dex101.htm" TargetMode="External"/><Relationship Id="rId184" Type="http://schemas.openxmlformats.org/officeDocument/2006/relationships/hyperlink" Target="https://www.sec.gov/Archives/edgar/data/60714/000095017023004101/lxu-ex10_45.htm" TargetMode="External"/><Relationship Id="rId191" Type="http://schemas.openxmlformats.org/officeDocument/2006/relationships/hyperlink" Target="https://www.sec.gov/Archives/edgar/data/60714/000095017023004101/lxu-ex10_47.htm" TargetMode="External"/><Relationship Id="rId192" Type="http://schemas.openxmlformats.org/officeDocument/2006/relationships/hyperlink" Target="https://www.sec.gov/Archives/edgar/data/60714/000119312522221198/d15256dex101.htm" TargetMode="External"/><Relationship Id="rId193" Type="http://schemas.openxmlformats.org/officeDocument/2006/relationships/hyperlink" Target="https://www.sec.gov/Archives/edgar/data/60714/000119312522221198/d1525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2025-02-27T15:48:17Z</dcterms:created>
  <dcterms:modified xsi:type="dcterms:W3CDTF">2025-02-27T15:48:17Z</dcterms:modified>
</cp:coreProperties>
</file>