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-205105</wp:posOffset>
            </wp:positionV>
            <wp:extent cx="457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29,317,168 shares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9800" w:type="dxa"/>
            <w:vAlign w:val="bottom"/>
          </w:tcPr>
          <w:p>
            <w:pPr>
              <w:ind w:left="3780"/>
              <w:spacing w:after="0"/>
              <w:rPr>
                <w:sz w:val="20"/>
                <w:szCs w:val="20"/>
                <w:color w:val="auto"/>
              </w:rPr>
            </w:pPr>
            <w:r>
              <w:rPr>
                <w:rFonts w:ascii="Arial" w:cs="Arial" w:eastAsia="Arial" w:hAnsi="Arial"/>
                <w:sz w:val="18"/>
                <w:szCs w:val="18"/>
                <w:color w:val="auto"/>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42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780" w:type="dxa"/>
            <w:vAlign w:val="bottom"/>
          </w:tcPr>
          <w:p>
            <w:pPr>
              <w:spacing w:after="0"/>
              <w:rPr>
                <w:sz w:val="24"/>
                <w:szCs w:val="24"/>
                <w:color w:val="auto"/>
              </w:rPr>
            </w:pPr>
          </w:p>
        </w:tc>
        <w:tc>
          <w:tcPr>
            <w:tcW w:w="9800" w:type="dxa"/>
            <w:vAlign w:val="bottom"/>
          </w:tcPr>
          <w:p>
            <w:pPr>
              <w:ind w:left="3880"/>
              <w:spacing w:after="0"/>
              <w:rPr>
                <w:sz w:val="20"/>
                <w:szCs w:val="20"/>
                <w:color w:val="auto"/>
              </w:rPr>
            </w:pPr>
            <w:r>
              <w:rPr>
                <w:rFonts w:ascii="Arial" w:cs="Arial" w:eastAsia="Arial" w:hAnsi="Arial"/>
                <w:sz w:val="18"/>
                <w:szCs w:val="18"/>
                <w:color w:val="auto"/>
              </w:rPr>
              <w:t>PART II – Other Information</w:t>
            </w:r>
          </w:p>
        </w:tc>
        <w:tc>
          <w:tcPr>
            <w:tcW w:w="66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Mining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00" w:type="dxa"/>
            <w:vAlign w:val="bottom"/>
          </w:tcPr>
          <w:p>
            <w:pPr>
              <w:ind w:left="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64"/>
        </w:trPr>
        <w:tc>
          <w:tcPr>
            <w:tcW w:w="780" w:type="dxa"/>
            <w:vAlign w:val="bottom"/>
          </w:tcPr>
          <w:p>
            <w:pPr>
              <w:spacing w:after="0"/>
              <w:rPr>
                <w:sz w:val="24"/>
                <w:szCs w:val="24"/>
                <w:color w:val="auto"/>
              </w:rPr>
            </w:pPr>
          </w:p>
        </w:tc>
        <w:tc>
          <w:tcPr>
            <w:tcW w:w="9800" w:type="dxa"/>
            <w:vAlign w:val="bottom"/>
          </w:tcPr>
          <w:p>
            <w:pPr>
              <w:ind w:left="480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98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(Information at September 30, 2020 is unaudited)</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September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2"/>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40,203</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(261)</w:t>
            </w: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21,738</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23,311</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11,837</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24,689</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44,829</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130,873</w:t>
            </w:r>
          </w:p>
        </w:tc>
        <w:tc>
          <w:tcPr>
            <w:tcW w:w="120" w:type="dxa"/>
            <w:vAlign w:val="bottom"/>
            <w:shd w:val="clear" w:color="auto" w:fill="CFF0FC"/>
          </w:tcPr>
          <w:p>
            <w:pPr>
              <w:spacing w:after="0"/>
              <w:rPr>
                <w:sz w:val="19"/>
                <w:szCs w:val="19"/>
                <w:color w:val="auto"/>
              </w:rPr>
            </w:pPr>
          </w:p>
        </w:tc>
      </w:tr>
      <w:tr>
        <w:trPr>
          <w:trHeight w:val="229"/>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936,474</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5,812</w:t>
            </w: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2020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September 30,</w:t>
            </w:r>
          </w:p>
        </w:tc>
        <w:tc>
          <w:tcPr>
            <w:tcW w:w="18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r>
      <w:tr>
        <w:trPr>
          <w:trHeight w:val="230"/>
        </w:trPr>
        <w:tc>
          <w:tcPr>
            <w:tcW w:w="7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5"/>
          </w:tcPr>
          <w:p>
            <w:pPr>
              <w:ind w:left="104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41,192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103,300</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$268,685,000 ($242,800,000 at December 31, 2019)</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262,295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234,893</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aggregate liquidation preference of $100</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$3,205,000 ($3,025,000 at December 31, 2019)</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$1,297,000 ($1,252,000 at December 31, 2019)</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75,000,000 shares authorized,</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31,283,210 shares issued</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198,013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196,833</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(9,989)</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57,632</w:t>
            </w:r>
          </w:p>
        </w:tc>
        <w:tc>
          <w:tcPr>
            <w:tcW w:w="120" w:type="dxa"/>
            <w:vAlign w:val="bottom"/>
          </w:tcPr>
          <w:p>
            <w:pPr>
              <w:spacing w:after="0"/>
              <w:rPr>
                <w:sz w:val="19"/>
                <w:szCs w:val="19"/>
                <w:color w:val="auto"/>
              </w:rPr>
            </w:pPr>
          </w:p>
        </w:tc>
      </w:tr>
      <w:tr>
        <w:trPr>
          <w:trHeight w:val="223"/>
        </w:trPr>
        <w:tc>
          <w:tcPr>
            <w:tcW w:w="7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194,152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260,593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1,966,042 shares (2,009,566 shares at December 31, 2019)</w:t>
            </w: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181,268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247,327</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1,069,925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1,088,489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0"/>
        </w:trPr>
        <w:tc>
          <w:tcPr>
            <w:tcW w:w="4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4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gridSpan w:val="7"/>
          </w:tcPr>
          <w:p>
            <w:pPr>
              <w:jc w:val="right"/>
              <w:ind w:right="60"/>
              <w:spacing w:after="0"/>
              <w:rPr>
                <w:sz w:val="20"/>
                <w:szCs w:val="20"/>
                <w:color w:val="auto"/>
              </w:rPr>
            </w:pPr>
            <w:r>
              <w:rPr>
                <w:rFonts w:ascii="Arial" w:cs="Arial" w:eastAsia="Arial" w:hAnsi="Arial"/>
                <w:sz w:val="16"/>
                <w:szCs w:val="16"/>
                <w:color w:val="auto"/>
                <w:w w:val="90"/>
              </w:rPr>
              <w:t>(In Thousands, Except Per Share Amounts)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73,969</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262,413</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291,174</w:t>
            </w:r>
          </w:p>
        </w:tc>
        <w:tc>
          <w:tcPr>
            <w:tcW w:w="100" w:type="dxa"/>
            <w:vAlign w:val="bottom"/>
            <w:shd w:val="clear" w:color="auto" w:fill="CFF0FC"/>
          </w:tcPr>
          <w:p>
            <w:pPr>
              <w:spacing w:after="0"/>
              <w:rPr>
                <w:sz w:val="20"/>
                <w:szCs w:val="20"/>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75,028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241,900</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273,912</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24,705</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34,309</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benefit for income taxes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(31,277)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(43,227)</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(5,816)</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(40,219)</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25,885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22,609</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16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FF0FC"/>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6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(29,874)</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(39,133)</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(67,846)</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(60,030)</w:t>
            </w:r>
          </w:p>
        </w:tc>
        <w:tc>
          <w:tcPr>
            <w:tcW w:w="100" w:type="dxa"/>
            <w:vAlign w:val="bottom"/>
            <w:tcBorders>
              <w:bottom w:val="single" w:sz="8" w:color="CFF0FC"/>
            </w:tcBorders>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4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160" w:type="dxa"/>
            <w:vAlign w:val="bottom"/>
          </w:tcPr>
          <w:p>
            <w:pPr>
              <w:spacing w:after="0"/>
              <w:rPr>
                <w:sz w:val="24"/>
                <w:szCs w:val="24"/>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0"/>
              </w:rPr>
              <w:t>Treasury</w:t>
            </w:r>
          </w:p>
        </w:tc>
        <w:tc>
          <w:tcPr>
            <w:tcW w:w="220" w:type="dxa"/>
            <w:vAlign w:val="bottom"/>
          </w:tcPr>
          <w:p>
            <w:pPr>
              <w:spacing w:after="0"/>
              <w:rPr>
                <w:sz w:val="18"/>
                <w:szCs w:val="18"/>
                <w:color w:val="auto"/>
              </w:rPr>
            </w:pPr>
          </w:p>
        </w:tc>
        <w:tc>
          <w:tcPr>
            <w:tcW w:w="780" w:type="dxa"/>
            <w:vAlign w:val="bottom"/>
            <w:gridSpan w:val="4"/>
          </w:tcPr>
          <w:p>
            <w:pPr>
              <w:ind w:left="260"/>
              <w:spacing w:after="0"/>
              <w:rPr>
                <w:sz w:val="20"/>
                <w:szCs w:val="20"/>
                <w:color w:val="auto"/>
              </w:rPr>
            </w:pPr>
            <w:r>
              <w:rPr>
                <w:rFonts w:ascii="Arial" w:cs="Arial" w:eastAsia="Arial" w:hAnsi="Arial"/>
                <w:sz w:val="18"/>
                <w:szCs w:val="18"/>
                <w:color w:val="auto"/>
              </w:rPr>
              <w:t>Non-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4"/>
          </w:tcPr>
          <w:p>
            <w:pPr>
              <w:jc w:val="center"/>
              <w:spacing w:after="0"/>
              <w:rPr>
                <w:sz w:val="20"/>
                <w:szCs w:val="20"/>
                <w:color w:val="auto"/>
              </w:rPr>
            </w:pPr>
            <w:r>
              <w:rPr>
                <w:rFonts w:ascii="Arial" w:cs="Arial" w:eastAsia="Arial" w:hAnsi="Arial"/>
                <w:sz w:val="18"/>
                <w:szCs w:val="18"/>
                <w:color w:val="auto"/>
                <w:w w:val="93"/>
              </w:rPr>
              <w:t>Common</w:t>
            </w:r>
          </w:p>
        </w:tc>
        <w:tc>
          <w:tcPr>
            <w:tcW w:w="940" w:type="dxa"/>
            <w:vAlign w:val="bottom"/>
            <w:gridSpan w:val="4"/>
          </w:tcPr>
          <w:p>
            <w:pPr>
              <w:jc w:val="center"/>
              <w:ind w:left="110"/>
              <w:spacing w:after="0"/>
              <w:rPr>
                <w:sz w:val="20"/>
                <w:szCs w:val="20"/>
                <w:color w:val="auto"/>
              </w:rPr>
            </w:pPr>
            <w:r>
              <w:rPr>
                <w:rFonts w:ascii="Arial" w:cs="Arial" w:eastAsia="Arial" w:hAnsi="Arial"/>
                <w:sz w:val="18"/>
                <w:szCs w:val="18"/>
                <w:color w:val="auto"/>
                <w:w w:val="93"/>
              </w:rPr>
              <w:t>Capital 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8"/>
                <w:szCs w:val="18"/>
                <w:color w:val="auto"/>
                <w:w w:val="88"/>
              </w:rPr>
              <w:t>Retained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Common</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3"/>
              </w:rPr>
              <w:t>Stock-</w:t>
            </w:r>
          </w:p>
        </w:tc>
        <w:tc>
          <w:tcPr>
            <w:tcW w:w="220" w:type="dxa"/>
            <w:vAlign w:val="bottom"/>
          </w:tcPr>
          <w:p>
            <w:pPr>
              <w:spacing w:after="0"/>
              <w:rPr>
                <w:sz w:val="18"/>
                <w:szCs w:val="18"/>
                <w:color w:val="auto"/>
              </w:rPr>
            </w:pPr>
          </w:p>
        </w:tc>
        <w:tc>
          <w:tcPr>
            <w:tcW w:w="1100" w:type="dxa"/>
            <w:vAlign w:val="bottom"/>
            <w:gridSpan w:val="6"/>
          </w:tcPr>
          <w:p>
            <w:pPr>
              <w:spacing w:after="0"/>
              <w:rPr>
                <w:sz w:val="20"/>
                <w:szCs w:val="20"/>
                <w:color w:val="auto"/>
              </w:rPr>
            </w:pPr>
            <w:r>
              <w:rPr>
                <w:rFonts w:ascii="Arial" w:cs="Arial" w:eastAsia="Arial" w:hAnsi="Arial"/>
                <w:sz w:val="18"/>
                <w:szCs w:val="18"/>
                <w:color w:val="auto"/>
              </w:rPr>
              <w:t>Redeemable</w:t>
            </w:r>
          </w:p>
        </w:tc>
        <w:tc>
          <w:tcPr>
            <w:tcW w:w="10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8"/>
              </w:rPr>
              <w:t>Stock</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9"/>
              </w:rPr>
              <w:t>Excess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Earnings</w:t>
            </w:r>
          </w:p>
        </w:tc>
        <w:tc>
          <w:tcPr>
            <w:tcW w:w="920" w:type="dxa"/>
            <w:vAlign w:val="bottom"/>
            <w:gridSpan w:val="2"/>
          </w:tcPr>
          <w:p>
            <w:pPr>
              <w:jc w:val="center"/>
              <w:ind w:right="161"/>
              <w:spacing w:after="0"/>
              <w:rPr>
                <w:sz w:val="20"/>
                <w:szCs w:val="20"/>
                <w:color w:val="auto"/>
              </w:rPr>
            </w:pPr>
            <w:r>
              <w:rPr>
                <w:rFonts w:ascii="Arial" w:cs="Arial" w:eastAsia="Arial" w:hAnsi="Arial"/>
                <w:sz w:val="18"/>
                <w:szCs w:val="18"/>
                <w:color w:val="auto"/>
                <w:w w:val="90"/>
              </w:rPr>
              <w:t>Treasury</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Stock</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3"/>
              </w:rPr>
              <w:t>Common</w:t>
            </w:r>
          </w:p>
        </w:tc>
        <w:tc>
          <w:tcPr>
            <w:tcW w:w="220" w:type="dxa"/>
            <w:vAlign w:val="bottom"/>
          </w:tcPr>
          <w:p>
            <w:pPr>
              <w:spacing w:after="0"/>
              <w:rPr>
                <w:sz w:val="18"/>
                <w:szCs w:val="18"/>
                <w:color w:val="auto"/>
              </w:rPr>
            </w:pPr>
          </w:p>
        </w:tc>
        <w:tc>
          <w:tcPr>
            <w:tcW w:w="780" w:type="dxa"/>
            <w:vAlign w:val="bottom"/>
            <w:gridSpan w:val="4"/>
          </w:tcPr>
          <w:p>
            <w:pPr>
              <w:ind w:left="10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5"/>
              </w:rPr>
              <w:t>Par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ind w:right="50"/>
              <w:spacing w:after="0"/>
              <w:rPr>
                <w:sz w:val="20"/>
                <w:szCs w:val="20"/>
                <w:color w:val="auto"/>
              </w:rPr>
            </w:pPr>
            <w:r>
              <w:rPr>
                <w:rFonts w:ascii="Arial" w:cs="Arial" w:eastAsia="Arial" w:hAnsi="Arial"/>
                <w:sz w:val="18"/>
                <w:szCs w:val="18"/>
                <w:color w:val="auto"/>
                <w:w w:val="85"/>
              </w:rPr>
              <w:t>Par</w:t>
            </w:r>
          </w:p>
        </w:tc>
        <w:tc>
          <w:tcPr>
            <w:tcW w:w="200" w:type="dxa"/>
            <w:vAlign w:val="bottom"/>
          </w:tcPr>
          <w:p>
            <w:pPr>
              <w:spacing w:after="0"/>
              <w:rPr>
                <w:sz w:val="18"/>
                <w:szCs w:val="18"/>
                <w:color w:val="auto"/>
              </w:rPr>
            </w:pPr>
          </w:p>
        </w:tc>
        <w:tc>
          <w:tcPr>
            <w:tcW w:w="126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(Accumulated</w:t>
            </w:r>
          </w:p>
        </w:tc>
        <w:tc>
          <w:tcPr>
            <w:tcW w:w="920" w:type="dxa"/>
            <w:vAlign w:val="bottom"/>
            <w:gridSpan w:val="2"/>
          </w:tcPr>
          <w:p>
            <w:pPr>
              <w:jc w:val="center"/>
              <w:ind w:right="161"/>
              <w:spacing w:after="0"/>
              <w:rPr>
                <w:sz w:val="20"/>
                <w:szCs w:val="20"/>
                <w:color w:val="auto"/>
              </w:rPr>
            </w:pPr>
            <w:r>
              <w:rPr>
                <w:rFonts w:ascii="Arial" w:cs="Arial" w:eastAsia="Arial" w:hAnsi="Arial"/>
                <w:sz w:val="18"/>
                <w:szCs w:val="18"/>
                <w:color w:val="auto"/>
                <w:w w:val="93"/>
              </w:rPr>
              <w:t>Stock-</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Shares</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780" w:type="dxa"/>
            <w:vAlign w:val="bottom"/>
            <w:gridSpan w:val="4"/>
          </w:tcPr>
          <w:p>
            <w:pPr>
              <w:ind w:left="24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30"/>
              <w:spacing w:after="0"/>
              <w:rPr>
                <w:sz w:val="20"/>
                <w:szCs w:val="20"/>
                <w:color w:val="auto"/>
              </w:rPr>
            </w:pPr>
            <w:r>
              <w:rPr>
                <w:rFonts w:ascii="Arial" w:cs="Arial" w:eastAsia="Arial" w:hAnsi="Arial"/>
                <w:sz w:val="18"/>
                <w:szCs w:val="18"/>
                <w:color w:val="auto"/>
                <w:w w:val="91"/>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8"/>
                <w:szCs w:val="18"/>
                <w:color w:val="auto"/>
                <w:w w:val="99"/>
              </w:rPr>
              <w:t>Deficit)</w:t>
            </w:r>
          </w:p>
        </w:tc>
        <w:tc>
          <w:tcPr>
            <w:tcW w:w="920" w:type="dxa"/>
            <w:vAlign w:val="bottom"/>
            <w:gridSpan w:val="2"/>
          </w:tcPr>
          <w:p>
            <w:pPr>
              <w:jc w:val="center"/>
              <w:ind w:right="161"/>
              <w:spacing w:after="0"/>
              <w:rPr>
                <w:sz w:val="20"/>
                <w:szCs w:val="20"/>
                <w:color w:val="auto"/>
              </w:rPr>
            </w:pPr>
            <w:r>
              <w:rPr>
                <w:rFonts w:ascii="Arial" w:cs="Arial" w:eastAsia="Arial" w:hAnsi="Arial"/>
                <w:sz w:val="18"/>
                <w:szCs w:val="18"/>
                <w:color w:val="auto"/>
                <w:w w:val="93"/>
              </w:rPr>
              <w:t>Common</w:t>
            </w:r>
          </w:p>
        </w:tc>
        <w:tc>
          <w:tcPr>
            <w:tcW w:w="2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6"/>
          </w:tcPr>
          <w:p>
            <w:pPr>
              <w:jc w:val="right"/>
              <w:ind w:right="190"/>
              <w:spacing w:after="0"/>
              <w:rPr>
                <w:sz w:val="20"/>
                <w:szCs w:val="20"/>
                <w:color w:val="auto"/>
              </w:rPr>
            </w:pPr>
            <w:r>
              <w:rPr>
                <w:rFonts w:ascii="Arial" w:cs="Arial" w:eastAsia="Arial" w:hAnsi="Arial"/>
                <w:sz w:val="16"/>
                <w:szCs w:val="16"/>
                <w:color w:val="auto"/>
                <w:w w:val="96"/>
              </w:rPr>
              <w:t>(In Thousands)</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shd w:val="clear" w:color="auto" w:fill="CFF0FC"/>
          </w:tcPr>
          <w:p>
            <w:pPr>
              <w:spacing w:after="0"/>
              <w:rPr>
                <w:sz w:val="20"/>
                <w:szCs w:val="20"/>
                <w:color w:val="auto"/>
              </w:rPr>
            </w:pPr>
          </w:p>
        </w:tc>
        <w:tc>
          <w:tcPr>
            <w:tcW w:w="940" w:type="dxa"/>
            <w:vAlign w:val="bottom"/>
            <w:gridSpan w:val="4"/>
            <w:shd w:val="clear" w:color="auto" w:fill="CFF0FC"/>
          </w:tcPr>
          <w:p>
            <w:pPr>
              <w:jc w:val="right"/>
              <w:ind w:right="75"/>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5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88"/>
              </w:rPr>
              <w:t>3,000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88"/>
              </w:rPr>
              <w:t>3,128</w:t>
            </w:r>
          </w:p>
        </w:tc>
        <w:tc>
          <w:tcPr>
            <w:tcW w:w="9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$ 196,833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w w:val="90"/>
              </w:rPr>
              <w:t>$ (13,266)</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$ 247,327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(19,452)</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(8,307)</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Borders>
              <w:top w:val="single" w:sz="8" w:color="CFF0FC"/>
              <w:bottom w:val="single" w:sz="8" w:color="CFF0FC"/>
            </w:tcBorders>
            <w:shd w:val="clear" w:color="auto" w:fill="CFF0FC"/>
          </w:tcPr>
          <w:p>
            <w:pPr>
              <w:jc w:val="right"/>
              <w:ind w:right="75"/>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FF0FC"/>
          </w:tcPr>
          <w:p>
            <w:pPr>
              <w:ind w:left="80"/>
              <w:spacing w:after="0"/>
              <w:rPr>
                <w:sz w:val="20"/>
                <w:szCs w:val="20"/>
                <w:color w:val="auto"/>
              </w:rPr>
            </w:pPr>
            <w:r>
              <w:rPr>
                <w:rFonts w:ascii="Arial" w:cs="Arial" w:eastAsia="Arial" w:hAnsi="Arial"/>
                <w:sz w:val="18"/>
                <w:szCs w:val="18"/>
                <w:color w:val="auto"/>
                <w:w w:val="88"/>
              </w:rPr>
              <w:t>3,000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ind w:left="200"/>
              <w:spacing w:after="0"/>
              <w:rPr>
                <w:sz w:val="20"/>
                <w:szCs w:val="20"/>
                <w:color w:val="auto"/>
              </w:rPr>
            </w:pPr>
            <w:r>
              <w:rPr>
                <w:rFonts w:ascii="Arial" w:cs="Arial" w:eastAsia="Arial" w:hAnsi="Arial"/>
                <w:sz w:val="18"/>
                <w:szCs w:val="18"/>
                <w:color w:val="auto"/>
                <w:w w:val="88"/>
              </w:rPr>
              <w:t>3,128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196,972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(12,974</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(8,689)</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Borders>
              <w:top w:val="single" w:sz="8" w:color="CFF0FC"/>
              <w:bottom w:val="single" w:sz="8" w:color="CFF0FC"/>
            </w:tcBorders>
            <w:shd w:val="clear" w:color="auto" w:fill="CFF0FC"/>
          </w:tcPr>
          <w:p>
            <w:pPr>
              <w:jc w:val="right"/>
              <w:ind w:right="75"/>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FF0FC"/>
          </w:tcPr>
          <w:p>
            <w:pPr>
              <w:ind w:left="80"/>
              <w:spacing w:after="0"/>
              <w:rPr>
                <w:sz w:val="20"/>
                <w:szCs w:val="20"/>
                <w:color w:val="auto"/>
              </w:rPr>
            </w:pPr>
            <w:r>
              <w:rPr>
                <w:rFonts w:ascii="Arial" w:cs="Arial" w:eastAsia="Arial" w:hAnsi="Arial"/>
                <w:sz w:val="18"/>
                <w:szCs w:val="18"/>
                <w:color w:val="auto"/>
                <w:w w:val="88"/>
              </w:rPr>
              <w:t>3,000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FF0FC"/>
          </w:tcPr>
          <w:p>
            <w:pPr>
              <w:ind w:left="200"/>
              <w:spacing w:after="0"/>
              <w:rPr>
                <w:sz w:val="20"/>
                <w:szCs w:val="20"/>
                <w:color w:val="auto"/>
              </w:rPr>
            </w:pPr>
            <w:r>
              <w:rPr>
                <w:rFonts w:ascii="Arial" w:cs="Arial" w:eastAsia="Arial" w:hAnsi="Arial"/>
                <w:sz w:val="18"/>
                <w:szCs w:val="18"/>
                <w:color w:val="auto"/>
                <w:w w:val="88"/>
              </w:rPr>
              <w:t>3,128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197,566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(12,884</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(20,402)</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(8,889)</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31,283</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Pr>
          <w:p>
            <w:pPr>
              <w:jc w:val="right"/>
              <w:ind w:right="75"/>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w w:val="88"/>
              </w:rPr>
              <w:t>3,000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3"/>
          </w:tcPr>
          <w:p>
            <w:pPr>
              <w:ind w:left="200"/>
              <w:spacing w:after="0"/>
              <w:rPr>
                <w:sz w:val="20"/>
                <w:szCs w:val="20"/>
                <w:color w:val="auto"/>
              </w:rPr>
            </w:pPr>
            <w:r>
              <w:rPr>
                <w:rFonts w:ascii="Arial" w:cs="Arial" w:eastAsia="Arial" w:hAnsi="Arial"/>
                <w:sz w:val="18"/>
                <w:szCs w:val="18"/>
                <w:color w:val="auto"/>
                <w:w w:val="88"/>
              </w:rPr>
              <w:t>3,128</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$ 198,013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(12,884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$ 181,268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7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4"/>
              </w:rPr>
              <w:t>(2,438)</w:t>
            </w: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4"/>
              </w:rPr>
              <w:t>3,000</w:t>
            </w:r>
          </w:p>
        </w:tc>
        <w:tc>
          <w:tcPr>
            <w:tcW w:w="4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3"/>
              </w:rPr>
              <w:t>3,128</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$ 198,482</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153,773</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w w:val="90"/>
              </w:rPr>
              <w:t>$ (16,186)</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$ 342,197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(11,540)</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(7,256)</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612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9"/>
              </w:rPr>
              <w:t>(76)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(546)</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(2,514</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4"/>
              </w:rPr>
              <w:t>3,000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3"/>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198,950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134,481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(16,732</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(7,589)</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686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2019</w:t>
            </w:r>
          </w:p>
        </w:tc>
        <w:tc>
          <w:tcPr>
            <w:tcW w:w="46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31,283</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(2,514</w:t>
            </w:r>
          </w:p>
        </w:tc>
        <w:tc>
          <w:tcPr>
            <w:tcW w:w="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3,000</w:t>
            </w:r>
          </w:p>
        </w:tc>
        <w:tc>
          <w:tcPr>
            <w:tcW w:w="2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3,128</w:t>
            </w:r>
          </w:p>
        </w:tc>
        <w:tc>
          <w:tcPr>
            <w:tcW w:w="20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199,636</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133,026</w:t>
            </w:r>
          </w:p>
        </w:tc>
        <w:tc>
          <w:tcPr>
            <w:tcW w:w="2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w:t>
            </w:r>
          </w:p>
        </w:tc>
        <w:tc>
          <w:tcPr>
            <w:tcW w:w="220" w:type="dxa"/>
            <w:vAlign w:val="bottom"/>
            <w:tcBorders>
              <w:bottom w:val="single" w:sz="8" w:color="CFF0FC"/>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322,058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(30,794)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8"/>
                <w:szCs w:val="18"/>
                <w:color w:val="auto"/>
              </w:rPr>
              <w:t>Dividend accrued on redeemable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(7,764)</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(500)</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501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4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31,283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(2,501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3,000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3,128</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$ 200,045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(16,645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$ 283,496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92"/>
              </w:rPr>
              <w:t>(In Thousands)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(40,219)</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(35,703)</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(3,054)</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(5,797)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51,957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(1,860)</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insurance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(11,269)</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interest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12,083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other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(3,145)</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(22,230)</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(20,455)</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vendor settlements associated with</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1,647</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by investing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(20,219)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revolving debt facility</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(30,000)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9.625% senior secured notes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other long-term debt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42,570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other long-term debt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(18,397)</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(12,065)</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of debt-related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short-term financing</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(9,178)</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Taxes paid on equity awards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14,807</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42,094</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2019 (“2019 Form 10-K”), filed with the Securities and Exchange Commission (“SEC”) on February 25, 2020.</w:t>
      </w:r>
    </w:p>
    <w:p>
      <w:pPr>
        <w:spacing w:after="0" w:line="1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Basis of Consolidation – </w:t>
      </w:r>
      <w:r>
        <w:rPr>
          <w:rFonts w:ascii="Arial" w:cs="Arial" w:eastAsia="Arial" w:hAnsi="Arial"/>
          <w:sz w:val="17"/>
          <w:szCs w:val="17"/>
          <w:color w:val="auto"/>
        </w:rPr>
        <w:t>LSB Industries, Inc. (“LSB”) and its subsidiaries (the “Company”, “We”, “Us”, or “Our”) are consolidated in the accompanying</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consolidated financial statements. LSB is a holding company with no significant operations or assets other than cash, cash equivalents, and investments in its subsidiaries. All material intercompany accounts and transactions have been eliminated. Certain prior period amounts reported in our consolidated financial statements and notes thereto have been reclassified to conform to current period presentation.</w:t>
      </w:r>
    </w:p>
    <w:p>
      <w:pPr>
        <w:spacing w:after="0" w:line="5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unaudited condensed consolidated financial statements of the Company as of September 30, 2020 and for the three and nine months ended September 30, 2020 and 2019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2019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statement of operations. These benefits are principally generated from exercises of restricted stock. We reduce income tax expense for investment tax credits in the period the credit arises and is earned.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 7 regarding the Coronavirus Aid, Relief, and Economic Security (“CARES”)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2020, one of our subsidiaries, El Dorado Chemical Company (“EDC”), and certain vendors mediated settlements for EDC to recover certain costs associated with a nitric acid plant at our El Dorado Facility. The construction of this plant was completed and the plant began production in 2016. As a result of the settlements, the vendors paid EDC $4.3 million and will provide services and parts totaling $2.8 million, which amount, or portion thereof, may be paid in cash at the option of the vendors (amount included in noncurrent accounts receivable, which is classified as a noncurrent other asset at September 30, 2020). As part of the settlements, EDC paid the vendors $2.7 million to settle $3.2 million of invoices that were held in our accounts payable. As a result, the recovery from these settlements recognized during the nine months ended September 30, 2020 includes approximately $5.7 million classified as a reduction to cost of sales and approximately $1.9 million classified as a reduction to property, plant and equipment (“PP&amp;E”).</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5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252525"/>
        </w:rPr>
        <w:t xml:space="preserve">ASU 2020-06 </w:t>
      </w:r>
      <w:r>
        <w:rPr>
          <w:rFonts w:ascii="Arial" w:cs="Arial" w:eastAsia="Arial" w:hAnsi="Arial"/>
          <w:sz w:val="18"/>
          <w:szCs w:val="18"/>
          <w:color w:val="252525"/>
        </w:rPr>
        <w:t>- In August 2020, the FASB issued ASU 2020-06,</w:t>
      </w:r>
      <w:r>
        <w:rPr>
          <w:rFonts w:ascii="Arial" w:cs="Arial" w:eastAsia="Arial" w:hAnsi="Arial"/>
          <w:sz w:val="18"/>
          <w:szCs w:val="18"/>
          <w:b w:val="1"/>
          <w:bCs w:val="1"/>
          <w:color w:val="252525"/>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252525"/>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beginning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ASU 2019-12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December 2019, the FASB issued ASU 2019-12,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b w:val="1"/>
          <w:bCs w:val="1"/>
          <w:color w:val="auto"/>
        </w:rPr>
        <w:t xml:space="preserve"> </w:t>
      </w:r>
      <w:r>
        <w:rPr>
          <w:rFonts w:ascii="Arial" w:cs="Arial" w:eastAsia="Arial" w:hAnsi="Arial"/>
          <w:sz w:val="17"/>
          <w:szCs w:val="17"/>
          <w:color w:val="auto"/>
        </w:rPr>
        <w:t>which</w:t>
      </w:r>
      <w:r>
        <w:rPr>
          <w:rFonts w:ascii="Arial" w:cs="Arial" w:eastAsia="Arial" w:hAnsi="Arial"/>
          <w:sz w:val="17"/>
          <w:szCs w:val="17"/>
          <w:b w:val="1"/>
          <w:bCs w:val="1"/>
          <w:color w:val="auto"/>
        </w:rPr>
        <w:t xml:space="preserve"> </w:t>
      </w:r>
      <w:r>
        <w:rPr>
          <w:rFonts w:ascii="Arial" w:cs="Arial" w:eastAsia="Arial" w:hAnsi="Arial"/>
          <w:sz w:val="17"/>
          <w:szCs w:val="17"/>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We plan to adopt this new standard on January 1, 2021, which is not expected to have a material impact on our consolidated financial statements or related disclosures.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2. Loss Per Common Share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color w:val="auto"/>
              </w:rPr>
              <w:t>Nine Months Ended</w:t>
            </w:r>
          </w:p>
        </w:tc>
      </w:tr>
      <w:tr>
        <w:trPr>
          <w:trHeight w:val="229"/>
        </w:trPr>
        <w:tc>
          <w:tcPr>
            <w:tcW w:w="5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r>
      <w:tr>
        <w:trPr>
          <w:trHeight w:val="230"/>
        </w:trPr>
        <w:tc>
          <w:tcPr>
            <w:tcW w:w="5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5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11"/>
          </w:tcPr>
          <w:p>
            <w:pPr>
              <w:jc w:val="right"/>
              <w:ind w:right="820"/>
              <w:spacing w:after="0"/>
              <w:rPr>
                <w:sz w:val="20"/>
                <w:szCs w:val="20"/>
                <w:color w:val="auto"/>
              </w:rPr>
            </w:pPr>
            <w:r>
              <w:rPr>
                <w:rFonts w:ascii="Arial" w:cs="Arial" w:eastAsia="Arial" w:hAnsi="Arial"/>
                <w:sz w:val="16"/>
                <w:szCs w:val="16"/>
                <w:color w:val="auto"/>
              </w:rPr>
              <w:t>(Dollars In Thousands, Except Per Share Amounts)</w:t>
            </w:r>
          </w:p>
        </w:tc>
      </w:tr>
      <w:tr>
        <w:trPr>
          <w:trHeight w:val="232"/>
        </w:trPr>
        <w:tc>
          <w:tcPr>
            <w:tcW w:w="580" w:type="dxa"/>
            <w:vAlign w:val="bottom"/>
          </w:tcPr>
          <w:p>
            <w:pPr>
              <w:spacing w:after="0"/>
              <w:rPr>
                <w:sz w:val="20"/>
                <w:szCs w:val="20"/>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(20,402)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(30,794)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(40,219)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(35,703)</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(8,889)</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(7,764)</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(25,885)</w:t>
            </w: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(22,609)</w:t>
            </w:r>
          </w:p>
        </w:tc>
      </w:tr>
      <w:tr>
        <w:trPr>
          <w:trHeight w:val="229"/>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w:t>
            </w:r>
          </w:p>
        </w:tc>
      </w:tr>
      <w:tr>
        <w:trPr>
          <w:trHeight w:val="229"/>
        </w:trPr>
        <w:tc>
          <w:tcPr>
            <w:tcW w:w="58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(1,517)</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(1,493)</w:t>
            </w:r>
          </w:p>
        </w:tc>
      </w:tr>
      <w:tr>
        <w:trPr>
          <w:trHeight w:val="195"/>
        </w:trPr>
        <w:tc>
          <w:tcPr>
            <w:tcW w:w="580" w:type="dxa"/>
            <w:vAlign w:val="bottom"/>
          </w:tcPr>
          <w:p>
            <w:pPr>
              <w:spacing w:after="0"/>
              <w:rPr>
                <w:sz w:val="16"/>
                <w:szCs w:val="16"/>
                <w:color w:val="auto"/>
              </w:rPr>
            </w:pPr>
          </w:p>
        </w:tc>
        <w:tc>
          <w:tcPr>
            <w:tcW w:w="5240" w:type="dxa"/>
            <w:vAlign w:val="bottom"/>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70"/>
        </w:trPr>
        <w:tc>
          <w:tcPr>
            <w:tcW w:w="580" w:type="dxa"/>
            <w:vAlign w:val="bottom"/>
          </w:tcPr>
          <w:p>
            <w:pPr>
              <w:spacing w:after="0"/>
              <w:rPr>
                <w:sz w:val="23"/>
                <w:szCs w:val="23"/>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(29,874)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(39,133)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(67,846)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(60,030)</w:t>
            </w:r>
          </w:p>
        </w:tc>
      </w:tr>
      <w:tr>
        <w:trPr>
          <w:trHeight w:val="210"/>
        </w:trPr>
        <w:tc>
          <w:tcPr>
            <w:tcW w:w="580" w:type="dxa"/>
            <w:vAlign w:val="bottom"/>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28,211,905</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28,065,519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28,195,691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28,025,130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58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36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526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236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r>
      <w:tr>
        <w:trPr>
          <w:trHeight w:val="230"/>
        </w:trPr>
        <w:tc>
          <w:tcPr>
            <w:tcW w:w="526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1,404,423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803,611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1,306,720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846,902</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tcBorders>
              <w:bottom w:val="single" w:sz="8" w:color="CFF0FC"/>
            </w:tcBorders>
          </w:tcPr>
          <w:p>
            <w:pPr>
              <w:spacing w:after="0"/>
              <w:rPr>
                <w:sz w:val="19"/>
                <w:szCs w:val="19"/>
                <w:color w:val="auto"/>
              </w:rPr>
            </w:pPr>
          </w:p>
        </w:tc>
      </w:tr>
      <w:tr>
        <w:trPr>
          <w:trHeight w:val="223"/>
        </w:trPr>
        <w:tc>
          <w:tcPr>
            <w:tcW w:w="5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2,748,735</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2,147,923</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2,651,032</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2,191,214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93"/>
              </w:rPr>
              <w:t>September 30,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5"/>
          </w:tcPr>
          <w:p>
            <w:pPr>
              <w:ind w:left="560"/>
              <w:spacing w:after="0"/>
              <w:rPr>
                <w:sz w:val="20"/>
                <w:szCs w:val="20"/>
                <w:color w:val="auto"/>
              </w:rPr>
            </w:pPr>
            <w:r>
              <w:rPr>
                <w:rFonts w:ascii="Arial" w:cs="Arial" w:eastAsia="Arial" w:hAnsi="Arial"/>
                <w:sz w:val="16"/>
                <w:szCs w:val="16"/>
                <w:color w:val="auto"/>
              </w:rPr>
              <w:t>(In Thousands)</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800" w:type="dxa"/>
            <w:vAlign w:val="bottom"/>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Current portion of accrued and other liabilities</w:t>
            </w: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25,484</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560" w:type="dxa"/>
            <w:vAlign w:val="bottom"/>
            <w:vMerge w:val="restart"/>
          </w:tcPr>
          <w:p>
            <w:pPr>
              <w:jc w:val="right"/>
              <w:ind w:right="105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9"/>
        </w:trPr>
        <w:tc>
          <w:tcPr>
            <w:tcW w:w="1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September 30,</w:t>
            </w: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1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4"/>
        </w:trPr>
        <w:tc>
          <w:tcPr>
            <w:tcW w:w="17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6"/>
                <w:szCs w:val="16"/>
                <w:color w:val="auto"/>
              </w:rPr>
              <w:t>(In Thousands)</w:t>
            </w:r>
          </w:p>
        </w:tc>
      </w:tr>
      <w:tr>
        <w:trPr>
          <w:trHeight w:val="221"/>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4.00% (A)</w:t>
            </w:r>
          </w:p>
        </w:tc>
        <w:tc>
          <w:tcPr>
            <w:tcW w:w="260" w:type="dxa"/>
            <w:vAlign w:val="bottom"/>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an interest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5.25% (C)</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Unsecured Loan Agreement due 2022, with an interest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1.00% (D)</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(E)</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Loan Agreement due 2025, with an interest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8.75% (F)</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5,219</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2025, with an interest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(G)</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Promissory Note due 2023 (G)</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12,705</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costs</w:t>
            </w:r>
          </w:p>
        </w:tc>
        <w:tc>
          <w:tcPr>
            <w:tcW w:w="2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(9,566)</w:t>
            </w: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(12,261)</w:t>
            </w:r>
          </w:p>
        </w:tc>
      </w:tr>
      <w:tr>
        <w:trPr>
          <w:trHeight w:val="223"/>
        </w:trPr>
        <w:tc>
          <w:tcPr>
            <w:tcW w:w="170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485,954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470,751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8"/>
        <w:spacing w:after="0" w:line="288" w:lineRule="auto"/>
        <w:tabs>
          <w:tab w:leader="none" w:pos="307"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September 30, 2020, our available borrowings under our Working Capital Revolver Loan were approximately $36.3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less the outstanding aggregate principal amount of the unforgiven portion (as defined in the agreement) of the PPP loan discussed below within footnote (D).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0" w:lineRule="exact"/>
        <w:rPr>
          <w:rFonts w:ascii="Arial" w:cs="Arial" w:eastAsia="Arial" w:hAnsi="Arial"/>
          <w:sz w:val="16"/>
          <w:szCs w:val="16"/>
          <w:b w:val="1"/>
          <w:bCs w:val="1"/>
          <w:color w:val="auto"/>
        </w:rPr>
      </w:pPr>
    </w:p>
    <w:p>
      <w:pPr>
        <w:ind w:right="20" w:firstLine="8"/>
        <w:spacing w:after="0" w:line="342" w:lineRule="auto"/>
        <w:tabs>
          <w:tab w:leader="none" w:pos="28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May 1, 2023</w:t>
      </w:r>
      <w:r>
        <w:rPr>
          <w:rFonts w:ascii="Arial" w:cs="Arial" w:eastAsia="Arial" w:hAnsi="Arial"/>
          <w:sz w:val="18"/>
          <w:szCs w:val="18"/>
          <w:color w:val="0000FF"/>
        </w:rPr>
        <w:t>.</w:t>
      </w:r>
      <w:r>
        <w:rPr>
          <w:rFonts w:ascii="Arial" w:cs="Arial" w:eastAsia="Arial" w:hAnsi="Arial"/>
          <w:sz w:val="18"/>
          <w:szCs w:val="18"/>
          <w:color w:val="auto"/>
        </w:rPr>
        <w:t xml:space="preserve"> Interest is to be paid semiannually in arrears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5540" w:right="2160" w:hanging="5532"/>
        <w:spacing w:after="0" w:line="527" w:lineRule="auto"/>
        <w:tabs>
          <w:tab w:leader="none" w:pos="309"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 is party to a secured promissory note due in March 2021. Principal and interest are payable in monthly installments.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firstLine="8"/>
        <w:spacing w:after="0" w:line="288" w:lineRule="auto"/>
        <w:tabs>
          <w:tab w:leader="none" w:pos="308"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account for the PPP loan.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8-weeks or 24-weeks after disbursement of the loan. Once the SBA notifies the lender the amount of the loan which has been approved for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wholly or partially, forgiven and a legal release is received, the liability would be reduced by the amount forgiven and a gain on extinguishment would be recorded.</w:t>
      </w:r>
    </w:p>
    <w:p>
      <w:pPr>
        <w:spacing w:after="0" w:line="60" w:lineRule="exact"/>
        <w:rPr>
          <w:rFonts w:ascii="Arial" w:cs="Arial" w:eastAsia="Arial" w:hAnsi="Arial"/>
          <w:sz w:val="16"/>
          <w:szCs w:val="16"/>
          <w:b w:val="1"/>
          <w:bCs w:val="1"/>
          <w:color w:val="auto"/>
        </w:rPr>
      </w:pPr>
    </w:p>
    <w:p>
      <w:pPr>
        <w:ind w:firstLine="8"/>
        <w:spacing w:after="0" w:line="277" w:lineRule="auto"/>
        <w:tabs>
          <w:tab w:leader="none" w:pos="296"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EDC is party to a secured financing arrangement with an affiliate of LSB Funding L.L.C. (“LSB Funding”). Principal and interest are payable in 48 equal monthly installments with a final balloon payment of approximately $3 million due in June 2023.</w:t>
      </w:r>
    </w:p>
    <w:p>
      <w:pPr>
        <w:spacing w:after="0" w:line="62" w:lineRule="exact"/>
        <w:rPr>
          <w:rFonts w:ascii="Arial" w:cs="Arial" w:eastAsia="Arial" w:hAnsi="Arial"/>
          <w:sz w:val="18"/>
          <w:szCs w:val="18"/>
          <w:b w:val="1"/>
          <w:bCs w:val="1"/>
          <w:color w:val="auto"/>
        </w:rPr>
      </w:pPr>
    </w:p>
    <w:p>
      <w:pPr>
        <w:jc w:val="both"/>
        <w:ind w:firstLine="8"/>
        <w:spacing w:after="0" w:line="279" w:lineRule="auto"/>
        <w:tabs>
          <w:tab w:leader="none" w:pos="28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EDC is party to a secured loan agreement with an affiliate of LSB Funding, which provided for available 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63" w:lineRule="exact"/>
        <w:rPr>
          <w:rFonts w:ascii="Arial" w:cs="Arial" w:eastAsia="Arial" w:hAnsi="Arial"/>
          <w:sz w:val="17"/>
          <w:szCs w:val="17"/>
          <w:b w:val="1"/>
          <w:bCs w:val="1"/>
          <w:color w:val="auto"/>
        </w:rPr>
      </w:pPr>
    </w:p>
    <w:p>
      <w:pPr>
        <w:jc w:val="both"/>
        <w:ind w:firstLine="8"/>
        <w:spacing w:after="0" w:line="301" w:lineRule="auto"/>
        <w:tabs>
          <w:tab w:leader="none" w:pos="325"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 A portion of the proceeds from this secured financing arrangement was used to pay off the Secured Promissory Note that was scheduled to mature in May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September 30, 2020, certain of our natural gas contracts qualify as normal purchases under GAAP and thus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mark-to-market, which contracts included volume purchase commitments with fixed costs of approximately 4.3 million MMBtus of natural gas. These contracts extend through February 2021 at a weighted-average cost of $2.46 per MMBtu ($10.6 million) and a weighted-average market value of $2.48 per MMBtu ($10.7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our accrued liabilities for environmental matters totaled $183,000 relating primarily to the matters discussed below. It is reasonably possible that a change in the estimate of our liability could occur in the near term.</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In August 2017, ADEQ issued a final NPDES permit with new dissolved mineral limits. EDC filed an appeal in September 2017 and a Permit Appeal Resolution (“PAR”) was signed in July 2018. EDC is in compliance with the revised permit limits agreed upon in the PAR.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 assessment was submitted in August 2007. In February 2015, the ADEQ stated that El Dorado Chemical was meeting the requirements of the CAO and should continue semi-annual monitoring. Subsequent to the PAR mentioned previously, a new CAO was signed in October 2018, which required an Evaluation Report of the data and effectiveness of the groundwater remedy for nitrate contamination. In February 2019, the Evaluation Report was submitted to the ADEQ and the ADEQ approved the report in August 2019. No liability has been established at September 30, 2020, in connection with this ADEQ matter.</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selected a remedy of annual monitoring and the implementation of an Environmental Use Control (“EUC”). The final remedy, including the EUC, the finalization of the cost estimates and any required financial assurances remains under negotiation. Additionally, the current operator of the site recently closed its operations at the site. The change in the use of the site, from active manufacturing to a closed facility, may impact the selected remedy and remains an open item to be discussed with the KDHE. Pending the negotiation of the final remedy and any impact based on operational changes at the site, we continue to accrue our allocable portion of costs primarily for the additional testing, monitoring and risk assessments that could be reasonably estimated, which is included in our accrued liabilities for environmental matters discussed above.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amount is not discounted to its present value. As more information becomes available, our estimated accrual will be refined, as necessary.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to EDC. As of September 30, 2020, no liability reserve has been established in connection with this matter.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intend to pursue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seeks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gross negligence, professional negligence and gross negligence.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25, 2018, the Court bifurcated the case into: (1) Global’s claims against Leidos and LSB, and (2) the cross-claims between Leidos and LSB. Part (1) of the case was tried in the Court during the fall of 2018 and the Court rendered an interim judgment in March 2020 and issued its final judgment on April 23, 2020. In summary, the judgment awarded Global (i) approximately $7.4 million (amount includes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As a result of the judgment during the first quarter of 2020, we accounted for the following:</w:t>
      </w:r>
    </w:p>
    <w:p>
      <w:pPr>
        <w:spacing w:after="0" w:line="70" w:lineRule="exact"/>
        <w:rPr>
          <w:sz w:val="20"/>
          <w:szCs w:val="20"/>
          <w:color w:val="auto"/>
        </w:rPr>
      </w:pPr>
    </w:p>
    <w:p>
      <w:pPr>
        <w:ind w:left="740" w:hanging="368"/>
        <w:spacing w:after="0" w:line="258"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an additional $3.9 million in accounts payable, which offset amount was capitalized as PP&amp;E, since such costs directly related to the construction of the Ammonia Plant;</w:t>
      </w:r>
    </w:p>
    <w:p>
      <w:pPr>
        <w:spacing w:after="0" w:line="1"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recognized additional depreciation expense of $0.5 million associated with the amount above capitalized to PP&amp;E, which offset amount was a credit to PP&amp;E (accumulated depreciation);</w:t>
      </w:r>
    </w:p>
    <w:p>
      <w:pPr>
        <w:ind w:left="740" w:hanging="36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accrued prejudgment and post-judgment interest totaling $1.4 million in accrued interest, which offset amount was classified as interest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intends to vigorously prosecute its claims against Leidos in Part (2) of the matter. Due to the impact from the coronavirus disease (“COVID-19”) pandemic, the Trial date for Part (2) of the matter has been delayed and we are awaiting a new trial date.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Natural Gas Contracts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first nine months of 2020, we entered into certain forward natural gas contracts (“natural gas contracts”), which are accounted for on a mark-to-market basis. We are utilizing these natural gas contracts as economic hedges for risk management purposes but are not designated as hedging instruments. At September 30, 2020, our natural gas contracts included 1.0 million MMBtu of natural gas and extend through January 2021 (there were none at December 31, 2019). The valuations of the natural gas contracts are classified as Level 2. At September 30, 2020, the valuation inputs included the contractual weighted-average cost of $2.01 per MMBtu and the weighted-average market value of $2.53 per MMBtu.</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and nine months ended September 30, 2020, we recognized a $0.5 million gain and a $0.2 million loss (classified as cost of sales), respectively (none for the three and nine months ended September 30, 2019), which includes an unrealized gain of $0.8 million and $0.6 million, respectively, attributed to natural gas contracts still held at the reporting date.</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Embedded Derivative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8,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September 30, 2020 and December 31, 2019,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September 30, 2020 and December 31, 2019, the fair value of the embedded derivative included the valuation of the participation rights, which was based on the equivalent of 303,646 shares of our common stock at $1.61 and $4.20 per share, respectively.</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Derivatives, Hedges and Financial Instruments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2020 and 2019, we recognized an unrealized gain and unrealized loss of approximately $0.1 million and $0.4 million, respectively, due to the change in fair value of the embedded derivative. For the nine months ended September 30, 2020 and 2019, we recognized an unrealized gain of approximately $0.6 million and $0.1 million, respectively, due to the change in fair value of the embedded derivative. These unrealized gains are included in non-operating other income.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2020 and December 31, 2019:</w:t>
      </w:r>
    </w:p>
    <w:p>
      <w:pPr>
        <w:spacing w:after="0" w:line="21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Fair Value Measurements at</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September 30, 2020 Using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88"/>
              </w:rPr>
              <w:t>Quoted Prices</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4"/>
              </w:rPr>
              <w:t>Significant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Total Fair</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1"/>
              </w:rPr>
              <w:t>Unobservable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Value at</w:t>
            </w:r>
          </w:p>
        </w:tc>
      </w:tr>
      <w:tr>
        <w:trPr>
          <w:trHeight w:val="199"/>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color w:val="auto"/>
                <w:w w:val="87"/>
              </w:rPr>
              <w:t>September 30,</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6"/>
              </w:rPr>
              <w:t>Inputs</w:t>
            </w:r>
          </w:p>
        </w:tc>
        <w:tc>
          <w:tcPr>
            <w:tcW w:w="2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December 31,</w:t>
            </w:r>
          </w:p>
        </w:tc>
      </w:tr>
      <w:tr>
        <w:trPr>
          <w:trHeight w:val="216"/>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color w:val="auto"/>
                <w:w w:val="89"/>
              </w:rPr>
              <w:t>2020</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(Level 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5"/>
              <w:spacing w:after="0" w:line="216" w:lineRule="exact"/>
              <w:rPr>
                <w:sz w:val="20"/>
                <w:szCs w:val="20"/>
                <w:color w:val="auto"/>
              </w:rPr>
            </w:pPr>
            <w:r>
              <w:rPr>
                <w:rFonts w:ascii="Arial" w:cs="Arial" w:eastAsia="Arial" w:hAnsi="Arial"/>
                <w:sz w:val="15"/>
                <w:szCs w:val="15"/>
                <w:color w:val="auto"/>
                <w:w w:val="96"/>
              </w:rPr>
              <w:t>(Level 3)</w:t>
            </w:r>
            <w:r>
              <w:rPr>
                <w:rFonts w:ascii="Arial" w:cs="Arial" w:eastAsia="Arial" w:hAnsi="Arial"/>
                <w:sz w:val="25"/>
                <w:szCs w:val="25"/>
                <w:color w:val="auto"/>
                <w:w w:val="96"/>
                <w:vertAlign w:val="superscript"/>
              </w:rPr>
              <w:t>(1)</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r>
      <w:tr>
        <w:trPr>
          <w:trHeight w:val="204"/>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Embedded derivative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468</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260" w:right="4300" w:firstLine="112"/>
        <w:spacing w:after="0" w:line="260" w:lineRule="auto"/>
        <w:tabs>
          <w:tab w:leader="none" w:pos="7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was no Level 3 transfer activity for the nine months ended September 30, 2020. Other Financial Instruments</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2020 and December 31, 2019, we did not have any financial instruments with fair values significantly different from their carrying amounts (which excludes issuance costs, if applicable), except for the Senior Secured Notes as shown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360"/>
              <w:spacing w:after="0"/>
              <w:rPr>
                <w:sz w:val="20"/>
                <w:szCs w:val="20"/>
                <w:color w:val="auto"/>
              </w:rPr>
            </w:pPr>
            <w:r>
              <w:rPr>
                <w:rFonts w:ascii="Arial" w:cs="Arial" w:eastAsia="Arial" w:hAnsi="Arial"/>
                <w:sz w:val="18"/>
                <w:szCs w:val="18"/>
                <w:color w:val="auto"/>
              </w:rPr>
              <w:t>September 30, 2020</w:t>
            </w:r>
          </w:p>
        </w:tc>
        <w:tc>
          <w:tcPr>
            <w:tcW w:w="16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Arial" w:cs="Arial" w:eastAsia="Arial" w:hAnsi="Arial"/>
                <w:sz w:val="18"/>
                <w:szCs w:val="18"/>
                <w:color w:val="auto"/>
              </w:rPr>
              <w:t>December 31, 2019</w:t>
            </w:r>
          </w:p>
        </w:tc>
      </w:tr>
      <w:tr>
        <w:trPr>
          <w:trHeight w:val="222"/>
        </w:trPr>
        <w:tc>
          <w:tcPr>
            <w:tcW w:w="5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Estimated</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07"/>
        </w:trPr>
        <w:tc>
          <w:tcPr>
            <w:tcW w:w="5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4"/>
          </w:tcPr>
          <w:p>
            <w:pPr>
              <w:ind w:left="700"/>
              <w:spacing w:after="0"/>
              <w:rPr>
                <w:sz w:val="20"/>
                <w:szCs w:val="20"/>
                <w:color w:val="auto"/>
              </w:rPr>
            </w:pPr>
            <w:r>
              <w:rPr>
                <w:rFonts w:ascii="Arial" w:cs="Arial" w:eastAsia="Arial" w:hAnsi="Arial"/>
                <w:sz w:val="16"/>
                <w:szCs w:val="16"/>
                <w:color w:val="auto"/>
              </w:rPr>
              <w:t>(In Millions)</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3"/>
              </w:rPr>
              <w:t>426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20"/>
                <w:szCs w:val="20"/>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1220" w:hanging="838"/>
        <w:spacing w:after="0"/>
        <w:tabs>
          <w:tab w:leader="none" w:pos="1220" w:val="left"/>
        </w:tabs>
        <w:numPr>
          <w:ilvl w:val="0"/>
          <w:numId w:val="12"/>
        </w:numPr>
        <w:rPr>
          <w:rFonts w:ascii="Arial" w:cs="Arial" w:eastAsia="Arial" w:hAnsi="Arial"/>
          <w:sz w:val="17"/>
          <w:szCs w:val="17"/>
          <w:color w:val="auto"/>
        </w:rPr>
      </w:pPr>
      <w:r>
        <w:rPr>
          <w:rFonts w:ascii="Arial" w:cs="Arial" w:eastAsia="Arial" w:hAnsi="Arial"/>
          <w:sz w:val="18"/>
          <w:szCs w:val="18"/>
          <w:color w:val="auto"/>
        </w:rPr>
        <w:t>Based on a quoted price of 98.0 at September 30, 2020 and 103.25 at December 31, 2019</w:t>
      </w:r>
      <w:r>
        <w:rPr>
          <w:rFonts w:ascii="Arial" w:cs="Arial" w:eastAsia="Arial" w:hAnsi="Arial"/>
          <w:sz w:val="17"/>
          <w:szCs w:val="17"/>
          <w:color w:val="auto"/>
        </w:rPr>
        <w: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Secured Notes valuations are classified as Level 2. The fair value of financial instruments is not indicative of the overall fair value of our assets and liabilities since financial instruments do not include all assets, including intangibles, and all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27, 2020, the President of the U.S. signed into law the CARES Act. The CARES Act provides relief to corporate taxpayers by permitting a five year carryback of 2018-2020 net operating losses (“NOLs”), removing the 80% limitation on the carryback of those NOLs, increasing the Section 163(j) 30% limitation on interest expense deductibility to 50% of adjusted taxable income for 2019 and 2020, and accelerates refunds for minimum tax credit carryforwards, along with a few other provisions. During the three and nine months ended September 30, 2020, no material adjustments were required to the income tax benefit as a result of the enactment of the CARES Act. On July 28, 2020, the U.S. Treasury Department released final regulations, which are effective January 1, 2021, and proposed regulations with guidance on the business interest expense limitation under Section 163(j). Currently, we are in the process of evaluating the effect of these regulations on our consolidated financial statements and related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7. Income Taxes (continued)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color w:val="auto"/>
              </w:rPr>
              <w:t>Benefit for income taxes is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jc w:val="right"/>
              <w:ind w:right="64"/>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304"/>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6"/>
          </w:tcPr>
          <w:p>
            <w:pPr>
              <w:jc w:val="right"/>
              <w:ind w:right="860"/>
              <w:spacing w:after="0"/>
              <w:rPr>
                <w:sz w:val="20"/>
                <w:szCs w:val="20"/>
                <w:color w:val="auto"/>
              </w:rPr>
            </w:pPr>
            <w:r>
              <w:rPr>
                <w:rFonts w:ascii="Arial" w:cs="Arial" w:eastAsia="Arial" w:hAnsi="Arial"/>
                <w:sz w:val="18"/>
                <w:szCs w:val="18"/>
                <w:color w:val="auto"/>
              </w:rPr>
              <w:t>September 30,</w:t>
            </w:r>
          </w:p>
        </w:tc>
      </w:tr>
      <w:tr>
        <w:trPr>
          <w:trHeight w:val="230"/>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07"/>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w w:val="91"/>
              </w:rPr>
              <w:t>(In Thousands)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(1,188)</w:t>
            </w:r>
          </w:p>
        </w:tc>
        <w:tc>
          <w:tcPr>
            <w:tcW w:w="760" w:type="dxa"/>
            <w:vAlign w:val="bottom"/>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(668)</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(3,079)</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(501)</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(5,296)</w:t>
            </w: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(507)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740"/>
              <w:spacing w:after="0"/>
              <w:rPr>
                <w:sz w:val="20"/>
                <w:szCs w:val="20"/>
                <w:color w:val="auto"/>
              </w:rPr>
            </w:pPr>
            <w:r>
              <w:rPr>
                <w:rFonts w:ascii="Arial" w:cs="Arial" w:eastAsia="Arial" w:hAnsi="Arial"/>
                <w:sz w:val="18"/>
                <w:szCs w:val="18"/>
                <w:color w:val="auto"/>
              </w:rPr>
              <w:t>Benefit for income taxes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(483)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2020 and 2019, the current provision (benefit) for state income taxes shown above includes regular state income tax, provisions for uncertain state income tax positions, the impact of state tax law changes and other similar adjustments.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rate for 2020 includes the impact of permanent tax differences, limits on deductible compensation, valuation allowances and other permanent items.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and we estimate the valuation allowance to be recorded during 2020 to be approximately $7.0 million. We have also determined it was more-likely-than-not that a portion of our state deferred tax assets would not be able to be utilized and we estimate the valuation allowance associated with these state deferred tax assets to be recorded during 2020 will be approximately $3.7 million.</w:t>
      </w:r>
    </w:p>
    <w:p>
      <w:pPr>
        <w:spacing w:after="0" w:line="70"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and additional guidance for various provisions of the CARES Act,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benefit for the nine months ended September 30, 2020 was $3.0 million (7% benefit on pre-tax loss) and the tax benefit for the nine months ended September 30, 2019 was $5.8 million (14% benefit on pre-tax loss). For the nine months ended September 30, 2020 and 2019, the effective tax rate is less than the statutory tax rate primarily due to the impact of the valuation allowances.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2016-2019 years remain open for all purposes of examination by the U.S. Internal Revenue Service and other major tax jurisdictions.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2020, the Series E Redeemable Preferred has a 14%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will increase (a) by 0.50% in April 2021 (b) by an additional 0.50% in April 2022 and (c) by an additional 1.0% in April 2023. The Series E Redeemable Preferred contains redemption features and a participation rights value that are being accounted for as derivative instruments and have been bifurcated from the Series E Redeemable Preferred as discussed in Note 6.</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the Series F Redeemable Preferred has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Changes in our Series E and Series F Redeemable Preferred are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Series E Redeemable Preferred</w:t>
            </w:r>
          </w:p>
        </w:tc>
      </w:tr>
      <w:tr>
        <w:trPr>
          <w:trHeight w:val="223"/>
        </w:trPr>
        <w:tc>
          <w:tcPr>
            <w:tcW w:w="17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4"/>
        </w:trPr>
        <w:tc>
          <w:tcPr>
            <w:tcW w:w="17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6"/>
                <w:szCs w:val="16"/>
                <w:color w:val="auto"/>
                <w:w w:val="92"/>
              </w:rPr>
              <w:t>(Dollars In Thousands)</w:t>
            </w:r>
          </w:p>
        </w:tc>
      </w:tr>
      <w:tr>
        <w:trPr>
          <w:trHeight w:val="235"/>
        </w:trPr>
        <w:tc>
          <w:tcPr>
            <w:tcW w:w="17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234,893</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FF0FC"/>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25,885</w:t>
            </w: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43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Nine Months Ended</w:t>
            </w:r>
          </w:p>
        </w:tc>
      </w:tr>
      <w:tr>
        <w:trPr>
          <w:trHeight w:val="229"/>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672"/>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r>
      <w:tr>
        <w:trPr>
          <w:trHeight w:val="230"/>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r>
      <w:tr>
        <w:trPr>
          <w:trHeight w:val="207"/>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5"/>
          </w:tcPr>
          <w:p>
            <w:pPr>
              <w:ind w:left="28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31,986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35,494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138,441</w:t>
            </w:r>
          </w:p>
        </w:tc>
        <w:tc>
          <w:tcPr>
            <w:tcW w:w="2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154,790</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105,579</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30,805</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75,495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262,413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10 months at September 30, 2020.</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$2.1 million and $3.6 million of contract liabilities as of September 30, 2020 and December 31, 2019, respectively. For the three and nine months ended September 30, 2020 revenues of $0.6 million and $1.5 million, respectively, were recognized and included in the balance at the beginning of the respective period. For the three and nine months ended September 30, 2019, revenues of $1.2 million and $3.2 million, respectively, were recognized and included in the balance at the beginning of the respective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we have three separate outstanding financing arrangements with an affiliate of LSB Funding as discussed in footnotes (E), (F) and (G) of Note 4. Also, an affiliate of LSB Funding holds $50 million of our Senior Secured Notes discussed in footnote (B) of Note 4. In addition, LSB Funding holds all outstanding shares of the Series E and Series F Redeemable Preferred discussed in Note 8.</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Golsen Holders hold all outstanding shares of the Series B Preferred and Series D Preferred, which accumulated dividends on such shares totaled approximately $1.5 million at September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Nine Months Ended</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September 30,</w:t>
            </w:r>
          </w:p>
        </w:tc>
      </w:t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r>
      <w:tr>
        <w:trPr>
          <w:trHeight w:val="203"/>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(In Thousands)</w:t>
            </w:r>
          </w:p>
        </w:tc>
      </w:tr>
      <w:tr>
        <w:trPr>
          <w:trHeight w:val="23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Supplies and accounts payable associated with</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additions of property, plant and equipment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12,974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21,251</w:t>
            </w:r>
          </w:p>
        </w:tc>
        <w:tc>
          <w:tcPr>
            <w:tcW w:w="80" w:type="dxa"/>
            <w:vAlign w:val="bottom"/>
          </w:tcPr>
          <w:p>
            <w:pPr>
              <w:spacing w:after="0"/>
              <w:rPr>
                <w:sz w:val="20"/>
                <w:szCs w:val="20"/>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25,885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22,609</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1,517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20"/>
                <w:szCs w:val="20"/>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NOL Rights Agreement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6, 2020, we entered into the Section 382 Rights Agreement (the “NOL Rights Agreement”), dated as of July 6, 2020, between LSB and Computershare Trust Company, N.A., as rights agent.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shareholders,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(“Group”) from acquiring beneficial ownership of 4.9% or more of our outstanding common shares.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rights issued under the NOL Rights Agreement will expire on the earliest to occur of (i) the close of business on the day following the certification of the voting results of our 2021 annual meeting of stockholders, or other duly held stockholders’ meeting, (ii) the date on which our Board of Directors (the “Board”) determines in its sole discretion that (x) the NOL Rights Agreement is no longer necessary for the preservation of material valuable NOLs or tax attributes or (y) the NOLs and tax attributes have been fully utilized and may no longer be carried forward and (iii) the close of business on July 6, 2023.</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may, in its discretion, determine that a person, entity or a certain transaction is exempt from the operation of the NOL Rights Agreement or amend the terms of the rights.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summary description of the NOL Rights Agreement does not purport to be complete and is qualified in its entirety by reference to the Rights Agreement filed as an exhibit to our Current Report on Form 8-K filed on July 6,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2020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primarily throughout the U.S.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hanging="357"/>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w:t>
      </w:r>
    </w:p>
    <w:p>
      <w:pPr>
        <w:spacing w:after="0" w:line="62" w:lineRule="exact"/>
        <w:rPr>
          <w:sz w:val="20"/>
          <w:szCs w:val="20"/>
          <w:color w:val="auto"/>
        </w:rPr>
      </w:pPr>
    </w:p>
    <w:p>
      <w:pPr>
        <w:jc w:val="both"/>
        <w:ind w:left="740" w:hanging="368"/>
        <w:spacing w:after="0" w:line="254" w:lineRule="auto"/>
        <w:tabs>
          <w:tab w:leader="none" w:pos="74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implemented and are currently managing enhanced safety programs at our facilities that focus on improving our safety culture that will reduce risks and continuously improve our safety performance.</w:t>
      </w:r>
    </w:p>
    <w:p>
      <w:pPr>
        <w:spacing w:after="0" w:line="81" w:lineRule="exact"/>
        <w:rPr>
          <w:rFonts w:ascii="Courier New" w:cs="Courier New" w:eastAsia="Courier New" w:hAnsi="Courier New"/>
          <w:sz w:val="18"/>
          <w:szCs w:val="18"/>
          <w:color w:val="auto"/>
        </w:rPr>
      </w:pPr>
    </w:p>
    <w:p>
      <w:pPr>
        <w:ind w:left="740" w:hanging="368"/>
        <w:spacing w:after="0" w:line="259" w:lineRule="auto"/>
        <w:tabs>
          <w:tab w:leader="none" w:pos="74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color w:val="auto"/>
        </w:rPr>
        <w:t>Additionally, over the last several years, our focus has been on upgrading our existing maintenance management system through technology enhancements and work processes to improve our predictive and preventative maintenance programs at our facilities.</w:t>
      </w:r>
    </w:p>
    <w:p>
      <w:pPr>
        <w:spacing w:after="0" w:line="76" w:lineRule="exact"/>
        <w:rPr>
          <w:rFonts w:ascii="Courier New" w:cs="Courier New" w:eastAsia="Courier New" w:hAnsi="Courier New"/>
          <w:sz w:val="18"/>
          <w:szCs w:val="18"/>
          <w:color w:val="auto"/>
        </w:rPr>
      </w:pPr>
    </w:p>
    <w:p>
      <w:pPr>
        <w:jc w:val="both"/>
        <w:ind w:left="740" w:hanging="368"/>
        <w:spacing w:after="0" w:line="252" w:lineRule="auto"/>
        <w:tabs>
          <w:tab w:leader="none" w:pos="740" w:val="left"/>
        </w:tabs>
        <w:numPr>
          <w:ilvl w:val="1"/>
          <w:numId w:val="14"/>
        </w:numPr>
        <w:rPr>
          <w:rFonts w:ascii="Courier New" w:cs="Courier New" w:eastAsia="Courier New" w:hAnsi="Courier New"/>
          <w:sz w:val="18"/>
          <w:szCs w:val="18"/>
          <w:color w:val="auto"/>
        </w:rPr>
      </w:pPr>
      <w:r>
        <w:rPr>
          <w:rFonts w:ascii="Arial" w:cs="Arial" w:eastAsia="Arial" w:hAnsi="Arial"/>
          <w:sz w:val="18"/>
          <w:szCs w:val="18"/>
          <w:color w:val="auto"/>
        </w:rPr>
        <w:t>We have several initiatives underway that we believe will improve the overall reliability of our plants and allow us to produce more products for sale while lowering our cost of production. Those initiatives are focused on building internal expertise to improve oversight of external contractors, operating behavior and procedure enhancements including operator training, leadership training, shift change enhancements and operating and maintenance procedures and developing systems to advance the use of process data to identify and correct anomalies in the manufacturing processes and asset performance.</w:t>
      </w:r>
    </w:p>
    <w:p>
      <w:pPr>
        <w:spacing w:after="0" w:line="84" w:lineRule="exact"/>
        <w:rPr>
          <w:rFonts w:ascii="Courier New" w:cs="Courier New" w:eastAsia="Courier New" w:hAnsi="Courier New"/>
          <w:sz w:val="18"/>
          <w:szCs w:val="18"/>
          <w:color w:val="auto"/>
        </w:rPr>
      </w:pPr>
    </w:p>
    <w:p>
      <w:pPr>
        <w:jc w:val="both"/>
        <w:ind w:left="540" w:hanging="357"/>
        <w:spacing w:after="0" w:line="270"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Continue Broadening the Distribution of our Products. </w:t>
      </w:r>
      <w:r>
        <w:rPr>
          <w:rFonts w:ascii="Arial" w:cs="Arial" w:eastAsia="Arial" w:hAnsi="Arial"/>
          <w:sz w:val="17"/>
          <w:szCs w:val="17"/>
          <w:color w:val="auto"/>
        </w:rPr>
        <w:t>To further leverage our plants current production capacity, we are continuing to expand the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our industrial and mining products by partnering with customers to take product into different markets within the U.S. as well as markets outside the U.S. In October 2020, we announced a new long- term nitric acid supply contract with a customer. Under the agreement, we will supply between 70,000 to 100,000 tons of nitric acid per year, with sales beginning in the first quarter of 2021. This contract advances our focus to leverage underutilized nitric acid production capacity at our El Dorado Facility. We also executed a new contract to capture and sell carbon dioxide out of our El Dorado Facility, where our customer is building a guest plant. We expect to begin sales under this agreement in the fourth quarter of 2021. Additionally, early in the second quarter, we completed a key storage project that will allow us to further maximize our production of HDAN at our El Dorado Facility, which we expect to enable us to achieve higher production, a lower cost per ton and increased sales of that product during periods of more attractive pricing.</w:t>
      </w:r>
    </w:p>
    <w:p>
      <w:pPr>
        <w:spacing w:after="0" w:line="72" w:lineRule="exact"/>
        <w:rPr>
          <w:rFonts w:ascii="Arial" w:cs="Arial" w:eastAsia="Arial" w:hAnsi="Arial"/>
          <w:sz w:val="17"/>
          <w:szCs w:val="17"/>
          <w:color w:val="auto"/>
        </w:rPr>
      </w:pPr>
    </w:p>
    <w:p>
      <w:pPr>
        <w:jc w:val="both"/>
        <w:ind w:left="540" w:hanging="357"/>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capital. We believe that continued improvement in operating performance combined with economic recovery from the COVID-19 pandemic and improved pricing for our products will be a benefit in achieving those efforts.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facilities we operate have been designated as essential critical infrastructure based on guidelines issued by the United States Department of Homeland Security’s Cybersecurity and Infrastructure Security Agency. Since we produce fertilizer products used by the agriculture industry, as well as chemical products required in a variety of industrial manufacturing processes, LSB has been determined to be a critical service provider, and therefore, our facilities have remained operational despite the government mandated operational limitations or business closings resulting from the federal, state and local government responses to the evolving global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health crisis resulting from the COVID-19 pandemic. Management has taken significant measures to ensure the health and safety of our employees and our business continuity during this challenging situation. For our personnel at our manufacturing facilities and retail agricultural centers, we have developed plans and procedures that have allowed them to operate in a safe manner in order to protect them, their families, our vendors and our customers. These include daily health screenings, including temperature checks and questionnaires, use of proper personal protection equipment, regular disinfection and cleaning of equipment and workspaces, social distancing, working from home where appropriate and quarantining of employees according to specific protocols. Our efforts have been successful to date as we have had only a small number of employees known to contract COVID-19. We intend to maintain our discipline in this regard for however long the current health risk persists.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nitrogen chemical industry continued to be pressured during the third quarter of 2020. As a result of the COVID-19 global economic downturn and the resultant decline in energy prices, industry operating rates globally have risen, resulting in greater supply and lower fertilizer pricing. Pricing for all major agricultural product categories was impacted by the continued oversupply of ammonia in our primary end markets, along with increased imports of some of our downstream products. Industrial and mining sales volume declined as a result of pandemic-related weakness in demand in several of our end markets.</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Looking ahead to the fourth quarter of 2020, while much of the U.S. economy has a least partially reopened, substantial uncertainty remains for the balance of the year with respect to our various end markets. On the agricultural side, the fall harvest is currently picking up momentum after some delay resulting from warm weather throughout much of the country in recent weeks. Also, the corn market has recently experienced some positive indicators. The corn acres planted for the 2020 planting season are now expected to be approximately 91 million, which is up from 2019 plantings of 89 million. Also, the U.S. Department of Agriculture (the “USDA”) revised downward its estimates on U.S. ending corn inventory to 55 million metric tons compared to approximately 67 million metric tons estimated in July. In addition, demand from ethanol-related consumption has increased since the second quarter, although overall demand continues to be lower compared to 2019 due to the stay-at-home orders, we experienced in the U.S. Lower expected corn inventory is currently improving crop pricing and may translate into higher fertilizer pricing for the balance of 2020. However, improvements in fertilizer pricing could be tempered from additional imported fertilizers. With respect to industrial and mining sales volume, we are seeing gradual improvement in demand for nitric acid, industrial ammonia and ammonium nitrate as sectors such as automotive manufacturing, home building, and copper mining have increased activity. Also see discussion below concerning a new long-term nitric acid supply contract with a customer.</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liquidity front, as of September 30, 2020, we had approximately $78.4 million of combined cash and borrowing capacity, which, we believe, provides us with ample liquidity to fund our operations and meet our obligations.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footnote (G) of Note 4, in August 2020, EDA entered into a $30 million secured financing arrangement with an affiliate of LSB Funding with an interest rate of 8.75%. Beginning in September 2020, principal and interest are payable in 60 equal monthly installments with a final balloon payment of approximately $5 million due in August 2025. This $30 million financing arrangement is secured by an ammonia storage tank and is guaranteed by LSB. A portion of the proceeds from this secured financing arrangement was used to pay off the Secured Promissory Note that was scheduled to mature in May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discussions below under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Nitric Acid Supply Contract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October 2020, EDC entered into a new long-term nitric acid supply contract with a customer. Under the agreement, EDC will supply between 70,000 to 100,000 tons of nitric acid annually. The initial contract term extends through 2027 but includes automatic one-year renewal terms unless terminated by either party pursuant to the terms of the contract. Sales are expected to begin in the first quarter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our agricultural products were approximately 43% of our total net sales for the third quarter of 2020.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harvest, while the specific varieties and amounts of fertilizer they apply depend on factors such as their financial resources, soil conditions, weather patterns and the types of crops planted.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changes in corn prices and those of soybean, cotton and wheat prices, can affect the number of acres of corn planted in a given year, and the number of acres planted will drive the level of nitrogen fertilizer consumption, likely effecting prices. The USDA estimates the number of acres of corn being planted in the U.S. in 2020 to be approximately 91 million acres. In addition, the USDA estimates corn production for the 2020 harvest at approximately 14.7 billion bushels, up 8 percent from the 2019 harvest. The average yield in the U.S. is estimated at 178.4 bushels per acre, 10.9 bushels above the 2019 harvest yield of 167.5 bushels per acre.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October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2021 Crop</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(2020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(2018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Report (1)</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October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400" w:type="dxa"/>
            <w:vAlign w:val="bottom"/>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14,722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400" w:type="dxa"/>
            <w:vAlign w:val="bottom"/>
          </w:tcPr>
          <w:p>
            <w:pPr>
              <w:jc w:val="right"/>
              <w:spacing w:after="0"/>
              <w:rPr>
                <w:sz w:val="20"/>
                <w:szCs w:val="20"/>
                <w:color w:val="auto"/>
              </w:rPr>
            </w:pPr>
            <w:r>
              <w:rPr>
                <w:rFonts w:ascii="Arial" w:cs="Arial" w:eastAsia="Arial" w:hAnsi="Arial"/>
                <w:sz w:val="18"/>
                <w:szCs w:val="18"/>
                <w:color w:val="auto"/>
              </w:rPr>
              <w:t>14,340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380" w:type="dxa"/>
            <w:vAlign w:val="bottom"/>
          </w:tcPr>
          <w:p>
            <w:pPr>
              <w:jc w:val="right"/>
              <w:spacing w:after="0"/>
              <w:rPr>
                <w:sz w:val="20"/>
                <w:szCs w:val="20"/>
                <w:color w:val="auto"/>
              </w:rPr>
            </w:pPr>
            <w:r>
              <w:rPr>
                <w:rFonts w:ascii="Arial" w:cs="Arial" w:eastAsia="Arial" w:hAnsi="Arial"/>
                <w:sz w:val="18"/>
                <w:szCs w:val="18"/>
                <w:color w:val="auto"/>
              </w:rPr>
              <w:t>300.5</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304.2</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319.8</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obtained from WASDE reports dated October 9, 2020 (“October Report”) for the 2020/2021 (“2021 Crop”), 2019/2020 (“2020 Crop”) and 2018/2019 (“2019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2020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2019 Crop amounts.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a challenging 2019 for U.S. corn farmers, a lower 2019 harvest and a decline in the stock-to-use ratio for corn, the USDA is estimating an increase in planted corn acres for the 2020 planting season representing an approximate 1.4% increase in corn acres year over year. However, with continuing national restrictions and stay at home orders placed on traveling earlier this year, in an attempt to slow the spread of the COVID-19 pandemic, gasoline usage had been significantly curtailed causing a slowdown in production across many U.S. ethanol facilities. With the easing of the pandemic-related restrictions and the onset of summer driving season in the third quarter, demand for ethanol improved after bottoming out in April, however, it is expected to average well below 2019 U.S. ethanol production. Most gasoline has 10% ethanol content. Ethanol is commonly made from corn and ethanol production is the largest user of U.S. corn, representing roughly 40% of total U.S. corn demand. As compared to the USDA July report, the USDA decreased corn demand from ethanol production by 150 million bushels for 2020 as a result of overall lower expected ethanol demand. However, the USDA also lowered expected planted acres by 1 million acres and slight decline in yield per acre. As a result, the USDA significantly decreased the ending corn stocks forecast from the 2020 harvest to 55 million metric tons from approximately 67 million metric tons. This decrease in ending corn stocks has elevated current and projected corn prices, which may positively impact fertilizer demand and prices for the 2020 fall and 2021 spring planting seasons.</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Following the expansions, global nitrogen fertilizer supply outpaced global nitrogen fertilizer demand causing oversupply in the global and North American markets. In addition, the new domestic supply of ammonia and other fertilizer products changed the physical flow of ammonia in North America placing pressure on nitrogen fertilizer selling prices as the new capacity was absorbed by the market. More recently, ammonia pricing has been under pressure as a result of inordinately inclement weather in late 2018 and 2019, which led to limited fertilizer application and resultant elevated ammonia inventory levels in the domestic distribution channel. Additionally, UAN prices have pulled back in part, due to European anti-dumping duties that were imposed on imports from certain countries, including the U.S., which has caused increased imports of UAN into the U.S. primarily from Trinidad and Russia and exports from the U.S. to decrease, resulting in increased overall supply in the U.S market. Also, ammonia prices in the Southern Plains market have been under additional pricing pressure relating to the closure of the Magellan ammonia pipeline discussed below under “Transportation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industrial products were approximately 44% of our total net sales for the third quarter of 2020. Our industrial products sales volumes are dependent upon general economic conditions primarily in the housing, automotive, and paper industries. According to the American Chemistry Council, the U.S. economic indicators are experiencing weakness and contracting in the wake of the COVID-19 pandemic and its impact on the U.S market we serve in addition to weakness in the global economy. Our sales prices generally vary with the market price of ammonia or natural gas, as applicable, in our pricing arrangements with customers. See discussion above concerning a new long-term nitric acid supply contract under “Recent Business Developments.”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of our mining products were approximately 13% of our total net sales for the third quarter of 2020. Our mining products are LDAN and AN solution, which are primary used as AN fuel oil and specialty emulsions for usage in the quarry and the construction industries, for metals mining, and to a lesser extent, for coal. In our mining markets, our sales volumes are typically driven by changes in the overall North American consumption levels of mining products that can be impacted by weather. Additionally, reduction in coal mining activities, due in part, to the shift from coal to natural gas and renewable power sources such as wind and solar in the electrical generation sector, is increasing competition within the other sectors of this market. We believe our plants are well located to support the more stable quarry and construction industries and the metals mining industries. Although our mining sales volumes for the third quarter of 2020 improved compared to the same period of 2019, customer demand for the quarter was impacted due to COVID-19’s impact on our customer base which resulted in mine closures or reductions in mining operating rates.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have been positively affected. Over the last several months, the COVID-19 global economic downturn and resultant decline in energy prices has lowered natural gas costs in countries where low natural gas has not been the norm. Although the North American cost advantage has narrowed, North America is still the low-cost producer. While we believe a recovery in global markets and easing of stay-at-home orders combined with a reduction in global natural gas production will lead to a long-term increase in global natural gas prices, in the short term we believe the low-price environment will continue.</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As noted in Note 6, we also have certain forward natural gas contracts.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03"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p>
      <w:pPr>
        <w:ind w:left="7440"/>
        <w:spacing w:after="0"/>
        <w:tabs>
          <w:tab w:leader="none" w:pos="87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1"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Additionally, the Magellan ammonia pipeline, which had an annual capacity to transport approximately 900,000 tons per year, most of which was produced in Oklahoma and Texas and delivered via the pipeline in the Midwest has been permanently shut down. Without the pipeline in place for ammonia transport, producers that relied on the pipeline to transport their ammonia now have to rely on other transportation modes, primarily trucks, but will also include rail and barge transport of ammonia. Due to increases in demand for ammonia trucks during the spring and fall planting seasons, higher transportation costs have and could continue to impact our margins, if we were unable to fully pass through these costs to our customers. As a result, we continue to evaluate supply chain efficiencies to reduce or counter the impact of higher logistics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Pryor Facility is currently on a two-year Turnaround cycle with the next Turnaround planned for the third quarter of 2021. At that time, we will seek to move to a three-year Turnaround cycle.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El Dorado Facility is currently on a three-year Turnaround cycle with the next Turnaround planned in the third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Cherokee Facility is currently on a three-year Turnaround cycle with the next Turnaround planned in the third quarter of 2021.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third quarter of 2020 were $74.0 million compared to $75.5 million for the same period in 2019. Our consolidated operating loss was $9.0 million compared to $19.2 million for the same period in 2019.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third quarter of 2020, average agricultural selling prices for our ammonia, UAN and HDAN decreased 26%, 22% and 18%, respectively, compared to the same period in 2019. As discussed above under “Key Industry Factors,” the COVID-19 economic downturn and the resultant decline in energy prices has led to lower natural gas prices globally. These factors have led to an increase in operating rates for nitrogen producers around the globe, resulting in greater supply of nitrogen products and lower fertilizer pricing. This, combined with elevated ammonia inventory levels from the inordinately inclement weather throughout the Midwest in 2019 and the closure of the Magellan ammonia pipeline in September 2019, has led to excess ammonia supply in the Southern Plains market. Also pricing pressures were driven by the impact of ammonia producers selling ammonia that would otherwise have been sold into the industrial market but was instead sold into the agricultural market due to the pandemic-related slowdown of the industrial market. UAN prices were negatively impacted by European anti-dumping duties, which resulted in less exports of UAN from the U.S. and more imports of UAN from Russia and Trinidad into the U.S. HDAN prices were impacted by the overall decline in agricultural commodity prices.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third quarter 2020 average industrial selling prices for our products were lower compared to the same period of 2019 as a result of the aforementioned negative impact on the markets we serve from the COVID-19 pandemic and the elevated ammonia inventory levels. The Tampa Ammonia pricing has declined 6% compared to the same period in 2019, which led to a decrease in industrial selling prices as many of our industrial contracts are indexed to the Tampa Ammonia benchmark price. Our third quarter 2020 average mining selling prices were lower compared to the same period of 2019 primarily as a result of certain mining sales contracts are linked to natural gas indexes and as the cost of natural gas declines, the pricing for these products declines accordingly.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Fees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third quarters of 2020 and 2019, legal fees were approximately $1.3 million and $3.6 million, respectively. The change primarily relates to fees incurred as we pursue our claims against Leidos to recover damages and losses associated with the construction of the ammonia plant at the El Dorado Facility as discussed in footnote B of Note 5. Due to the impact from the COVID-19 pandemic, the trial date has been delayed and we are awaiting a new trial date. Once a new trial date is set, we expect these costs will increase as we restart preparations for the trial.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Turnaround Expense (2019 only)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third quarter of 2019, we incurred Turnaround costs totaling approximately $7.2 million relating to a Turnaround at our Pryor Facility of which 24 days occurred during the third quarter of 2019, and an 18-day Turnaround performed at our El Dorado Facility. Turnaround costs are included in cost of sales.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Turnaround costs discussed above do not include the impact on operating results relating to lost absorption of fixed costs or the reduced margins due to the lost production and subsequent sales of product from our plants being shut down during the Turnaround.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2020 and 2019 and accompanying notes and the discussions under “Overview” and “Liquidity and Capital Resources” included in this MD&amp;A.</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(loss) represents net sales less cost of sales. Net sales are reported on a gross basis with the cost of freight being recorded in cost of sales.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2020 Compared to Three Months Ended September 30,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4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4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r>
      <w:tr>
        <w:trPr>
          <w:trHeight w:val="243"/>
        </w:trPr>
        <w:tc>
          <w:tcPr>
            <w:tcW w:w="4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r>
      <w:tr>
        <w:trPr>
          <w:trHeight w:val="207"/>
        </w:trPr>
        <w:tc>
          <w:tcPr>
            <w:tcW w:w="4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6"/>
                <w:szCs w:val="16"/>
                <w:color w:val="auto"/>
                <w:w w:val="93"/>
              </w:rPr>
              <w:t>(Dollars In Thousands)</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Agricultural products</w:t>
            </w:r>
          </w:p>
        </w:tc>
        <w:tc>
          <w:tcPr>
            <w:tcW w:w="9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31,986</w:t>
            </w:r>
          </w:p>
        </w:tc>
        <w:tc>
          <w:tcPr>
            <w:tcW w:w="120" w:type="dxa"/>
            <w:vAlign w:val="bottom"/>
          </w:tcPr>
          <w:p>
            <w:pPr>
              <w:spacing w:after="0"/>
              <w:rPr>
                <w:sz w:val="19"/>
                <w:szCs w:val="19"/>
                <w:color w:val="auto"/>
              </w:rPr>
            </w:pP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35,494</w:t>
            </w:r>
          </w:p>
        </w:tc>
        <w:tc>
          <w:tcPr>
            <w:tcW w:w="3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(3,508)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40,001</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r>
      <w:tr>
        <w:trPr>
          <w:trHeight w:val="26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net sales</w:t>
            </w:r>
          </w:p>
        </w:tc>
        <w:tc>
          <w:tcPr>
            <w:tcW w:w="7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73,969</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75,495</w:t>
            </w:r>
          </w:p>
        </w:tc>
        <w:tc>
          <w:tcPr>
            <w:tcW w:w="3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4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Gross profit (loss):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9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(239)</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49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11,990</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23"/>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15,148</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(17,362)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(17,649)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(7,232)</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Total gross loss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(9,733)</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8,674</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(2,047)</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3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(19,231)</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expense, net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(887)</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49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(30,794)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70"/>
        </w:trPr>
        <w:tc>
          <w:tcPr>
            <w:tcW w:w="4940" w:type="dxa"/>
            <w:vAlign w:val="bottom"/>
          </w:tcPr>
          <w:p>
            <w:pPr>
              <w:ind w:left="140"/>
              <w:spacing w:after="0"/>
              <w:rPr>
                <w:sz w:val="20"/>
                <w:szCs w:val="20"/>
                <w:color w:val="auto"/>
              </w:rPr>
            </w:pPr>
            <w:r>
              <w:rPr>
                <w:rFonts w:ascii="Arial" w:cs="Arial" w:eastAsia="Arial" w:hAnsi="Arial"/>
                <w:sz w:val="18"/>
                <w:szCs w:val="18"/>
                <w:color w:val="auto"/>
              </w:rPr>
              <w:t xml:space="preserve">Gross profit (loss) percentage </w:t>
            </w:r>
            <w:r>
              <w:rPr>
                <w:rFonts w:ascii="Arial" w:cs="Arial" w:eastAsia="Arial" w:hAnsi="Arial"/>
                <w:sz w:val="14"/>
                <w:szCs w:val="14"/>
                <w:color w:val="auto"/>
              </w:rPr>
              <w:t>(3)</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3"/>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10"/>
        </w:trPr>
        <w:tc>
          <w:tcPr>
            <w:tcW w:w="49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7,589</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22"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Change</w:t>
            </w:r>
          </w:p>
        </w:tc>
        <w:tc>
          <w:tcPr>
            <w:tcW w:w="8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color w:val="auto"/>
                <w:w w:val="93"/>
              </w:rPr>
              <w:t>Industrial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Agricultural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rPr>
              <w:t>Mining</w:t>
            </w:r>
          </w:p>
        </w:tc>
        <w:tc>
          <w:tcPr>
            <w:tcW w:w="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Agricultural</w:t>
            </w: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color w:val="auto"/>
                <w:w w:val="98"/>
              </w:rPr>
              <w:t>Mining</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rPr>
              <w:t>Mining</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Products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Products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Products</w:t>
            </w:r>
          </w:p>
        </w:tc>
        <w:tc>
          <w:tcPr>
            <w:tcW w:w="12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Products</w:t>
            </w: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Products</w:t>
            </w:r>
          </w:p>
        </w:tc>
        <w:tc>
          <w:tcPr>
            <w:tcW w:w="1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Products</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FF0FC"/>
            </w:tcBorders>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2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13,418</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11,990</w:t>
            </w:r>
          </w:p>
        </w:tc>
        <w:tc>
          <w:tcPr>
            <w:tcW w:w="2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740" w:hanging="368"/>
        <w:spacing w:after="0" w:line="266"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 See reconciliation included in the financial information table above.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color w:val="auto"/>
                <w:w w:val="99"/>
              </w:rPr>
              <w:t>Three Months Ended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53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7"/>
        </w:trPr>
        <w:tc>
          <w:tcPr>
            <w:tcW w:w="516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4080" w:type="dxa"/>
            <w:vAlign w:val="bottom"/>
            <w:tcBorders>
              <w:right w:val="single" w:sz="8" w:color="CFF0FC"/>
            </w:tcBorders>
            <w:gridSpan w:val="2"/>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140,524</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105,847</w:t>
            </w:r>
          </w:p>
        </w:tc>
        <w:tc>
          <w:tcPr>
            <w:tcW w:w="2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20,181</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19,420</w:t>
            </w:r>
          </w:p>
        </w:tc>
        <w:tc>
          <w:tcPr>
            <w:tcW w:w="2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right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191,329</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160,949</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55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center"/>
              <w:ind w:right="1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7"/>
        </w:trPr>
        <w:tc>
          <w:tcPr>
            <w:tcW w:w="5160" w:type="dxa"/>
            <w:vAlign w:val="bottom"/>
            <w:tcBorders>
              <w:top w:val="single" w:sz="8" w:color="CFF0FC"/>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c>
          <w:tcPr>
            <w:tcW w:w="40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160" w:type="dxa"/>
            <w:vAlign w:val="bottom"/>
            <w:tcBorders>
              <w:right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400" w:type="dxa"/>
            <w:vAlign w:val="bottom"/>
            <w:gridSpan w:val="2"/>
            <w:shd w:val="clear" w:color="auto" w:fill="CFF0FC"/>
          </w:tcPr>
          <w:p>
            <w:pPr>
              <w:jc w:val="right"/>
              <w:ind w:right="69"/>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17"/>
        </w:trPr>
        <w:tc>
          <w:tcPr>
            <w:tcW w:w="51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4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56,854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11,512</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20" w:type="dxa"/>
            <w:vAlign w:val="bottom"/>
            <w:gridSpan w:val="3"/>
          </w:tcPr>
          <w:p>
            <w:pPr>
              <w:ind w:left="240"/>
              <w:spacing w:after="0"/>
              <w:rPr>
                <w:sz w:val="20"/>
                <w:szCs w:val="20"/>
                <w:color w:val="auto"/>
              </w:rPr>
            </w:pPr>
            <w:r>
              <w:rPr>
                <w:rFonts w:ascii="Arial" w:cs="Arial" w:eastAsia="Arial" w:hAnsi="Arial"/>
                <w:sz w:val="18"/>
                <w:szCs w:val="18"/>
                <w:color w:val="auto"/>
              </w:rPr>
              <w:t>Nitric Acid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Industrial Products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FF0FC"/>
            </w:tcBorders>
            <w:gridSpan w:val="3"/>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101,651</w:t>
            </w:r>
          </w:p>
        </w:tc>
        <w:tc>
          <w:tcPr>
            <w:tcW w:w="2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90,204</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w:t>
            </w:r>
          </w:p>
        </w:tc>
        <w:tc>
          <w:tcPr>
            <w:tcW w:w="22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10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91"/>
              </w:rPr>
              <w:t>Tampa Ammonia Benchmark (price per metric ton)</w:t>
            </w:r>
          </w:p>
        </w:tc>
        <w:tc>
          <w:tcPr>
            <w:tcW w:w="142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207</w:t>
            </w:r>
          </w:p>
        </w:tc>
        <w:tc>
          <w:tcPr>
            <w:tcW w:w="20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221</w:t>
            </w:r>
          </w:p>
        </w:tc>
        <w:tc>
          <w:tcPr>
            <w:tcW w:w="2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2"/>
        </w:trPr>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60" w:type="dxa"/>
            <w:vAlign w:val="bottom"/>
            <w:gridSpan w:val="4"/>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Percentage</w:t>
            </w:r>
          </w:p>
        </w:tc>
        <w:tc>
          <w:tcPr>
            <w:tcW w:w="560" w:type="dxa"/>
            <w:vAlign w:val="bottom"/>
          </w:tcPr>
          <w:p>
            <w:pPr>
              <w:spacing w:after="0"/>
              <w:rPr>
                <w:sz w:val="21"/>
                <w:szCs w:val="21"/>
                <w:color w:val="auto"/>
              </w:rPr>
            </w:pPr>
          </w:p>
        </w:tc>
      </w:tr>
      <w:tr>
        <w:trPr>
          <w:trHeight w:val="217"/>
        </w:trPr>
        <w:tc>
          <w:tcPr>
            <w:tcW w:w="5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2620" w:type="dxa"/>
            <w:vAlign w:val="bottom"/>
            <w:gridSpan w:val="2"/>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Change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Change</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Borders>
              <w:bottom w:val="single" w:sz="8" w:color="CFF0FC"/>
            </w:tcBorders>
            <w:shd w:val="clear" w:color="auto" w:fill="000000"/>
          </w:tcPr>
          <w:p>
            <w:pPr>
              <w:spacing w:after="0" w:line="20" w:lineRule="exact"/>
              <w:rPr>
                <w:sz w:val="1"/>
                <w:szCs w:val="1"/>
                <w:color w:val="auto"/>
              </w:rPr>
            </w:pPr>
          </w:p>
        </w:tc>
        <w:tc>
          <w:tcPr>
            <w:tcW w:w="2540" w:type="dxa"/>
            <w:vAlign w:val="bottom"/>
            <w:tcBorders>
              <w:bottom w:val="single" w:sz="8" w:color="CFF0FC"/>
            </w:tcBorders>
          </w:tcPr>
          <w:p>
            <w:pPr>
              <w:spacing w:after="0" w:line="20" w:lineRule="exact"/>
              <w:rPr>
                <w:sz w:val="1"/>
                <w:szCs w:val="1"/>
                <w:color w:val="auto"/>
              </w:rPr>
            </w:pPr>
          </w:p>
        </w:tc>
        <w:tc>
          <w:tcPr>
            <w:tcW w:w="16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LDAN/HDAN/AN Solution</w:t>
            </w:r>
          </w:p>
        </w:tc>
        <w:tc>
          <w:tcPr>
            <w:tcW w:w="1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41,469</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96"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Agricultural product sales decreased driven by lower selling prices for all of our agricultural products as discussed above under “Items Affecting Comparability of Results of the Third Quarter.” Additionally, hot and very dry weather across the Southern Plains delayed the shipment of HDAN fill tons during the quarter resulting in lower overall sales volumes during the 2020 third quarter. The impact from the decline in selling prices and lower HDAN volume was partially offset by an increase in sales volume of UAN from higher production from our Pryor Facility as a result of a new Urea reactor, which was installed in the fourth quarter of 2019 and the resultant improvement in production rates.</w:t>
      </w:r>
    </w:p>
    <w:p>
      <w:pPr>
        <w:spacing w:after="0" w:line="53"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industrial product sales increased primarily from higher sales volumes of ammonia and other industrial products despite the affect from the COVID-19 pandemic on the end markets we serve. Offsetting this volume increase were lower selling prices due primarily to lower Tampa Ammonia benchmark pricing. The average Tampa ammonia pricing was approximately $14 per ton lower compared to the same period in 2019. Additionally, nitric acid sales volumes continue to be impacted by pandemic related market weakness in polyurethane end markets.</w:t>
      </w:r>
    </w:p>
    <w:p>
      <w:pPr>
        <w:spacing w:after="0" w:line="79"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Mining products sales improved slightly driven by increased sales volumes partially offset by lower selling prices. Certain mining sales contracts are linked to natural gas indexes and as the cost of natural gas declines, the pricing for these products declines accordingly.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(Loss)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noted in the tables above, we recognized a gross loss of $1.1 million for the third quarter of 2020 compared to $9.7 million for the same period in 2019, or an $8.7 million improvement. Overall, our gross loss percentage was (1.4)% compared to (12.9)% for the same period in 2019.</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agricultural products adjusted gross profit percentage increased slightly to 9.1% for the third quarter of 2020 from 8.9% for the third quarter of 2019 due primarily to higher sales volumes of UAN and lower production costs partially offset by declines in selling prices for all of our agricultural products, as discussed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Industrial and mining products adjusted gross profit percentage increased to 32% for the third quarter of 2020 from 30% for the same period in 2019 primarily driven by a shift of product mix, higher sales volumes of ammonia, and lower production costs partially offset by lower selling prices as discussed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items discussed above, the decline in our gross loss was also impacted by approximately $2.7 million in lower natural gas costs per MMBtu. Also, during the third quarter of 2019, we incurred Turnaround costs totaling approximately $7.2 million (no Turnarounds were performed during the same period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$7.1 million for the third quarter of 2020, a decrease of $2.0 million compared to the same period in 2019. The decrease was primarily driven by lower professional fees including legal fees associated with the legal matter discussed above under “Items Affecting Comparability of Results of the Third Quarter.”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third quarter of 2020 was $1.4 million compared to $0.5 million for the same period in 2019. For the third quarter of 2020, the effective tax rate was impacted by adjustments made to our valuation allowances. For the third quarter of 2019, the effective tax rate was impacted by adjustments made to our valuation allowances and enacted state tax law changes. The resulting effective tax rate for the third quarters of 2020 and 2019 was 7% and 2% (benefit on pre-tax loss), respectively. Also see discussion in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72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0"/>
              </w:rPr>
              <w:t>Nine Months Ended September 30, 2020 Compared to Nine Months Ended September 30, 2019</w:t>
            </w:r>
          </w:p>
        </w:tc>
        <w:tc>
          <w:tcPr>
            <w:tcW w:w="8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920"/>
              <w:spacing w:after="0"/>
              <w:rPr>
                <w:sz w:val="20"/>
                <w:szCs w:val="20"/>
                <w:color w:val="auto"/>
              </w:rPr>
            </w:pPr>
            <w:r>
              <w:rPr>
                <w:rFonts w:ascii="Arial" w:cs="Arial" w:eastAsia="Arial" w:hAnsi="Arial"/>
                <w:sz w:val="18"/>
                <w:szCs w:val="18"/>
                <w:color w:val="auto"/>
              </w:rPr>
              <w:t>Nine Months Ended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6"/>
                <w:szCs w:val="16"/>
                <w:color w:val="auto"/>
                <w:w w:val="92"/>
              </w:rPr>
              <w:t>(Dollars In Thousands)</w:t>
            </w: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138,441</w:t>
            </w:r>
          </w:p>
        </w:tc>
        <w:tc>
          <w:tcPr>
            <w:tcW w:w="60" w:type="dxa"/>
            <w:vAlign w:val="bottom"/>
          </w:tcPr>
          <w:p>
            <w:pPr>
              <w:spacing w:after="0"/>
              <w:rPr>
                <w:sz w:val="19"/>
                <w:szCs w:val="19"/>
                <w:color w:val="auto"/>
              </w:rPr>
            </w:pP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154,790</w:t>
            </w:r>
          </w:p>
        </w:tc>
        <w:tc>
          <w:tcPr>
            <w:tcW w:w="3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(16,349)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123,972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136,384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(12,412)</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262,413</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291,174</w:t>
            </w:r>
          </w:p>
        </w:tc>
        <w:tc>
          <w:tcPr>
            <w:tcW w:w="3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(28,761)</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1980" w:type="dxa"/>
            <w:vAlign w:val="bottom"/>
            <w:shd w:val="clear" w:color="auto" w:fill="CFF0FC"/>
          </w:tcPr>
          <w:p>
            <w:pPr>
              <w:spacing w:after="0"/>
              <w:rPr>
                <w:sz w:val="18"/>
                <w:szCs w:val="18"/>
                <w:color w:val="auto"/>
              </w:rPr>
            </w:pPr>
          </w:p>
        </w:tc>
        <w:tc>
          <w:tcPr>
            <w:tcW w:w="3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Agricultural products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20,750</w:t>
            </w:r>
          </w:p>
        </w:tc>
        <w:tc>
          <w:tcPr>
            <w:tcW w:w="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(8,184)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Industrial and mining products </w:t>
            </w:r>
            <w:r>
              <w:rPr>
                <w:rFonts w:ascii="Arial" w:cs="Arial" w:eastAsia="Arial" w:hAnsi="Arial"/>
                <w:sz w:val="14"/>
                <w:szCs w:val="14"/>
                <w:color w:val="auto"/>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47,693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(1,650)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66,793</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76,627</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(9,834)</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(51,529)</w:t>
            </w: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(370)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(7,836)</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7,791</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Recovery from settlements with certain vendors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5,664</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17,262</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3,251</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25,578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24,705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873</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2,510</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14"/>
                <w:szCs w:val="14"/>
                <w:color w:val="auto"/>
              </w:rPr>
              <w:t>(4)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4,200</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Non-operating other income, net</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(5,816)</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2,808</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(35,703)</w:t>
            </w:r>
          </w:p>
        </w:tc>
        <w:tc>
          <w:tcPr>
            <w:tcW w:w="3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(4,516)</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1980" w:type="dxa"/>
            <w:vAlign w:val="bottom"/>
            <w:shd w:val="clear" w:color="auto" w:fill="CFF0FC"/>
          </w:tcPr>
          <w:p>
            <w:pPr>
              <w:spacing w:after="0"/>
              <w:rPr>
                <w:sz w:val="18"/>
                <w:szCs w:val="18"/>
                <w:color w:val="auto"/>
              </w:rPr>
            </w:pPr>
          </w:p>
        </w:tc>
        <w:tc>
          <w:tcPr>
            <w:tcW w:w="3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(5)</w:t>
            </w:r>
          </w:p>
        </w:tc>
        <w:tc>
          <w:tcPr>
            <w:tcW w:w="2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73"/>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1,775</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 non-GAAP measure since the amount excludes unallocated depreciation, amortization and Turnaround expenses and a recovery from settlements.</w:t>
      </w:r>
    </w:p>
    <w:p>
      <w:pPr>
        <w:spacing w:after="0" w:line="45" w:lineRule="exact"/>
        <w:rPr>
          <w:rFonts w:ascii="Arial" w:cs="Arial" w:eastAsia="Arial" w:hAnsi="Arial"/>
          <w:sz w:val="14"/>
          <w:szCs w:val="14"/>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55"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discussion in “Contingencies” of Note 1.</w:t>
      </w:r>
    </w:p>
    <w:p>
      <w:pPr>
        <w:spacing w:after="0" w:line="22"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interest expense of $1.5 million associated with a litigation judgment issued during the first nine months of 2020 as discussed in footnote (B) of Note 5.</w:t>
      </w:r>
    </w:p>
    <w:p>
      <w:pPr>
        <w:spacing w:after="0" w:line="41" w:lineRule="exact"/>
        <w:rPr>
          <w:rFonts w:ascii="Arial" w:cs="Arial" w:eastAsia="Arial" w:hAnsi="Arial"/>
          <w:sz w:val="14"/>
          <w:szCs w:val="14"/>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financial information by market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gridSpan w:val="6"/>
          </w:tcPr>
          <w:p>
            <w:pPr>
              <w:jc w:val="right"/>
              <w:ind w:right="9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2020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Industrial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and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Agricultural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rPr>
              <w:t>Mining</w:t>
            </w:r>
          </w:p>
        </w:tc>
        <w:tc>
          <w:tcPr>
            <w:tcW w:w="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Agricultural</w:t>
            </w:r>
          </w:p>
        </w:tc>
        <w:tc>
          <w:tcPr>
            <w:tcW w:w="1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rPr>
              <w:t>Mining</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Agricultural</w:t>
            </w:r>
          </w:p>
        </w:tc>
        <w:tc>
          <w:tcPr>
            <w:tcW w:w="100" w:type="dxa"/>
            <w:vAlign w:val="bottom"/>
          </w:tcPr>
          <w:p>
            <w:pPr>
              <w:spacing w:after="0"/>
              <w:rPr>
                <w:sz w:val="18"/>
                <w:szCs w:val="18"/>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rPr>
              <w:t>Mining</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Products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Products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Products</w:t>
            </w:r>
          </w:p>
        </w:tc>
        <w:tc>
          <w:tcPr>
            <w:tcW w:w="12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Products</w:t>
            </w:r>
          </w:p>
        </w:tc>
        <w:tc>
          <w:tcPr>
            <w:tcW w:w="12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Products</w:t>
            </w:r>
          </w:p>
        </w:tc>
        <w:tc>
          <w:tcPr>
            <w:tcW w:w="100" w:type="dxa"/>
            <w:vAlign w:val="bottom"/>
          </w:tcPr>
          <w:p>
            <w:pPr>
              <w:spacing w:after="0"/>
              <w:rPr>
                <w:sz w:val="20"/>
                <w:szCs w:val="20"/>
                <w:color w:val="auto"/>
              </w:rPr>
            </w:pPr>
          </w:p>
        </w:tc>
        <w:tc>
          <w:tcPr>
            <w:tcW w:w="1040" w:type="dxa"/>
            <w:vAlign w:val="bottom"/>
            <w:gridSpan w:val="2"/>
          </w:tcPr>
          <w:p>
            <w:pPr>
              <w:jc w:val="center"/>
              <w:ind w:right="221"/>
              <w:spacing w:after="0"/>
              <w:rPr>
                <w:sz w:val="20"/>
                <w:szCs w:val="20"/>
                <w:color w:val="auto"/>
              </w:rPr>
            </w:pPr>
            <w:r>
              <w:rPr>
                <w:rFonts w:ascii="Arial" w:cs="Arial" w:eastAsia="Arial" w:hAnsi="Arial"/>
                <w:sz w:val="18"/>
                <w:szCs w:val="18"/>
                <w:color w:val="auto"/>
                <w:w w:val="87"/>
              </w:rPr>
              <w:t>Products</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(16,349)</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(12,412</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 xml:space="preserve">Adjusted gross profit by market </w:t>
            </w:r>
            <w:r>
              <w:rPr>
                <w:rFonts w:ascii="Arial" w:cs="Arial" w:eastAsia="Arial" w:hAnsi="Arial"/>
                <w:sz w:val="14"/>
                <w:szCs w:val="14"/>
                <w:color w:val="auto"/>
              </w:rPr>
              <w:t>(1)</w:t>
            </w: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20,750</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46,043</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28,934</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47,693</w:t>
            </w: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(8,184)</w:t>
            </w:r>
          </w:p>
        </w:tc>
        <w:tc>
          <w:tcPr>
            <w:tcW w:w="3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Adjusted gross profit percentage</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by market </w:t>
            </w:r>
            <w:r>
              <w:rPr>
                <w:rFonts w:ascii="Arial" w:cs="Arial" w:eastAsia="Arial" w:hAnsi="Arial"/>
                <w:sz w:val="14"/>
                <w:szCs w:val="14"/>
                <w:color w:val="auto"/>
              </w:rPr>
              <w:t>(2)</w:t>
            </w:r>
          </w:p>
        </w:tc>
        <w:tc>
          <w:tcPr>
            <w:tcW w:w="1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740" w:hanging="368"/>
        <w:spacing w:after="0" w:line="266"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Turnaround expenses and a recovery from settlements. See reconciliation included in the financial information table above.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percentage of the respective net sales.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2"/>
              </w:rPr>
              <w:t>Nine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7"/>
        </w:trPr>
        <w:tc>
          <w:tcPr>
            <w:tcW w:w="414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3040" w:type="dxa"/>
            <w:vAlign w:val="bottom"/>
            <w:gridSpan w:val="2"/>
            <w:vMerge w:val="restart"/>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vMerge w:val="continue"/>
            <w:shd w:val="clear" w:color="auto" w:fill="CFF0FC"/>
          </w:tcPr>
          <w:p>
            <w:pPr>
              <w:spacing w:after="0"/>
              <w:rPr>
                <w:sz w:val="18"/>
                <w:szCs w:val="18"/>
                <w:color w:val="auto"/>
              </w:rPr>
            </w:pPr>
          </w:p>
        </w:tc>
        <w:tc>
          <w:tcPr>
            <w:tcW w:w="3040" w:type="dxa"/>
            <w:vAlign w:val="bottom"/>
            <w:gridSpan w:val="2"/>
            <w:vMerge w:val="continue"/>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367,073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295,607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71,466</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221,692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219,217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2,475</w:t>
            </w: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672,866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598,816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jc w:val="center"/>
              <w:ind w:right="170"/>
              <w:spacing w:after="0"/>
              <w:rPr>
                <w:sz w:val="20"/>
                <w:szCs w:val="20"/>
                <w:color w:val="auto"/>
              </w:rPr>
            </w:pPr>
            <w:r>
              <w:rPr>
                <w:rFonts w:ascii="Arial" w:cs="Arial" w:eastAsia="Arial" w:hAnsi="Arial"/>
                <w:sz w:val="18"/>
                <w:szCs w:val="18"/>
                <w:color w:val="auto"/>
                <w:w w:val="92"/>
              </w:rPr>
              <w:t>Nine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7"/>
        </w:trPr>
        <w:tc>
          <w:tcPr>
            <w:tcW w:w="4140" w:type="dxa"/>
            <w:vAlign w:val="bottom"/>
            <w:gridSpan w:val="3"/>
          </w:tcPr>
          <w:p>
            <w:pPr>
              <w:spacing w:after="0"/>
              <w:rPr>
                <w:sz w:val="20"/>
                <w:szCs w:val="20"/>
                <w:color w:val="auto"/>
              </w:rPr>
            </w:pPr>
            <w:r>
              <w:rPr>
                <w:rFonts w:ascii="Arial" w:cs="Arial" w:eastAsia="Arial" w:hAnsi="Arial"/>
                <w:sz w:val="14"/>
                <w:szCs w:val="14"/>
                <w:color w:val="auto"/>
              </w:rPr>
              <w:t>Gross Average Selling Prices (price per ton)</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15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7"/>
        </w:trPr>
        <w:tc>
          <w:tcPr>
            <w:tcW w:w="2540" w:type="dxa"/>
            <w:vAlign w:val="bottom"/>
            <w:tcBorders>
              <w:top w:val="single" w:sz="8" w:color="auto"/>
            </w:tcBorders>
            <w:gridSpan w:val="2"/>
            <w:shd w:val="clear" w:color="auto" w:fill="CFF0FC"/>
          </w:tcPr>
          <w:p>
            <w:pPr>
              <w:ind w:left="260"/>
              <w:spacing w:after="0"/>
              <w:rPr>
                <w:sz w:val="20"/>
                <w:szCs w:val="20"/>
                <w:color w:val="auto"/>
              </w:rPr>
            </w:pPr>
            <w:r>
              <w:rPr>
                <w:rFonts w:ascii="Arial" w:cs="Arial" w:eastAsia="Arial" w:hAnsi="Arial"/>
                <w:sz w:val="18"/>
                <w:szCs w:val="18"/>
                <w:color w:val="auto"/>
              </w:rPr>
              <w:t>UAN</w:t>
            </w:r>
          </w:p>
        </w:tc>
        <w:tc>
          <w:tcPr>
            <w:tcW w:w="160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gridSpan w:val="3"/>
          </w:tcPr>
          <w:p>
            <w:pPr>
              <w:ind w:left="260"/>
              <w:spacing w:after="0"/>
              <w:rPr>
                <w:sz w:val="20"/>
                <w:szCs w:val="20"/>
                <w:color w:val="auto"/>
              </w:rPr>
            </w:pPr>
            <w:r>
              <w:rPr>
                <w:rFonts w:ascii="Arial" w:cs="Arial" w:eastAsia="Arial" w:hAnsi="Arial"/>
                <w:sz w:val="18"/>
                <w:szCs w:val="18"/>
                <w:color w:val="auto"/>
              </w:rPr>
              <w:t>HDAN</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18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products, the following tables indicate key operating metrics of our major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color w:val="auto"/>
              </w:rPr>
              <w:t>Nine Months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right"/>
              <w:ind w:right="65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17"/>
        </w:trPr>
        <w:tc>
          <w:tcPr>
            <w:tcW w:w="37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FF0FC"/>
          </w:tcPr>
          <w:p>
            <w:pPr>
              <w:ind w:left="260"/>
              <w:spacing w:after="0"/>
              <w:rPr>
                <w:sz w:val="20"/>
                <w:szCs w:val="20"/>
                <w:color w:val="auto"/>
              </w:rPr>
            </w:pPr>
            <w:r>
              <w:rPr>
                <w:rFonts w:ascii="Arial" w:cs="Arial" w:eastAsia="Arial" w:hAnsi="Arial"/>
                <w:sz w:val="18"/>
                <w:szCs w:val="18"/>
                <w:color w:val="auto"/>
              </w:rPr>
              <w:t>Ammonia</w:t>
            </w:r>
          </w:p>
        </w:tc>
        <w:tc>
          <w:tcPr>
            <w:tcW w:w="2620" w:type="dxa"/>
            <w:vAlign w:val="bottom"/>
            <w:vMerge w:val="restart"/>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00" w:type="dxa"/>
            <w:vAlign w:val="bottom"/>
            <w:vMerge w:val="continue"/>
            <w:shd w:val="clear" w:color="auto" w:fill="CFF0FC"/>
          </w:tcPr>
          <w:p>
            <w:pPr>
              <w:spacing w:after="0"/>
              <w:rPr>
                <w:sz w:val="18"/>
                <w:szCs w:val="18"/>
                <w:color w:val="auto"/>
              </w:rPr>
            </w:pPr>
          </w:p>
        </w:tc>
        <w:tc>
          <w:tcPr>
            <w:tcW w:w="2620" w:type="dxa"/>
            <w:vAlign w:val="bottom"/>
            <w:vMerge w:val="continue"/>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201,002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24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720" w:type="dxa"/>
            <w:vAlign w:val="bottom"/>
            <w:gridSpan w:val="2"/>
          </w:tcPr>
          <w:p>
            <w:pPr>
              <w:ind w:left="260"/>
              <w:spacing w:after="0"/>
              <w:rPr>
                <w:sz w:val="20"/>
                <w:szCs w:val="20"/>
                <w:color w:val="auto"/>
              </w:rPr>
            </w:pPr>
            <w:r>
              <w:rPr>
                <w:rFonts w:ascii="Arial" w:cs="Arial" w:eastAsia="Arial" w:hAnsi="Arial"/>
                <w:sz w:val="18"/>
                <w:szCs w:val="18"/>
                <w:color w:val="auto"/>
              </w:rPr>
              <w:t>Nitric Acid</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(4,825)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Industrial Products</w:t>
            </w:r>
          </w:p>
        </w:tc>
        <w:tc>
          <w:tcPr>
            <w:tcW w:w="20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33,506</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299,633</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305,603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110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w w:val="91"/>
              </w:rPr>
              <w:t>Tampa Ammonia Benchmark (price per metric ton)</w:t>
            </w:r>
          </w:p>
        </w:tc>
        <w:tc>
          <w:tcPr>
            <w:tcW w:w="22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231</w:t>
            </w:r>
          </w:p>
        </w:tc>
        <w:tc>
          <w:tcPr>
            <w:tcW w:w="4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245</w:t>
            </w:r>
          </w:p>
        </w:tc>
        <w:tc>
          <w:tcPr>
            <w:tcW w:w="4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760" w:type="dxa"/>
            <w:vAlign w:val="bottom"/>
            <w:gridSpan w:val="4"/>
          </w:tcPr>
          <w:p>
            <w:pPr>
              <w:ind w:left="520"/>
              <w:spacing w:after="0"/>
              <w:rPr>
                <w:sz w:val="20"/>
                <w:szCs w:val="20"/>
                <w:color w:val="auto"/>
              </w:rPr>
            </w:pPr>
            <w:r>
              <w:rPr>
                <w:rFonts w:ascii="Arial" w:cs="Arial" w:eastAsia="Arial" w:hAnsi="Arial"/>
                <w:sz w:val="18"/>
                <w:szCs w:val="18"/>
                <w:color w:val="auto"/>
              </w:rPr>
              <w:t>Nine Months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2"/>
        </w:trPr>
        <w:tc>
          <w:tcPr>
            <w:tcW w:w="11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760" w:type="dxa"/>
            <w:vAlign w:val="bottom"/>
            <w:gridSpan w:val="4"/>
          </w:tcPr>
          <w:p>
            <w:pPr>
              <w:ind w:left="740"/>
              <w:spacing w:after="0"/>
              <w:rPr>
                <w:sz w:val="20"/>
                <w:szCs w:val="20"/>
                <w:color w:val="auto"/>
              </w:rPr>
            </w:pPr>
            <w:r>
              <w:rPr>
                <w:rFonts w:ascii="Arial" w:cs="Arial" w:eastAsia="Arial" w:hAnsi="Arial"/>
                <w:sz w:val="18"/>
                <w:szCs w:val="18"/>
                <w:color w:val="auto"/>
              </w:rPr>
              <w:t>September 30,</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Percentage</w:t>
            </w:r>
          </w:p>
        </w:tc>
      </w:tr>
      <w:tr>
        <w:trPr>
          <w:trHeight w:val="217"/>
        </w:trPr>
        <w:tc>
          <w:tcPr>
            <w:tcW w:w="574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Change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Change</w:t>
            </w:r>
          </w:p>
        </w:tc>
      </w:tr>
      <w:tr>
        <w:trPr>
          <w:trHeight w:val="20"/>
        </w:trPr>
        <w:tc>
          <w:tcPr>
            <w:tcW w:w="1100" w:type="dxa"/>
            <w:vAlign w:val="bottom"/>
            <w:tcBorders>
              <w:bottom w:val="single" w:sz="8" w:color="CFF0FC"/>
            </w:tcBorders>
            <w:shd w:val="clear" w:color="auto" w:fill="000000"/>
          </w:tcPr>
          <w:p>
            <w:pPr>
              <w:spacing w:after="0" w:line="20" w:lineRule="exact"/>
              <w:rPr>
                <w:sz w:val="1"/>
                <w:szCs w:val="1"/>
                <w:color w:val="auto"/>
              </w:rPr>
            </w:pPr>
          </w:p>
        </w:tc>
        <w:tc>
          <w:tcPr>
            <w:tcW w:w="46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r>
      <w:tr>
        <w:trPr>
          <w:trHeight w:val="217"/>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LDAN/HDAN/AN Solution</w:t>
            </w:r>
          </w:p>
        </w:tc>
        <w:tc>
          <w:tcPr>
            <w:tcW w:w="11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9"/>
              </w:rPr>
              <w:t>116,546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122,920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(6,374)</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left="74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Agricultural product sales decreased driven by lower selling prices for all of our agricultural products. The impact from the decline in selling prices was partially offset by an increase in sales volume of UAN as a result of higher production from the Pryor facility as a result of the new Urea reactor which was installed in the fourth quarter of 2019.</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Industrial acids and other industrial product sales decreased primarily from lower selling prices due primarily to lower Tampa Ammonia benchmark pricing. The average Tampa ammonia pricing was approximately $14 per ton lower compared to the same period in 2019. Additionally, overall sales volumes were slightly lower into markets we serve due to the COVID-19 pandemic.</w:t>
      </w:r>
    </w:p>
    <w:p>
      <w:pPr>
        <w:spacing w:after="0" w:line="75"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overall lower sales volume and selling prices for our mining products. Sales volumes were impacted by reduced production or complete closures of gold, copper, iron ore and vanadium ore mines which impacted overall demand for mining products. Certain mining sales contracts are linked to natural gas indexes and as the cost of natural gas declines, the pricing for these products declines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noted in the tables above, we recognized a gross profit $20.5 million in the first nine months of 2020 compared to $17.3 million for the same period of 2019, or an increase of approximately $3.2 million. Overall, our gross profit percentage was 7.8% compared to 5.9% for the same period in 2019.</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agricultural products adjusted gross profit percentage decreased to 15% during the first nine months of 2020 from 18.7% for the first nine months of 2019 due primarily to lower selling prices for all of our agricultural products, partially offset by increased sales volumes for all of our major products as discussed above.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Industrial and mining products adjusted gross profit percentage increased in the first nine months of 2020 to 37.1% from 35% in first nine months of 2019 primarily driven by a shift of product mix and lower production costs partially offset by lower overall Tampa Ammonia pricing, which averaged approximately $231 per metric ton during 2020 compared to approximately $245 per metric ton for the same period in 2019 and from the lower sales volumes for all of our major products as discussed above.</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net negative effect on gross profit from activity discussed above was partially offset by approximately $13.7 million in lower natural gas costs per MMBtu and the result of settlements with certain vendors resulting in a recovery of approximately $5.7 million as discussed in Note 1. Also, during the third quarter of 2019, we incurred Turnaround costs totaling approximately $7.2 million (no Turnarounds were performed during the same period of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SG&amp;A expenses were $25.6 million for the first nine months of 2020, an increase of $0.9 million compared to the same period in 2019. This net increase was primarily driven by an increase in compensation-related costs and marketing fees partially offset by lower legal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for the first nine months of 2020 was $38.5 million compared to $34.3 million for the same period in 2019. The net increase relates primarily to interest expense incurred associated with the issuance of the New Notes in 2019, the Secured Financing due 2023 and the Secured Financing Agreement due 2025 as discussed in Note 4 in addition to a litigation judgment discussed in footnote (B) of Note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first nine months of 2020 was $3.0 million compared to $5.8 million for the same period in 2019. For the first nine months of 2020, the effective tax rate was impacted by adjustments made to our valuation allowances. For the first nine months of 2019, the effective tax rate was impacted by adjustments made to our valuation allowances and enacted state tax law changes. The resulting effective tax rate for the first nine months of 2020 and 2019 was 7% and 14% (benefit on pre-tax loss),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920" w:type="dxa"/>
            <w:vAlign w:val="bottom"/>
            <w:gridSpan w:val="7"/>
          </w:tcPr>
          <w:p>
            <w:pPr>
              <w:spacing w:after="0"/>
              <w:rPr>
                <w:sz w:val="20"/>
                <w:szCs w:val="20"/>
                <w:color w:val="auto"/>
              </w:rPr>
            </w:pPr>
            <w:r>
              <w:rPr>
                <w:rFonts w:ascii="Arial" w:cs="Arial" w:eastAsia="Arial" w:hAnsi="Arial"/>
                <w:sz w:val="18"/>
                <w:szCs w:val="18"/>
                <w:color w:val="auto"/>
              </w:rPr>
              <w:t>The following table summarizes our cash flow activities for the nine months ended September 30:</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(20,358)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Net Cash Flow from Operating Activities</w:t>
            </w:r>
          </w:p>
        </w:tc>
        <w:tc>
          <w:tcPr>
            <w:tcW w:w="3320" w:type="dxa"/>
            <w:vAlign w:val="bottom"/>
            <w:gridSpan w:val="2"/>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160" w:type="dxa"/>
            <w:vAlign w:val="bottom"/>
            <w:tcBorders>
              <w:bottom w:val="single" w:sz="8" w:color="auto"/>
            </w:tcBorders>
            <w:gridSpan w:val="2"/>
            <w:vMerge w:val="continue"/>
          </w:tcPr>
          <w:p>
            <w:pPr>
              <w:spacing w:after="0"/>
              <w:rPr>
                <w:sz w:val="22"/>
                <w:szCs w:val="22"/>
                <w:color w:val="auto"/>
              </w:rPr>
            </w:pPr>
          </w:p>
        </w:tc>
        <w:tc>
          <w:tcPr>
            <w:tcW w:w="33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operating activities was $24.7 million for the nine months of 2020 compared to $41.0 million for the same period of 2019, a change of $16.3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nine months of 2020, the net cash provided is the result of a net loss of $40.2 million plus adjustments of $52 million for depreciation and amortization of PP&amp;E and other adjustments of $6.2 million less an adjustment of $3.1 million for deferred taxes and net cash provided of $9.8 million primarily from our working capital.</w:t>
      </w:r>
    </w:p>
    <w:p>
      <w:pPr>
        <w:spacing w:after="0" w:line="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For the first nine months of 2019, the net cash provided is the result of a net loss of $35.7 million plus adjustments of $51.6 million for depreciation and amortization of PP&amp;E and other adjustments of $5.7 million less an adjustment of $5.8 million for deferred taxes and net cash provided of approximately $25.2 million primarily from our working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investing activities was $20.2 million for the nine months of 2020 compared to $20.4 million for the same period of 2019, a change of approximately $0.2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2020 and 2019,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was $14.8 million for the nine months of 2020 compared to $20.1 million for the same period of 2019, a change of $5.3 million.</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nine months of 2020, the net cash provided primarily consists of proceeds of $42.6 million from other long-term debt partially offset by payments on other long-term debt and short-term financing of $27.6 million and payments of $0.2 million for other financing activities.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nine months of 2019, the net cash provided primarily consists of net proceeds of $35.1 million from the New Notes, proceeds of $16.8 million from other long-term debt partially offset by payments on other long-term debt and short-term financing of $20.0 million, net payments of $10 million on the Working Capital Revolver Loan, and payments of $1.8 million for other financing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September 30,</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6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Unsecured Loan Agreement due 2022</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Financing due 2023</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w:t>
            </w:r>
          </w:p>
        </w:tc>
        <w:tc>
          <w:tcPr>
            <w:tcW w:w="1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FF0FC"/>
            </w:tcBorders>
            <w:vMerge w:val="continue"/>
          </w:tcPr>
          <w:p>
            <w:pPr>
              <w:spacing w:after="0"/>
              <w:rPr>
                <w:sz w:val="21"/>
                <w:szCs w:val="21"/>
                <w:color w:val="auto"/>
              </w:rPr>
            </w:pPr>
          </w:p>
        </w:tc>
        <w:tc>
          <w:tcPr>
            <w:tcW w:w="16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$268.7 million as of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concerning the COVID-19 pandemic under “Recent Business Developments.”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footnote (G) of Note 4, in August 2020, EDA entered into a $30 million secured financing arrangement with an affiliate of LSB Funding that matures in August 2025. A portion of the proceeds from this secured financing arrangement was used to pay off the Secured Promissory Note that was scheduled to mature in May 2023.</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we have a revolving credit facility, our Working Capital Revolver Loan, with a borrowing base of $65 million. As of September 30, 2020, our Working Capital Revolver Loan was undrawn and had approximately $36.3 million of availability.</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full year of 2020, we expect capital expenditures to be approximately $25 million to $30 million, which includes approximately $5 million to $10 million for margin enhancement projects. The remaining capital spending is planned for reliability and maintenance capital projects.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4, the Working Capital Revolver Loan requires, among other things, that we meet certain financial covenants. The Working Capital Revolver Loan does not include financial covenant requirements unless a defined covenant trigger event has occurred and is continuing. As of September 30, 2020,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w:t>
      </w:r>
      <w:r>
        <w:rPr>
          <w:rFonts w:ascii="Arial" w:cs="Arial" w:eastAsia="Arial" w:hAnsi="Arial"/>
          <w:sz w:val="18"/>
          <w:szCs w:val="18"/>
          <w:color w:val="auto"/>
        </w:rPr>
        <w:t>– 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4.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Secured Promissory Note due 2021 – </w:t>
      </w:r>
      <w:r>
        <w:rPr>
          <w:rFonts w:ascii="Arial" w:cs="Arial" w:eastAsia="Arial" w:hAnsi="Arial"/>
          <w:sz w:val="18"/>
          <w:szCs w:val="18"/>
          <w:color w:val="auto"/>
        </w:rPr>
        <w:t>EDC is party to a secured promissory note due in March 2021. This promissory note bears interest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5.25%. Principal and interest are payable in monthly installments.</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Unsecured Loan Agreement due 2022 – </w:t>
      </w:r>
      <w:r>
        <w:rPr>
          <w:rFonts w:ascii="Arial" w:cs="Arial" w:eastAsia="Arial" w:hAnsi="Arial"/>
          <w:sz w:val="18"/>
          <w:szCs w:val="18"/>
          <w:color w:val="auto"/>
        </w:rPr>
        <w:t>As discussed in footnote (D) of Note 4, LSB is a party to an unsecured PPP loan with a lender pursuant to a new</w:t>
      </w:r>
      <w:r>
        <w:rPr>
          <w:rFonts w:ascii="Arial" w:cs="Arial" w:eastAsia="Arial" w:hAnsi="Arial"/>
          <w:sz w:val="18"/>
          <w:szCs w:val="18"/>
          <w:b w:val="1"/>
          <w:bCs w:val="1"/>
          <w:color w:val="auto"/>
        </w:rPr>
        <w:t xml:space="preserve"> </w:t>
      </w:r>
      <w:r>
        <w:rPr>
          <w:rFonts w:ascii="Arial" w:cs="Arial" w:eastAsia="Arial" w:hAnsi="Arial"/>
          <w:sz w:val="18"/>
          <w:szCs w:val="18"/>
          <w:color w:val="auto"/>
        </w:rPr>
        <w:t>loan program through the SBA as the result of the PPP established by the CARES Act and amended by the Paycheck Protection Program Flexibility Act of 2020.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8-weeks or 24-weeks after disbursement of the loan. Once the SBA notifies the lender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amount of the loan that is approved for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wholly or partially, forgiven and a legal release is received, the liability would be reduced by the amount forgiven and a gain on extinguishment would be recorded.</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5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Secured Loan Agreement due 2025 - </w:t>
      </w:r>
      <w:r>
        <w:rPr>
          <w:rFonts w:ascii="Arial" w:cs="Arial" w:eastAsia="Arial" w:hAnsi="Arial"/>
          <w:sz w:val="16"/>
          <w:szCs w:val="16"/>
          <w:color w:val="auto"/>
        </w:rPr>
        <w:t>EDC is party to a secured loan agreement with an affiliate of LSB Funding, which provided for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borrowings (the “Interim Loan”) during the construction of certain equipment (the “Interim Loan Period”), subject to certain conditions. During the Interim Loan Period, interest only was payable in monthly installments. Effective February 28, 2020, the Interim Loan Period ended, and the Interim Loan was replaced by a secured promissory note due in March 2025. Under the terms of the note, principal and interest are payable in 60 equal monthly installments.</w:t>
      </w:r>
    </w:p>
    <w:p>
      <w:pPr>
        <w:spacing w:after="0" w:line="4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Secured Financing due 2025 – </w:t>
      </w:r>
      <w:r>
        <w:rPr>
          <w:rFonts w:ascii="Arial" w:cs="Arial" w:eastAsia="Arial" w:hAnsi="Arial"/>
          <w:sz w:val="16"/>
          <w:szCs w:val="16"/>
          <w:color w:val="auto"/>
        </w:rPr>
        <w:t>As discussed in footnote (G) of Note 4, EDA is party to a $30 million secured financing arrangement with an affiliate of LSB</w:t>
      </w:r>
      <w:r>
        <w:rPr>
          <w:rFonts w:ascii="Arial" w:cs="Arial" w:eastAsia="Arial" w:hAnsi="Arial"/>
          <w:sz w:val="16"/>
          <w:szCs w:val="16"/>
          <w:b w:val="1"/>
          <w:bCs w:val="1"/>
          <w:color w:val="auto"/>
        </w:rPr>
        <w:t xml:space="preserve"> </w:t>
      </w:r>
      <w:r>
        <w:rPr>
          <w:rFonts w:ascii="Arial" w:cs="Arial" w:eastAsia="Arial" w:hAnsi="Arial"/>
          <w:sz w:val="16"/>
          <w:szCs w:val="16"/>
          <w:color w:val="auto"/>
        </w:rPr>
        <w:t>Funding. Principal and interest are payable in 60 equal monthly installments with a final balloon payment of approximately $5 million due in August 2025.</w:t>
      </w:r>
    </w:p>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September 30, 2020, our Working Capital Revolver Loan was undrawn and had approximately $36.3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 </w:t>
      </w:r>
      <w:r>
        <w:rPr>
          <w:rFonts w:ascii="Arial" w:cs="Arial" w:eastAsia="Arial" w:hAnsi="Arial"/>
          <w:sz w:val="18"/>
          <w:szCs w:val="18"/>
          <w:color w:val="auto"/>
        </w:rPr>
        <w:t>At September 30, 2020, there were 139,768 outstanding shares of Series E Redeemable Preferred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liquidation preference (par value plus accrued dividends) was $268.7 million.</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Nine Months of 2020</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nine months of 2020, capital expenditures relating to PP&amp;E were $22.2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$2.9 million during the first nine months of 2020 in connection with environmental projects. For the fourth quarter of 2020, we expect to incur expenses ranging from $0.9 million to $1.1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on the Series E Redeemable Preferred are cumulative and payable semi-annually (May 1 and November 1) in arrears at the current annual rate of 14% of the liquidation value of $1,000 per share, but such annual rate will increase beginning on April 25, 2021 as discussed in Note 8. Each share of Series E Redeemable Preferred is entitled to receive a semi-annual dividend, only when declared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spacing w:after="0" w:line="293" w:lineRule="auto"/>
        <w:rPr>
          <w:sz w:val="20"/>
          <w:szCs w:val="20"/>
          <w:color w:val="auto"/>
        </w:rPr>
      </w:pPr>
      <w:r>
        <w:rPr>
          <w:rFonts w:ascii="Arial" w:cs="Arial" w:eastAsia="Arial" w:hAnsi="Arial"/>
          <w:sz w:val="16"/>
          <w:szCs w:val="16"/>
          <w:color w:val="auto"/>
        </w:rPr>
        <w:t>by our Board. In addition, dividends in arrears at the dividend date, until paid, shall compound additional dividends at the current annual rate of 14%, but such annual rate will increase beginning on April 25, 2021. The current semi-annual compounded dividend is approximately $127.20 per share for the current aggregate semi-annual dividend of $17.8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September 30, 2020, the amount of accumulated dividends on the Series E Redeemable Preferred was approximately $128.9 million.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amount of accumulated dividends on the Series D Preferred and Series B Preferred totaled approximately $1.5 million. All shares of the Series D Preferred and Series B Preferred are owned by the Golsen Holders.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2020, we have agreed to indemnify the sureties for payments, up to $9.7 million, made by them in respect of such bonds. These insurance bonds are expected to expire or be renewed later in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See “Critical Accounting Policies and Estimates,” Item 7 of our 2019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a remedy of annual monitoring and the implementation of an EUC selected by the KDHE discussed under footnote 2 – Other Environmental Matters of Note 5 and the lawsuits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xml:space="preserve"> discussed under “Other Pending, Threatened or Settled Litigation” of Note 5. Also, we recognize contingent gains when such gains are realized or when the contingencies have been resolved (generally at the time a settlement has been reached). As a result, a recovery from settlements with certain vendors was recognized during the first nine months of 2020 discussed under Contingencies of Note 1.</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September 30, 2020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as of September 30, 2020. At September 30, 2020,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As discussed in Note 6, during the first nine months of 2020, we entered into certain natural gas contracts, which are accounted for on a mark-to-market basis. At September 30, 2020, these natural gas contracts included 1.0 million MMBtus of natural gas and therefore a $0.10 change in natural gas price would impact pre-tax operating results by approximately $0.1 million.</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September 30, 2020, we had no outstanding borrowings on this credit facility. We do not have any variable rate borrowings as of September 30, 2020. We currently do not hedge our interest rate risk associated with these variable interest loans.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2020. Based on this evaluation, the Company's Chief Executive Officer and Chief Financial Officer have concluded that the Company's disclosure controls and procedures were effective as of September 30, 2020, at the reasonable assurance level.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 our ability to invest in projects that will generate best returns for our stockholders;</w:t>
      </w:r>
    </w:p>
    <w:p>
      <w:pPr>
        <w:spacing w:after="0" w:line="15"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associated with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740" w:hanging="368"/>
        <w:spacing w:after="0" w:line="27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line="246"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2019 and our Form 10-Qs for the fiscal periods ended March 31, 2020 and June 30, 2020.</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960" w:type="dxa"/>
            <w:vAlign w:val="bottom"/>
          </w:tcPr>
          <w:p>
            <w:pPr>
              <w:ind w:left="90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2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960" w:type="dxa"/>
            <w:vAlign w:val="bottom"/>
          </w:tcPr>
          <w:p>
            <w:pPr>
              <w:ind w:left="900"/>
              <w:spacing w:after="0"/>
              <w:rPr>
                <w:sz w:val="20"/>
                <w:szCs w:val="20"/>
                <w:color w:val="auto"/>
              </w:rPr>
            </w:pPr>
            <w:r>
              <w:rPr>
                <w:rFonts w:ascii="Arial" w:cs="Arial" w:eastAsia="Arial" w:hAnsi="Arial"/>
                <w:sz w:val="18"/>
                <w:szCs w:val="18"/>
                <w:color w:val="auto"/>
              </w:rPr>
              <w:t>- Ammonium nitrate.</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960" w:type="dxa"/>
            <w:vAlign w:val="bottom"/>
          </w:tcPr>
          <w:p>
            <w:pPr>
              <w:ind w:left="900"/>
              <w:spacing w:after="0"/>
              <w:rPr>
                <w:sz w:val="20"/>
                <w:szCs w:val="20"/>
                <w:color w:val="auto"/>
              </w:rPr>
            </w:pPr>
            <w:r>
              <w:rPr>
                <w:rFonts w:ascii="Arial" w:cs="Arial" w:eastAsia="Arial" w:hAnsi="Arial"/>
                <w:sz w:val="18"/>
                <w:szCs w:val="18"/>
                <w:color w:val="auto"/>
              </w:rPr>
              <w:t>- Accounting Standard Update.</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960" w:type="dxa"/>
            <w:vAlign w:val="bottom"/>
          </w:tcPr>
          <w:p>
            <w:pPr>
              <w:ind w:left="90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270"/>
        </w:trPr>
        <w:tc>
          <w:tcPr>
            <w:tcW w:w="228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960" w:type="dxa"/>
            <w:vAlign w:val="bottom"/>
          </w:tcPr>
          <w:p>
            <w:pPr>
              <w:ind w:left="900"/>
              <w:spacing w:after="0"/>
              <w:rPr>
                <w:sz w:val="20"/>
                <w:szCs w:val="20"/>
                <w:color w:val="auto"/>
              </w:rPr>
            </w:pPr>
            <w:r>
              <w:rPr>
                <w:rFonts w:ascii="Arial" w:cs="Arial" w:eastAsia="Arial" w:hAnsi="Arial"/>
                <w:sz w:val="18"/>
                <w:szCs w:val="18"/>
                <w:color w:val="auto"/>
              </w:rPr>
              <w:t>- Coronavirus Aid, Relief, and Economic Security Act</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960" w:type="dxa"/>
            <w:vAlign w:val="bottom"/>
          </w:tcPr>
          <w:p>
            <w:pPr>
              <w:ind w:left="900"/>
              <w:spacing w:after="0"/>
              <w:rPr>
                <w:sz w:val="20"/>
                <w:szCs w:val="20"/>
                <w:color w:val="auto"/>
              </w:rPr>
            </w:pPr>
            <w:r>
              <w:rPr>
                <w:rFonts w:ascii="Arial" w:cs="Arial" w:eastAsia="Arial" w:hAnsi="Arial"/>
                <w:sz w:val="18"/>
                <w:szCs w:val="18"/>
                <w:color w:val="auto"/>
              </w:rPr>
              <w:t>- A consent administrative order.</w:t>
            </w:r>
          </w:p>
        </w:tc>
      </w:tr>
      <w:tr>
        <w:trPr>
          <w:trHeight w:val="256"/>
        </w:trPr>
        <w:tc>
          <w:tcPr>
            <w:tcW w:w="22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960" w:type="dxa"/>
            <w:vAlign w:val="bottom"/>
          </w:tcPr>
          <w:p>
            <w:pPr>
              <w:ind w:left="9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432"/>
        </w:trPr>
        <w:tc>
          <w:tcPr>
            <w:tcW w:w="2280" w:type="dxa"/>
            <w:vAlign w:val="bottom"/>
          </w:tcPr>
          <w:p>
            <w:pPr>
              <w:spacing w:after="0"/>
              <w:rPr>
                <w:sz w:val="24"/>
                <w:szCs w:val="24"/>
                <w:color w:val="auto"/>
              </w:rPr>
            </w:pPr>
          </w:p>
        </w:tc>
        <w:tc>
          <w:tcPr>
            <w:tcW w:w="8960" w:type="dxa"/>
            <w:vAlign w:val="bottom"/>
          </w:tcPr>
          <w:p>
            <w:pPr>
              <w:ind w:left="3260"/>
              <w:spacing w:after="0"/>
              <w:rPr>
                <w:sz w:val="20"/>
                <w:szCs w:val="20"/>
                <w:color w:val="auto"/>
              </w:rPr>
            </w:pPr>
            <w:r>
              <w:rPr>
                <w:rFonts w:ascii="Arial" w:cs="Arial" w:eastAsia="Arial" w:hAnsi="Arial"/>
                <w:sz w:val="18"/>
                <w:szCs w:val="18"/>
                <w:color w:val="auto"/>
              </w:rPr>
              <w:t>38</w:t>
            </w:r>
          </w:p>
        </w:tc>
      </w:tr>
      <w:tr>
        <w:trPr>
          <w:trHeight w:val="115"/>
        </w:trPr>
        <w:tc>
          <w:tcPr>
            <w:tcW w:w="2280" w:type="dxa"/>
            <w:vAlign w:val="bottom"/>
            <w:tcBorders>
              <w:bottom w:val="single" w:sz="8" w:color="9A9A9A"/>
            </w:tcBorders>
          </w:tcPr>
          <w:p>
            <w:pPr>
              <w:spacing w:after="0"/>
              <w:rPr>
                <w:sz w:val="10"/>
                <w:szCs w:val="10"/>
                <w:color w:val="auto"/>
              </w:rPr>
            </w:pPr>
          </w:p>
        </w:tc>
        <w:tc>
          <w:tcPr>
            <w:tcW w:w="8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00" w:type="dxa"/>
            <w:vAlign w:val="bottom"/>
          </w:tcPr>
          <w:p>
            <w:pPr>
              <w:ind w:left="24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00" w:type="dxa"/>
            <w:vAlign w:val="bottom"/>
          </w:tcPr>
          <w:p>
            <w:pPr>
              <w:ind w:left="240"/>
              <w:spacing w:after="0"/>
              <w:rPr>
                <w:sz w:val="20"/>
                <w:szCs w:val="20"/>
                <w:color w:val="auto"/>
              </w:rPr>
            </w:pPr>
            <w:r>
              <w:rPr>
                <w:rFonts w:ascii="Arial" w:cs="Arial" w:eastAsia="Arial" w:hAnsi="Arial"/>
                <w:sz w:val="18"/>
                <w:szCs w:val="18"/>
                <w:color w:val="auto"/>
              </w:rPr>
              <w:t>- The novel coronavirus disease of 2019.</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300" w:type="dxa"/>
            <w:vAlign w:val="bottom"/>
          </w:tcPr>
          <w:p>
            <w:pPr>
              <w:ind w:left="240"/>
              <w:spacing w:after="0"/>
              <w:rPr>
                <w:sz w:val="20"/>
                <w:szCs w:val="20"/>
                <w:color w:val="auto"/>
              </w:rPr>
            </w:pPr>
            <w:r>
              <w:rPr>
                <w:rFonts w:ascii="Arial" w:cs="Arial" w:eastAsia="Arial" w:hAnsi="Arial"/>
                <w:sz w:val="18"/>
                <w:szCs w:val="18"/>
                <w:color w:val="auto"/>
                <w:w w:val="97"/>
              </w:rPr>
              <w:t>- The party with whom our subsidiary in Baytown has entered into an agreement for supply of nitric acid</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through at least October 2021, the Covestro Agreement.</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00" w:type="dxa"/>
            <w:vAlign w:val="bottom"/>
          </w:tcPr>
          <w:p>
            <w:pPr>
              <w:ind w:left="240"/>
              <w:spacing w:after="0"/>
              <w:rPr>
                <w:sz w:val="20"/>
                <w:szCs w:val="20"/>
                <w:color w:val="auto"/>
              </w:rPr>
            </w:pPr>
            <w:r>
              <w:rPr>
                <w:rFonts w:ascii="Arial" w:cs="Arial" w:eastAsia="Arial" w:hAnsi="Arial"/>
                <w:sz w:val="18"/>
                <w:szCs w:val="18"/>
                <w:color w:val="auto"/>
              </w:rPr>
              <w:t>- El Dorado Ammonia L.L.C.</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00" w:type="dxa"/>
            <w:vAlign w:val="bottom"/>
          </w:tcPr>
          <w:p>
            <w:pPr>
              <w:ind w:left="240"/>
              <w:spacing w:after="0"/>
              <w:rPr>
                <w:sz w:val="20"/>
                <w:szCs w:val="20"/>
                <w:color w:val="auto"/>
              </w:rPr>
            </w:pPr>
            <w:r>
              <w:rPr>
                <w:rFonts w:ascii="Arial" w:cs="Arial" w:eastAsia="Arial" w:hAnsi="Arial"/>
                <w:sz w:val="18"/>
                <w:szCs w:val="18"/>
                <w:color w:val="auto"/>
              </w:rPr>
              <w:t>- El Dorado Chemical Company.</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00" w:type="dxa"/>
            <w:vAlign w:val="bottom"/>
          </w:tcPr>
          <w:p>
            <w:pPr>
              <w:ind w:left="24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00" w:type="dxa"/>
            <w:vAlign w:val="bottom"/>
          </w:tcPr>
          <w:p>
            <w:pPr>
              <w:ind w:left="24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00" w:type="dxa"/>
            <w:vAlign w:val="bottom"/>
          </w:tcPr>
          <w:p>
            <w:pPr>
              <w:ind w:left="240"/>
              <w:spacing w:after="0"/>
              <w:rPr>
                <w:sz w:val="20"/>
                <w:szCs w:val="20"/>
                <w:color w:val="auto"/>
              </w:rPr>
            </w:pPr>
            <w:r>
              <w:rPr>
                <w:rFonts w:ascii="Arial" w:cs="Arial" w:eastAsia="Arial" w:hAnsi="Arial"/>
                <w:sz w:val="18"/>
                <w:szCs w:val="18"/>
                <w:color w:val="auto"/>
              </w:rPr>
              <w:t>- Environmental Use Control.</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00" w:type="dxa"/>
            <w:vAlign w:val="bottom"/>
          </w:tcPr>
          <w:p>
            <w:pPr>
              <w:ind w:left="240"/>
              <w:spacing w:after="0"/>
              <w:rPr>
                <w:sz w:val="20"/>
                <w:szCs w:val="20"/>
                <w:color w:val="auto"/>
              </w:rPr>
            </w:pPr>
            <w:r>
              <w:rPr>
                <w:rFonts w:ascii="Arial" w:cs="Arial" w:eastAsia="Arial" w:hAnsi="Arial"/>
                <w:sz w:val="18"/>
                <w:szCs w:val="18"/>
                <w:color w:val="auto"/>
              </w:rPr>
              <w:t>- Financial Accounting Standards Board.</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00" w:type="dxa"/>
            <w:vAlign w:val="bottom"/>
          </w:tcPr>
          <w:p>
            <w:pPr>
              <w:ind w:left="24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300" w:type="dxa"/>
            <w:vAlign w:val="bottom"/>
          </w:tcPr>
          <w:p>
            <w:pPr>
              <w:ind w:left="240"/>
              <w:spacing w:after="0"/>
              <w:rPr>
                <w:sz w:val="20"/>
                <w:szCs w:val="20"/>
                <w:color w:val="auto"/>
              </w:rPr>
            </w:pPr>
            <w:r>
              <w:rPr>
                <w:rFonts w:ascii="Arial" w:cs="Arial" w:eastAsia="Arial" w:hAnsi="Arial"/>
                <w:sz w:val="18"/>
                <w:szCs w:val="18"/>
                <w:color w:val="auto"/>
              </w:rPr>
              <w:t>- U. S. Generally Accepted Accounting Principles.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00" w:type="dxa"/>
            <w:vAlign w:val="bottom"/>
          </w:tcPr>
          <w:p>
            <w:pPr>
              <w:ind w:left="24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300" w:type="dxa"/>
            <w:vAlign w:val="bottom"/>
          </w:tcPr>
          <w:p>
            <w:pPr>
              <w:ind w:left="240"/>
              <w:spacing w:after="0"/>
              <w:rPr>
                <w:sz w:val="20"/>
                <w:szCs w:val="20"/>
                <w:color w:val="auto"/>
              </w:rPr>
            </w:pPr>
            <w:r>
              <w:rPr>
                <w:rFonts w:ascii="Arial" w:cs="Arial" w:eastAsia="Arial" w:hAnsi="Arial"/>
                <w:sz w:val="18"/>
                <w:szCs w:val="18"/>
                <w:color w:val="auto"/>
                <w:w w:val="92"/>
              </w:rPr>
              <w:t>- Jack E. Golsen, our Executive Chairman of the Board, and Barry H. Golsen, a member of the Board, entities</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00" w:type="dxa"/>
            <w:vAlign w:val="bottom"/>
          </w:tcPr>
          <w:p>
            <w:pPr>
              <w:ind w:left="24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00" w:type="dxa"/>
            <w:vAlign w:val="bottom"/>
          </w:tcPr>
          <w:p>
            <w:pPr>
              <w:ind w:left="24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Interim Loan</w:t>
            </w:r>
          </w:p>
        </w:tc>
        <w:tc>
          <w:tcPr>
            <w:tcW w:w="8300" w:type="dxa"/>
            <w:vAlign w:val="bottom"/>
          </w:tcPr>
          <w:p>
            <w:pPr>
              <w:ind w:left="240"/>
              <w:spacing w:after="0"/>
              <w:rPr>
                <w:sz w:val="20"/>
                <w:szCs w:val="20"/>
                <w:color w:val="auto"/>
              </w:rPr>
            </w:pPr>
            <w:r>
              <w:rPr>
                <w:rFonts w:ascii="Arial" w:cs="Arial" w:eastAsia="Arial" w:hAnsi="Arial"/>
                <w:sz w:val="18"/>
                <w:szCs w:val="18"/>
                <w:color w:val="auto"/>
                <w:w w:val="91"/>
              </w:rPr>
              <w:t>- A loan agreement between EDC and a lender, which had borrowing availability for the construction of certain</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equipment.</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Interim Loan Period</w:t>
            </w:r>
          </w:p>
        </w:tc>
        <w:tc>
          <w:tcPr>
            <w:tcW w:w="8300" w:type="dxa"/>
            <w:vAlign w:val="bottom"/>
          </w:tcPr>
          <w:p>
            <w:pPr>
              <w:ind w:left="240"/>
              <w:spacing w:after="0"/>
              <w:rPr>
                <w:sz w:val="20"/>
                <w:szCs w:val="20"/>
                <w:color w:val="auto"/>
              </w:rPr>
            </w:pPr>
            <w:r>
              <w:rPr>
                <w:rFonts w:ascii="Arial" w:cs="Arial" w:eastAsia="Arial" w:hAnsi="Arial"/>
                <w:sz w:val="18"/>
                <w:szCs w:val="18"/>
                <w:color w:val="auto"/>
                <w:w w:val="92"/>
              </w:rPr>
              <w:t>- The time period covered by the Interim Loan for certain equipment construction between EDC and a lender.</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00" w:type="dxa"/>
            <w:vAlign w:val="bottom"/>
          </w:tcPr>
          <w:p>
            <w:pPr>
              <w:ind w:left="240"/>
              <w:spacing w:after="0"/>
              <w:rPr>
                <w:sz w:val="20"/>
                <w:szCs w:val="20"/>
                <w:color w:val="auto"/>
              </w:rPr>
            </w:pPr>
            <w:r>
              <w:rPr>
                <w:rFonts w:ascii="Arial" w:cs="Arial" w:eastAsia="Arial" w:hAnsi="Arial"/>
                <w:sz w:val="18"/>
                <w:szCs w:val="18"/>
                <w:color w:val="auto"/>
              </w:rPr>
              <w:t>- The Kansas Department of Health and Environment.</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00" w:type="dxa"/>
            <w:vAlign w:val="bottom"/>
          </w:tcPr>
          <w:p>
            <w:pPr>
              <w:ind w:left="24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00" w:type="dxa"/>
            <w:vAlign w:val="bottom"/>
          </w:tcPr>
          <w:p>
            <w:pPr>
              <w:ind w:left="240"/>
              <w:spacing w:after="0"/>
              <w:rPr>
                <w:sz w:val="20"/>
                <w:szCs w:val="20"/>
                <w:color w:val="auto"/>
              </w:rPr>
            </w:pPr>
            <w:r>
              <w:rPr>
                <w:rFonts w:ascii="Arial" w:cs="Arial" w:eastAsia="Arial" w:hAnsi="Arial"/>
                <w:sz w:val="18"/>
                <w:szCs w:val="18"/>
                <w:color w:val="auto"/>
              </w:rPr>
              <w:t>- Leidos Constructors L.L.C.</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00" w:type="dxa"/>
            <w:vAlign w:val="bottom"/>
          </w:tcPr>
          <w:p>
            <w:pPr>
              <w:ind w:left="240"/>
              <w:spacing w:after="0"/>
              <w:rPr>
                <w:sz w:val="20"/>
                <w:szCs w:val="20"/>
                <w:color w:val="auto"/>
              </w:rPr>
            </w:pPr>
            <w:r>
              <w:rPr>
                <w:rFonts w:ascii="Arial" w:cs="Arial" w:eastAsia="Arial" w:hAnsi="Arial"/>
                <w:sz w:val="18"/>
                <w:szCs w:val="18"/>
                <w:color w:val="auto"/>
                <w:w w:val="95"/>
              </w:rPr>
              <w:t>- The Series E Redeemable Preferred liquidation preference of $1,000 per share plus accrued and unpaid</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dividends plus the participation rights value.</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00" w:type="dxa"/>
            <w:vAlign w:val="bottom"/>
          </w:tcPr>
          <w:p>
            <w:pPr>
              <w:ind w:left="240"/>
              <w:spacing w:after="0"/>
              <w:rPr>
                <w:sz w:val="20"/>
                <w:szCs w:val="20"/>
                <w:color w:val="auto"/>
              </w:rPr>
            </w:pPr>
            <w:r>
              <w:rPr>
                <w:rFonts w:ascii="Arial" w:cs="Arial" w:eastAsia="Arial" w:hAnsi="Arial"/>
                <w:sz w:val="18"/>
                <w:szCs w:val="18"/>
                <w:color w:val="auto"/>
              </w:rPr>
              <w:t>- LSB Industries, Inc.</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00" w:type="dxa"/>
            <w:vAlign w:val="bottom"/>
          </w:tcPr>
          <w:p>
            <w:pPr>
              <w:ind w:left="240"/>
              <w:spacing w:after="0"/>
              <w:rPr>
                <w:sz w:val="20"/>
                <w:szCs w:val="20"/>
                <w:color w:val="auto"/>
              </w:rPr>
            </w:pPr>
            <w:r>
              <w:rPr>
                <w:rFonts w:ascii="Arial" w:cs="Arial" w:eastAsia="Arial" w:hAnsi="Arial"/>
                <w:sz w:val="18"/>
                <w:szCs w:val="18"/>
                <w:color w:val="auto"/>
              </w:rPr>
              <w:t>- LSB Funding L.L.C.</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00" w:type="dxa"/>
            <w:vAlign w:val="bottom"/>
          </w:tcPr>
          <w:p>
            <w:pPr>
              <w:ind w:left="24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00" w:type="dxa"/>
            <w:vAlign w:val="bottom"/>
          </w:tcPr>
          <w:p>
            <w:pPr>
              <w:ind w:left="240"/>
              <w:spacing w:after="0"/>
              <w:rPr>
                <w:sz w:val="20"/>
                <w:szCs w:val="20"/>
                <w:color w:val="auto"/>
              </w:rPr>
            </w:pPr>
            <w:r>
              <w:rPr>
                <w:rFonts w:ascii="Arial" w:cs="Arial" w:eastAsia="Arial" w:hAnsi="Arial"/>
                <w:sz w:val="18"/>
                <w:szCs w:val="18"/>
                <w:color w:val="auto"/>
              </w:rPr>
              <w:t>- The notes issued on June 21, 2019 with an interest rate of 9.625%, which mature in May 2023.</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00" w:type="dxa"/>
            <w:vAlign w:val="bottom"/>
          </w:tcPr>
          <w:p>
            <w:pPr>
              <w:ind w:left="24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00" w:type="dxa"/>
            <w:vAlign w:val="bottom"/>
          </w:tcPr>
          <w:p>
            <w:pPr>
              <w:ind w:left="24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00" w:type="dxa"/>
            <w:vAlign w:val="bottom"/>
          </w:tcPr>
          <w:p>
            <w:pPr>
              <w:ind w:left="240"/>
              <w:spacing w:after="0"/>
              <w:rPr>
                <w:sz w:val="20"/>
                <w:szCs w:val="20"/>
                <w:color w:val="auto"/>
              </w:rPr>
            </w:pPr>
            <w:r>
              <w:rPr>
                <w:rFonts w:ascii="Arial" w:cs="Arial" w:eastAsia="Arial" w:hAnsi="Arial"/>
                <w:sz w:val="18"/>
                <w:szCs w:val="18"/>
                <w:color w:val="auto"/>
              </w:rPr>
              <w:t>- National Pollutant Discharge Elimination System.</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00" w:type="dxa"/>
            <w:vAlign w:val="bottom"/>
          </w:tcPr>
          <w:p>
            <w:pPr>
              <w:ind w:left="240"/>
              <w:spacing w:after="0"/>
              <w:rPr>
                <w:sz w:val="20"/>
                <w:szCs w:val="20"/>
                <w:color w:val="auto"/>
              </w:rPr>
            </w:pPr>
            <w:r>
              <w:rPr>
                <w:rFonts w:ascii="Arial" w:cs="Arial" w:eastAsia="Arial" w:hAnsi="Arial"/>
                <w:sz w:val="18"/>
                <w:szCs w:val="18"/>
                <w:color w:val="auto"/>
              </w:rPr>
              <w:t>- The Oklahoma Department of Environmental Quality.</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8300" w:type="dxa"/>
            <w:vAlign w:val="bottom"/>
          </w:tcPr>
          <w:p>
            <w:pPr>
              <w:ind w:left="240"/>
              <w:spacing w:after="0"/>
              <w:rPr>
                <w:sz w:val="20"/>
                <w:szCs w:val="20"/>
                <w:color w:val="auto"/>
              </w:rPr>
            </w:pPr>
            <w:r>
              <w:rPr>
                <w:rFonts w:ascii="Arial" w:cs="Arial" w:eastAsia="Arial" w:hAnsi="Arial"/>
                <w:sz w:val="18"/>
                <w:szCs w:val="18"/>
                <w:color w:val="auto"/>
              </w:rPr>
              <w:t>- Permit Appeal Resolution.</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00" w:type="dxa"/>
            <w:vAlign w:val="bottom"/>
          </w:tcPr>
          <w:p>
            <w:pPr>
              <w:ind w:left="240"/>
              <w:spacing w:after="0"/>
              <w:rPr>
                <w:sz w:val="20"/>
                <w:szCs w:val="20"/>
                <w:color w:val="auto"/>
              </w:rPr>
            </w:pPr>
            <w:r>
              <w:rPr>
                <w:rFonts w:ascii="Arial" w:cs="Arial" w:eastAsia="Arial" w:hAnsi="Arial"/>
                <w:sz w:val="18"/>
                <w:szCs w:val="18"/>
                <w:color w:val="auto"/>
              </w:rPr>
              <w:t>- Pryor Chemical Company.</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00" w:type="dxa"/>
            <w:vAlign w:val="bottom"/>
          </w:tcPr>
          <w:p>
            <w:pPr>
              <w:ind w:left="240"/>
              <w:spacing w:after="0"/>
              <w:rPr>
                <w:sz w:val="20"/>
                <w:szCs w:val="20"/>
                <w:color w:val="auto"/>
              </w:rPr>
            </w:pPr>
            <w:r>
              <w:rPr>
                <w:rFonts w:ascii="Arial" w:cs="Arial" w:eastAsia="Arial" w:hAnsi="Arial"/>
                <w:sz w:val="18"/>
                <w:szCs w:val="18"/>
                <w:color w:val="auto"/>
              </w:rPr>
              <w:t>- Plant, property and equipment.</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8300" w:type="dxa"/>
            <w:vAlign w:val="bottom"/>
          </w:tcPr>
          <w:p>
            <w:pPr>
              <w:ind w:left="240"/>
              <w:spacing w:after="0"/>
              <w:rPr>
                <w:sz w:val="20"/>
                <w:szCs w:val="20"/>
                <w:color w:val="auto"/>
              </w:rPr>
            </w:pPr>
            <w:r>
              <w:rPr>
                <w:rFonts w:ascii="Arial" w:cs="Arial" w:eastAsia="Arial" w:hAnsi="Arial"/>
                <w:sz w:val="18"/>
                <w:szCs w:val="18"/>
                <w:color w:val="auto"/>
              </w:rPr>
              <w:t>- Paycheck Protection Program.</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00" w:type="dxa"/>
            <w:vAlign w:val="bottom"/>
          </w:tcPr>
          <w:p>
            <w:pPr>
              <w:ind w:left="2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8300" w:type="dxa"/>
            <w:vAlign w:val="bottom"/>
          </w:tcPr>
          <w:p>
            <w:pPr>
              <w:ind w:left="240"/>
              <w:spacing w:after="0"/>
              <w:rPr>
                <w:sz w:val="20"/>
                <w:szCs w:val="20"/>
                <w:color w:val="auto"/>
              </w:rPr>
            </w:pPr>
            <w:r>
              <w:rPr>
                <w:rFonts w:ascii="Arial" w:cs="Arial" w:eastAsia="Arial" w:hAnsi="Arial"/>
                <w:sz w:val="18"/>
                <w:szCs w:val="18"/>
                <w:color w:val="auto"/>
              </w:rPr>
              <w:t>- LSB Funding L.L.C.</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300" w:type="dxa"/>
            <w:vAlign w:val="bottom"/>
          </w:tcPr>
          <w:p>
            <w:pPr>
              <w:ind w:left="240"/>
              <w:spacing w:after="0"/>
              <w:rPr>
                <w:sz w:val="20"/>
                <w:szCs w:val="20"/>
                <w:color w:val="auto"/>
              </w:rPr>
            </w:pPr>
            <w:r>
              <w:rPr>
                <w:rFonts w:ascii="Arial" w:cs="Arial" w:eastAsia="Arial" w:hAnsi="Arial"/>
                <w:sz w:val="18"/>
                <w:szCs w:val="18"/>
                <w:color w:val="auto"/>
              </w:rPr>
              <w:t>- Small Business Administration</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00" w:type="dxa"/>
            <w:vAlign w:val="bottom"/>
          </w:tcPr>
          <w:p>
            <w:pPr>
              <w:ind w:left="240"/>
              <w:spacing w:after="0"/>
              <w:rPr>
                <w:sz w:val="20"/>
                <w:szCs w:val="20"/>
                <w:color w:val="auto"/>
              </w:rPr>
            </w:pPr>
            <w:r>
              <w:rPr>
                <w:rFonts w:ascii="Arial" w:cs="Arial" w:eastAsia="Arial" w:hAnsi="Arial"/>
                <w:sz w:val="18"/>
                <w:szCs w:val="18"/>
                <w:color w:val="auto"/>
              </w:rPr>
              <w:t>- The U.S. Securities and Exchange Commission.</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Secured Financing due 2023</w:t>
            </w:r>
          </w:p>
        </w:tc>
        <w:tc>
          <w:tcPr>
            <w:tcW w:w="8300" w:type="dxa"/>
            <w:vAlign w:val="bottom"/>
          </w:tcPr>
          <w:p>
            <w:pPr>
              <w:ind w:left="240"/>
              <w:spacing w:after="0"/>
              <w:rPr>
                <w:sz w:val="20"/>
                <w:szCs w:val="20"/>
                <w:color w:val="auto"/>
              </w:rPr>
            </w:pPr>
            <w:r>
              <w:rPr>
                <w:rFonts w:ascii="Arial" w:cs="Arial" w:eastAsia="Arial" w:hAnsi="Arial"/>
                <w:sz w:val="18"/>
                <w:szCs w:val="18"/>
                <w:color w:val="auto"/>
                <w:w w:val="96"/>
              </w:rPr>
              <w:t>- A secured financing arrangement between EDC and an affiliate of LSB Funding L.L.C. which matures in</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June 2023.</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Secured Financing due 2025</w:t>
            </w:r>
          </w:p>
        </w:tc>
        <w:tc>
          <w:tcPr>
            <w:tcW w:w="8300" w:type="dxa"/>
            <w:vAlign w:val="bottom"/>
          </w:tcPr>
          <w:p>
            <w:pPr>
              <w:ind w:left="240"/>
              <w:spacing w:after="0"/>
              <w:rPr>
                <w:sz w:val="20"/>
                <w:szCs w:val="20"/>
                <w:color w:val="auto"/>
              </w:rPr>
            </w:pPr>
            <w:r>
              <w:rPr>
                <w:rFonts w:ascii="Arial" w:cs="Arial" w:eastAsia="Arial" w:hAnsi="Arial"/>
                <w:sz w:val="18"/>
                <w:szCs w:val="18"/>
                <w:color w:val="auto"/>
                <w:w w:val="96"/>
              </w:rPr>
              <w:t>- A secured financing arrangement between EDA and an affiliate of LSB Funding L.L.C. which matures in</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August 2025.</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w w:val="97"/>
              </w:rPr>
              <w:t>Secured Loan Agreement due 2025</w:t>
            </w:r>
          </w:p>
        </w:tc>
        <w:tc>
          <w:tcPr>
            <w:tcW w:w="8300" w:type="dxa"/>
            <w:vAlign w:val="bottom"/>
          </w:tcPr>
          <w:p>
            <w:pPr>
              <w:ind w:left="240"/>
              <w:spacing w:after="0"/>
              <w:rPr>
                <w:sz w:val="20"/>
                <w:szCs w:val="20"/>
                <w:color w:val="auto"/>
              </w:rPr>
            </w:pPr>
            <w:r>
              <w:rPr>
                <w:rFonts w:ascii="Arial" w:cs="Arial" w:eastAsia="Arial" w:hAnsi="Arial"/>
                <w:sz w:val="18"/>
                <w:szCs w:val="18"/>
                <w:color w:val="auto"/>
                <w:w w:val="96"/>
              </w:rPr>
              <w:t>- A secured loan agreement between EDC and an affiliate of LSB Funding L.L.C. which matures in March</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2025.</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w w:val="96"/>
              </w:rPr>
              <w:t>Secured Promissory Note due 2021</w:t>
            </w:r>
          </w:p>
        </w:tc>
        <w:tc>
          <w:tcPr>
            <w:tcW w:w="8300" w:type="dxa"/>
            <w:vAlign w:val="bottom"/>
          </w:tcPr>
          <w:p>
            <w:pPr>
              <w:ind w:left="240"/>
              <w:spacing w:after="0"/>
              <w:rPr>
                <w:sz w:val="20"/>
                <w:szCs w:val="20"/>
                <w:color w:val="auto"/>
              </w:rPr>
            </w:pPr>
            <w:r>
              <w:rPr>
                <w:rFonts w:ascii="Arial" w:cs="Arial" w:eastAsia="Arial" w:hAnsi="Arial"/>
                <w:sz w:val="18"/>
                <w:szCs w:val="18"/>
                <w:color w:val="auto"/>
              </w:rPr>
              <w:t>- A secured promissory note between EDC and a lender which matures in March 2021.</w:t>
            </w:r>
          </w:p>
        </w:tc>
      </w:tr>
      <w:tr>
        <w:trPr>
          <w:trHeight w:val="473"/>
        </w:trPr>
        <w:tc>
          <w:tcPr>
            <w:tcW w:w="2940" w:type="dxa"/>
            <w:vAlign w:val="bottom"/>
          </w:tcPr>
          <w:p>
            <w:pPr>
              <w:spacing w:after="0"/>
              <w:rPr>
                <w:sz w:val="24"/>
                <w:szCs w:val="24"/>
                <w:color w:val="auto"/>
              </w:rPr>
            </w:pPr>
          </w:p>
        </w:tc>
        <w:tc>
          <w:tcPr>
            <w:tcW w:w="8300" w:type="dxa"/>
            <w:vAlign w:val="bottom"/>
          </w:tcPr>
          <w:p>
            <w:pPr>
              <w:ind w:left="2600"/>
              <w:spacing w:after="0"/>
              <w:rPr>
                <w:sz w:val="20"/>
                <w:szCs w:val="20"/>
                <w:color w:val="auto"/>
              </w:rPr>
            </w:pPr>
            <w:r>
              <w:rPr>
                <w:rFonts w:ascii="Arial" w:cs="Arial" w:eastAsia="Arial" w:hAnsi="Arial"/>
                <w:sz w:val="18"/>
                <w:szCs w:val="18"/>
                <w:color w:val="auto"/>
              </w:rPr>
              <w:t>39</w:t>
            </w:r>
          </w:p>
        </w:tc>
      </w:tr>
      <w:tr>
        <w:trPr>
          <w:trHeight w:val="115"/>
        </w:trPr>
        <w:tc>
          <w:tcPr>
            <w:tcW w:w="29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w w:val="96"/>
              </w:rPr>
              <w:t>Secured Promissory Note due 2023</w:t>
            </w:r>
          </w:p>
        </w:tc>
        <w:tc>
          <w:tcPr>
            <w:tcW w:w="8300" w:type="dxa"/>
            <w:vAlign w:val="bottom"/>
          </w:tcPr>
          <w:p>
            <w:pPr>
              <w:ind w:left="240"/>
              <w:spacing w:after="0"/>
              <w:rPr>
                <w:sz w:val="20"/>
                <w:szCs w:val="20"/>
                <w:color w:val="auto"/>
              </w:rPr>
            </w:pPr>
            <w:r>
              <w:rPr>
                <w:rFonts w:ascii="Arial" w:cs="Arial" w:eastAsia="Arial" w:hAnsi="Arial"/>
                <w:sz w:val="18"/>
                <w:szCs w:val="18"/>
                <w:color w:val="auto"/>
                <w:w w:val="92"/>
              </w:rPr>
              <w:t>- A secured promissory note between EDA and a lender which was paid off during August 2020 with a portion</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of the proceeds from the Secured Financing due 2025.</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300" w:type="dxa"/>
            <w:vAlign w:val="bottom"/>
          </w:tcPr>
          <w:p>
            <w:pPr>
              <w:ind w:left="240"/>
              <w:spacing w:after="0"/>
              <w:rPr>
                <w:sz w:val="20"/>
                <w:szCs w:val="20"/>
                <w:color w:val="auto"/>
              </w:rPr>
            </w:pPr>
            <w:r>
              <w:rPr>
                <w:rFonts w:ascii="Arial" w:cs="Arial" w:eastAsia="Arial" w:hAnsi="Arial"/>
                <w:sz w:val="18"/>
                <w:szCs w:val="18"/>
                <w:color w:val="auto"/>
                <w:w w:val="99"/>
              </w:rPr>
              <w:t>- The Notes and New Notes, taken together due on May 1, 2023 with a stated interest rate of 9.625%.</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300" w:type="dxa"/>
            <w:vAlign w:val="bottom"/>
          </w:tcPr>
          <w:p>
            <w:pPr>
              <w:ind w:left="24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300" w:type="dxa"/>
            <w:vAlign w:val="bottom"/>
          </w:tcPr>
          <w:p>
            <w:pPr>
              <w:ind w:left="24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300" w:type="dxa"/>
            <w:vAlign w:val="bottom"/>
          </w:tcPr>
          <w:p>
            <w:pPr>
              <w:ind w:left="240"/>
              <w:spacing w:after="0"/>
              <w:rPr>
                <w:sz w:val="20"/>
                <w:szCs w:val="20"/>
                <w:color w:val="auto"/>
              </w:rPr>
            </w:pPr>
            <w:r>
              <w:rPr>
                <w:rFonts w:ascii="Arial" w:cs="Arial" w:eastAsia="Arial" w:hAnsi="Arial"/>
                <w:sz w:val="18"/>
                <w:szCs w:val="18"/>
                <w:color w:val="auto"/>
                <w:w w:val="91"/>
              </w:rPr>
              <w:t>- The 14% Series E Redeemable Preferred stock with participating rights and liquidating distributions based on</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a certain number of shares of our common stock.</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300" w:type="dxa"/>
            <w:vAlign w:val="bottom"/>
          </w:tcPr>
          <w:p>
            <w:pPr>
              <w:ind w:left="240"/>
              <w:spacing w:after="0"/>
              <w:rPr>
                <w:sz w:val="20"/>
                <w:szCs w:val="20"/>
                <w:color w:val="auto"/>
              </w:rPr>
            </w:pPr>
            <w:r>
              <w:rPr>
                <w:rFonts w:ascii="Arial" w:cs="Arial" w:eastAsia="Arial" w:hAnsi="Arial"/>
                <w:sz w:val="18"/>
                <w:szCs w:val="18"/>
                <w:color w:val="auto"/>
                <w:w w:val="94"/>
              </w:rPr>
              <w:t>- The Series F Redeemable Preferred stock with one share to vote as a single class on all matters with our</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common stock equal to 456,225 shares of our common stock.</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300" w:type="dxa"/>
            <w:vAlign w:val="bottom"/>
          </w:tcPr>
          <w:p>
            <w:pPr>
              <w:ind w:left="240"/>
              <w:spacing w:after="0"/>
              <w:rPr>
                <w:sz w:val="20"/>
                <w:szCs w:val="20"/>
                <w:color w:val="auto"/>
              </w:rPr>
            </w:pPr>
            <w:r>
              <w:rPr>
                <w:rFonts w:ascii="Arial" w:cs="Arial" w:eastAsia="Arial" w:hAnsi="Arial"/>
                <w:sz w:val="18"/>
                <w:szCs w:val="18"/>
                <w:color w:val="auto"/>
              </w:rPr>
              <w:t>- Selling, general and administrative expense.</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300" w:type="dxa"/>
            <w:vAlign w:val="bottom"/>
          </w:tcPr>
          <w:p>
            <w:pPr>
              <w:ind w:left="240"/>
              <w:spacing w:after="0"/>
              <w:rPr>
                <w:sz w:val="20"/>
                <w:szCs w:val="20"/>
                <w:color w:val="auto"/>
              </w:rPr>
            </w:pPr>
            <w:r>
              <w:rPr>
                <w:rFonts w:ascii="Arial" w:cs="Arial" w:eastAsia="Arial" w:hAnsi="Arial"/>
                <w:sz w:val="18"/>
                <w:szCs w:val="18"/>
                <w:color w:val="auto"/>
              </w:rPr>
              <w:t>- A planned major maintenance activity.</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8300" w:type="dxa"/>
            <w:vAlign w:val="bottom"/>
          </w:tcPr>
          <w:p>
            <w:pPr>
              <w:ind w:left="240"/>
              <w:spacing w:after="0"/>
              <w:rPr>
                <w:sz w:val="20"/>
                <w:szCs w:val="20"/>
                <w:color w:val="auto"/>
              </w:rPr>
            </w:pPr>
            <w:r>
              <w:rPr>
                <w:rFonts w:ascii="Arial" w:cs="Arial" w:eastAsia="Arial" w:hAnsi="Arial"/>
                <w:sz w:val="18"/>
                <w:szCs w:val="18"/>
                <w:color w:val="auto"/>
              </w:rPr>
              <w:t>- Urea ammonium nitrate.</w:t>
            </w:r>
          </w:p>
        </w:tc>
      </w:tr>
      <w:tr>
        <w:trPr>
          <w:trHeight w:val="256"/>
        </w:trPr>
        <w:tc>
          <w:tcPr>
            <w:tcW w:w="2940" w:type="dxa"/>
            <w:vAlign w:val="bottom"/>
          </w:tcPr>
          <w:p>
            <w:pPr>
              <w:spacing w:after="0"/>
              <w:rPr>
                <w:sz w:val="20"/>
                <w:szCs w:val="20"/>
                <w:color w:val="auto"/>
              </w:rPr>
            </w:pPr>
            <w:r>
              <w:rPr>
                <w:rFonts w:ascii="Arial" w:cs="Arial" w:eastAsia="Arial" w:hAnsi="Arial"/>
                <w:sz w:val="18"/>
                <w:szCs w:val="18"/>
                <w:b w:val="1"/>
                <w:bCs w:val="1"/>
                <w:color w:val="auto"/>
              </w:rPr>
              <w:t>U.S.</w:t>
            </w:r>
          </w:p>
        </w:tc>
        <w:tc>
          <w:tcPr>
            <w:tcW w:w="8300" w:type="dxa"/>
            <w:vAlign w:val="bottom"/>
          </w:tcPr>
          <w:p>
            <w:pPr>
              <w:ind w:left="240"/>
              <w:spacing w:after="0"/>
              <w:rPr>
                <w:sz w:val="20"/>
                <w:szCs w:val="20"/>
                <w:color w:val="auto"/>
              </w:rPr>
            </w:pPr>
            <w:r>
              <w:rPr>
                <w:rFonts w:ascii="Arial" w:cs="Arial" w:eastAsia="Arial" w:hAnsi="Arial"/>
                <w:sz w:val="18"/>
                <w:szCs w:val="18"/>
                <w:color w:val="auto"/>
              </w:rPr>
              <w:t>- United States.</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USDA</w:t>
            </w:r>
          </w:p>
        </w:tc>
        <w:tc>
          <w:tcPr>
            <w:tcW w:w="8300" w:type="dxa"/>
            <w:vAlign w:val="bottom"/>
          </w:tcPr>
          <w:p>
            <w:pPr>
              <w:ind w:left="240"/>
              <w:spacing w:after="0"/>
              <w:rPr>
                <w:sz w:val="20"/>
                <w:szCs w:val="20"/>
                <w:color w:val="auto"/>
              </w:rPr>
            </w:pPr>
            <w:r>
              <w:rPr>
                <w:rFonts w:ascii="Arial" w:cs="Arial" w:eastAsia="Arial" w:hAnsi="Arial"/>
                <w:sz w:val="18"/>
                <w:szCs w:val="18"/>
                <w:color w:val="auto"/>
              </w:rPr>
              <w:t>- United States Department of Agriculture.</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300" w:type="dxa"/>
            <w:vAlign w:val="bottom"/>
          </w:tcPr>
          <w:p>
            <w:pPr>
              <w:ind w:left="2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8300" w:type="dxa"/>
            <w:vAlign w:val="bottom"/>
          </w:tcPr>
          <w:p>
            <w:pPr>
              <w:ind w:left="240"/>
              <w:spacing w:after="0"/>
              <w:rPr>
                <w:sz w:val="20"/>
                <w:szCs w:val="20"/>
                <w:color w:val="auto"/>
              </w:rPr>
            </w:pPr>
            <w:r>
              <w:rPr>
                <w:rFonts w:ascii="Arial" w:cs="Arial" w:eastAsia="Arial" w:hAnsi="Arial"/>
                <w:sz w:val="18"/>
                <w:szCs w:val="18"/>
                <w:color w:val="auto"/>
              </w:rPr>
              <w:t>- West Fertilizer Company.</w:t>
            </w:r>
          </w:p>
        </w:tc>
      </w:tr>
      <w:tr>
        <w:trPr>
          <w:trHeight w:val="257"/>
        </w:trPr>
        <w:tc>
          <w:tcPr>
            <w:tcW w:w="294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300" w:type="dxa"/>
            <w:vAlign w:val="bottom"/>
          </w:tcPr>
          <w:p>
            <w:pPr>
              <w:ind w:left="240"/>
              <w:spacing w:after="0"/>
              <w:rPr>
                <w:sz w:val="20"/>
                <w:szCs w:val="20"/>
                <w:color w:val="auto"/>
              </w:rPr>
            </w:pPr>
            <w:r>
              <w:rPr>
                <w:rFonts w:ascii="Arial" w:cs="Arial" w:eastAsia="Arial" w:hAnsi="Arial"/>
                <w:sz w:val="18"/>
                <w:szCs w:val="18"/>
                <w:color w:val="auto"/>
              </w:rPr>
              <w:t>- Our secured revolving credit facility.</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2019 Crop</w:t>
            </w:r>
          </w:p>
        </w:tc>
        <w:tc>
          <w:tcPr>
            <w:tcW w:w="8300" w:type="dxa"/>
            <w:vAlign w:val="bottom"/>
          </w:tcPr>
          <w:p>
            <w:pPr>
              <w:ind w:left="240"/>
              <w:spacing w:after="0"/>
              <w:rPr>
                <w:sz w:val="20"/>
                <w:szCs w:val="20"/>
                <w:color w:val="auto"/>
              </w:rPr>
            </w:pPr>
            <w:r>
              <w:rPr>
                <w:rFonts w:ascii="Arial" w:cs="Arial" w:eastAsia="Arial" w:hAnsi="Arial"/>
                <w:sz w:val="18"/>
                <w:szCs w:val="18"/>
                <w:color w:val="auto"/>
                <w:w w:val="92"/>
              </w:rPr>
              <w:t>- Corn crop marketing year (September 1 - August 31), which began in 2018 and ended in 2019 and primarily</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relates to corn planted and harvested in 2018.</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2020 Crop</w:t>
            </w:r>
          </w:p>
        </w:tc>
        <w:tc>
          <w:tcPr>
            <w:tcW w:w="8300" w:type="dxa"/>
            <w:vAlign w:val="bottom"/>
          </w:tcPr>
          <w:p>
            <w:pPr>
              <w:ind w:left="240"/>
              <w:spacing w:after="0"/>
              <w:rPr>
                <w:sz w:val="20"/>
                <w:szCs w:val="20"/>
                <w:color w:val="auto"/>
              </w:rPr>
            </w:pPr>
            <w:r>
              <w:rPr>
                <w:rFonts w:ascii="Arial" w:cs="Arial" w:eastAsia="Arial" w:hAnsi="Arial"/>
                <w:sz w:val="18"/>
                <w:szCs w:val="18"/>
                <w:color w:val="auto"/>
                <w:w w:val="99"/>
              </w:rPr>
              <w:t>- Corn crop marketing year (September 1 - August 31), which began in 2019 and will end in 2020 and</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primarily relates to corn planted and harvested in 2019.</w:t>
            </w:r>
          </w:p>
        </w:tc>
      </w:tr>
      <w:tr>
        <w:trPr>
          <w:trHeight w:val="242"/>
        </w:trPr>
        <w:tc>
          <w:tcPr>
            <w:tcW w:w="2940" w:type="dxa"/>
            <w:vAlign w:val="bottom"/>
          </w:tcPr>
          <w:p>
            <w:pPr>
              <w:spacing w:after="0"/>
              <w:rPr>
                <w:sz w:val="20"/>
                <w:szCs w:val="20"/>
                <w:color w:val="auto"/>
              </w:rPr>
            </w:pPr>
            <w:r>
              <w:rPr>
                <w:rFonts w:ascii="Arial" w:cs="Arial" w:eastAsia="Arial" w:hAnsi="Arial"/>
                <w:sz w:val="18"/>
                <w:szCs w:val="18"/>
                <w:b w:val="1"/>
                <w:bCs w:val="1"/>
                <w:color w:val="auto"/>
              </w:rPr>
              <w:t>2021 Crop</w:t>
            </w:r>
          </w:p>
        </w:tc>
        <w:tc>
          <w:tcPr>
            <w:tcW w:w="8300" w:type="dxa"/>
            <w:vAlign w:val="bottom"/>
          </w:tcPr>
          <w:p>
            <w:pPr>
              <w:ind w:left="240"/>
              <w:spacing w:after="0"/>
              <w:rPr>
                <w:sz w:val="20"/>
                <w:szCs w:val="20"/>
                <w:color w:val="auto"/>
              </w:rPr>
            </w:pPr>
            <w:r>
              <w:rPr>
                <w:rFonts w:ascii="Arial" w:cs="Arial" w:eastAsia="Arial" w:hAnsi="Arial"/>
                <w:sz w:val="18"/>
                <w:szCs w:val="18"/>
                <w:color w:val="auto"/>
                <w:w w:val="99"/>
              </w:rPr>
              <w:t>- Corn crop marketing year (September 1 - August 31), which began in 2020 and will end in 2021 and</w:t>
            </w:r>
          </w:p>
        </w:tc>
      </w:tr>
      <w:tr>
        <w:trPr>
          <w:trHeight w:val="230"/>
        </w:trPr>
        <w:tc>
          <w:tcPr>
            <w:tcW w:w="2940" w:type="dxa"/>
            <w:vAlign w:val="bottom"/>
          </w:tcPr>
          <w:p>
            <w:pPr>
              <w:spacing w:after="0"/>
              <w:rPr>
                <w:sz w:val="20"/>
                <w:szCs w:val="20"/>
                <w:color w:val="auto"/>
              </w:rPr>
            </w:pPr>
          </w:p>
        </w:tc>
        <w:tc>
          <w:tcPr>
            <w:tcW w:w="8300" w:type="dxa"/>
            <w:vAlign w:val="bottom"/>
          </w:tcPr>
          <w:p>
            <w:pPr>
              <w:ind w:left="340"/>
              <w:spacing w:after="0"/>
              <w:rPr>
                <w:sz w:val="20"/>
                <w:szCs w:val="20"/>
                <w:color w:val="auto"/>
              </w:rPr>
            </w:pPr>
            <w:r>
              <w:rPr>
                <w:rFonts w:ascii="Arial" w:cs="Arial" w:eastAsia="Arial" w:hAnsi="Arial"/>
                <w:sz w:val="18"/>
                <w:szCs w:val="18"/>
                <w:color w:val="auto"/>
              </w:rPr>
              <w:t>primarily relates to corn planted and harvested in 2020.</w:t>
            </w:r>
          </w:p>
        </w:tc>
      </w:tr>
      <w:tr>
        <w:trPr>
          <w:trHeight w:val="648"/>
        </w:trPr>
        <w:tc>
          <w:tcPr>
            <w:tcW w:w="2940" w:type="dxa"/>
            <w:vAlign w:val="bottom"/>
          </w:tcPr>
          <w:p>
            <w:pPr>
              <w:spacing w:after="0"/>
              <w:rPr>
                <w:sz w:val="24"/>
                <w:szCs w:val="24"/>
                <w:color w:val="auto"/>
              </w:rPr>
            </w:pPr>
          </w:p>
        </w:tc>
        <w:tc>
          <w:tcPr>
            <w:tcW w:w="8300" w:type="dxa"/>
            <w:vAlign w:val="bottom"/>
          </w:tcPr>
          <w:p>
            <w:pPr>
              <w:ind w:left="2600"/>
              <w:spacing w:after="0"/>
              <w:rPr>
                <w:sz w:val="20"/>
                <w:szCs w:val="20"/>
                <w:color w:val="auto"/>
              </w:rPr>
            </w:pPr>
            <w:r>
              <w:rPr>
                <w:rFonts w:ascii="Arial" w:cs="Arial" w:eastAsia="Arial" w:hAnsi="Arial"/>
                <w:sz w:val="18"/>
                <w:szCs w:val="18"/>
                <w:color w:val="auto"/>
              </w:rPr>
              <w:t>40</w:t>
            </w:r>
          </w:p>
        </w:tc>
      </w:tr>
      <w:tr>
        <w:trPr>
          <w:trHeight w:val="115"/>
        </w:trPr>
        <w:tc>
          <w:tcPr>
            <w:tcW w:w="294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Reference is made to Item 1A of our 2019 Form 10-K, filed with the SEC on February 25, 2020, our March 31, 2020 Form 10-Q, filed with the SEC on May 7, 2020 and our June 30, 2020 Form 10-Q, filed with the SEC on July 31, 2020 for our discussion regarding risk factors. There are no material changes from the risk factors disclosed in our 2019 Form 10-K, March 31, 2020 Form 10-Q and June 30,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42.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0"/>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Restated  Certificate  of  Incorporation  of  LSB  Industries,  Inc.,  dated</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January 21, 1977, as amended August 27, 1987</w:t>
              </w:r>
            </w:hyperlink>
          </w:p>
        </w:tc>
        <w:tc>
          <w:tcPr>
            <w:tcW w:w="208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Amended and Restated Bylaws of LSB Industries, Inc. dated August 20,</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3(ii).1 to the Company’s Form 8-K filed August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2009, as amended February 18, 2010, January 17, 2014, February 4, 2014</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and August 21, 2014</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3(ii).2</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8"/>
              </w:rPr>
            </w:pPr>
            <w:hyperlink r:id="rId70">
              <w:r>
                <w:rPr>
                  <w:rFonts w:ascii="Arial" w:cs="Arial" w:eastAsia="Arial" w:hAnsi="Arial"/>
                  <w:sz w:val="18"/>
                  <w:szCs w:val="18"/>
                  <w:color w:val="0000EE"/>
                  <w:w w:val="98"/>
                </w:rPr>
                <w:t>Fifth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Industries, Inc., dated as of April 26,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3(ii).3</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r:id="rId71">
              <w:r>
                <w:rPr>
                  <w:rFonts w:ascii="Arial" w:cs="Arial" w:eastAsia="Arial" w:hAnsi="Arial"/>
                  <w:sz w:val="18"/>
                  <w:szCs w:val="18"/>
                  <w:color w:val="0000EE"/>
                  <w:w w:val="97"/>
                </w:rPr>
                <w:t>Sixth  Amendment  to  the  Amended  and  Restated  Bylaws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Exhibit 3(ii) to the Company’s Form 8-K filed December 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Industries, Inc., dated as of December 2, 2015</w:t>
              </w:r>
            </w:hyperlink>
          </w:p>
        </w:tc>
        <w:tc>
          <w:tcPr>
            <w:tcW w:w="2180" w:type="dxa"/>
            <w:vAlign w:val="bottom"/>
            <w:gridSpan w:val="9"/>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3(ii).4</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rPr>
            </w:pPr>
            <w:hyperlink r:id="rId72">
              <w:r>
                <w:rPr>
                  <w:rFonts w:ascii="Arial" w:cs="Arial" w:eastAsia="Arial" w:hAnsi="Arial"/>
                  <w:sz w:val="18"/>
                  <w:szCs w:val="18"/>
                  <w:color w:val="0000EE"/>
                </w:rPr>
                <w:t>Seventh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4"/>
              </w:rPr>
              <w:t>Exhibit 3(ii) to the Company’s Form 8-K filed December 29,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Industries, Inc., dated as of December 22,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Certificate of Designations of Series G Class C Preferred Stock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Industries, Inc., as filed with the Secretary of State of the State of</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Delaware on July 6, 2020.</w:t>
              </w:r>
            </w:hyperlink>
          </w:p>
        </w:tc>
        <w:tc>
          <w:tcPr>
            <w:tcW w:w="3600" w:type="dxa"/>
            <w:vAlign w:val="bottom"/>
            <w:gridSpan w:val="11"/>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74">
              <w:r>
                <w:rPr>
                  <w:rFonts w:ascii="Arial" w:cs="Arial" w:eastAsia="Arial" w:hAnsi="Arial"/>
                  <w:sz w:val="18"/>
                  <w:szCs w:val="18"/>
                  <w:color w:val="0000EE"/>
                  <w:w w:val="95"/>
                </w:rPr>
                <w:t>Section 382 Rights Agreement, dated as of July 6, 2020, between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4.1 to the Company’s Form 8-K filed July 6, 2020</w:t>
            </w:r>
          </w:p>
        </w:tc>
        <w:tc>
          <w:tcPr>
            <w:tcW w:w="0" w:type="dxa"/>
            <w:vAlign w:val="bottom"/>
          </w:tcPr>
          <w:p>
            <w:pPr>
              <w:spacing w:after="0"/>
              <w:rPr>
                <w:sz w:val="1"/>
                <w:szCs w:val="1"/>
                <w:color w:val="auto"/>
              </w:rPr>
            </w:pPr>
          </w:p>
        </w:tc>
      </w:tr>
      <w:tr>
        <w:trPr>
          <w:trHeight w:val="237"/>
        </w:trPr>
        <w:tc>
          <w:tcPr>
            <w:tcW w:w="1140" w:type="dxa"/>
            <w:vAlign w:val="bottom"/>
          </w:tcPr>
          <w:p>
            <w:pPr>
              <w:ind w:lef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5500" w:type="dxa"/>
            <w:vAlign w:val="bottom"/>
            <w:gridSpan w:val="13"/>
          </w:tcPr>
          <w:p>
            <w:pPr>
              <w:spacing w:after="0"/>
              <w:rPr>
                <w:rFonts w:ascii="Arial" w:cs="Arial" w:eastAsia="Arial" w:hAnsi="Arial"/>
                <w:sz w:val="18"/>
                <w:szCs w:val="18"/>
                <w:u w:val="single" w:color="auto"/>
                <w:color w:val="0000EE"/>
                <w:w w:val="93"/>
              </w:rPr>
            </w:pPr>
            <w:hyperlink r:id="rId74">
              <w:r>
                <w:rPr>
                  <w:rFonts w:ascii="Arial" w:cs="Arial" w:eastAsia="Arial" w:hAnsi="Arial"/>
                  <w:sz w:val="18"/>
                  <w:szCs w:val="18"/>
                  <w:u w:val="single" w:color="auto"/>
                  <w:color w:val="0000EE"/>
                  <w:w w:val="93"/>
                </w:rPr>
                <w:t>Industries, Inc. and Computershare Trust Company, N.A., as rights agent.</w:t>
              </w:r>
            </w:hyperlink>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Certification of Mark T. Behrman, Chief Executive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Certification of Mark T. Behrman,  Chief  Executive  Officer,  furnished</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pursuant to Sarbanes-Oxley Act of 2002, Section 906</w:t>
              </w:r>
            </w:hyperlink>
          </w:p>
        </w:tc>
        <w:tc>
          <w:tcPr>
            <w:tcW w:w="182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Cheryl A. Maguire, Chief Financial Officer, furnished</w:t>
              </w:r>
            </w:hyperlink>
          </w:p>
        </w:tc>
        <w:tc>
          <w:tcPr>
            <w:tcW w:w="120" w:type="dxa"/>
            <w:vAlign w:val="bottom"/>
            <w:gridSpan w:val="4"/>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8"/>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5"/>
              </w:rPr>
              <w:t>in the Interactive Data File because its XBRL tags are embedded with 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6</w:t>
      </w:r>
      <w:r>
        <w:rPr>
          <w:rFonts w:ascii="Arial" w:cs="Arial" w:eastAsia="Arial" w:hAnsi="Arial"/>
          <w:sz w:val="15"/>
          <w:szCs w:val="15"/>
          <w:color w:val="auto"/>
        </w:rPr>
        <w:t>th</w:t>
      </w:r>
      <w:r>
        <w:rPr>
          <w:rFonts w:ascii="Arial" w:cs="Arial" w:eastAsia="Arial" w:hAnsi="Arial"/>
          <w:sz w:val="18"/>
          <w:szCs w:val="18"/>
          <w:color w:val="auto"/>
        </w:rPr>
        <w:t xml:space="preserve"> day of November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2020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6,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2020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6,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1)"/>
      <w:numFmt w:val="upperLetter"/>
      <w:start w:val="3"/>
    </w:lvl>
  </w:abstractNum>
  <w:abstractNum w:abstractNumId="8">
    <w:nsid w:val="62BBD95A"/>
    <w:multiLevelType w:val="hybridMultilevel"/>
    <w:lvl w:ilvl="0">
      <w:lvlJc w:val="left"/>
      <w:lvlText w:val="(%1)"/>
      <w:numFmt w:val="upperLetter"/>
      <w:start w:val="4"/>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o"/>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0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68" Type="http://schemas.openxmlformats.org/officeDocument/2006/relationships/hyperlink" Target="http://www.sec.gov/Archives/edgar/data/60714/000119312513084410/d447083dex3i1.htm" TargetMode="External"/><Relationship Id="rId69" Type="http://schemas.openxmlformats.org/officeDocument/2006/relationships/hyperlink" Target="http://www.sec.gov/Archives/edgar/data/60714/000119312514323405/d781455dex3ii.htm" TargetMode="External"/><Relationship Id="rId70" Type="http://schemas.openxmlformats.org/officeDocument/2006/relationships/hyperlink" Target="http://www.sec.gov/Archives/edgar/data/60714/000119312515161375/d918969dex3ii.htm" TargetMode="External"/><Relationship Id="rId71" Type="http://schemas.openxmlformats.org/officeDocument/2006/relationships/hyperlink" Target="http://www.sec.gov/Archives/edgar/data/60714/000119312515397856/d22963dex3ii.htm" TargetMode="External"/><Relationship Id="rId72" Type="http://schemas.openxmlformats.org/officeDocument/2006/relationships/hyperlink" Target="http://www.sec.gov/Archives/edgar/data/60714/000119312515415325/d102136dex3ii.htm" TargetMode="External"/><Relationship Id="rId73" Type="http://schemas.openxmlformats.org/officeDocument/2006/relationships/hyperlink" Target="http://www.sec.gov/Archives/edgar/data/60714/000156459020031834/lxu-ex31_6.htm" TargetMode="External"/><Relationship Id="rId74" Type="http://schemas.openxmlformats.org/officeDocument/2006/relationships/hyperlink" Target="http://www.sec.gov/Archives/edgar/data/60714/000156459020031834/lxu-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2020-11-06T15:39:23Z</dcterms:created>
  <dcterms:modified xsi:type="dcterms:W3CDTF">2020-11-06T15:39:23Z</dcterms:modified>
</cp:coreProperties>
</file>