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397"/>
        </w:trPr>
        <w:tc>
          <w:tcPr>
            <w:tcW w:w="3380" w:type="dxa"/>
            <w:vAlign w:val="bottom"/>
            <w:gridSpan w:val="3"/>
          </w:tcPr>
          <w:p>
            <w:pPr>
              <w:ind w:left="960"/>
              <w:spacing w:after="0"/>
              <w:rPr>
                <w:sz w:val="20"/>
                <w:szCs w:val="20"/>
                <w:color w:val="auto"/>
              </w:rPr>
            </w:pPr>
            <w:r>
              <w:rPr>
                <w:rFonts w:ascii="Arial" w:cs="Arial" w:eastAsia="Arial" w:hAnsi="Arial"/>
                <w:sz w:val="18"/>
                <w:szCs w:val="18"/>
                <w:b w:val="1"/>
                <w:bCs w:val="1"/>
                <w:color w:val="auto"/>
                <w:w w:val="88"/>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-264160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680" w:type="dxa"/>
        <w:tblCellMar>
          <w:top w:w="0" w:type="dxa"/>
          <w:left w:w="0" w:type="dxa"/>
          <w:bottom w:w="0" w:type="dxa"/>
          <w:right w:w="0" w:type="dxa"/>
        </w:tblCellMar>
      </w:tblPr>
      <w:tr>
        <w:trPr>
          <w:trHeight w:val="218"/>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Delaware</w:t>
            </w:r>
          </w:p>
        </w:tc>
        <w:tc>
          <w:tcPr>
            <w:tcW w:w="1500" w:type="dxa"/>
            <w:vAlign w:val="bottom"/>
          </w:tcPr>
          <w:p>
            <w:pPr>
              <w:jc w:val="right"/>
              <w:ind w:right="4"/>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6980" w:type="dxa"/>
            <w:vAlign w:val="bottom"/>
          </w:tcPr>
          <w:p>
            <w:pPr>
              <w:jc w:val="center"/>
              <w:ind w:right="24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80" w:type="dxa"/>
            <w:vAlign w:val="bottom"/>
          </w:tcPr>
          <w:p>
            <w:pPr>
              <w:jc w:val="center"/>
              <w:ind w:right="24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16 South Pennsylvania Avenue, Oklahoma City, Oklahoma</w:t>
            </w:r>
          </w:p>
        </w:tc>
        <w:tc>
          <w:tcPr>
            <w:tcW w:w="1500" w:type="dxa"/>
            <w:vAlign w:val="bottom"/>
          </w:tcPr>
          <w:p>
            <w:pPr>
              <w:jc w:val="right"/>
              <w:ind w:right="204"/>
              <w:spacing w:after="0"/>
              <w:rPr>
                <w:sz w:val="20"/>
                <w:szCs w:val="20"/>
                <w:color w:val="auto"/>
              </w:rPr>
            </w:pPr>
            <w:r>
              <w:rPr>
                <w:rFonts w:ascii="Arial" w:cs="Arial" w:eastAsia="Arial" w:hAnsi="Arial"/>
                <w:sz w:val="18"/>
                <w:szCs w:val="18"/>
                <w:b w:val="1"/>
                <w:bCs w:val="1"/>
                <w:color w:val="auto"/>
              </w:rPr>
              <w:t>73107</w:t>
            </w:r>
          </w:p>
        </w:tc>
      </w:tr>
      <w:tr>
        <w:trPr>
          <w:trHeight w:val="174"/>
        </w:trPr>
        <w:tc>
          <w:tcPr>
            <w:tcW w:w="6980" w:type="dxa"/>
            <w:vAlign w:val="bottom"/>
          </w:tcPr>
          <w:p>
            <w:pPr>
              <w:jc w:val="center"/>
              <w:ind w:right="24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6980" w:type="dxa"/>
            <w:vAlign w:val="bottom"/>
          </w:tcPr>
          <w:p>
            <w:pPr>
              <w:jc w:val="right"/>
              <w:ind w:right="1324"/>
              <w:spacing w:after="0"/>
              <w:rPr>
                <w:sz w:val="20"/>
                <w:szCs w:val="20"/>
                <w:color w:val="auto"/>
              </w:rPr>
            </w:pPr>
            <w:r>
              <w:rPr>
                <w:rFonts w:ascii="Arial" w:cs="Arial" w:eastAsia="Arial" w:hAnsi="Arial"/>
                <w:sz w:val="18"/>
                <w:szCs w:val="18"/>
                <w:b w:val="1"/>
                <w:bCs w:val="1"/>
                <w:color w:val="auto"/>
              </w:rPr>
              <w:t>(405) 235-4546</w:t>
            </w:r>
          </w:p>
        </w:tc>
        <w:tc>
          <w:tcPr>
            <w:tcW w:w="1500" w:type="dxa"/>
            <w:vAlign w:val="bottom"/>
          </w:tcPr>
          <w:p>
            <w:pPr>
              <w:spacing w:after="0"/>
              <w:rPr>
                <w:sz w:val="24"/>
                <w:szCs w:val="24"/>
                <w:color w:val="auto"/>
              </w:rPr>
            </w:pPr>
          </w:p>
        </w:tc>
      </w:tr>
      <w:tr>
        <w:trPr>
          <w:trHeight w:val="174"/>
        </w:trPr>
        <w:tc>
          <w:tcPr>
            <w:tcW w:w="6980" w:type="dxa"/>
            <w:vAlign w:val="bottom"/>
          </w:tcPr>
          <w:p>
            <w:pPr>
              <w:jc w:val="center"/>
              <w:ind w:left="3024"/>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50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300" w:space="180"/>
            <w:col w:w="140" w:space="100"/>
            <w:col w:w="260" w:space="160"/>
            <w:col w:w="160" w:space="100"/>
            <w:col w:w="3020"/>
          </w:cols>
          <w:pgMar w:left="240" w:top="230" w:right="239" w:bottom="1440" w:gutter="0" w:footer="0" w:header="0"/>
          <w:type w:val="continuous"/>
        </w:sectPr>
      </w:pPr>
    </w:p>
    <w:p>
      <w:pPr>
        <w:ind w:right="52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July 31, 2014 was 22,598,186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 OF LSB INDUSTRIES,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3"/>
              </w:rPr>
              <w:t>Page</w:t>
            </w:r>
          </w:p>
        </w:tc>
      </w:tr>
      <w:tr>
        <w:trPr>
          <w:trHeight w:val="264"/>
        </w:trPr>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780" w:type="dxa"/>
            <w:vAlign w:val="bottom"/>
            <w:gridSpan w:val="8"/>
          </w:tcPr>
          <w:p>
            <w:pPr>
              <w:jc w:val="center"/>
              <w:ind w:right="4560"/>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PART I – Financial Information</w:t>
              </w:r>
            </w:hyperlink>
          </w:p>
        </w:tc>
        <w:tc>
          <w:tcPr>
            <w:tcW w:w="280" w:type="dxa"/>
            <w:vAlign w:val="bottom"/>
          </w:tcPr>
          <w:p>
            <w:pPr>
              <w:spacing w:after="0"/>
              <w:rPr>
                <w:sz w:val="22"/>
                <w:szCs w:val="22"/>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000" w:type="dxa"/>
            <w:vAlign w:val="bottom"/>
            <w:gridSpan w:val="4"/>
          </w:tcPr>
          <w:p>
            <w:pPr>
              <w:spacing w:after="0"/>
              <w:rPr>
                <w:sz w:val="24"/>
                <w:szCs w:val="24"/>
                <w:color w:val="auto"/>
              </w:rPr>
            </w:pPr>
          </w:p>
        </w:tc>
        <w:tc>
          <w:tcPr>
            <w:tcW w:w="2220" w:type="dxa"/>
            <w:vAlign w:val="bottom"/>
            <w:tcBorders>
              <w:top w:val="single" w:sz="8" w:color="0000EE"/>
            </w:tcBorders>
            <w:gridSpan w:val="6"/>
          </w:tcPr>
          <w:p>
            <w:pPr>
              <w:spacing w:after="0"/>
              <w:rPr>
                <w:sz w:val="24"/>
                <w:szCs w:val="24"/>
                <w:color w:val="auto"/>
              </w:rPr>
            </w:pPr>
          </w:p>
        </w:tc>
        <w:tc>
          <w:tcPr>
            <w:tcW w:w="456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Controls and Procedures</w:t>
              </w:r>
            </w:hyperlink>
          </w:p>
        </w:tc>
        <w:tc>
          <w:tcPr>
            <w:tcW w:w="852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Special Note Regarding Forward-Looking Statements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80" w:type="dxa"/>
            <w:vAlign w:val="bottom"/>
            <w:gridSpan w:val="8"/>
          </w:tcPr>
          <w:p>
            <w:pPr>
              <w:jc w:val="center"/>
              <w:ind w:right="4540"/>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PART II – Other Information</w:t>
              </w:r>
            </w:hyperlink>
          </w:p>
        </w:tc>
        <w:tc>
          <w:tcPr>
            <w:tcW w:w="2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2040" w:type="dxa"/>
            <w:vAlign w:val="bottom"/>
            <w:tcBorders>
              <w:top w:val="single" w:sz="8" w:color="0000EE"/>
            </w:tcBorders>
            <w:gridSpan w:val="4"/>
          </w:tcPr>
          <w:p>
            <w:pPr>
              <w:spacing w:after="0"/>
              <w:rPr>
                <w:sz w:val="24"/>
                <w:szCs w:val="24"/>
                <w:color w:val="auto"/>
              </w:rPr>
            </w:pPr>
          </w:p>
        </w:tc>
        <w:tc>
          <w:tcPr>
            <w:tcW w:w="4640" w:type="dxa"/>
            <w:vAlign w:val="bottom"/>
            <w:gridSpan w:val="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8960" w:type="dxa"/>
            <w:vAlign w:val="bottom"/>
            <w:gridSpan w:val="1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602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Mining Safety Disclosures</w:t>
              </w:r>
            </w:hyperlink>
          </w:p>
        </w:tc>
        <w:tc>
          <w:tcPr>
            <w:tcW w:w="8380" w:type="dxa"/>
            <w:vAlign w:val="bottom"/>
            <w:gridSpan w:val="10"/>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383"/>
        </w:trPr>
        <w:tc>
          <w:tcPr>
            <w:tcW w:w="880" w:type="dxa"/>
            <w:vAlign w:val="bottom"/>
          </w:tcPr>
          <w:p>
            <w:pPr>
              <w:spacing w:after="0"/>
              <w:rPr>
                <w:sz w:val="24"/>
                <w:szCs w:val="24"/>
                <w:color w:val="auto"/>
              </w:rPr>
            </w:pPr>
          </w:p>
        </w:tc>
        <w:tc>
          <w:tcPr>
            <w:tcW w:w="5620" w:type="dxa"/>
            <w:vAlign w:val="bottom"/>
            <w:gridSpan w:val="14"/>
          </w:tcPr>
          <w:p>
            <w:pPr>
              <w:ind w:left="48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2014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r>
      <w:tr>
        <w:trPr>
          <w:trHeight w:val="159"/>
        </w:trPr>
        <w:tc>
          <w:tcPr>
            <w:tcW w:w="2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right"/>
              <w:ind w:right="4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176,459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128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54,507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55,872</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Supplies, prepaid items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Prepaid insurance</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Precious metals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supplies, prepaid items and 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384,933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501,658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416,801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Noncurrent restricted cash and cash equivalents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148,096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restricted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Debt issuance costs, net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1,108,922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1,083,097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2014 is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95"/>
              <w:spacing w:after="0"/>
              <w:rPr>
                <w:sz w:val="20"/>
                <w:szCs w:val="20"/>
                <w:color w:val="auto"/>
              </w:rPr>
            </w:pPr>
            <w:r>
              <w:rPr>
                <w:rFonts w:ascii="Arial" w:cs="Arial" w:eastAsia="Arial" w:hAnsi="Arial"/>
                <w:sz w:val="14"/>
                <w:szCs w:val="14"/>
                <w:color w:val="auto"/>
                <w:w w:val="93"/>
              </w:rPr>
              <w:t>June 30,</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r>
      <w:tr>
        <w:trPr>
          <w:trHeight w:val="159"/>
        </w:trPr>
        <w:tc>
          <w:tcPr>
            <w:tcW w:w="2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449,798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453,705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66,698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w w:val="96"/>
              </w:rPr>
              <w:t>Series D 6% cumulative, convertible Class C preferred stock, no par value; 1,000,000 shares issued and outstanding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$.10 par value; 75,000,000 shares authorized, 26,905,648 shares issued (26,846,470 at December 31, 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168,979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167,550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289,308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266,854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463,978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440,089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stock, at cost: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Common stock, 4,320,462 shares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435,604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1,108,922</w:t>
            </w:r>
          </w:p>
        </w:tc>
        <w:tc>
          <w:tcPr>
            <w:tcW w:w="40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1,083,097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and Three Months Ended June 30, 2014 and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20"/>
              <w:spacing w:after="0"/>
              <w:rPr>
                <w:sz w:val="20"/>
                <w:szCs w:val="20"/>
                <w:color w:val="auto"/>
              </w:rPr>
            </w:pPr>
            <w:r>
              <w:rPr>
                <w:rFonts w:ascii="Arial" w:cs="Arial" w:eastAsia="Arial" w:hAnsi="Arial"/>
                <w:sz w:val="14"/>
                <w:szCs w:val="14"/>
                <w:color w:val="auto"/>
              </w:rPr>
              <w:t>Six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2"/>
          </w:tcPr>
          <w:p>
            <w:pPr>
              <w:jc w:val="right"/>
              <w:ind w:right="100"/>
              <w:spacing w:after="0" w:line="142" w:lineRule="exact"/>
              <w:rPr>
                <w:sz w:val="20"/>
                <w:szCs w:val="20"/>
                <w:color w:val="auto"/>
              </w:rPr>
            </w:pPr>
            <w:r>
              <w:rPr>
                <w:rFonts w:ascii="Arial" w:cs="Arial" w:eastAsia="Arial" w:hAnsi="Arial"/>
                <w:sz w:val="14"/>
                <w:szCs w:val="14"/>
                <w:color w:val="auto"/>
              </w:rPr>
              <w:t>(In Thousands, Except 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380,187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352,902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201,662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202,223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282,596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288,821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152,793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(recovery of) losses on accounts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11,988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23,764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2"/>
              </w:rPr>
              <w:t>Income from continuing operations before provisions for income taxes and equity in earnings of affiliate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11,113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Net income applicable to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22,454</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11,113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22,545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$ 2,685</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$167,550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$266,854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$ 411,715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22,754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22,754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925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Balance at June 30, 2014</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26,906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$ 2,691</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168,979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289,308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435,604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22,754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Prepaid and accrued income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supplies, prepaid items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gain on insurance recoveries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21"/>
        </w:trPr>
        <w:tc>
          <w:tcPr>
            <w:tcW w:w="962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Expenditures for property, plant and equipment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short-term investments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noncurrent restricted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of current and noncurrent restricted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(165,106)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noncurrent restricted investments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noncurrent restricted investments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sales of carbon credits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contractual obligations—carbon credits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continuing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 net of fees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short-term financing</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Dividends paid on preferred stocks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(32,448)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143,750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98,020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176,459</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2013 (“2013 Form 10-K”), filed with the Securities and Exchange Commission (“SEC”) on February 27, 2014.</w:t>
      </w:r>
    </w:p>
    <w:p>
      <w:pPr>
        <w:spacing w:after="0" w:line="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Basis of Consolidation and Presentation—</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opinion of management, the unaudited condensed consolidated financial statements of the Company as of June 30, 2014 and for the six and three-month periods ended June 30, 2014 and 2013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certain downtime events associated with our chemical facilities,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2013 Form 10-K.</w:t>
      </w:r>
    </w:p>
    <w:p>
      <w:pPr>
        <w:spacing w:after="0" w:line="137"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At June 30, 2014, the cash and cash equivalents balance exceeded the FDIC-insured limits by approximately $4.2 million. All of these cash balances were held by financial institutions within the U.S.</w:t>
      </w:r>
    </w:p>
    <w:p>
      <w:pPr>
        <w:spacing w:after="0" w:line="1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Short-Term Investments—</w:t>
      </w:r>
      <w:r>
        <w:rPr>
          <w:rFonts w:ascii="Arial" w:cs="Arial" w:eastAsia="Arial" w:hAnsi="Arial"/>
          <w:sz w:val="18"/>
          <w:szCs w:val="18"/>
          <w:color w:val="auto"/>
        </w:rPr>
        <w:t>Investments, which consisted of certificates of deposit with an original maturity of 26 weeks, are considered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investments are carried at cost which approximates fair value. At June 30, 2014, the short-term investment balance exceeded the FDIC-insured limits by approximately $14.3 million. All of these investments were held by financial institutions within the U.S.</w:t>
      </w:r>
    </w:p>
    <w:p>
      <w:pPr>
        <w:spacing w:after="0" w:line="1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Noncurrent Restricted Cash and Cash Equivalents—</w:t>
      </w:r>
      <w:r>
        <w:rPr>
          <w:rFonts w:ascii="Arial" w:cs="Arial" w:eastAsia="Arial" w:hAnsi="Arial"/>
          <w:sz w:val="18"/>
          <w:szCs w:val="18"/>
          <w:color w:val="auto"/>
        </w:rPr>
        <w:t>Noncurrent restricted cash and cash equivalents consist of balances that are designated by us for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relating to capital projects. At June 30, 2014, the noncurrent restricted cash and cash equivalents balance exceeded the FDIC-insured limits by approximately $65.6 million. All of this balance was held by financial institutions within the U.S.</w:t>
      </w:r>
    </w:p>
    <w:p>
      <w:pPr>
        <w:spacing w:after="0" w:line="13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Noncurrent Restricted Investments—</w:t>
      </w:r>
      <w:r>
        <w:rPr>
          <w:rFonts w:ascii="Arial" w:cs="Arial" w:eastAsia="Arial" w:hAnsi="Arial"/>
          <w:sz w:val="16"/>
          <w:szCs w:val="16"/>
          <w:color w:val="auto"/>
        </w:rPr>
        <w:t>Noncurrent restricted investments consist of investment balances that are designated by us for specific purposes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capital projects. At June 30, 2014, the balance includes investments in certificates of deposits with an original maturity no longer than approximately 26 weeks. The investments in certificates of deposits are carried at cost, which approximates fair value. The investments in certificates of deposits exceeded the FDIC-insured limits by approximately $49.8 million. All of this balance was held by financial institutions within the U.S.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Recognition of Insurance Recoveries—</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Financial Accounting Standards Board issued Accounting Standard Update 2014-09-Revenue from Contracts with Customers, which will supersede nearly all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The standard is effective for us on January 1, 2017. Early adoption is not permitted. The standard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128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4"/>
                <w:szCs w:val="14"/>
                <w:color w:val="auto"/>
              </w:rPr>
            </w:pPr>
          </w:p>
        </w:tc>
        <w:tc>
          <w:tcPr>
            <w:tcW w:w="2380" w:type="dxa"/>
            <w:vAlign w:val="bottom"/>
            <w:gridSpan w:val="6"/>
          </w:tcPr>
          <w:p>
            <w:pPr>
              <w:ind w:left="5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1"/>
              </w:rPr>
              <w:t>June 30,</w:t>
            </w: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color w:val="auto"/>
              </w:rPr>
              <w:t>2013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4"/>
                <w:szCs w:val="14"/>
                <w:color w:val="auto"/>
              </w:rPr>
              <w:t>2014</w:t>
            </w:r>
          </w:p>
        </w:tc>
        <w:tc>
          <w:tcPr>
            <w:tcW w:w="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June 30,</w:t>
            </w: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0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22,754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7,359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11,113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Series B Preferred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rPr>
              <w:t>Dividends on Series D Preferred</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dividends on preferred stocks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tcPr>
          <w:p>
            <w:pPr>
              <w:ind w:left="440"/>
              <w:spacing w:after="0"/>
              <w:rPr>
                <w:sz w:val="20"/>
                <w:szCs w:val="20"/>
                <w:color w:val="auto"/>
              </w:rPr>
            </w:pPr>
            <w:r>
              <w:rPr>
                <w:rFonts w:ascii="Arial" w:cs="Arial" w:eastAsia="Arial" w:hAnsi="Arial"/>
                <w:sz w:val="18"/>
                <w:szCs w:val="18"/>
                <w:color w:val="auto"/>
              </w:rPr>
              <w:t>Numerator for basic net income per common share—net</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660"/>
              <w:spacing w:after="0"/>
              <w:rPr>
                <w:sz w:val="20"/>
                <w:szCs w:val="20"/>
                <w:color w:val="auto"/>
              </w:rPr>
            </w:pPr>
            <w:r>
              <w:rPr>
                <w:rFonts w:ascii="Arial" w:cs="Arial" w:eastAsia="Arial" w:hAnsi="Arial"/>
                <w:sz w:val="18"/>
                <w:szCs w:val="18"/>
                <w:color w:val="auto"/>
              </w:rPr>
              <w:t>income applicable to common stock</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22,454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11,113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preferred stocks assumed to be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converted, if dilutive</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40"/>
              <w:spacing w:after="0"/>
              <w:rPr>
                <w:sz w:val="20"/>
                <w:szCs w:val="20"/>
                <w:color w:val="auto"/>
              </w:rPr>
            </w:pPr>
            <w:r>
              <w:rPr>
                <w:rFonts w:ascii="Arial" w:cs="Arial" w:eastAsia="Arial" w:hAnsi="Arial"/>
                <w:sz w:val="18"/>
                <w:szCs w:val="18"/>
                <w:color w:val="auto"/>
              </w:rPr>
              <w:t>Numerator for diluted net income per common share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22,754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11,113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60" w:type="dxa"/>
            <w:vAlign w:val="bottom"/>
          </w:tcPr>
          <w:p>
            <w:pPr>
              <w:ind w:left="440"/>
              <w:spacing w:after="0"/>
              <w:rPr>
                <w:sz w:val="20"/>
                <w:szCs w:val="20"/>
                <w:color w:val="auto"/>
              </w:rPr>
            </w:pPr>
            <w:r>
              <w:rPr>
                <w:rFonts w:ascii="Arial" w:cs="Arial" w:eastAsia="Arial" w:hAnsi="Arial"/>
                <w:sz w:val="18"/>
                <w:szCs w:val="18"/>
                <w:color w:val="auto"/>
              </w:rPr>
              <w:t>Denominator for basic net income per common share—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660"/>
              <w:spacing w:after="0"/>
              <w:rPr>
                <w:sz w:val="20"/>
                <w:szCs w:val="20"/>
                <w:color w:val="auto"/>
              </w:rPr>
            </w:pPr>
            <w:r>
              <w:rPr>
                <w:rFonts w:ascii="Arial" w:cs="Arial" w:eastAsia="Arial" w:hAnsi="Arial"/>
                <w:sz w:val="18"/>
                <w:szCs w:val="18"/>
                <w:color w:val="auto"/>
              </w:rPr>
              <w:t>weighted-average shares</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22,538,773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22,430,589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22,544,857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22,437,485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300"/>
              <w:spacing w:after="0"/>
              <w:rPr>
                <w:sz w:val="20"/>
                <w:szCs w:val="20"/>
                <w:color w:val="auto"/>
              </w:rPr>
            </w:pPr>
            <w:r>
              <w:rPr>
                <w:rFonts w:ascii="Arial" w:cs="Arial" w:eastAsia="Arial" w:hAnsi="Arial"/>
                <w:sz w:val="18"/>
                <w:szCs w:val="18"/>
                <w:color w:val="auto"/>
              </w:rPr>
              <w:t>Convertible preferred stocks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916,666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1740"/>
              <w:spacing w:after="0"/>
              <w:rPr>
                <w:sz w:val="20"/>
                <w:szCs w:val="20"/>
                <w:color w:val="auto"/>
              </w:rPr>
            </w:pPr>
            <w:r>
              <w:rPr>
                <w:rFonts w:ascii="Arial" w:cs="Arial" w:eastAsia="Arial" w:hAnsi="Arial"/>
                <w:sz w:val="18"/>
                <w:szCs w:val="18"/>
                <w:color w:val="auto"/>
              </w:rPr>
              <w:t>Dilutive potential common shares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1,111,666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484,071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1,115,381</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1,139,898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diluted net income per common share—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adjusted weighted-average shares and assumed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conversions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23,650,439</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22,914,660</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23,660,238</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23,577,383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color w:val="auto"/>
              </w:rPr>
              <w:t>Six Months Ended</w:t>
            </w:r>
          </w:p>
        </w:tc>
        <w:tc>
          <w:tcPr>
            <w:tcW w:w="1660" w:type="dxa"/>
            <w:vAlign w:val="bottom"/>
            <w:gridSpan w:val="4"/>
          </w:tcPr>
          <w:p>
            <w:pPr>
              <w:jc w:val="center"/>
              <w:ind w:right="8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60" w:type="dxa"/>
            <w:vAlign w:val="bottom"/>
            <w:gridSpan w:val="4"/>
          </w:tcPr>
          <w:p>
            <w:pPr>
              <w:jc w:val="right"/>
              <w:ind w:right="860"/>
              <w:spacing w:after="0" w:line="149" w:lineRule="exact"/>
              <w:rPr>
                <w:sz w:val="20"/>
                <w:szCs w:val="20"/>
                <w:color w:val="auto"/>
              </w:rPr>
            </w:pPr>
            <w:r>
              <w:rPr>
                <w:rFonts w:ascii="Arial" w:cs="Arial" w:eastAsia="Arial" w:hAnsi="Arial"/>
                <w:sz w:val="14"/>
                <w:szCs w:val="14"/>
                <w:color w:val="auto"/>
              </w:rPr>
              <w:t>June 30,</w:t>
            </w:r>
          </w:p>
        </w:tc>
        <w:tc>
          <w:tcPr>
            <w:tcW w:w="166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4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2014</w:t>
            </w:r>
          </w:p>
        </w:tc>
        <w:tc>
          <w:tcPr>
            <w:tcW w:w="92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3"/>
                <w:szCs w:val="13"/>
                <w:color w:val="auto"/>
              </w:rPr>
            </w:pPr>
          </w:p>
        </w:tc>
        <w:tc>
          <w:tcPr>
            <w:tcW w:w="640" w:type="dxa"/>
            <w:vAlign w:val="bottom"/>
          </w:tcPr>
          <w:p>
            <w:pPr>
              <w:jc w:val="right"/>
              <w:ind w:right="102"/>
              <w:spacing w:after="0" w:line="159" w:lineRule="exact"/>
              <w:rPr>
                <w:sz w:val="20"/>
                <w:szCs w:val="20"/>
                <w:color w:val="auto"/>
              </w:rPr>
            </w:pPr>
            <w:r>
              <w:rPr>
                <w:rFonts w:ascii="Arial" w:cs="Arial" w:eastAsia="Arial" w:hAnsi="Arial"/>
                <w:sz w:val="14"/>
                <w:szCs w:val="14"/>
                <w:color w:val="auto"/>
              </w:rPr>
              <w:t>2014</w:t>
            </w:r>
          </w:p>
        </w:tc>
        <w:tc>
          <w:tcPr>
            <w:tcW w:w="300" w:type="dxa"/>
            <w:vAlign w:val="bottom"/>
          </w:tcPr>
          <w:p>
            <w:pPr>
              <w:spacing w:after="0"/>
              <w:rPr>
                <w:sz w:val="13"/>
                <w:szCs w:val="13"/>
                <w:color w:val="auto"/>
              </w:rPr>
            </w:pPr>
          </w:p>
        </w:tc>
        <w:tc>
          <w:tcPr>
            <w:tcW w:w="620" w:type="dxa"/>
            <w:vAlign w:val="bottom"/>
          </w:tcPr>
          <w:p>
            <w:pPr>
              <w:jc w:val="right"/>
              <w:ind w:right="97"/>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stocks</w:t>
            </w:r>
          </w:p>
        </w:tc>
        <w:tc>
          <w:tcPr>
            <w:tcW w:w="3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666,666</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Stock options</w:t>
            </w:r>
          </w:p>
        </w:tc>
        <w:tc>
          <w:tcPr>
            <w:tcW w:w="3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325,326</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251,683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370,099</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325,326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918,349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370,099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400" w:type="dxa"/>
            <w:vAlign w:val="bottom"/>
            <w:vMerge w:val="restart"/>
          </w:tcPr>
          <w:p>
            <w:pPr>
              <w:jc w:val="right"/>
              <w:ind w:right="1562"/>
              <w:spacing w:after="0"/>
              <w:rPr>
                <w:sz w:val="20"/>
                <w:szCs w:val="20"/>
                <w:color w:val="auto"/>
              </w:rPr>
            </w:pPr>
            <w:r>
              <w:rPr>
                <w:rFonts w:ascii="Arial" w:cs="Arial" w:eastAsia="Arial" w:hAnsi="Arial"/>
                <w:sz w:val="18"/>
                <w:szCs w:val="18"/>
                <w:color w:val="auto"/>
              </w:rPr>
              <w:t>10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 net</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40" w:type="dxa"/>
            <w:vAlign w:val="bottom"/>
            <w:gridSpan w:val="2"/>
          </w:tcPr>
          <w:p>
            <w:pPr>
              <w:jc w:val="right"/>
              <w:ind w:right="352"/>
              <w:spacing w:after="0"/>
              <w:rPr>
                <w:sz w:val="20"/>
                <w:szCs w:val="20"/>
                <w:color w:val="auto"/>
              </w:rPr>
            </w:pPr>
            <w:r>
              <w:rPr>
                <w:rFonts w:ascii="Arial" w:cs="Arial" w:eastAsia="Arial" w:hAnsi="Arial"/>
                <w:sz w:val="14"/>
                <w:szCs w:val="14"/>
                <w:color w:val="auto"/>
                <w:w w:val="93"/>
              </w:rPr>
              <w:t>June 30,</w:t>
            </w:r>
          </w:p>
        </w:tc>
        <w:tc>
          <w:tcPr>
            <w:tcW w:w="1180" w:type="dxa"/>
            <w:vAlign w:val="bottom"/>
            <w:gridSpan w:val="4"/>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656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line="159"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13"/>
                <w:szCs w:val="13"/>
                <w:color w:val="auto"/>
              </w:rPr>
            </w:pPr>
          </w:p>
        </w:tc>
      </w:tr>
      <w:tr>
        <w:trPr>
          <w:trHeight w:val="142"/>
        </w:trPr>
        <w:tc>
          <w:tcPr>
            <w:tcW w:w="6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$85,923</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77,899</w:t>
            </w: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 claims</w:t>
            </w: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r>
      <w:tr>
        <w:trPr>
          <w:trHeight w:val="221"/>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81,397</w:t>
            </w:r>
          </w:p>
        </w:tc>
        <w:tc>
          <w:tcPr>
            <w:tcW w:w="120" w:type="dxa"/>
            <w:vAlign w:val="bottom"/>
          </w:tcPr>
          <w:p>
            <w:pPr>
              <w:spacing w:after="0"/>
              <w:rPr>
                <w:sz w:val="19"/>
                <w:szCs w:val="19"/>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r>
      <w:tr>
        <w:trPr>
          <w:trHeight w:val="20"/>
        </w:trPr>
        <w:tc>
          <w:tcPr>
            <w:tcW w:w="6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86,963</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80,570</w:t>
            </w:r>
          </w:p>
        </w:tc>
        <w:tc>
          <w:tcPr>
            <w:tcW w:w="1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One of our subsidiaries, El Dorado Chemical Company (“EDC”) is a party to an agreement with Bank of America, N.A. (the “Bank”) to sell our accounts receivables generated from product sales to a certain customer. We agreed to enter into this agreement as a courtesy to this customer. The term of this agreement matures in August 2014,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June 30, 2014, EDC has been paid by the Bank for the accounts receivables sold to the Bank. We account for these transfers as sales under ASC 860 – Transfers and Servicing.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June 30, 2014 and December 31, 2013, inventory reserves for certain slow-moving inventory items (Climate Control products) were $1,373,000 and</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$1,389,000, respectively. In addition, because cost exceeded the net realizable value, inventory reserves for certain nitrogen-based inventories provided by our Chemical Business were $20,000 and $1,623,000 at June 30, 2014 and December 31, 2013,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Current and Noncurrent Accrued and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noncurrent accrued and other liabilities consist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Arial" w:cs="Arial" w:eastAsia="Arial" w:hAnsi="Arial"/>
                <w:sz w:val="14"/>
                <w:szCs w:val="14"/>
                <w:color w:val="auto"/>
                <w:w w:val="89"/>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380" w:type="dxa"/>
            <w:vAlign w:val="bottom"/>
            <w:gridSpan w:val="2"/>
          </w:tcPr>
          <w:p>
            <w:pPr>
              <w:jc w:val="right"/>
              <w:ind w:right="102"/>
              <w:spacing w:after="0" w:line="159" w:lineRule="exact"/>
              <w:rPr>
                <w:sz w:val="20"/>
                <w:szCs w:val="20"/>
                <w:color w:val="auto"/>
              </w:rPr>
            </w:pPr>
            <w:r>
              <w:rPr>
                <w:rFonts w:ascii="Arial" w:cs="Arial" w:eastAsia="Arial" w:hAnsi="Arial"/>
                <w:sz w:val="14"/>
                <w:szCs w:val="14"/>
                <w:color w:val="auto"/>
              </w:rPr>
              <w:t>2014</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174"/>
              <w:spacing w:after="0" w:line="159" w:lineRule="exact"/>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80" w:type="dxa"/>
            <w:vAlign w:val="bottom"/>
            <w:tcBorders>
              <w:top w:val="single" w:sz="8" w:color="auto"/>
            </w:tcBorders>
            <w:gridSpan w:val="3"/>
          </w:tcPr>
          <w:p>
            <w:pPr>
              <w:ind w:left="54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$14,036</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8,331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6"/>
              </w:rPr>
              <w:t>Deferred revenue on extended warranty contracts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7,665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21,054</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59,982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28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17,463</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42,519</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0" w:type="dxa"/>
            <w:vAlign w:val="bottom"/>
            <w:vMerge w:val="restart"/>
          </w:tcPr>
          <w:p>
            <w:pPr>
              <w:jc w:val="right"/>
              <w:ind w:right="2154"/>
              <w:spacing w:after="0"/>
              <w:rPr>
                <w:sz w:val="20"/>
                <w:szCs w:val="20"/>
                <w:color w:val="auto"/>
              </w:rPr>
            </w:pPr>
            <w:r>
              <w:rPr>
                <w:rFonts w:ascii="Arial" w:cs="Arial" w:eastAsia="Arial" w:hAnsi="Arial"/>
                <w:sz w:val="18"/>
                <w:szCs w:val="18"/>
                <w:color w:val="auto"/>
              </w:rPr>
              <w:t>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4"/>
                <w:szCs w:val="14"/>
                <w:color w:val="auto"/>
              </w:rPr>
              <w:t>Six Months Ended</w:t>
            </w:r>
          </w:p>
        </w:tc>
        <w:tc>
          <w:tcPr>
            <w:tcW w:w="1700" w:type="dxa"/>
            <w:vAlign w:val="bottom"/>
            <w:gridSpan w:val="4"/>
          </w:tcPr>
          <w:p>
            <w:pPr>
              <w:jc w:val="right"/>
              <w:ind w:righ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6720" w:type="dxa"/>
            <w:vAlign w:val="bottom"/>
          </w:tcPr>
          <w:p>
            <w:pPr>
              <w:spacing w:after="0"/>
              <w:rPr>
                <w:sz w:val="14"/>
                <w:szCs w:val="14"/>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2014</w:t>
            </w:r>
          </w:p>
        </w:tc>
        <w:tc>
          <w:tcPr>
            <w:tcW w:w="480" w:type="dxa"/>
            <w:vAlign w:val="bottom"/>
          </w:tcPr>
          <w:p>
            <w:pPr>
              <w:jc w:val="right"/>
              <w:spacing w:after="0"/>
              <w:rPr>
                <w:sz w:val="20"/>
                <w:szCs w:val="20"/>
                <w:color w:val="auto"/>
              </w:rPr>
            </w:pPr>
            <w:r>
              <w:rPr>
                <w:rFonts w:ascii="Arial" w:cs="Arial" w:eastAsia="Arial" w:hAnsi="Arial"/>
                <w:sz w:val="14"/>
                <w:szCs w:val="14"/>
                <w:color w:val="auto"/>
                <w:w w:val="81"/>
              </w:rPr>
              <w:t>June 30,</w:t>
            </w: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2013</w:t>
            </w:r>
          </w:p>
        </w:tc>
        <w:tc>
          <w:tcPr>
            <w:tcW w:w="480" w:type="dxa"/>
            <w:vAlign w:val="bottom"/>
          </w:tcPr>
          <w:p>
            <w:pPr>
              <w:spacing w:after="0"/>
              <w:rPr>
                <w:sz w:val="14"/>
                <w:szCs w:val="14"/>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2014</w:t>
            </w:r>
          </w:p>
        </w:tc>
        <w:tc>
          <w:tcPr>
            <w:tcW w:w="480" w:type="dxa"/>
            <w:vAlign w:val="bottom"/>
          </w:tcPr>
          <w:p>
            <w:pPr>
              <w:jc w:val="right"/>
              <w:spacing w:after="0"/>
              <w:rPr>
                <w:sz w:val="20"/>
                <w:szCs w:val="20"/>
                <w:color w:val="auto"/>
              </w:rPr>
            </w:pPr>
            <w:r>
              <w:rPr>
                <w:rFonts w:ascii="Arial" w:cs="Arial" w:eastAsia="Arial" w:hAnsi="Arial"/>
                <w:sz w:val="14"/>
                <w:szCs w:val="14"/>
                <w:color w:val="auto"/>
                <w:w w:val="81"/>
              </w:rPr>
              <w:t>June 30,</w:t>
            </w: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72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gridSpan w:val="4"/>
          </w:tcPr>
          <w:p>
            <w:pPr>
              <w:jc w:val="right"/>
              <w:ind w:right="812"/>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$ 7,297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$ 6,172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$ 7,578</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$ 6,486</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3,695</w:t>
            </w:r>
          </w:p>
        </w:tc>
        <w:tc>
          <w:tcPr>
            <w:tcW w:w="4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4,011</w:t>
            </w:r>
          </w:p>
        </w:tc>
        <w:tc>
          <w:tcPr>
            <w:tcW w:w="560" w:type="dxa"/>
            <w:vAlign w:val="bottom"/>
          </w:tcPr>
          <w:p>
            <w:pPr>
              <w:jc w:val="right"/>
              <w:spacing w:after="0"/>
              <w:rPr>
                <w:sz w:val="20"/>
                <w:szCs w:val="20"/>
                <w:color w:val="auto"/>
              </w:rPr>
            </w:pPr>
            <w:r>
              <w:rPr>
                <w:rFonts w:ascii="Arial" w:cs="Arial" w:eastAsia="Arial" w:hAnsi="Arial"/>
                <w:sz w:val="18"/>
                <w:szCs w:val="18"/>
                <w:color w:val="auto"/>
              </w:rPr>
              <w:t>1,468</w:t>
            </w:r>
          </w:p>
        </w:tc>
        <w:tc>
          <w:tcPr>
            <w:tcW w:w="4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(3,291)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(3,239)</w:t>
            </w: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(1,345)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$ 7,701</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$ 6,944</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$ 7,701</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Asset Retirement Obligations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June 30, 2014 and December 31, 2013, our accrued liability for AROs was $308,000 and $304,000, respectively.</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4"/>
                <w:szCs w:val="14"/>
                <w:color w:val="auto"/>
                <w:w w:val="81"/>
              </w:rPr>
              <w:t>June 30,</w:t>
            </w: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8"/>
              <w:spacing w:after="0" w:line="159" w:lineRule="exact"/>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right"/>
              <w:ind w:right="495"/>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29,555</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Other, with a current weighted-average interest rate of 4.05%, most of which is secured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by machinery and equipment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460,328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462,967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449,798</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453,705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8"/>
        <w:spacing w:after="0" w:line="255" w:lineRule="auto"/>
        <w:tabs>
          <w:tab w:leader="none" w:pos="287"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 December 31, 2013, LSB and certain of its wholly-owned subsidiaries (the “Borrowers”) entered into an amendment to the existing senior secured revolving credit facility (the “Amended Working Capital Revolver Loan”). Pursuant to the terms of the Amended Working Capital Revolver Loan, the Borrowers may borrow on a revolving basis up to $100.0 million, based on specific percentages of eligible accounts receivable and inventories. In addition, the Amended Working Capital Revolver Loan and the Senior Secured Notes are cross collateralized as discussed in (B) below. The Amended Working Capital Revolver Loan will mature on April 13, 2018.</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June 30, 2014, the interest rate was 3.75% based on LIBOR. Interest is paid monthly, if applicable.</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Amended Working Capital Revolver Loan provides for up to $15.0 million of letters of credit. All letters of credit outstanding reduce availability under the Amended Working Capital Revolver Loan. As of June 30, 2014, the amount available for borrowing under the Amended Working Capital Revolver Loan was approximately $69.4 million.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lender has the ability to, upon an event of default, as defined, terminate the Amended Working Capital Revolver Loan and make the balance outstanding, if any, due and payable in full.</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ability, without consent of the lender and with certain exceptions,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other restricted payments, including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declare dividends and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Amended Working Capital Revolver Loan allows the Borrowers and subsidiaries under the Senior Secured Notes to guarantee those notes.</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and pay dividends by LSB with respect to amounts in excess of $0.5 million during each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of treasury stock by LSB with respect to amounts in excess of $0.5 million during each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hedging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joint ventures and certain subsidiaries of LSB in an aggregate amount not exceeding $35.0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investments in an aggregate amount not exceeding $50.0 million at any one time outstanding.</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$2.5 million, cross-acceleration to indebtedness in excess of $2.5 million, bankruptcy and insolvency events, certain unsatisfied judgments, certain liens, and certain assertions of, or actual invalidity of, certain loan documents.</w:t>
      </w:r>
    </w:p>
    <w:p>
      <w:pPr>
        <w:spacing w:after="0" w:line="143" w:lineRule="exact"/>
        <w:rPr>
          <w:sz w:val="20"/>
          <w:szCs w:val="20"/>
          <w:color w:val="auto"/>
        </w:rPr>
      </w:pPr>
    </w:p>
    <w:p>
      <w:pPr>
        <w:ind w:firstLine="8"/>
        <w:spacing w:after="0" w:line="289" w:lineRule="auto"/>
        <w:tabs>
          <w:tab w:leader="none" w:pos="278"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On August 7, 2013, LSB sold $425 million aggregate principal amount of the 7.75% Senior Secured Notes due 2019 (the “Senior Secured Notes”) in a private transaction to qualified institutional buyers under Rule 144A and, outside of the United States, pursuant to Regulation S of the Securities Act of 1933, as amended (the “Act”). In accordance with the registration rights agreement entered into at the time of the issuance of the Senior Secured Notes, LSB and the guarantor subsidiaries completed an exchange offer to exchange the Senior Secured Notes for substantially identical notes registered under the Securities Act. The registration statement for the exchange offer was declared effective by the SEC in May 2014, and the exchange offer was completed in June 2014. LSB received net proceeds of approximately $351 million, after the payoff of a secured term loan (discussed below), commissions and fees. In connection with the closing, LSB entered into an indenture (the “Indenture”) with UMB Bank, as trustee, governing the Senior Secured Notes and as collateral agent, and will receive customary compensation from us for such services.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Senior Secured Notes bear interest at the rate of 7.75% per year and mature on August 1, 2019. Interest is to be paid semiannually on February 1st and August 1st.</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rank equally in right of payment to all of LSB and the guarantors’ existing and future senior secured debt, including the Amended Working Capital Revolver Loan discussed above, and are senior in right of payment to all of LSB and the guarantors’ future subordinated indebtedness. LSB does not have independent assets or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Those subsidiaries that provide guarantees of the Senior Secured Notes will be released from such guarantees upon the occurrence of certain events, including the following: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release or discharge of any guarantee or indebtedness that resulted in the creation of the guarantee of the Senior Secured Notes by such guarantor;</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or other disposition, including by way of merger or otherwise, of its capital stock or of all or substantially all of the assets, of such guarantor; or</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Senior Secured Notes are effectively senior to all existing and future unsecured debt of LSB and the guarantors to the extent of the value of the property and assets subject to liens (“Collateral”) and are effectively senior to all existing and future obligations under the Amended Working Capital Revolver Loan and other debt to the extent of the value of the certain collateral (“Priority Collateral”).</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Senior Secured Notes are secured on a first-priority basis by the Notes’ Priority Collateral owned by LSB and the guarantors (other than the two unsecured guarantors) providing security and on a second-priority basis by the certain collateral securing the Amended Working Capital Revolver Loan owned by LSB and the guarantors (other than the two unsecured guarantors), in each case subject to certain liens permitted under the Indenture. The Senior Secured Notes are equal in priority as to the Priority Collateral owned by LSB and the guarantors with respect to any obligations under any equally ranked lien obligations subsequently incurred. At June 30, 2014, the carrying value of the assets secured on a first-priority basis was approximately $463 million and the carrying value of the assets secured on a second-priority basis was approximately $133 million.</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Senior Secured Notes are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are structurally subordinated to all of the existing and future indebtedness, preferred stock obligations and other liabilities, including trade payables, of our subsidiaries that do not guarantee the Senior Secured Notes in the future.</w:t>
      </w:r>
    </w:p>
    <w:p>
      <w:pPr>
        <w:spacing w:after="0" w:line="14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103.875%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101.938%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Approximately $67.2 million of the proceeds from Senior Secured Notes was used to pay all outstanding borrowings, including a prepayment premium, under a secured term loan facility.</w:t>
      </w:r>
    </w:p>
    <w:p>
      <w:pPr>
        <w:spacing w:after="0" w:line="132" w:lineRule="exact"/>
        <w:rPr>
          <w:sz w:val="20"/>
          <w:szCs w:val="20"/>
          <w:color w:val="auto"/>
        </w:rPr>
      </w:pPr>
    </w:p>
    <w:p>
      <w:pPr>
        <w:ind w:right="120" w:firstLine="8"/>
        <w:spacing w:after="0" w:line="255" w:lineRule="auto"/>
        <w:tabs>
          <w:tab w:leader="none" w:pos="28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February 1, 2013, Zena Energy L.L.C. (“Zena”), a subsidiary within our Chemical Business, entered into a loan (the “Secured Promissory Note”) with a lender in the original principal amount of $35 million. The Secured Promissory Note follows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Secured Promissory Note matures on February 1, 2016.</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Principal and interest are payable monthly based on a five-year amortization at a defined LIBOR rate plus 300 basis points with a final balloon payment of $15.3 million due at maturity. The interest rate at June 30, 2014 was 3.23%. The loan is secured by the Working Interests and related properties and proceeds.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Capital Project Commitments—</w:t>
      </w:r>
      <w:r>
        <w:rPr>
          <w:rFonts w:ascii="Arial" w:cs="Arial" w:eastAsia="Arial" w:hAnsi="Arial"/>
          <w:sz w:val="18"/>
          <w:szCs w:val="18"/>
          <w:color w:val="auto"/>
        </w:rPr>
        <w:t>EDC is party to an agreement with Weatherly Inc. for the licensing, engineering, and procurement of major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for a new 65% strength nitric acid plant (“Nitric Acid Plant”) to be constructed at our chemical production facility located in El Dorado, Arkansas (the “El Dorado Facility”). EDC is also party to various agreements with Leidos Constructors, LLC to engineer, procure and construct the Nitric Acid Plant, a nitric acid concentrator and certain support facilities at the El Dorado Facility. The estimated cost for this project ranges from $115 million to $125 million, of which $73 million has been incurred and capitalized at June 30, 2014.</w:t>
      </w:r>
    </w:p>
    <w:p>
      <w:pPr>
        <w:spacing w:after="0" w:line="14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A subsidiary of EDC is also party to various agreements with Leidos Constructors, LLC to engineer, procure and construct an ammonia plant and certain support facilities. The estimated cost for this project ranges from $250 million to $300 million, of which $74 million has been incurred and capitalized at June 30,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Termination of Sales Commitment</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Ammonium nitrate supply agreement—Pursuant to a long-term cost-plus supply agreement, EDC supplies Orica International Pte Ltd (“Orica”) with an annual minimum of 240,000 tons of industrial grade ammonium nitrate (“AN”) produced at our El Dorado Facility. The agreement includes a provision for Orica to pay for product not taken. The agreement also includes a required notice of termination of one year, with the termination date to be no sooner than April 9, 2015. On March 31, 2014, EDC sent to Orica the required one-year notice that EDC will not renew the agreement on or after April 9,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r>
        <w:rPr>
          <w:rFonts w:ascii="Arial" w:cs="Arial" w:eastAsia="Arial" w:hAnsi="Arial"/>
          <w:sz w:val="18"/>
          <w:szCs w:val="18"/>
          <w:color w:val="auto"/>
        </w:rPr>
        <w:t>Following is a summary of certain legal matters involving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facilities and operations are subject to numerous federal, state and local environmental laws (“Environmental Laws”) and to other laws regarding health and safety matters (“Health Laws”).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being responsible for its proportionate share of the costs involved. As of June 30, 2014, our accrued liabilities for environmental matters totaled $551,000 relating primarily to matters discussed below. It is reasonably possible that a change in the estimate of our liability could occur in the near term. Also see discussion in Note 7 – Asset Retirement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has appealed the District Court’s decision. We do not believe this matter regarding meeting the permit requirements as to the dissolved minerals will continue to be an issue since the El Dorado Facility is currently disposing its wastewater by a pipeline constructed by the City of El Dorado, Arkansas. EDC and certain other companies in the El Dorado, Arkansas area contributed to the cost of construction of the pipeline, and agreed to pay their share of the annual operating cost of the pipeline, and in return received the right to use the pipeline to dispose of their wastewater. The initial term of the operating agreement is through December 2053.</w:t>
      </w:r>
    </w:p>
    <w:p>
      <w:pPr>
        <w:spacing w:after="0" w:line="123"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During 2012, EDC paid a penalty of $100,000 to settle an Administrative Complaint issued by the EPA, and thereafter handled by the United States Department of Justice (“DOJ”), relating to certain alleged violations of EDC’s 2004 NPDES permit for alleged violations through December 31, 2010.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June 30, 2014.</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June 30, 2014, in connection with this matter.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a national enforcement initiative, the EPA had sent information requests to most, if not all, of the operators of nitric acid plants in the United States, including our El Dorado Facility, our chemical production facility located in Cherokee, Alabama (the “Cherokee Facility”) and a nitric acid plant (the “Baytown Facility”) operated by our subsidiary, El Dorado Nitrogen, L.P. (“EDN”), under Section 114 of the Clean Air Act as to construction and modification activities at each of these facilities over a period of years.</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2013, we negotiated a global agreement in principle with the EPA/DOJ as to the Clean Air Act issue discussed above. During the first six months of 2014, all parties executed the Consent Decree to settle this matter, which executed Consent Decree received court approval. The Consent Decree provides, among other things, the following:</w:t>
      </w:r>
    </w:p>
    <w:p>
      <w:pPr>
        <w:spacing w:after="0" w:line="59" w:lineRule="exact"/>
        <w:rPr>
          <w:sz w:val="20"/>
          <w:szCs w:val="20"/>
          <w:color w:val="auto"/>
        </w:rPr>
      </w:pPr>
    </w:p>
    <w:p>
      <w:pPr>
        <w:ind w:left="900" w:right="8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our Chemical Business’ owned and operated nitric acid plants are to achieve certain emission rates within a certain time period for each plant. Of the nine nitric acid production facilities currently owned or operated by our Chemical Business, all but EDN required additional pollution control technology to achieve these emission rates. The pollution control technology has already been installed at three of our nitric acid plants and five of our nitric acid plants still require additional pollution control technology equipment to be installed. The cost of the necessary pollution control equipment and the installment of such equipment is estimated to range from $2.0 million to $3.0 million for each of the remaining five nitric acid plants, the cost of which will be capitalized when incurred;</w:t>
      </w:r>
    </w:p>
    <w:p>
      <w:pPr>
        <w:spacing w:after="0" w:line="39"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Chemical Business will provide a reforestation mitigation project that is unrelated to our emissions or activities and will not be located at one of our plant sites, for which we have accrued $150,000 included in our accrued liabilities for environmental matters discussed above; and</w:t>
      </w:r>
    </w:p>
    <w:p>
      <w:pPr>
        <w:spacing w:after="0" w:line="4"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civil penalty in the amount of $725,000 (which includes the $100,000 civil penalty to the Oklahoma Department of Environmental Quality (“ODEQ”) discussed below), which amount has been paid by our Chemical Business.</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One of our subsidiaries, Pryor Chemical Company (“PCC”), within our Chemical Business, has been advised that the ODEQ is conducting an investigation into whether the chemical production facility located in Pryor, Oklahoma (the “Pryor Facility”) was in compliance with certain rules and regulations of the ODEQ and whether PCC’s reports of certain air emissions relating primarily to 2011 were intentionally reported incorrectly to the ODEQ. Pursuant to the request of the ODEQ, PCC submitted information and a report to the ODEQ as to the reports filed by the Pryor Facility relating to the air emissions in question. In February 2013, investigators with the ODEQ obtained documents from the Pryor Facility in connection with this investigation pursuant to a search warrant and interviewed several employees at the facility. PCC has cooperated with the ODEQ in connection with this investigation. As of June 30, 2014, we are not aware of any recommendations made or to be made by the ODEQ with respect to formal legal action to be taken or recommended as a result of this ongoing investigation.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letter dated April 19, 2013 (the “letter”), ODEQ, based on its inspection of our Pryor Facility conducted in December 2012, identified fifteen issues of alleged non-compliance and concern from the evaluation relating to federal and state air quality regulations, some of which were the subject of the ongoing investigation by ODEQ described above. PCC engaged in discussions with ODEQ and, during the first quarter of 2014, a settlement was reached to resolve the allegations identified in the letter. Three of the violations were resolved through the global settlement with the EPA/DOJ discussed above, and the remaining twelve violations were resolved by PCC paying a civil penalty for $100,000 (which amount is included in the $725,000 civil penalty discussed above) with the settlement being addressed as an addition to the global settlement discussed above. This settlement is unrelated to the pending ODEQ investigation at the Pryor Facility described above, which remains ongoing to our knowledge.</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counsel for the EPA, advised PCC of a pending enforcement investigation by the EPA relating to an ammonia release during February 2014, at the Pryor Facility. The EPA indicated that the investigation is in its beginning stages, but that the EPA will likely allege noncompliance with certain sections of the Clean Air Act, which relates to the release of hazardous air pollutants. The EPA has verbally confirmed that it is considering enforcement action against PCC on this issue. At June 30, 2014, we have accrued an estimated amount for penalties, which is included in our accrued liabilities for environmental matters discussed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40"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 which is included in our accrued liabilities for environmental matters discussed above. The estimated amount is not discounted to its present value.</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nature and extent of a portion of the requirements are also not currently defined, and the associated costs (or range of costs) are not currently reasonably estimable. Therefore, no liability has been established at June 30, 2014, in connection with the KDHE’s Natural Resources Trustee matter.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There have been certain responses to discovery in connection with the pending lawsuits that some of the AN products at West Fertilizer at the time of the explosion may have been produced by EDC. As a result, during the first quarter of 2014, EDC and LSB were named as defendants, together with other AN manufactures and brokers that arranged the transport and delivery of AN to West Fertilizer, in the case styled </w:t>
      </w:r>
      <w:r>
        <w:rPr>
          <w:rFonts w:ascii="Arial" w:cs="Arial" w:eastAsia="Arial" w:hAnsi="Arial"/>
          <w:sz w:val="16"/>
          <w:szCs w:val="16"/>
          <w:u w:val="single" w:color="auto"/>
          <w:color w:val="auto"/>
        </w:rPr>
        <w:t>City of West, Texas v CF Industries, Inc., et al,</w:t>
      </w:r>
      <w:r>
        <w:rPr>
          <w:rFonts w:ascii="Arial" w:cs="Arial" w:eastAsia="Arial" w:hAnsi="Arial"/>
          <w:sz w:val="16"/>
          <w:szCs w:val="16"/>
          <w:color w:val="auto"/>
        </w:rPr>
        <w:t xml:space="preserve"> in the District Court of McLennan County, Texas. Plaintiffs are alleging, among other things, that LSB and EDC were negligent in the production and marketing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of this matter. Our product liability insurance policies have aggregate limits of general liability totaling $100 million, with a self-insured retention of $250,000. As of June 30, 2014, no liability has been established in connection with this matter, but we have incurred professional fees up to our self-insured retention amount.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June 30, 2014, our accrued general liability insurance claims were $261,000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have two classes of contracts that are accounted for on a fair value basis, which are commodities futures/forward contracts (“commodities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Material Science LLC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June 30, 2014, the valuations of contracts classified as Level 2 related to certain futures/forward natural gas contracts and interest rate swap contracts.</w:t>
      </w:r>
    </w:p>
    <w:p>
      <w:pPr>
        <w:spacing w:after="0" w:line="10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For these contracts, we utilize valuation software and market data from third-party providers. For the natural gas contracts, these contracts are valued using the prices pursuant to the terms of the contracts and using market information for futures/forward natural gas prices. At June 30, 2014, the valuation inputs included the contractual weighted-average cost of $4.21 per MMBtu and the estimated weighted-average market value of $4.22 per MMBtu. For interest rate swap contracts, these contracts are valued using a discounted cash flow model that calculates the present value of future cash flows pursuant to the terms of the contracts and using market information for forward interest-rate yield curves. At June 30, 2014, the valuation inputs included the contractual weighted-average pay rate of 3.23% and the estimated market weighted-average receive rate of 0.47%. No valuation input adjustments were considered necessary relating to nonperformance risk for the contracts discussed above.</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June 30, 2014 and December 31, 2013, the valuations ($2.50 and $1.00 per carbon credit, respectively) of the carbon credits and the contractual obligations associated with these carbon credits are classified as Level 3 and are based on the most recent sales transaction and reevaluated for market changes, if any, and on the range of ask/bid prices obtained from a broker adjusted downward due to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June 30, 2014 and December 31, 2013, we did not have any futures/forward copper contracts. At June 30, 2014, our futures/forward natural gas contracts were for approximately 13,041,000 MMBtu of natural gas through June 2016 (includes contractual costs indexed to future New York Mercantile Exchange prices) at a weighted-average cost of $4.21 per MMBtu. At December 31, 2013, our futures/forward natural gas contracts were for 1,530,000 MMBtu of natural gas through October 2014 at a weighted-average cost of $3.98 per MMBtu. The cash flows relating to these contracts are included in cash flows from continuing operating activities.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six months ended June 30, 2014 and 2013, no cash flows occurred relating to the purchase or sale of interest rate contracts. The cash flows associated with the interest rate swap payments are included in cash flows from continuing operating activities.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June 30, 2014 and December 31, 2013, we had approximately 669,000 and 1,284,000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June 30,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Arial" w:cs="Arial" w:eastAsia="Arial" w:hAnsi="Arial"/>
                <w:sz w:val="14"/>
                <w:szCs w:val="14"/>
                <w:color w:val="auto"/>
              </w:rPr>
              <w:t>Fair Value Measurement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400"/>
              <w:spacing w:after="0" w:line="159" w:lineRule="exact"/>
              <w:rPr>
                <w:sz w:val="20"/>
                <w:szCs w:val="20"/>
                <w:color w:val="auto"/>
              </w:rPr>
            </w:pPr>
            <w:r>
              <w:rPr>
                <w:rFonts w:ascii="Arial" w:cs="Arial" w:eastAsia="Arial" w:hAnsi="Arial"/>
                <w:sz w:val="14"/>
                <w:szCs w:val="14"/>
                <w:color w:val="auto"/>
              </w:rPr>
              <w:t>June 30, 2014 Using</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3"/>
              </w:rPr>
              <w:t>Quoted Prices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4"/>
              </w:rPr>
              <w:t>in Active</w:t>
            </w:r>
          </w:p>
        </w:tc>
        <w:tc>
          <w:tcPr>
            <w:tcW w:w="5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Significant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w w:val="84"/>
              </w:rPr>
              <w:t>Total Fair</w:t>
            </w:r>
          </w:p>
        </w:tc>
        <w:tc>
          <w:tcPr>
            <w:tcW w:w="5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Markets for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9"/>
              </w:rPr>
              <w:t>Significant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Value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8"/>
              </w:rPr>
              <w:t>Identical</w:t>
            </w: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9"/>
        </w:trPr>
        <w:tc>
          <w:tcPr>
            <w:tcW w:w="5320" w:type="dxa"/>
            <w:vAlign w:val="bottom"/>
            <w:vMerge w:val="restart"/>
          </w:tcPr>
          <w:p>
            <w:pPr>
              <w:spacing w:after="0"/>
              <w:rPr>
                <w:sz w:val="20"/>
                <w:szCs w:val="20"/>
                <w:color w:val="auto"/>
              </w:rPr>
            </w:pPr>
            <w:r>
              <w:rPr>
                <w:rFonts w:ascii="Arial" w:cs="Arial" w:eastAsia="Arial" w:hAnsi="Arial"/>
                <w:sz w:val="14"/>
                <w:szCs w:val="14"/>
                <w:color w:val="auto"/>
              </w:rPr>
              <w:t>Description</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0"/>
              </w:rPr>
              <w:t>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Inputs</w:t>
            </w:r>
          </w:p>
        </w:tc>
        <w:tc>
          <w:tcPr>
            <w:tcW w:w="2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532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35"/>
              <w:spacing w:after="0" w:line="159" w:lineRule="exact"/>
              <w:rPr>
                <w:sz w:val="20"/>
                <w:szCs w:val="20"/>
                <w:color w:val="auto"/>
              </w:rPr>
            </w:pPr>
            <w:r>
              <w:rPr>
                <w:rFonts w:ascii="Arial" w:cs="Arial" w:eastAsia="Arial" w:hAnsi="Arial"/>
                <w:sz w:val="14"/>
                <w:szCs w:val="14"/>
                <w:color w:val="auto"/>
                <w:w w:val="83"/>
              </w:rPr>
              <w:t>2014</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line="159" w:lineRule="exact"/>
              <w:rPr>
                <w:sz w:val="20"/>
                <w:szCs w:val="20"/>
                <w:color w:val="auto"/>
              </w:rPr>
            </w:pPr>
            <w:r>
              <w:rPr>
                <w:rFonts w:ascii="Arial" w:cs="Arial" w:eastAsia="Arial" w:hAnsi="Arial"/>
                <w:sz w:val="14"/>
                <w:szCs w:val="14"/>
                <w:color w:val="auto"/>
                <w:w w:val="91"/>
              </w:rPr>
              <w:t>(Level 1)</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380"/>
              <w:spacing w:after="0" w:line="159" w:lineRule="exact"/>
              <w:rPr>
                <w:sz w:val="20"/>
                <w:szCs w:val="20"/>
                <w:color w:val="auto"/>
              </w:rPr>
            </w:pPr>
            <w:r>
              <w:rPr>
                <w:rFonts w:ascii="Arial" w:cs="Arial" w:eastAsia="Arial" w:hAnsi="Arial"/>
                <w:sz w:val="14"/>
                <w:szCs w:val="14"/>
                <w:color w:val="auto"/>
                <w:w w:val="91"/>
              </w:rPr>
              <w:t>(Level 2)</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400"/>
              <w:spacing w:after="0" w:line="159" w:lineRule="exact"/>
              <w:rPr>
                <w:sz w:val="20"/>
                <w:szCs w:val="20"/>
                <w:color w:val="auto"/>
              </w:rPr>
            </w:pPr>
            <w:r>
              <w:rPr>
                <w:rFonts w:ascii="Arial" w:cs="Arial" w:eastAsia="Arial" w:hAnsi="Arial"/>
                <w:sz w:val="14"/>
                <w:szCs w:val="14"/>
                <w:color w:val="auto"/>
                <w:w w:val="91"/>
              </w:rPr>
              <w:t>(Level 3)</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9"/>
              <w:spacing w:after="0" w:line="159"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Assets—Supplies, prepaid items and other:</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Commodities contracts</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124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1,797</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124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Liabilities—Current and noncurrent accrued and other liabilities: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Contractual obligations—carbon credits</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contract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2,649</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976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tcPr>
          <w:p>
            <w:pPr>
              <w:spacing w:after="0"/>
              <w:rPr>
                <w:sz w:val="24"/>
                <w:szCs w:val="24"/>
                <w:color w:val="auto"/>
              </w:rPr>
            </w:pPr>
          </w:p>
        </w:tc>
        <w:tc>
          <w:tcPr>
            <w:tcW w:w="560" w:type="dxa"/>
            <w:vAlign w:val="bottom"/>
            <w:gridSpan w:val="3"/>
          </w:tcPr>
          <w:p>
            <w:pPr>
              <w:jc w:val="right"/>
              <w:ind w:right="12"/>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except for certain futures/forward natural gas contracts (an asset with an estimated fair value of $31,000 at December 31, 2013) that were transferred from Level 1 to Level 2 since a portion of these contracts are expected to be settled on dates that quoted prices are not available. As a result, we are utilizing observable market data other than quoted prices to value these contracts. The classification transfer of the contracts was deemed to occur on January 1, 2014. In addition, the following is a reconciliation of the beginning and ending balances for assets and liabilities measured at fair value on a recurring basis using significant unobservable inputs (Level 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left="280"/>
              <w:spacing w:after="0"/>
              <w:rPr>
                <w:sz w:val="20"/>
                <w:szCs w:val="20"/>
                <w:color w:val="auto"/>
              </w:rPr>
            </w:pPr>
            <w:r>
              <w:rPr>
                <w:rFonts w:ascii="Arial" w:cs="Arial" w:eastAsia="Arial" w:hAnsi="Arial"/>
                <w:sz w:val="14"/>
                <w:szCs w:val="14"/>
                <w:color w:val="auto"/>
                <w:w w:val="80"/>
              </w:rPr>
              <w:t>Assets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left="259"/>
              <w:spacing w:after="0"/>
              <w:rPr>
                <w:sz w:val="20"/>
                <w:szCs w:val="20"/>
                <w:color w:val="auto"/>
              </w:rPr>
            </w:pPr>
            <w:r>
              <w:rPr>
                <w:rFonts w:ascii="Arial" w:cs="Arial" w:eastAsia="Arial" w:hAnsi="Arial"/>
                <w:sz w:val="14"/>
                <w:szCs w:val="14"/>
                <w:color w:val="auto"/>
                <w:w w:val="93"/>
              </w:rPr>
              <w:t>Liabilities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left="237"/>
              <w:spacing w:after="0"/>
              <w:rPr>
                <w:sz w:val="20"/>
                <w:szCs w:val="20"/>
                <w:color w:val="auto"/>
              </w:rPr>
            </w:pPr>
            <w:r>
              <w:rPr>
                <w:rFonts w:ascii="Arial" w:cs="Arial" w:eastAsia="Arial" w:hAnsi="Arial"/>
                <w:sz w:val="14"/>
                <w:szCs w:val="14"/>
                <w:color w:val="auto"/>
                <w:w w:val="80"/>
              </w:rPr>
              <w:t>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Liabilities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tcBorders>
            <w:gridSpan w:val="4"/>
          </w:tcPr>
          <w:p>
            <w:pPr>
              <w:jc w:val="center"/>
              <w:spacing w:after="0" w:line="131" w:lineRule="exact"/>
              <w:rPr>
                <w:sz w:val="20"/>
                <w:szCs w:val="20"/>
                <w:color w:val="auto"/>
              </w:rPr>
            </w:pPr>
            <w:r>
              <w:rPr>
                <w:rFonts w:ascii="Arial" w:cs="Arial" w:eastAsia="Arial" w:hAnsi="Arial"/>
                <w:sz w:val="14"/>
                <w:szCs w:val="14"/>
                <w:color w:val="auto"/>
                <w:w w:val="89"/>
              </w:rPr>
              <w:t>Six Months Ended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gridSpan w:val="4"/>
          </w:tcPr>
          <w:p>
            <w:pPr>
              <w:jc w:val="center"/>
              <w:spacing w:after="0" w:line="131" w:lineRule="exact"/>
              <w:rPr>
                <w:sz w:val="20"/>
                <w:szCs w:val="20"/>
                <w:color w:val="auto"/>
              </w:rPr>
            </w:pPr>
            <w:r>
              <w:rPr>
                <w:rFonts w:ascii="Arial" w:cs="Arial" w:eastAsia="Arial" w:hAnsi="Arial"/>
                <w:sz w:val="14"/>
                <w:szCs w:val="14"/>
                <w:color w:val="auto"/>
                <w:w w:val="87"/>
              </w:rPr>
              <w:t>Six Months Ended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gridSpan w:val="5"/>
          </w:tcPr>
          <w:p>
            <w:pPr>
              <w:jc w:val="center"/>
              <w:spacing w:after="0" w:line="131" w:lineRule="exact"/>
              <w:rPr>
                <w:sz w:val="20"/>
                <w:szCs w:val="20"/>
                <w:color w:val="auto"/>
              </w:rPr>
            </w:pPr>
            <w:r>
              <w:rPr>
                <w:rFonts w:ascii="Arial" w:cs="Arial" w:eastAsia="Arial" w:hAnsi="Arial"/>
                <w:sz w:val="14"/>
                <w:szCs w:val="14"/>
                <w:color w:val="auto"/>
                <w:w w:val="87"/>
              </w:rPr>
              <w:t>Three Months Ended</w:t>
            </w:r>
          </w:p>
        </w:tc>
        <w:tc>
          <w:tcPr>
            <w:tcW w:w="280" w:type="dxa"/>
            <w:vAlign w:val="bottom"/>
          </w:tcPr>
          <w:p>
            <w:pPr>
              <w:spacing w:after="0"/>
              <w:rPr>
                <w:sz w:val="11"/>
                <w:szCs w:val="11"/>
                <w:color w:val="auto"/>
              </w:rPr>
            </w:pPr>
          </w:p>
        </w:tc>
        <w:tc>
          <w:tcPr>
            <w:tcW w:w="1300" w:type="dxa"/>
            <w:vAlign w:val="bottom"/>
            <w:tcBorders>
              <w:top w:val="single" w:sz="8" w:color="auto"/>
            </w:tcBorders>
            <w:gridSpan w:val="5"/>
          </w:tcPr>
          <w:p>
            <w:pPr>
              <w:jc w:val="center"/>
              <w:spacing w:after="0" w:line="131" w:lineRule="exact"/>
              <w:rPr>
                <w:sz w:val="20"/>
                <w:szCs w:val="20"/>
                <w:color w:val="auto"/>
              </w:rPr>
            </w:pPr>
            <w:r>
              <w:rPr>
                <w:rFonts w:ascii="Arial" w:cs="Arial" w:eastAsia="Arial" w:hAnsi="Arial"/>
                <w:sz w:val="14"/>
                <w:szCs w:val="14"/>
                <w:color w:val="auto"/>
                <w:w w:val="87"/>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280"/>
              <w:spacing w:after="0" w:line="149" w:lineRule="exact"/>
              <w:rPr>
                <w:sz w:val="20"/>
                <w:szCs w:val="20"/>
                <w:color w:val="auto"/>
              </w:rPr>
            </w:pPr>
            <w:r>
              <w:rPr>
                <w:rFonts w:ascii="Arial" w:cs="Arial" w:eastAsia="Arial" w:hAnsi="Arial"/>
                <w:sz w:val="14"/>
                <w:szCs w:val="14"/>
                <w:color w:val="auto"/>
                <w:w w:val="85"/>
              </w:rPr>
              <w:t>June 30,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1"/>
              </w:rPr>
              <w:t>June 30,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left="117"/>
              <w:spacing w:after="0" w:line="149" w:lineRule="exact"/>
              <w:rPr>
                <w:sz w:val="20"/>
                <w:szCs w:val="20"/>
                <w:color w:val="auto"/>
              </w:rPr>
            </w:pPr>
            <w:r>
              <w:rPr>
                <w:rFonts w:ascii="Arial" w:cs="Arial" w:eastAsia="Arial" w:hAnsi="Arial"/>
                <w:sz w:val="14"/>
                <w:szCs w:val="14"/>
                <w:color w:val="auto"/>
                <w:w w:val="85"/>
              </w:rPr>
              <w:t>June 30,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5"/>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2014</w:t>
            </w:r>
          </w:p>
        </w:tc>
        <w:tc>
          <w:tcPr>
            <w:tcW w:w="280" w:type="dxa"/>
            <w:vAlign w:val="bottom"/>
          </w:tcPr>
          <w:p>
            <w:pPr>
              <w:spacing w:after="0"/>
              <w:rPr>
                <w:sz w:val="13"/>
                <w:szCs w:val="13"/>
                <w:color w:val="auto"/>
              </w:rPr>
            </w:pP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2013</w:t>
            </w:r>
          </w:p>
        </w:tc>
        <w:tc>
          <w:tcPr>
            <w:tcW w:w="160" w:type="dxa"/>
            <w:vAlign w:val="bottom"/>
          </w:tcPr>
          <w:p>
            <w:pPr>
              <w:spacing w:after="0"/>
              <w:rPr>
                <w:sz w:val="13"/>
                <w:szCs w:val="13"/>
                <w:color w:val="auto"/>
              </w:rPr>
            </w:pPr>
          </w:p>
        </w:tc>
        <w:tc>
          <w:tcPr>
            <w:tcW w:w="660" w:type="dxa"/>
            <w:vAlign w:val="bottom"/>
            <w:gridSpan w:val="2"/>
          </w:tcPr>
          <w:p>
            <w:pPr>
              <w:jc w:val="right"/>
              <w:ind w:right="59"/>
              <w:spacing w:after="0" w:line="159" w:lineRule="exact"/>
              <w:rPr>
                <w:sz w:val="20"/>
                <w:szCs w:val="20"/>
                <w:color w:val="auto"/>
              </w:rPr>
            </w:pPr>
            <w:r>
              <w:rPr>
                <w:rFonts w:ascii="Arial" w:cs="Arial" w:eastAsia="Arial" w:hAnsi="Arial"/>
                <w:sz w:val="14"/>
                <w:szCs w:val="14"/>
                <w:color w:val="auto"/>
              </w:rPr>
              <w:t>2014</w:t>
            </w:r>
          </w:p>
        </w:tc>
        <w:tc>
          <w:tcPr>
            <w:tcW w:w="300" w:type="dxa"/>
            <w:vAlign w:val="bottom"/>
          </w:tcPr>
          <w:p>
            <w:pPr>
              <w:spacing w:after="0"/>
              <w:rPr>
                <w:sz w:val="13"/>
                <w:szCs w:val="13"/>
                <w:color w:val="auto"/>
              </w:rPr>
            </w:pPr>
          </w:p>
        </w:tc>
        <w:tc>
          <w:tcPr>
            <w:tcW w:w="4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57"/>
              <w:spacing w:after="0" w:line="159" w:lineRule="exact"/>
              <w:rPr>
                <w:sz w:val="20"/>
                <w:szCs w:val="20"/>
                <w:color w:val="auto"/>
              </w:rPr>
            </w:pPr>
            <w:r>
              <w:rPr>
                <w:rFonts w:ascii="Arial" w:cs="Arial" w:eastAsia="Arial" w:hAnsi="Arial"/>
                <w:sz w:val="14"/>
                <w:szCs w:val="14"/>
                <w:color w:val="auto"/>
                <w:w w:val="89"/>
              </w:rPr>
              <w:t>2014</w:t>
            </w:r>
          </w:p>
        </w:tc>
        <w:tc>
          <w:tcPr>
            <w:tcW w:w="300" w:type="dxa"/>
            <w:vAlign w:val="bottom"/>
          </w:tcPr>
          <w:p>
            <w:pPr>
              <w:spacing w:after="0"/>
              <w:rPr>
                <w:sz w:val="13"/>
                <w:szCs w:val="13"/>
                <w:color w:val="auto"/>
              </w:rPr>
            </w:pPr>
          </w:p>
        </w:tc>
        <w:tc>
          <w:tcPr>
            <w:tcW w:w="4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57"/>
              <w:spacing w:after="0" w:line="159" w:lineRule="exact"/>
              <w:rPr>
                <w:sz w:val="20"/>
                <w:szCs w:val="20"/>
                <w:color w:val="auto"/>
              </w:rPr>
            </w:pPr>
            <w:r>
              <w:rPr>
                <w:rFonts w:ascii="Arial" w:cs="Arial" w:eastAsia="Arial" w:hAnsi="Arial"/>
                <w:sz w:val="14"/>
                <w:szCs w:val="14"/>
                <w:color w:val="auto"/>
                <w:w w:val="96"/>
              </w:rPr>
              <w:t>2014</w:t>
            </w:r>
          </w:p>
        </w:tc>
        <w:tc>
          <w:tcPr>
            <w:tcW w:w="180" w:type="dxa"/>
            <w:vAlign w:val="bottom"/>
          </w:tcPr>
          <w:p>
            <w:pPr>
              <w:spacing w:after="0"/>
              <w:rPr>
                <w:sz w:val="13"/>
                <w:szCs w:val="13"/>
                <w:color w:val="auto"/>
              </w:rPr>
            </w:pPr>
          </w:p>
        </w:tc>
        <w:tc>
          <w:tcPr>
            <w:tcW w:w="5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6"/>
          </w:tcPr>
          <w:p>
            <w:pPr>
              <w:ind w:left="12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(1,673)</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realized and unrealized gains (losses) included in earnings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546</w:t>
            </w:r>
          </w:p>
        </w:tc>
        <w:tc>
          <w:tcPr>
            <w:tcW w:w="16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Issuances</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625</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(1,673)</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(625)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w w:val="90"/>
              </w:rPr>
              <w:t>Total gains (losses) for the period included in earnings results attributed to</w:t>
            </w: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w w:val="94"/>
              </w:rPr>
              <w:t>the change in unrealized gains or losses on assets and liabilities still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held at the reporting date</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$ 1,004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spacing w:after="0"/>
              <w:rPr>
                <w:sz w:val="20"/>
                <w:szCs w:val="20"/>
                <w:color w:val="auto"/>
              </w:rPr>
            </w:pPr>
            <w:r>
              <w:rPr>
                <w:rFonts w:ascii="Arial" w:cs="Arial" w:eastAsia="Arial" w:hAnsi="Arial"/>
                <w:sz w:val="18"/>
                <w:szCs w:val="18"/>
                <w:color w:val="auto"/>
                <w:w w:val="86"/>
              </w:rPr>
              <w:t>534</w:t>
            </w:r>
          </w:p>
        </w:tc>
        <w:tc>
          <w:tcPr>
            <w:tcW w:w="16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313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 (313)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earnings and the income statement classifications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700"/>
              <w:spacing w:after="0"/>
              <w:rPr>
                <w:sz w:val="20"/>
                <w:szCs w:val="20"/>
                <w:color w:val="auto"/>
              </w:rPr>
            </w:pPr>
            <w:r>
              <w:rPr>
                <w:rFonts w:ascii="Arial" w:cs="Arial" w:eastAsia="Arial" w:hAnsi="Arial"/>
                <w:sz w:val="14"/>
                <w:szCs w:val="14"/>
                <w:color w:val="auto"/>
                <w:w w:val="98"/>
              </w:rPr>
              <w:t>Six Months Ended</w:t>
            </w:r>
          </w:p>
        </w:tc>
        <w:tc>
          <w:tcPr>
            <w:tcW w:w="1600" w:type="dxa"/>
            <w:vAlign w:val="bottom"/>
            <w:gridSpan w:val="6"/>
          </w:tcPr>
          <w:p>
            <w:pPr>
              <w:jc w:val="right"/>
              <w:ind w:right="280"/>
              <w:spacing w:after="0"/>
              <w:rPr>
                <w:sz w:val="20"/>
                <w:szCs w:val="20"/>
                <w:color w:val="auto"/>
              </w:rPr>
            </w:pPr>
            <w:r>
              <w:rPr>
                <w:rFonts w:ascii="Arial" w:cs="Arial" w:eastAsia="Arial" w:hAnsi="Arial"/>
                <w:sz w:val="14"/>
                <w:szCs w:val="14"/>
                <w:color w:val="auto"/>
                <w:w w:val="99"/>
              </w:rPr>
              <w:t>Three Months Ended</w:t>
            </w:r>
          </w:p>
        </w:tc>
      </w:tr>
      <w:tr>
        <w:trPr>
          <w:trHeight w:val="149"/>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June 30,</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5"/>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w w:val="96"/>
              </w:rPr>
              <w:t>2014</w:t>
            </w: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13"/>
                <w:szCs w:val="13"/>
                <w:color w:val="auto"/>
              </w:rPr>
            </w:pPr>
          </w:p>
        </w:tc>
      </w:tr>
      <w:tr>
        <w:trPr>
          <w:trHeight w:val="142"/>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4"/>
          </w:tcPr>
          <w:p>
            <w:pPr>
              <w:jc w:val="right"/>
              <w:ind w:right="712"/>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Cost of sales—Undesignated commodities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2,111</w:t>
            </w:r>
          </w:p>
        </w:tc>
        <w:tc>
          <w:tcPr>
            <w:tcW w:w="4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$(275)</w:t>
            </w: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w w:val="94"/>
              </w:rPr>
              <w:t>$ (105)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income—Carbon credits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546</w:t>
            </w: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Other expense—Contractual obligations relating to carbon credits</w:t>
            </w: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(1,634)</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(546)</w:t>
            </w: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expense—Undesignated interest rate contract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0"/>
        </w:trPr>
        <w:tc>
          <w:tcPr>
            <w:tcW w:w="6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9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2,345</w:t>
            </w:r>
          </w:p>
        </w:tc>
        <w:tc>
          <w:tcPr>
            <w:tcW w:w="48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(186)</w:t>
            </w: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w w:val="94"/>
              </w:rPr>
              <w:t>$ (142)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0"/>
        </w:trPr>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At June 30, 2014 and December 31, 2013, we did not have any financial instruments with fair values significantly different from their carrying amounts, except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Senior Secured Notes. The estimated fair value of the Senior Secured Notes exceeded the carrying value by approximately $30 million and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valuations are classified as Level 2 and based on a range of ask/bid prices. For June 30, 2014, the range was (106.5 to 107.5) and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2013, the range was of (104.5 to 104.9). The valuations of our other long-term debt agreements are classified as Level 3 and are based on valuation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techniques that require inputs that are both unobservable and significant to the overall fair value measurement. The fair value measurements of our other 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debt agreements are valued using a discounted cash flow model that calculates the present value of future cash flows pursuant to the terms of the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and applies estimated current market interest rates. The estimated current market interest rates are based primarily on interest rates currently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on borrowings of similar amounts and terms. In addition, no valuation input adjustments were considered necessary relating to nonperformance risk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debt agreements. The fair value of financial instruments is not indicative of the overall fair value of our assets and liabilities since financial instruments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 all assets, including intangibles, and all liabilities. Also see discussions concerning certain assets and liabilities initially accounted for on a fair value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Note 7 – Asset Retirement Obligations.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taxes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1540" w:type="dxa"/>
            <w:vAlign w:val="bottom"/>
            <w:gridSpan w:val="4"/>
          </w:tcPr>
          <w:p>
            <w:pPr>
              <w:ind w:left="1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500" w:type="dxa"/>
            <w:vAlign w:val="bottom"/>
            <w:gridSpan w:val="2"/>
          </w:tcPr>
          <w:p>
            <w:pPr>
              <w:jc w:val="right"/>
              <w:ind w:right="79"/>
              <w:spacing w:after="0" w:line="159" w:lineRule="exact"/>
              <w:rPr>
                <w:sz w:val="20"/>
                <w:szCs w:val="20"/>
                <w:color w:val="auto"/>
              </w:rPr>
            </w:pPr>
            <w:r>
              <w:rPr>
                <w:rFonts w:ascii="Arial" w:cs="Arial" w:eastAsia="Arial" w:hAnsi="Arial"/>
                <w:sz w:val="14"/>
                <w:szCs w:val="14"/>
                <w:color w:val="auto"/>
              </w:rPr>
              <w:t>2014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17"/>
              <w:spacing w:after="0" w:line="159" w:lineRule="exact"/>
              <w:rPr>
                <w:sz w:val="20"/>
                <w:szCs w:val="20"/>
                <w:color w:val="auto"/>
              </w:rPr>
            </w:pPr>
            <w:r>
              <w:rPr>
                <w:rFonts w:ascii="Arial" w:cs="Arial" w:eastAsia="Arial" w:hAnsi="Arial"/>
                <w:sz w:val="14"/>
                <w:szCs w:val="14"/>
                <w:color w:val="auto"/>
                <w:w w:val="89"/>
              </w:rPr>
              <w:t>2013</w:t>
            </w:r>
          </w:p>
        </w:tc>
        <w:tc>
          <w:tcPr>
            <w:tcW w:w="400" w:type="dxa"/>
            <w:vAlign w:val="bottom"/>
          </w:tcPr>
          <w:p>
            <w:pPr>
              <w:spacing w:after="0"/>
              <w:rPr>
                <w:sz w:val="13"/>
                <w:szCs w:val="13"/>
                <w:color w:val="auto"/>
              </w:rPr>
            </w:pPr>
          </w:p>
        </w:tc>
        <w:tc>
          <w:tcPr>
            <w:tcW w:w="560" w:type="dxa"/>
            <w:vAlign w:val="bottom"/>
          </w:tcPr>
          <w:p>
            <w:pPr>
              <w:jc w:val="right"/>
              <w:ind w:right="58"/>
              <w:spacing w:after="0" w:line="159" w:lineRule="exact"/>
              <w:rPr>
                <w:sz w:val="20"/>
                <w:szCs w:val="20"/>
                <w:color w:val="auto"/>
              </w:rPr>
            </w:pPr>
            <w:r>
              <w:rPr>
                <w:rFonts w:ascii="Arial" w:cs="Arial" w:eastAsia="Arial" w:hAnsi="Arial"/>
                <w:sz w:val="14"/>
                <w:szCs w:val="14"/>
                <w:color w:val="auto"/>
              </w:rPr>
              <w:t>2014</w:t>
            </w:r>
          </w:p>
        </w:tc>
        <w:tc>
          <w:tcPr>
            <w:tcW w:w="380" w:type="dxa"/>
            <w:vAlign w:val="bottom"/>
          </w:tcPr>
          <w:p>
            <w:pPr>
              <w:spacing w:after="0"/>
              <w:rPr>
                <w:sz w:val="13"/>
                <w:szCs w:val="13"/>
                <w:color w:val="auto"/>
              </w:rPr>
            </w:pPr>
          </w:p>
        </w:tc>
        <w:tc>
          <w:tcPr>
            <w:tcW w:w="500" w:type="dxa"/>
            <w:vAlign w:val="bottom"/>
          </w:tcPr>
          <w:p>
            <w:pPr>
              <w:jc w:val="right"/>
              <w:ind w:right="15"/>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Federal</w:t>
            </w:r>
          </w:p>
        </w:tc>
        <w:tc>
          <w:tcPr>
            <w:tcW w:w="2880" w:type="dxa"/>
            <w:vAlign w:val="bottom"/>
            <w:gridSpan w:val="3"/>
          </w:tcPr>
          <w:p>
            <w:pPr>
              <w:jc w:val="right"/>
              <w:ind w:right="320"/>
              <w:spacing w:after="0"/>
              <w:rPr>
                <w:sz w:val="20"/>
                <w:szCs w:val="20"/>
                <w:color w:val="auto"/>
              </w:rPr>
            </w:pPr>
            <w:r>
              <w:rPr>
                <w:rFonts w:ascii="Arial" w:cs="Arial" w:eastAsia="Arial" w:hAnsi="Arial"/>
                <w:sz w:val="18"/>
                <w:szCs w:val="18"/>
                <w:color w:val="auto"/>
              </w:rPr>
              <w:t>$ (1,189)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784</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$(2,169)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Current</w:t>
            </w: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1,081</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(1,602)</w:t>
            </w:r>
          </w:p>
        </w:tc>
        <w:tc>
          <w:tcPr>
            <w:tcW w:w="50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9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Federal</w:t>
            </w:r>
          </w:p>
        </w:tc>
        <w:tc>
          <w:tcPr>
            <w:tcW w:w="2880" w:type="dxa"/>
            <w:vAlign w:val="bottom"/>
            <w:gridSpan w:val="3"/>
          </w:tcPr>
          <w:p>
            <w:pPr>
              <w:jc w:val="right"/>
              <w:ind w:right="380"/>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2,280</w:t>
            </w:r>
          </w:p>
        </w:tc>
        <w:tc>
          <w:tcPr>
            <w:tcW w:w="560" w:type="dxa"/>
            <w:vAlign w:val="bottom"/>
          </w:tcPr>
          <w:p>
            <w:pPr>
              <w:jc w:val="right"/>
              <w:spacing w:after="0"/>
              <w:rPr>
                <w:sz w:val="20"/>
                <w:szCs w:val="20"/>
                <w:color w:val="auto"/>
              </w:rPr>
            </w:pPr>
            <w:r>
              <w:rPr>
                <w:rFonts w:ascii="Arial" w:cs="Arial" w:eastAsia="Arial" w:hAnsi="Arial"/>
                <w:sz w:val="18"/>
                <w:szCs w:val="18"/>
                <w:color w:val="auto"/>
              </w:rPr>
              <w:t>8,000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Deferred</w:t>
            </w: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14,648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2,541</w:t>
            </w:r>
          </w:p>
        </w:tc>
        <w:tc>
          <w:tcPr>
            <w:tcW w:w="560" w:type="dxa"/>
            <w:vAlign w:val="bottom"/>
          </w:tcPr>
          <w:p>
            <w:pPr>
              <w:jc w:val="right"/>
              <w:spacing w:after="0"/>
              <w:rPr>
                <w:sz w:val="20"/>
                <w:szCs w:val="20"/>
                <w:color w:val="auto"/>
              </w:rPr>
            </w:pPr>
            <w:r>
              <w:rPr>
                <w:rFonts w:ascii="Arial" w:cs="Arial" w:eastAsia="Arial" w:hAnsi="Arial"/>
                <w:sz w:val="18"/>
                <w:szCs w:val="18"/>
                <w:color w:val="auto"/>
              </w:rPr>
              <w:t>8,649</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Provisions for income taxes</w:t>
            </w:r>
          </w:p>
        </w:tc>
        <w:tc>
          <w:tcPr>
            <w:tcW w:w="2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3,622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$ 7,047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six and three months ended June 30, 2014 and 2013, the current provisions (benefit) for federal income taxes shown above includes regular federal income tax provision (benefit) after the consideration of permanent and temporary differences between income for GAAP and tax purposes, including the benefit related to the retroactive tax relief for certain tax provisions that expired in 2012 as discussed below. For the six and three months ended June 30, 2014 and 2013, the current provisions for state income taxes shown above includes regular state income tax and provisions for uncertain state income tax positions.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annual estimated effective tax rate for 2013 includes the impact of permanent tax differences, such as the domestic manufacturer’s deduction, the advanced energy credit and other permanent items.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the six months ended June 30, 2013 and impacted the estimated effective tax rate for 2013.</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tax provision for the six months ended June 30, 2014 and 2013 was $14.7 million (39% of pre-tax income) and $3.6 million (37% of pre-tax income, excluding the impact of the 2012 retroactive tax benefits), respectively.</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LSB and certain of its subsidiaries file income tax returns in the U.S. federal jurisdiction and various state jurisdictions. With few exceptions, the 2010-2012 years remain open for all purposes of examination by the U.S. Internal Revenue Service (“IRS”) and other major tax jurisdictions. During June 2014, we settled the examination with the IRS for the tax years 2008-2010 with no material changes to our financial position, results of operations and cash flow.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5460"/>
        <w:spacing w:after="0" w:line="347" w:lineRule="auto"/>
        <w:rPr>
          <w:sz w:val="20"/>
          <w:szCs w:val="20"/>
          <w:color w:val="auto"/>
        </w:rPr>
      </w:pPr>
      <w:r>
        <w:rPr>
          <w:rFonts w:ascii="Arial" w:cs="Arial" w:eastAsia="Arial" w:hAnsi="Arial"/>
          <w:sz w:val="18"/>
          <w:szCs w:val="18"/>
          <w:b w:val="1"/>
          <w:bCs w:val="1"/>
          <w:u w:val="single" w:color="auto"/>
          <w:color w:val="auto"/>
        </w:rPr>
        <w:t xml:space="preserve">Note 12: Property and Business Interruption Insurance Claims and Recoveries </w:t>
      </w:r>
      <w:r>
        <w:rPr>
          <w:rFonts w:ascii="Arial" w:cs="Arial" w:eastAsia="Arial" w:hAnsi="Arial"/>
          <w:sz w:val="18"/>
          <w:szCs w:val="18"/>
          <w:b w:val="1"/>
          <w:bCs w:val="1"/>
          <w:color w:val="auto"/>
        </w:rPr>
        <w:t>Cherokee Facility</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we recorded an insurance claim receivable relating to this event, which offset the loss on the disposal of the damaged property and certain repairs and clean-up costs incurred (“recoverable costs”).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2013, our insurance carriers approved payments relating to our business interruption claim totaling $15 million. We received correspondence associated with the approval, which stated that our insurance carriers were still investigating the circumstances surrounding this event (including the cause of this event, scope of our losses and support for our claim) under a reservation of rights.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business interruption insurance recovery of $15.0 million was applied against recoverable costs (primarily relating to additional expenses associated with purchased product sold or used in products sold to our customers while our facility was being repaired) totaling $13.0 million as a reduction to cost of sales during the six months ended June 30, 2013 ($10.1 million during the first quarter of 2013 and $2.9 million during the second quarter of 2013). The insurance recovery in excess of recoverable costs of $2.0 million was not recognized at June 30, 2013 since a portion of this amount related to recoverable costs, which we were unable to conclude that it was at least probable (for financial reporting purposes) that these costs would be approved and a portion of this amount related to lost profits, which was considered a gain contingency.</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2014, we settled the claim with our insurance carriers for the aggregate amount of approximately $43.5 million, including the $15.0 million paid to us as discussed above and the remaining $28.5 million was paid to us in January 2014. As it relates to the $28.5 million paid in January 2014, for financial reporting purposes, we allocated $7.0 million to our property insurance claim and $21.5 million to our business interruption claim primarily based on negotiations with our insurance carriers concerning our claims.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$7.0 million allocated to the property insurance claim was partially applied against our insurance claim receivable, consisting of recoverable costs, totaling $1.9 million at December 31, 2013. The insurance recovery in excess of the recoverable costs of $5.1 million was recognized as property insurance recoveries in excess of losses incurred in the first quarter of 2014.</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insurance recovery of $21.5 million allocated to the business interruption claim was recognized as a reduction to cost of sales in the first quarter of 2014. In addition, the insurance recovery in excess of recoverable costs of $1.4 million (that was deferred and included in deferred gain on insurance recoveries at December 31, 2013) was recognized as a reduction to cost of sales in the first quarter of 2014.</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Other Expense, Income and Non-Operating Other Expense (Income), net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20"/>
              <w:spacing w:after="0"/>
              <w:rPr>
                <w:sz w:val="20"/>
                <w:szCs w:val="20"/>
                <w:color w:val="auto"/>
              </w:rPr>
            </w:pPr>
            <w:r>
              <w:rPr>
                <w:rFonts w:ascii="Arial" w:cs="Arial" w:eastAsia="Arial" w:hAnsi="Arial"/>
                <w:sz w:val="14"/>
                <w:szCs w:val="14"/>
                <w:color w:val="auto"/>
                <w:w w:val="95"/>
              </w:rPr>
              <w:t>Six Months Ended</w:t>
            </w:r>
          </w:p>
        </w:tc>
        <w:tc>
          <w:tcPr>
            <w:tcW w:w="160" w:type="dxa"/>
            <w:vAlign w:val="bottom"/>
          </w:tcPr>
          <w:p>
            <w:pPr>
              <w:spacing w:after="0"/>
              <w:rPr>
                <w:sz w:val="14"/>
                <w:szCs w:val="14"/>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14"/>
                <w:szCs w:val="14"/>
                <w:color w:val="auto"/>
                <w:w w:val="94"/>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June 30,</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1"/>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w w:val="89"/>
              </w:rPr>
              <w:t>2013</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2014</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right"/>
              <w:ind w:right="24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w w:val="91"/>
              </w:rPr>
              <w:t>Realized and unrealized losses on contractual obligations associated with carbon credits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1,634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on sales and disposals of property and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1,008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Dismantle and demolition expense (1)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2,100</w:t>
            </w:r>
          </w:p>
        </w:tc>
        <w:tc>
          <w:tcPr>
            <w:tcW w:w="2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penalties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Impairment on long-lived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expense (2)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860"/>
              <w:spacing w:after="0"/>
              <w:rPr>
                <w:sz w:val="20"/>
                <w:szCs w:val="20"/>
                <w:color w:val="auto"/>
              </w:rPr>
            </w:pPr>
            <w:r>
              <w:rPr>
                <w:rFonts w:ascii="Arial" w:cs="Arial" w:eastAsia="Arial" w:hAnsi="Arial"/>
                <w:sz w:val="18"/>
                <w:szCs w:val="18"/>
                <w:color w:val="auto"/>
              </w:rPr>
              <w:t>Total other expense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3,327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3,756</w:t>
            </w:r>
          </w:p>
        </w:tc>
        <w:tc>
          <w:tcPr>
            <w:tcW w:w="22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$ 744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Realized and unrealized gains on carbon credits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 of litigation and potential litigation (3)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Miscellaneous income (2)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2,214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1,545</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expense, net</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2,211</w:t>
            </w:r>
          </w:p>
        </w:tc>
        <w:tc>
          <w:tcPr>
            <w:tcW w:w="22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$ 604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expense (income),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(79)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income (2)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Miscellaneous expense (2)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non-operating other expense (income), net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relates to the dismantling and demolition of certain plants and equipment at our chemical facilities.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represent numerous unrelated transactions, none of which are individually significant requiring separate disclosure.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relates primarily to a settlement reached associated with a class action insurance brokerage antitrust litigation.</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240" w:top="459" w:right="6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5"/>
              <w:spacing w:after="0" w:line="159" w:lineRule="exact"/>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line="159"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5"/>
              <w:spacing w:after="0" w:line="159" w:lineRule="exact"/>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70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250,977</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198,818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135,756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147,627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380,187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352,902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201,662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202,223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Gross profit: (2)</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 (1)</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Climate Control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47,385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97,591</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64,081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48,869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(3)</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52,402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2,579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23,589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corporate expenses (4)</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Corporate and other business operations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Equity in earnings of affiliate—Climate Control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first quarter of 2014, our Chemical Business experienced downtime at the Pryor Facility resulting in lost production and adverse effect on operating results. During the first six months of 2013, our Chemical Business experienced downtime at the Cherokee, El Dorado and Pryor Facilities resulting in lost production and an adverse effect on operating results. We also recognized insurance recoveries in both periods as discussed in Note 12 – Property and Business Interruption Insurance Claims and Recoveries.</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ind w:left="460" w:right="14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chief operating decision makers use operating income by business segment for purposes of making decisions that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 (continued)</w:t>
      </w:r>
    </w:p>
    <w:p>
      <w:pPr>
        <w:spacing w:after="0" w:line="164" w:lineRule="exact"/>
        <w:rPr>
          <w:sz w:val="20"/>
          <w:szCs w:val="20"/>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consist of the following:</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0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96"/>
              </w:rPr>
              <w:t>2013</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8"/>
              <w:spacing w:after="0" w:line="159" w:lineRule="exact"/>
              <w:rPr>
                <w:sz w:val="20"/>
                <w:szCs w:val="20"/>
                <w:color w:val="auto"/>
              </w:rPr>
            </w:pPr>
            <w:r>
              <w:rPr>
                <w:rFonts w:ascii="Arial" w:cs="Arial" w:eastAsia="Arial" w:hAnsi="Arial"/>
                <w:sz w:val="14"/>
                <w:szCs w:val="14"/>
                <w:color w:val="auto"/>
                <w:w w:val="96"/>
              </w:rPr>
              <w:t>2014</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9"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62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w w:val="98"/>
              </w:rPr>
              <w:t>Fees and expenses relating to certain activist shareholders’ proposals (A)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(4,163)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Personnel costs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(4,295)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(2,209)</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Total selling, general and administrative</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(12,672)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(7,734)</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(4,978)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(4,008)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(12,622)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(7,185)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(4,951)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2014, we incurred fees and expenses in evaluating and analyzing proposals received from certain activist shareholders and dealing, negotiating and settling with those shareholders in order to avoid a proxy contest.</w:t>
      </w:r>
    </w:p>
    <w:p>
      <w:pPr>
        <w:spacing w:after="0" w:line="172" w:lineRule="exact"/>
        <w:rPr>
          <w:sz w:val="20"/>
          <w:szCs w:val="20"/>
          <w:color w:val="auto"/>
        </w:rPr>
      </w:pPr>
    </w:p>
    <w:p>
      <w:pPr>
        <w:ind w:left="460" w:right="1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six and three months ended June 30, 2014, interest expense is net of capitalized interest of $5.3 million and $3.0 million, respectively. During the six and three months ended June 30, 2013, interest expense is net of capitalized interest of $1.0 million and $0.6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total assets by business segment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color w:val="auto"/>
                <w:w w:val="96"/>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r>
      <w:tr>
        <w:trPr>
          <w:trHeight w:val="159"/>
        </w:trPr>
        <w:tc>
          <w:tcPr>
            <w:tcW w:w="39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line="159" w:lineRule="exact"/>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3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901,379</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842,725</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Climate Control</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149,506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159,960</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Corporate assets</w:t>
            </w:r>
          </w:p>
        </w:tc>
        <w:tc>
          <w:tcPr>
            <w:tcW w:w="2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73,580</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1,108,922</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1,083,097</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March 2013 and February 2014, we paid or declared dividends totaling $300,000, respectively, on our Series B Preferred and our Series D Preferred. The Series B Preferred and Series D Preferred are non-redeemable preferred stocks issued in 1986 and 2001, respectively, of which all outstanding shares are owned by Jack E. Golsen, our Chairman of the Board and Chief Executive Officer, members of his immediate family (spouse and children), including Barry H. Golsen, our Vice Chairman, President and Chief Operating Officer, Steven J. Golsen, our President and Chief Operating Officer of our Climate Control Business, entities owned by them and trusts for which they possess voting or dispositive power as trustee (together, the “Golsen Group”).</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Supplemental Cash Flow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Six Months Ended</w:t>
            </w:r>
          </w:p>
        </w:tc>
      </w:tr>
      <w:tr>
        <w:trPr>
          <w:trHeight w:val="149"/>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5"/>
              </w:rPr>
              <w:t>June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440" w:type="dxa"/>
            <w:vAlign w:val="bottom"/>
          </w:tcPr>
          <w:p>
            <w:pPr>
              <w:spacing w:after="0"/>
              <w:rPr>
                <w:sz w:val="13"/>
                <w:szCs w:val="13"/>
                <w:color w:val="auto"/>
              </w:rPr>
            </w:pPr>
          </w:p>
        </w:tc>
        <w:tc>
          <w:tcPr>
            <w:tcW w:w="1540" w:type="dxa"/>
            <w:vAlign w:val="bottom"/>
            <w:gridSpan w:val="2"/>
          </w:tcPr>
          <w:p>
            <w:pPr>
              <w:jc w:val="right"/>
              <w:ind w:right="592"/>
              <w:spacing w:after="0" w:line="159" w:lineRule="exact"/>
              <w:rPr>
                <w:sz w:val="20"/>
                <w:szCs w:val="20"/>
                <w:color w:val="auto"/>
              </w:rPr>
            </w:pPr>
            <w:r>
              <w:rPr>
                <w:rFonts w:ascii="Arial" w:cs="Arial" w:eastAsia="Arial" w:hAnsi="Arial"/>
                <w:sz w:val="14"/>
                <w:szCs w:val="14"/>
                <w:color w:val="auto"/>
              </w:rPr>
              <w:t>2014</w:t>
            </w:r>
          </w:p>
        </w:tc>
        <w:tc>
          <w:tcPr>
            <w:tcW w:w="600" w:type="dxa"/>
            <w:vAlign w:val="bottom"/>
          </w:tcPr>
          <w:p>
            <w:pPr>
              <w:jc w:val="center"/>
              <w:spacing w:after="0" w:line="159"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r>
      <w:tr>
        <w:trPr>
          <w:trHeight w:val="142"/>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(refunds) for income taxes, net</w:t>
            </w:r>
          </w:p>
        </w:tc>
        <w:tc>
          <w:tcPr>
            <w:tcW w:w="1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(5,564)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$11,865</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Accounts payable and long-term debt associated with additions of property, plant and</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1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$24,841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$11,486</w:t>
            </w:r>
          </w:p>
        </w:tc>
        <w:tc>
          <w:tcPr>
            <w:tcW w:w="100" w:type="dxa"/>
            <w:vAlign w:val="bottom"/>
            <w:shd w:val="clear" w:color="auto" w:fill="CCEEFF"/>
          </w:tcPr>
          <w:p>
            <w:pPr>
              <w:spacing w:after="0"/>
              <w:rPr>
                <w:sz w:val="19"/>
                <w:szCs w:val="19"/>
                <w:color w:val="auto"/>
              </w:rPr>
            </w:pPr>
          </w:p>
        </w:tc>
      </w:tr>
      <w:tr>
        <w:trPr>
          <w:trHeight w:val="363"/>
        </w:trPr>
        <w:tc>
          <w:tcPr>
            <w:tcW w:w="6440" w:type="dxa"/>
            <w:vAlign w:val="bottom"/>
          </w:tcPr>
          <w:p>
            <w:pPr>
              <w:ind w:left="424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June 30, 2014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 owned subsidiaries (the “Company”, “We”, “Us”, or “Our”) own the following core businesses:</w:t>
      </w:r>
    </w:p>
    <w:p>
      <w:pPr>
        <w:spacing w:after="0" w:line="51" w:lineRule="exact"/>
        <w:rPr>
          <w:sz w:val="20"/>
          <w:szCs w:val="20"/>
          <w:color w:val="auto"/>
        </w:rPr>
      </w:pPr>
    </w:p>
    <w:p>
      <w:pPr>
        <w:ind w:left="900" w:hanging="325"/>
        <w:spacing w:after="0" w:line="25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fuel and various other products. For the first half of 2014, approximately 66% of our consolidated net sales relates to the Chemical Business compared to 56% for the first half of 2013.</w:t>
      </w:r>
    </w:p>
    <w:p>
      <w:pPr>
        <w:spacing w:after="0" w:line="63"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in the niche markets we serve consisting of water source and geothermal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half of 2014, approximately 32% of our consolidated net sales relates to the Climate Control Business compared to 42% for the first half of 2013.</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3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Chemical Business</w:t>
      </w:r>
      <w:r>
        <w:rPr>
          <w:rFonts w:ascii="Arial" w:cs="Arial" w:eastAsia="Arial" w:hAnsi="Arial"/>
          <w:sz w:val="16"/>
          <w:szCs w:val="16"/>
          <w:color w:val="auto"/>
        </w:rPr>
        <w:t>—Our Chemical Business’ primary markets are agricultural, industrial and mining. We use natural gas to produce anhydrous ammonia in two</w:t>
      </w:r>
      <w:r>
        <w:rPr>
          <w:rFonts w:ascii="Arial" w:cs="Arial" w:eastAsia="Arial" w:hAnsi="Arial"/>
          <w:sz w:val="16"/>
          <w:szCs w:val="16"/>
          <w:b w:val="1"/>
          <w:bCs w:val="1"/>
          <w:color w:val="auto"/>
        </w:rPr>
        <w:t xml:space="preserve"> </w:t>
      </w:r>
      <w:r>
        <w:rPr>
          <w:rFonts w:ascii="Arial" w:cs="Arial" w:eastAsia="Arial" w:hAnsi="Arial"/>
          <w:sz w:val="16"/>
          <w:szCs w:val="16"/>
          <w:color w:val="auto"/>
        </w:rPr>
        <w:t>of our four facilities, in which ammonia is used to produce nitrogen fertilizer and industrial products, and sold in its original form. We also produce agricultural grade and industrial grade AN from purchased ammonia, which current cost is significantly higher than producing it from natural gas, resulting in a cost disadvantage compared to nitrogen fertilizers and industrial AN producers that manufacture from natural gas. As previously reported, we are proceeding with the design, fabrication, engineering and construction of an ammonia plant at the El Dorado Facility, in part, to eliminate this current cost disadvantage.</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normal circumstances, our agricultural sales volumes and prices depend upon the supply of and the demand for fertilizer, which in turn depends on the market fundamentals for crops including corn, wheat, cotton and forage. Nitrogen fertilizer prices were significantly lower in the first half of 2014 compared to the same period of 2013. The lower prices are generally attributable to the significant increase in the 2013-2014 corn harvest and lower forward corn prices as compared to a year ago, and a later start to the spring planting and fertilizer application season. According to the USDA’s World Agricultural Supply and Demand Estimates, the 2013-2014 U.S. yield per harvested acre of corn increased significantly from approximately 123 bushels per acre (2012-2013 U.S. yield) to 158 bushels per acre. Year-end U.S. corn stocks have also increased, resulting in an increase in the stock-to-use ratio. Cold and wet weather conditions in early spring delayed corn planting and consequently fertilizer application. The late start put downward pressures on nitrogen prices as dealers liquidated inventories by the end of the spring application season. Notwithstanding the current conditions, the fundamentals continue to be positive for nitrogen fertilizer products we produce and sell and gross margins are still historically strong, although lower than 2013. However, the fertilizer outlook could change if there are unanticipated changes in domestic fertilizer production capacity, acres planted of crops requiring fertilizer, unfavorable weather conditions, continued low selling prices or increases in imported urea from China.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industrial acids sales volumes are dependent upon general economic conditions primarily in the housing, automotive, and paper industries. According to the American Chemistry Council, the U.S. economic indicators continue to be mostly positive. Our sales prices vary with the market price of our feedstock (ammonia, natural gas or sulfur, as applicable) in our pricing arrangements with customers. Our mining sales volumes are being impacted by lower customer demand for industrial grade AN, which we believe is primarily due to lower demand for coal because natural gas is currently a more attractive alternative fuel than coal for utility companies. As reported by the U.S. Energy Information Administration (“EIA”), during 2013, coal production was down overall by 3.2%, although coal inventories declined by 41 million tons, or 17%, during the same period. With such inventory decreases, the coal industry is currently expected to see production growth of 2.5% to 3.0% in 2014 as inventories stabilize and electricity demand increases. For 2015, the EIA expects coal consumption to decrease as the retirement of coal power plants increase in response to the implementation of certain governmental regulations and the increase in the generation of electricity from natural gas.</w:t>
      </w:r>
    </w:p>
    <w:p>
      <w:pPr>
        <w:spacing w:after="0" w:line="1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Climate Control Business</w:t>
      </w:r>
      <w:r>
        <w:rPr>
          <w:rFonts w:ascii="Arial" w:cs="Arial" w:eastAsia="Arial" w:hAnsi="Arial"/>
          <w:sz w:val="16"/>
          <w:szCs w:val="16"/>
          <w:color w:val="auto"/>
        </w:rPr>
        <w:t>—From a market sector perspective, our Climate Control Business serves the new and renovation commercial/institutional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construction sectors and we believe the majority of our business is associated with the construction of new facilities. Information available from the McGraw-Hill Construction Market forecast indicates that construction activity in the commercial/institutional and single-family residential sectors is expected to increase in aggregate during 2014, although still significantly below pre-recession levels.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Second Quarter of 2014</w:t>
      </w:r>
    </w:p>
    <w:p>
      <w:pPr>
        <w:spacing w:after="0" w:line="9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Our consolidated net sales for the second quarter of 2014 were $201.7 million, a net decrease of $0.6 million compared to the same period of 2013. The net decrease in sales includes a decrease of $14.6 million in our Climate Control Business partially offset by an increase of $14.4 million in our Chemical Business.</w:t>
      </w:r>
    </w:p>
    <w:p>
      <w:pPr>
        <w:spacing w:after="0" w:line="6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consolidated operating income was $23.8 million for the second quarter of 2014 compared to $12.2 million for the same period of 2013. The net increase in operating income of approximately $11.6 million includes an increase of $17.2 million in our Chemical Business partially offset by a decrease of $4.8 million in the Climate Control Business and an increase in our general corporate expenses of approximately $0.9 million over the same period of 2013 primarily relating to personnel costs and professional and consulting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for the second quarters of 2014 and 2013 was 39% and 37%, respectively.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Our Chemical Business sales for the second quarter of 2014 were $135.8 million, a net increase of $14.4 million compared to the same period of 2013, which includes a $14.6 million increase in agricultural products sales, a $1.8 million increase in mining products sales, partially offset by a $3.4 million decrease in industrial acids and other products sales.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percentage change in sales (volume and dollars) for the second quarter of 2014 compared to the second quarter of 2013 is as follows (excluding natural gas):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80" w:type="dxa"/>
            <w:vAlign w:val="bottom"/>
            <w:gridSpan w:val="4"/>
          </w:tcPr>
          <w:p>
            <w:pPr>
              <w:jc w:val="right"/>
              <w:ind w:right="540"/>
              <w:spacing w:after="0"/>
              <w:rPr>
                <w:sz w:val="20"/>
                <w:szCs w:val="20"/>
                <w:color w:val="auto"/>
              </w:rPr>
            </w:pPr>
            <w:r>
              <w:rPr>
                <w:rFonts w:ascii="Arial" w:cs="Arial" w:eastAsia="Arial" w:hAnsi="Arial"/>
                <w:sz w:val="14"/>
                <w:szCs w:val="14"/>
                <w:color w:val="auto"/>
              </w:rPr>
              <w:t>Percentage Change of</w:t>
            </w:r>
          </w:p>
        </w:tc>
      </w:tr>
      <w:tr>
        <w:trPr>
          <w:trHeight w:val="159"/>
        </w:trPr>
        <w:tc>
          <w:tcPr>
            <w:tcW w:w="6700" w:type="dxa"/>
            <w:vAlign w:val="bottom"/>
          </w:tcPr>
          <w:p>
            <w:pPr>
              <w:spacing w:after="0"/>
              <w:rPr>
                <w:sz w:val="13"/>
                <w:szCs w:val="13"/>
                <w:color w:val="auto"/>
              </w:rPr>
            </w:pPr>
          </w:p>
        </w:tc>
        <w:tc>
          <w:tcPr>
            <w:tcW w:w="1200" w:type="dxa"/>
            <w:vAlign w:val="bottom"/>
            <w:gridSpan w:val="2"/>
          </w:tcPr>
          <w:p>
            <w:pPr>
              <w:jc w:val="right"/>
              <w:ind w:right="940"/>
              <w:spacing w:after="0" w:line="159" w:lineRule="exact"/>
              <w:rPr>
                <w:sz w:val="20"/>
                <w:szCs w:val="20"/>
                <w:color w:val="auto"/>
              </w:rPr>
            </w:pPr>
            <w:r>
              <w:rPr>
                <w:rFonts w:ascii="Arial" w:cs="Arial" w:eastAsia="Arial" w:hAnsi="Arial"/>
                <w:sz w:val="14"/>
                <w:szCs w:val="14"/>
                <w:color w:val="auto"/>
                <w:w w:val="76"/>
              </w:rPr>
              <w:t>Tons</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43%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Mining</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agricultural sales was primarily due to higher volumes as the result of improved production at our Pryor and Cherokee Facilities during the second quarter of 2014 (these facilities were out of production during a portion of the second quarter of 2013) and improved market conditions for agricultural grade AN produced at our El Dorado Facility, partially offset by lower sales prices.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decrease in industrial acids and other sales was primarily due to lower production volumes at our Baytown Facility due to a planned major maintenance activity (“Turnaround”) performed in the second quarter of 2014.</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increase in mining sales was primarily due to improved production at our Cherokee Facility, as discussed above. Although customer demand remains low as the result of the current low cost of natural gas as an alternative fuel for utility companies compared to coal, sales volumes from our El Dorado Facility increased slightly.</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In addition, our Chemical Business owns working interests in certain natural gas properties. Management considers these working interests as a partial economic hedge against a potential rise in natural gas prices in the future. During the second quarter of 2014, the average published market prices for natural gas and ammonia compared to the same period in 2013 were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83"/>
              </w:rPr>
              <w:t>2014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4.58</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$ 557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Chemical Business operating income for the second quarter of 2014 was $23.6 million compared to $6.4 million for the same period of 2013. The increase in operating income was primarily due to improved production at our Pryor and Cherokee Facilities, partially offset by increased natural gas costs per MMBtu and decreased selling prices for nitrogen fertilizers as compared to the second quarter of 2013. As a result of these market price relationships, our profit margins per ton sold were lower in the second quarter of 2014 compared to the same period of 2013. Natural gas prices increased because of the severe weather conditions during the 2013-2014 winter, but prices have recently declined. Nitrogen fertilizer prices were negatively affected by a late start to the fertilizer application season. Concerns by dealers related to their ability to liquidate inventory levels also held prices down as the spring season progressed.</w:t>
      </w:r>
    </w:p>
    <w:p>
      <w:pPr>
        <w:spacing w:after="0" w:line="12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As previously reported, the Pryor Facility experienced frequent operational issues that required extensive equipment repairs and maintenance and related costs. The Pryor Facility’s ammonia plant returned to production during the last several days of February at a reduced rate of production and was gradually brought up to our current targeted production rates of 650 tons per day by the end of March. With the availability of carbon dioxide generated from ammonia production as a feedstock to produce urea and UAN, the Pryor Facility was able resume production of urea and UAN.</w:t>
      </w:r>
    </w:p>
    <w:p>
      <w:pPr>
        <w:spacing w:after="0" w:line="11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As previously reported, pursuant to a long-term cost-plus supply agreement, EDC supplies Orica International Pte Ltd (“Orica”) with an annual minimum of 240,000 tons of industrial grade AN produced at our El Dorado Facility. The agreement includes a provision for Orica to pay for that portion of the annual minimum of the product not taken. The agreement also includes an exclusivity arrangement that provides that EDC will not sell industrial grade AN to the commercial explosives market during the term of the agreement and that Orica will market EDC’s industrial grade AN to the commercial explosives market during the term of the agreement. The agreement provides that it may be terminated by one of the parties giving the other a one-year written notice that the agreement will not be renewed. On March 31, 2014, EDC sent to Orica the required one-year notice that EDC will not renew the agreement on or after April 9, 2015. EDC’s intention is to commence sales of industrial grade AN to the commercial explosives market immediately with deliveries beginning after April 9,</w:t>
      </w:r>
    </w:p>
    <w:p>
      <w:pPr>
        <w:ind w:right="20"/>
        <w:spacing w:after="0" w:line="255" w:lineRule="auto"/>
        <w:rPr>
          <w:sz w:val="20"/>
          <w:szCs w:val="20"/>
          <w:color w:val="auto"/>
        </w:rPr>
      </w:pPr>
      <w:r>
        <w:rPr>
          <w:rFonts w:ascii="Arial" w:cs="Arial" w:eastAsia="Arial" w:hAnsi="Arial"/>
          <w:sz w:val="18"/>
          <w:szCs w:val="18"/>
          <w:color w:val="auto"/>
        </w:rPr>
        <w:t>2015. During the first half of 2014 and for the year 2013, net sales to Orica represented approximately 5% and 6% of LSB’s consolidated net sales, respectively, which sales included approximately $7 million and $13 million, respectively, for fixed overhead costs and gross profit for tons not taken by Orica, pursuant to the terms of the agreement.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Climate Control sales for the second quarter of 2014 were $62.8 million, or $14.6 million lower than the same period in 2013. The decrease was driven by a $5.9 million decrease in hydronic fan coil sales due primarily to lower than expected product orders in first quarter of 2014 and delays in customer scheduled delivery dates, a $5.3 million decrease in water source and geothermal heat pump sales due primarily to lower level of product order levels in first quarter 2014 yielding a lower beginning backlog, and a $3.4 million decrease in other HVAC products, primarily relating to custom air handlers sales (primarily as the result of customer scheduled delivery dates) and modular geothermal and other chillers sales (primarily as the result of lower product order levels in first quarter of 2014 and delays in customer delivery dates). From a market sector perspective, the sales decrease included a $12.7 million decline in commercial/institutional product sales and a $1.9 million decline in residential product sales. Generally, average pricing of hydronic fan coils and water source and geothermal heat pumps increased due to product, features and customer mix.</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continue to follow economic indicators and monitor their potential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second quarter of 2014, approximately 85% of our Climate Control Business’ sales were to the commercial/institutional and multi-family construction markets, and the remaining 15% were sales of geothermal heat pumps (“GHPs”) to the single-family residential market.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ind w:right="62"/>
              <w:spacing w:after="0" w:line="142" w:lineRule="exact"/>
              <w:rPr>
                <w:sz w:val="20"/>
                <w:szCs w:val="20"/>
                <w:color w:val="auto"/>
              </w:rPr>
            </w:pPr>
            <w:r>
              <w:rPr>
                <w:rFonts w:ascii="Arial" w:cs="Arial" w:eastAsia="Arial" w:hAnsi="Arial"/>
                <w:sz w:val="14"/>
                <w:szCs w:val="14"/>
                <w:color w:val="auto"/>
                <w:w w:val="89"/>
              </w:rPr>
              <w:t>2014</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9"/>
              </w:rPr>
              <w:t>2013</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84"/>
              <w:spacing w:after="0" w:line="142" w:lineRule="exact"/>
              <w:rPr>
                <w:sz w:val="20"/>
                <w:szCs w:val="20"/>
                <w:color w:val="auto"/>
              </w:rPr>
            </w:pPr>
            <w:r>
              <w:rPr>
                <w:rFonts w:ascii="Arial" w:cs="Arial" w:eastAsia="Arial" w:hAnsi="Arial"/>
                <w:sz w:val="14"/>
                <w:szCs w:val="14"/>
                <w:color w:val="auto"/>
                <w:w w:val="89"/>
              </w:rPr>
              <w:t>2014</w:t>
            </w:r>
          </w:p>
        </w:tc>
        <w:tc>
          <w:tcPr>
            <w:tcW w:w="540" w:type="dxa"/>
            <w:vAlign w:val="bottom"/>
            <w:tcBorders>
              <w:top w:val="single" w:sz="8" w:color="auto"/>
              <w:bottom w:val="single" w:sz="8" w:color="auto"/>
            </w:tcBorders>
          </w:tcPr>
          <w:p>
            <w:pPr>
              <w:jc w:val="center"/>
              <w:ind w:left="56"/>
              <w:spacing w:after="0" w:line="142" w:lineRule="exact"/>
              <w:rPr>
                <w:sz w:val="20"/>
                <w:szCs w:val="20"/>
                <w:color w:val="auto"/>
              </w:rPr>
            </w:pPr>
            <w:r>
              <w:rPr>
                <w:rFonts w:ascii="Arial" w:cs="Arial" w:eastAsia="Arial" w:hAnsi="Arial"/>
                <w:sz w:val="14"/>
                <w:szCs w:val="14"/>
                <w:color w:val="auto"/>
                <w:w w:val="89"/>
              </w:rPr>
              <w:t>2013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color w:val="auto"/>
                <w:w w:val="89"/>
              </w:rPr>
              <w:t>2014</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center"/>
              <w:ind w:right="62"/>
              <w:spacing w:after="0"/>
              <w:rPr>
                <w:sz w:val="20"/>
                <w:szCs w:val="20"/>
                <w:color w:val="auto"/>
              </w:rPr>
            </w:pPr>
            <w:r>
              <w:rPr>
                <w:rFonts w:ascii="Arial" w:cs="Arial" w:eastAsia="Arial" w:hAnsi="Arial"/>
                <w:sz w:val="18"/>
                <w:szCs w:val="18"/>
                <w:color w:val="auto"/>
                <w:w w:val="88"/>
              </w:rPr>
              <w:t>$63.2</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$67.5</w:t>
            </w:r>
          </w:p>
        </w:tc>
        <w:tc>
          <w:tcPr>
            <w:tcW w:w="560" w:type="dxa"/>
            <w:vAlign w:val="bottom"/>
            <w:shd w:val="clear" w:color="auto" w:fill="CCEEFF"/>
          </w:tcPr>
          <w:p>
            <w:pPr>
              <w:jc w:val="center"/>
              <w:ind w:right="84"/>
              <w:spacing w:after="0"/>
              <w:rPr>
                <w:sz w:val="20"/>
                <w:szCs w:val="20"/>
                <w:color w:val="auto"/>
              </w:rPr>
            </w:pPr>
            <w:r>
              <w:rPr>
                <w:rFonts w:ascii="Arial" w:cs="Arial" w:eastAsia="Arial" w:hAnsi="Arial"/>
                <w:sz w:val="18"/>
                <w:szCs w:val="18"/>
                <w:color w:val="auto"/>
                <w:w w:val="88"/>
              </w:rPr>
              <w:t>$60.3</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$70.3</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$ 44.7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center"/>
              <w:ind w:right="62"/>
              <w:spacing w:after="0"/>
              <w:rPr>
                <w:sz w:val="20"/>
                <w:szCs w:val="20"/>
                <w:color w:val="auto"/>
              </w:rPr>
            </w:pPr>
            <w:r>
              <w:rPr>
                <w:rFonts w:ascii="Arial" w:cs="Arial" w:eastAsia="Arial" w:hAnsi="Arial"/>
                <w:sz w:val="18"/>
                <w:szCs w:val="18"/>
                <w:color w:val="auto"/>
                <w:w w:val="88"/>
              </w:rPr>
              <w:t>$83.1</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$65.4</w:t>
            </w:r>
          </w:p>
        </w:tc>
        <w:tc>
          <w:tcPr>
            <w:tcW w:w="560" w:type="dxa"/>
            <w:vAlign w:val="bottom"/>
          </w:tcPr>
          <w:p>
            <w:pPr>
              <w:jc w:val="center"/>
              <w:ind w:right="84"/>
              <w:spacing w:after="0"/>
              <w:rPr>
                <w:sz w:val="20"/>
                <w:szCs w:val="20"/>
                <w:color w:val="auto"/>
              </w:rPr>
            </w:pPr>
            <w:r>
              <w:rPr>
                <w:rFonts w:ascii="Arial" w:cs="Arial" w:eastAsia="Arial" w:hAnsi="Arial"/>
                <w:sz w:val="18"/>
                <w:szCs w:val="18"/>
                <w:color w:val="auto"/>
                <w:w w:val="88"/>
              </w:rPr>
              <w:t>$62.8</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$77.3</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$ 68.1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$64.6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$58.8</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$67.5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20" w:hanging="452"/>
        <w:spacing w:after="0" w:line="289"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However, the June 30, 2014 backlog includes two orders totaling approximately $8 million that are expected to ship from twelve to twenty-four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July 2014, our new orders received were approximately $28 million and our backlog was approximately $75 million at July 31, 2014.</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GHPs use a form of renewable energy that we believe, can reduce energy usage, under certain conditions, up to 80% compared to some conventional HVAC systems. Tax legislation (effective through December 31, 2016) continues to provide incentives for customers purchasing products using forms of renewable energy.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aggregate, we expect the Climate Control Business sales to increase in the second half of 2014 compared to the same period in 2013, despite the loss of the Carrier heat pump contracts with our Climate Master, Inc. (“CM”) subsidiary discussed below due to higher sales of our LSB branded climate control product. In addition,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focus our sales and marketing efforts to increase our share of the existing market for our products as well as expand the market for and application of our products, including GHPs.</w:t>
      </w:r>
    </w:p>
    <w:p>
      <w:pPr>
        <w:spacing w:after="0" w:line="14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previously reported, in November 2013, Carrier Corporation (“Carrier”) advised one of our subsidiaries, CM, that the heat pump contracts would not be renewed between CM, as the manufacturer, and Carrier, as the purchaser. These contracts expired on May 11, 2014. During the first half of 2014 and for the year 2013, net sales pursuant to these heat pump contracts represented less than 5% of LSB’s consolidated net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is our cash and cash equivalents, short-term investments, noncurrent restricted cash and cash equivalents and investments, long-term debt and stockholders’ equity:</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5"/>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5760" w:type="dxa"/>
            <w:vAlign w:val="bottom"/>
          </w:tcPr>
          <w:p>
            <w:pPr>
              <w:spacing w:after="0"/>
              <w:rPr>
                <w:sz w:val="13"/>
                <w:szCs w:val="13"/>
                <w:color w:val="auto"/>
              </w:rPr>
            </w:pPr>
          </w:p>
        </w:tc>
        <w:tc>
          <w:tcPr>
            <w:tcW w:w="1480" w:type="dxa"/>
            <w:vAlign w:val="bottom"/>
            <w:gridSpan w:val="2"/>
          </w:tcPr>
          <w:p>
            <w:pPr>
              <w:jc w:val="right"/>
              <w:ind w:right="39"/>
              <w:spacing w:after="0" w:line="159" w:lineRule="exact"/>
              <w:rPr>
                <w:sz w:val="20"/>
                <w:szCs w:val="20"/>
                <w:color w:val="auto"/>
              </w:rPr>
            </w:pPr>
            <w:r>
              <w:rPr>
                <w:rFonts w:ascii="Arial" w:cs="Arial" w:eastAsia="Arial" w:hAnsi="Arial"/>
                <w:sz w:val="14"/>
                <w:szCs w:val="14"/>
                <w:color w:val="auto"/>
              </w:rPr>
              <w:t>2014</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74"/>
              <w:spacing w:after="0" w:line="159"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7"/>
              </w:rPr>
              <w:t>(In Millions)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short-term investments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Noncurrent restricted cash and cash equivalents and investments (1)</w:t>
            </w:r>
          </w:p>
        </w:tc>
        <w:tc>
          <w:tcPr>
            <w:tcW w:w="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389.1</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Secured Notes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Secured Promissory Note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460.3</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435.6</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June 30, 2014, this balance consisted of cash and cash equivalents and investments that are designated by us for specific purposes relating to capital projects. All of this balance was held by financial institutions within the U.S.</w:t>
      </w:r>
    </w:p>
    <w:p>
      <w:pPr>
        <w:spacing w:after="0" w:line="13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As of June 30, 2014, our cash, cash equivalents, short-term investments, and noncurrent restricted cash and cash equivalents and investments totaled $389.1 million. In addition, our $100 million revolving credit facility was undrawn and available to fund operations, if needed, subject to the amount of our eligible collateral and outstanding letters of credit.</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For the remainder of 2014 and 2015, we have extensive planned capital expenditures. Our primary cash needs for this period of time will be to fund these capital expenditures, as well as, our operations, our general obligations, and our interest payment requirements. We expect to fund these cash needs from the noncurrent restricted cash and investments (provided from the proceeds from the Senior Secured Notes), working capital, internally generated cash flows, and third-party financing. See additional discussions below under “Capital Expenditures”. Our internally generated cash flows and liquidity have been, and could be, affected by possible declines in sales volumes resulting from the uncertainty regarding current economic conditions and production inefficiency of our facilities.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are party to an indenture (the “Indenture”) governing the Senior Secured Notes. The Indenture contains covenants that, among other things, limit LSB’s ability, with certain exceptions and as defined in the Indenture, to certain transactions.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we and certain of our subsidiaries (the “Borrowers”) are party to an amended and restated revolving credit facility (the “Amended Working Capital Revolver Loan”). Pursuant to the terms of the Amended Working Capital Revolver Loan, the principal amount the Borrowers may borrow is up to $100.0 million, based on specific percentages of eligible accounts receivable and inventories. At June 30, 2014, there were no outstanding borrowings under the Amended Working Capital Revolver Loan and the net credit available for borrowings was approximately $69.4 million, based on our eligible collateral, less outstanding letters of credit as of that date.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Due to the overall increase in our outstanding long-term debt, our interest payment obligations have increased and will continue during future periods. A portion of our interest has been, and will be capitalized relating to major capital projects.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recognize and pay federal income taxes at regular corporate tax rates. With few exceptions, the 2010-2012 years remain open for all purposes of examination by the U.S. Internal Revenue Service (“IRS”) and other major tax jurisdictions. During June 2014, we settled the examination with the IRS for the tax years 2008-2010 with no material changes to our financial position, results of operations and cash flow. We had approximately $1.3 million accrued for various uncertain tax liabilities at June 30, 2014.</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Half of 2014</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Capital expenditures during the first half of 2014 were $107.1 million, including $102.1 million for the benefit of our Chemical Business. The Chemical Business capital expenditures included $71.1 million for expansion projects at our El Dorado Facility, approximately $10.0 million associated with maintaining compliance with environmental laws, regulations and guidelines, approximately $8.6 million for various major renewal and improvement projects, and $4.7 million for the development of natural gas leaseholds. The capital expenditures were funded primarily from noncurrent restricted investments. Due to the increase in the amount of capital expenditures incurred and planned, our depreciation, depletion and amortization expenses have increased and are expected to continue to increase during the remainder of 2014 and future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Capital Expenditures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vMerge w:val="restart"/>
          </w:tcPr>
          <w:p>
            <w:pPr>
              <w:jc w:val="center"/>
              <w:ind w:left="12"/>
              <w:spacing w:after="0"/>
              <w:rPr>
                <w:sz w:val="20"/>
                <w:szCs w:val="20"/>
                <w:color w:val="auto"/>
              </w:rPr>
            </w:pPr>
            <w:r>
              <w:rPr>
                <w:rFonts w:ascii="Arial" w:cs="Arial" w:eastAsia="Arial" w:hAnsi="Arial"/>
                <w:sz w:val="14"/>
                <w:szCs w:val="14"/>
                <w:color w:val="auto"/>
                <w:w w:val="87"/>
              </w:rPr>
              <w:t>Remainder</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color w:val="auto"/>
                <w:w w:val="86"/>
              </w:rPr>
              <w:t>Planned Capital Expenditures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12"/>
              <w:spacing w:after="0" w:line="159" w:lineRule="exact"/>
              <w:rPr>
                <w:sz w:val="20"/>
                <w:szCs w:val="20"/>
                <w:color w:val="auto"/>
              </w:rPr>
            </w:pPr>
            <w:r>
              <w:rPr>
                <w:rFonts w:ascii="Arial" w:cs="Arial" w:eastAsia="Arial" w:hAnsi="Arial"/>
                <w:sz w:val="14"/>
                <w:szCs w:val="14"/>
                <w:color w:val="auto"/>
                <w:w w:val="85"/>
              </w:rPr>
              <w:t>of 2014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left="192"/>
              <w:spacing w:after="0" w:line="159" w:lineRule="exact"/>
              <w:rPr>
                <w:sz w:val="20"/>
                <w:szCs w:val="20"/>
                <w:color w:val="auto"/>
              </w:rPr>
            </w:pPr>
            <w:r>
              <w:rPr>
                <w:rFonts w:ascii="Arial" w:cs="Arial" w:eastAsia="Arial" w:hAnsi="Arial"/>
                <w:sz w:val="14"/>
                <w:szCs w:val="14"/>
                <w:color w:val="auto"/>
                <w:w w:val="89"/>
              </w:rPr>
              <w:t>2015</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Total</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7"/>
              </w:rPr>
              <w:t>(In Millions)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El Dorado Facility Expansion Projects</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$135</w:t>
            </w:r>
          </w:p>
        </w:tc>
        <w:tc>
          <w:tcPr>
            <w:tcW w:w="28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$174</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$274</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Development of Natural Gas Leaseholds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Environmental Projects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Major Renewal and Improvement Projects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Other (1)</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Climate Control</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185</w:t>
            </w:r>
          </w:p>
        </w:tc>
        <w:tc>
          <w:tcPr>
            <w:tcW w:w="2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269</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392</w:t>
            </w:r>
          </w:p>
        </w:tc>
        <w:tc>
          <w:tcPr>
            <w:tcW w:w="3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3860" w:hanging="5612"/>
        <w:spacing w:after="0" w:line="440" w:lineRule="auto"/>
        <w:tabs>
          <w:tab w:leader="none" w:pos="4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cost associated with savings initiatives, new market development, and other capital projects. 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 June 30, 2014, we had planned capital expenditures as indicated in the table above for the remainder of 2014 and for 2015. Included in planned capital expenditures is capitalized interest of approximately $8.8 million for the remainder of 2014 and $19.8 million for 2015. Planned capital expenditures are presented as a range to provide for engineering estimates, the status of bidding, variable material costs, unplanned delays in construction, and other contingencies. The planned capital expenditures include investments that management anticipates making for expansion and development projects, environmental requirements, and major renewal and improvement projects. These capital expenditures are subject to economic conditions, which are continually reviewed by management, and may increase or decrease as new information is obtained or circumstances change. We plan to fund the planned capital expenditures from working capital, noncurrent restricted cash and cash equivalents, internally generated cash flows, third-party financing, and if necessary, availability under the Amended Working Capital Revolver Loan.</w:t>
      </w:r>
    </w:p>
    <w:p>
      <w:pPr>
        <w:spacing w:after="0" w:line="118"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auto"/>
        </w:rPr>
        <w:t>The planned capital expenditures for Corporate and Other are primarily for the replacement of our enterprise resource planning, financial and operations management software. This project began in 2013 and is expected to be fully implemented in 2016 at a total cost of $20.0 million to $25.0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Dorado Facility Expansion Projects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El Dorado Facility has certain expansion projects underway, which include an ammonia production plant; a new 65% strength nitric acid plant and concentrator; and other support infrastructure, all of which were analyzed and evaluated based on their forecasted return on investment. The expected costs of these projects are outlined below, which planned amounts are included in the table above.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color w:val="auto"/>
                <w:w w:val="86"/>
              </w:rPr>
              <w:t>Capitalized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color w:val="auto"/>
                <w:w w:val="87"/>
              </w:rPr>
              <w:t>Remainder</w:t>
            </w:r>
          </w:p>
        </w:tc>
        <w:tc>
          <w:tcPr>
            <w:tcW w:w="80" w:type="dxa"/>
            <w:vAlign w:val="bottom"/>
          </w:tcPr>
          <w:p>
            <w:pPr>
              <w:spacing w:after="0"/>
              <w:rPr>
                <w:sz w:val="14"/>
                <w:szCs w:val="14"/>
                <w:color w:val="auto"/>
              </w:rPr>
            </w:pPr>
          </w:p>
        </w:tc>
        <w:tc>
          <w:tcPr>
            <w:tcW w:w="1740" w:type="dxa"/>
            <w:vAlign w:val="bottom"/>
            <w:gridSpan w:val="7"/>
          </w:tcPr>
          <w:p>
            <w:pPr>
              <w:ind w:left="100"/>
              <w:spacing w:after="0"/>
              <w:rPr>
                <w:sz w:val="20"/>
                <w:szCs w:val="20"/>
                <w:color w:val="auto"/>
              </w:rPr>
            </w:pPr>
            <w:r>
              <w:rPr>
                <w:rFonts w:ascii="Arial" w:cs="Arial" w:eastAsia="Arial" w:hAnsi="Arial"/>
                <w:sz w:val="14"/>
                <w:szCs w:val="14"/>
                <w:color w:val="auto"/>
                <w:w w:val="87"/>
              </w:rPr>
              <w:t>Planned Capital Expenditures</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84"/>
              </w:rPr>
              <w:t>To Date</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5"/>
              </w:rPr>
              <w:t>of 2014</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2015</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Total</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ind w:left="240"/>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Ammonia Plant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Support Infrastructure</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135</w:t>
            </w:r>
          </w:p>
        </w:tc>
        <w:tc>
          <w:tcPr>
            <w:tcW w:w="280" w:type="dxa"/>
            <w:vAlign w:val="bottom"/>
          </w:tcPr>
          <w:p>
            <w:pPr>
              <w:spacing w:after="0"/>
              <w:rPr>
                <w:sz w:val="19"/>
                <w:szCs w:val="19"/>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170</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w:t>
            </w:r>
          </w:p>
        </w:tc>
        <w:tc>
          <w:tcPr>
            <w:tcW w:w="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174</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El Dorado Facility produces nitric acid and agricultural and industrial grade AN from purchased ammonia, which is currently at a cost disadvantage compared to products produced from natural gas. The El Dorado Facility historically purchased 600-700 tons of ammonia per day when operating at full capacity. We are constructing a 1,150 ton per day anhydrous ammonia production plant at the El Dorado Facility, which we believe should eliminate this cost disadvantage, increase capacity, and improve efficiency of the El Dorado Facility. The construction of this project is expected to be complete by late 2015.</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we are constructing a new 1,100 ton per day 65% strength nitric acid plant and concentrator, which are scheduled to begin production in early to mid-2015 and are designed to be more efficient and provide increased nitric acid production capacity.</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a result of the increased production capacity at the El Dorado Facility, it is necessary to expand and improve certain support infrastructure, including utility capacity, control room facilities, natural gas pipeline, raw material storage and handling, and ammonia distribution. Also, other cost reduction and cost recovery equipment, including a cogeneration plant, are being added to improve efficiency and lower the cost of production.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previously reported, in connection with a national enforcement initiative, the EPA had sent information requests to most, if not all, of the operators of nitric acid plants in the United States, including our El Dorado and Cherokee Facilities and the Baytown Facility operated by EDN, under Section 114 of the Clean Air Act as to construction and modification activities at each of these facilities over a period of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we negotiated a global agreement in principle with the EPA/DOJ as to the Clean Air Act issue discussed above. During the first six months of 2014, all parties executed the Consent Decree to settle this matter, which executed Consent Decree received court approval. The Consent Decree provides, among other things, the following:</w:t>
      </w:r>
    </w:p>
    <w:p>
      <w:pPr>
        <w:spacing w:after="0" w:line="59" w:lineRule="exact"/>
        <w:rPr>
          <w:sz w:val="20"/>
          <w:szCs w:val="20"/>
          <w:color w:val="auto"/>
        </w:rPr>
      </w:pPr>
    </w:p>
    <w:p>
      <w:pPr>
        <w:ind w:left="900" w:right="40" w:hanging="325"/>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our Chemical Business’ owned and operated nitric acid plants are to achieve certain emission rates within a certain time period for each plant. Of the nine nitric acid production facilities currently owned or operated by our Chemical Business, all but EDN required additional pollution control technology to achieve these emission rates. The pollution control technology has already been installed at three of our nitric acid plants and five of our nitric acid plants still require additional pollution control technology equipment to be installed. The cost of the necessary pollution control equipment and the installment of such equipment is estimated to range from $2.0 million to $3.0 million for each of the remaining five nitric acid plants, the cost of which will be capitalized when incurred;</w:t>
      </w:r>
    </w:p>
    <w:p>
      <w:pPr>
        <w:spacing w:after="0" w:line="39"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for which we have accrued $150,000;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civil penalty in the amount of $725,000 (which includes the $100,000 civil penalty to the ODEQ), which amount has been paid by our Chemical Business.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Remainder of 2014</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Chemical Business recognizes as cost of sales the costs for Turnarounds as they are incurred. Based on our current plan for Turnarounds for the remainder of 2014, we estimate that we will incur approximately $4.5 million to $5.0 million of these Turnaround costs, most of which relates to our Cherokee Facility. Beginning in the third week of July, we began a 30-35 day Turnaround at the Cherokee Facility. The duration of this Turnaround is longer than normal due to the plan to replace certain long-lived components that are reaching the end of their normal useful life. However, it is possible that the actual costs could be significantly different from our estimates. These costs do not include the costs relating to lost absorption or reduced margins due to the associated plants being shut down. We plan to fund these expenditures from our available working capital.</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Chemical Business is subject to specific federal and state environmental compliance laws, regulations and guidelines. As a result, our Chemical Business incurred expenses of $2.5 million in the first half of 2014 in connection with environmental projects. For the remainder of 2014, we expect to incur expenses ranging from $2.3 million to $2.8 million in connection with additional environmental projects. However, it is possible that the actual costs could be significantly different than our estimates. We plan to fund these expenditures from our available working capital.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Amended Working Capital Loan Agreement and the Senior Secured Notes.</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2014.</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first quarter of 2014, dividends totaling $300,000 were declared and paid on our outstanding preferred stock using funds from our working capital as follows:</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$0.06 per share on our outstanding non-redeemable, cumulative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$12.00 per share on our outstanding non-redeemable, cumulative Series B Preferred for an aggregate dividend of $240,000.</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share of preferred stock is entitled to receive an annual dividend, but a dividend payment is made only after the dividend is declared by our Board of Directors. All shares of the Series D Preferred and Series B Preferred are owned by the Golsen Group. There are no optional or mandatory redemption rights with respect to the Series B Preferred or Series D Preferred.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Long—Term Debt Covenants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Amended Working Capital Revolver Loan requires, among other things, that we meet certain financial covenants, including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twelve-month basis and as defined in the agreement. As of June 30, 2014, as defined in the agreement, the fixed charge coverage ratio was 5.7 to 1. Currently, our forecast is that we will be able to meet all financial covenant requirements for the next twelve months.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Six months ended June 30, 2014 compared to six months ended June 30,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six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4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w w:val="97"/>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88"/>
              </w:rPr>
              <w:t>(Dollars 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134,913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93,272</w:t>
            </w:r>
          </w:p>
        </w:tc>
        <w:tc>
          <w:tcPr>
            <w:tcW w:w="4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$41,641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70,335</w:t>
            </w: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5,175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33,133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31,471</w:t>
            </w:r>
          </w:p>
        </w:tc>
        <w:tc>
          <w:tcPr>
            <w:tcW w:w="4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1,662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3,681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880"/>
              <w:spacing w:after="0"/>
              <w:rPr>
                <w:sz w:val="20"/>
                <w:szCs w:val="20"/>
                <w:color w:val="auto"/>
              </w:rPr>
            </w:pPr>
            <w:r>
              <w:rPr>
                <w:rFonts w:ascii="Arial" w:cs="Arial" w:eastAsia="Arial" w:hAnsi="Arial"/>
                <w:sz w:val="18"/>
                <w:szCs w:val="18"/>
                <w:color w:val="auto"/>
              </w:rPr>
              <w:t>Total Chemical</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250,977</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198,818</w:t>
            </w:r>
          </w:p>
        </w:tc>
        <w:tc>
          <w:tcPr>
            <w:tcW w:w="400" w:type="dxa"/>
            <w:vAlign w:val="bottom"/>
          </w:tcPr>
          <w:p>
            <w:pPr>
              <w:spacing w:after="0"/>
              <w:rPr>
                <w:sz w:val="19"/>
                <w:szCs w:val="19"/>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52,159</w:t>
            </w: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income—Chemical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sales increase for the first half of 2014 as a result of the following:</w:t>
      </w:r>
    </w:p>
    <w:p>
      <w:pPr>
        <w:spacing w:after="0" w:line="90" w:lineRule="exact"/>
        <w:rPr>
          <w:sz w:val="20"/>
          <w:szCs w:val="20"/>
          <w:color w:val="auto"/>
        </w:rPr>
      </w:pPr>
    </w:p>
    <w:p>
      <w:pPr>
        <w:ind w:left="900" w:right="8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Agricultural products sales increased mainly due to higher volumes as a result of improved production at our Cherokee Facility during the first half of 2014, improved ammonia production at our Pryor Facility beginning in March 2014 (these facilities experienced significant downtime during the first half of 2013 and the Pryor Facility had minimal production during the first two months of 2014), and improved market conditions for agricultural grade AN produced at our El Dorado Facility, partially offset by lower sales prices.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Industrial acids and other chemical products sales increased primarily as a result of improved production at our Cherokee Facility as discussed above, partially offset by the reduction in the average Tampa ammonia price by approximately $109 per metric ton in the first half of 2014 compared to the same period in 2013, which decline impacted our contractual sales prices to certain of our industrial acids customers.</w:t>
      </w:r>
    </w:p>
    <w:p>
      <w:pPr>
        <w:spacing w:after="0" w:line="25" w:lineRule="exact"/>
        <w:rPr>
          <w:rFonts w:ascii="Arial" w:cs="Arial" w:eastAsia="Arial" w:hAnsi="Arial"/>
          <w:sz w:val="16"/>
          <w:szCs w:val="16"/>
          <w:color w:val="auto"/>
        </w:rPr>
      </w:pPr>
    </w:p>
    <w:p>
      <w:pPr>
        <w:ind w:left="900" w:right="4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Mining products sales increased primarily due to improved production at the Cherokee Facility as discussed above, offset by lower customer demand as a result of the current low cost of natural gas as an alternative fuel for utility companies and lower sales prices (due to the decrease in the Tampa ammonia price discussed above), which impacted our contractual sales prices to certain of our mining customers.</w:t>
      </w:r>
    </w:p>
    <w:p>
      <w:pPr>
        <w:spacing w:after="0" w:line="25" w:lineRule="exact"/>
        <w:rPr>
          <w:rFonts w:ascii="Arial" w:cs="Arial" w:eastAsia="Arial" w:hAnsi="Arial"/>
          <w:sz w:val="16"/>
          <w:szCs w:val="16"/>
          <w:color w:val="auto"/>
        </w:rPr>
      </w:pPr>
    </w:p>
    <w:p>
      <w:pPr>
        <w:ind w:left="900" w:right="100" w:hanging="325"/>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gas sales relate to working interests in certain natural gas properties acquired in 2012 and August 2013 by a subsidiary within our Chemical Business. The increase in natural gas sales is primarily due to higher production volume as these properties are developed. Management considers these working interests as an economic hedge against a portion of a potential rise in natural gas prices in the future for a portion of our future natural gas production requirements.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Chemical Business’ gross profit was $57.7 million, including a $22.9 million business interruption insurance recovery recognized during the first half of 2014. For the first half of 2013, our Chemical Business’ gross profit included $14.2 million business interruption insurance recovery. Excluding the insurance recoveries, the increase in gross profit of $34.5 million was primarily attributable to the improved production at the Cherokee and Pryor Facilities (these facilities experienced a significant amount of downtime in the first half of 2013). In addition, the completion of certain reliability projects at the Pryor Facility in the second quarter of 2014 resulted in increased daily production and higher on-stream rates. However, the gross profit improvement was not proportionate to the increased production at the Cherokee and Pryor Facilities due to the significant decline in the margin per ton of nitrogen fertilizers due to lower selling prices and higher feedstock costs. Natural gas feedstock cost increased approximately 11%, while selling prices decreased 14-24%, negatively affecting gross profit margins on our nitrogen fertilizer sales. Also in the first half of 2014, gross profit was lower by $1.1 million on purchased UAN that was sold at a loss to honor forward sales commitments in excess of available production. This purchase was necessitated by lower than projected urea production at the Cherokee Facility during the first quarter of 2014.</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Income—Chemical</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Chemical Business’ operating income was $52.4 million, including a $5.1 million property insurance recovery recognized (classified as property insurance recoveries in excess of losses incurred) during the first half of 2014, in addition to the increase in gross profit as discussed above. Also dismantle and demolition expenses incurred at the El Dorado Facility decreased $1.5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six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1"/>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80,380</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91,385</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(11,005)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23,580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(8,560)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123,100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147,627</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(24,527)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37,766</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47,385</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(9,619)</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8,944</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15,840</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(6,896)</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Sales—Climate Control</w:t>
      </w:r>
    </w:p>
    <w:p>
      <w:pPr>
        <w:spacing w:after="0" w:line="96" w:lineRule="exact"/>
        <w:rPr>
          <w:rFonts w:ascii="Arial" w:cs="Arial" w:eastAsia="Arial" w:hAnsi="Arial"/>
          <w:sz w:val="18"/>
          <w:szCs w:val="18"/>
          <w:color w:val="auto"/>
        </w:rPr>
      </w:pPr>
    </w:p>
    <w:p>
      <w:pPr>
        <w:ind w:left="900" w:right="20" w:hanging="325"/>
        <w:spacing w:after="0" w:line="294"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Net sales of our water source and geothermal heat pump products decreased in the first half of 2014 as a result of an 11% decline in sales of our commercial/institutional products primarily due to lower product order levels in the fourth quarter of 2013 yielding a lower beginning backlog in 2014 (including a 10% decline in sales to Carrier). Residential product sales also declined 16% as a result of a lower level of backlog and lower incoming orders (with approximately half of the decline in orders related to Carrier). During the first half of 2014, we continued to maintain a market share leadership position based on market data supplied by the Air-Conditioning, Heating and Refrigeration Institute (“AHRI”).</w:t>
      </w:r>
    </w:p>
    <w:p>
      <w:pPr>
        <w:spacing w:after="0" w:line="34" w:lineRule="exact"/>
        <w:rPr>
          <w:rFonts w:ascii="Arial" w:cs="Arial" w:eastAsia="Arial" w:hAnsi="Arial"/>
          <w:sz w:val="16"/>
          <w:szCs w:val="16"/>
          <w:color w:val="auto"/>
        </w:rPr>
      </w:pPr>
    </w:p>
    <w:p>
      <w:pPr>
        <w:ind w:left="900" w:right="20" w:hanging="325"/>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Net sales of our hydronic fan coils declined 15% primarily due to lower than expected product orders in the first quarter of 2014 and customer scheduled delivery dates. During the first half of 2014, we continued to maintain a market share leadership position based on market data supplied by the AHRI.</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Net sales of our other HVAC products decreased primarily due to a lower beginning backlog entering 2014 and customer scheduled delivery dates for our large custom air handlers, the impact from delays in finalizing project contracts for our engineering and construction services and lower product orders in the first quarter and delays in customer delivery dates of our modular geothermal and other chillers.</w:t>
      </w:r>
    </w:p>
    <w:p>
      <w:pPr>
        <w:spacing w:after="0" w:line="25" w:lineRule="exact"/>
        <w:rPr>
          <w:rFonts w:ascii="Arial" w:cs="Arial" w:eastAsia="Arial" w:hAnsi="Arial"/>
          <w:sz w:val="16"/>
          <w:szCs w:val="16"/>
          <w:color w:val="auto"/>
        </w:rPr>
      </w:pPr>
    </w:p>
    <w:p>
      <w:pPr>
        <w:ind w:left="900" w:right="480" w:hanging="325"/>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general, the reduction in net sales was not concentrated in any particular commercial/institutional vertical market sector served, although the average unit selling prices increased due primarily to product and customer mix.</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net sales as discussed above and reduced labor efficiencies and overhead absorption related to fewer units sold.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decreased primarily as a result of the lower gross profit discussed above, partially offset by lower operating expenses, primarily variable selling costs related to lower sales volume (commissions decreased $0.7 million, freight decreased $0.5 million, bad debt expense decreased $0.4 million and warranty decreased $0.3 million) and lower consulting and other services fees (decreased $0.6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for the first half of 2014 was $12.6 million compared to $7.2 million for the same period in 2013. The increase is primarily the result of fees and expenses incurred in evaluating and analyzing proposals received from certain activist shareholders, and dealing, negotiating and settling with those shareholders in order to avoid a proxy contest.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for the first six months of 2014 was $12.4 million compared to $1.3 million for the same period in 2013. The increase is due primarily to the issuance of the Senior Secured Notes partially offset by $5.3 million of capitalized interest on capital projects (while under development and construction) during the first half of 2014 compared to $1.0 million capitalized during the same period in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 for income taxes for the first half of 2014 was $14.7 million compared to $3.6 million for the same period in 2013. The resulting effective tax rate for the first half of 2014 and 2013 was 39% and 36% (excluding the benefit associated with the retroactive tax relief on certain 2012 tax provisions that expired in 2012), respectively.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2014 compared to three months ended June 30,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three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4"/>
              <w:spacing w:after="0" w:line="159"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w w:val="97"/>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75,390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60,760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$14,630</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41,757</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16,861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1,839</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2"/>
        </w:trPr>
        <w:tc>
          <w:tcPr>
            <w:tcW w:w="4720" w:type="dxa"/>
            <w:vAlign w:val="bottom"/>
          </w:tcPr>
          <w:p>
            <w:pPr>
              <w:ind w:left="880"/>
              <w:spacing w:after="0"/>
              <w:rPr>
                <w:sz w:val="20"/>
                <w:szCs w:val="20"/>
                <w:color w:val="auto"/>
              </w:rPr>
            </w:pPr>
            <w:r>
              <w:rPr>
                <w:rFonts w:ascii="Arial" w:cs="Arial" w:eastAsia="Arial" w:hAnsi="Arial"/>
                <w:sz w:val="18"/>
                <w:szCs w:val="18"/>
                <w:color w:val="auto"/>
              </w:rPr>
              <w:t>Total Chemical</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135,756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121,328</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14,428</w:t>
            </w:r>
          </w:p>
        </w:tc>
        <w:tc>
          <w:tcPr>
            <w:tcW w:w="6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17,161</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11.6%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income—Chemical</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23,589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17,204</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net sales increase for the second quarter of 2014 as a result of the following:</w:t>
      </w:r>
    </w:p>
    <w:p>
      <w:pPr>
        <w:spacing w:after="0" w:line="90" w:lineRule="exact"/>
        <w:rPr>
          <w:sz w:val="20"/>
          <w:szCs w:val="20"/>
          <w:color w:val="auto"/>
        </w:rPr>
      </w:pPr>
    </w:p>
    <w:p>
      <w:pPr>
        <w:jc w:val="both"/>
        <w:ind w:left="900" w:right="1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Agricultural products sales increased mainly due to higher volumes as a result of improved production at our Cherokee and Pryor Facilities during the second quarter of 2014 and improved market conditions for agricultural grade AN produced at our El Dorado Facility, partially offset by lower sales prices.</w:t>
      </w:r>
    </w:p>
    <w:p>
      <w:pPr>
        <w:spacing w:after="0" w:line="59"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primarily as a result of lower production volumes at our Baytown Facility due to a Turnaround performed in the second quarter of 2014.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Mining products sales increased primarily due to improved production at the Cherokee Facility.</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gas sales relate to working interests in certain natural gas properties acquired in 2012 and August 2013 by a subsidiary within our Chemical Business. The increase in natural gas sales is primarily due to higher production volume as these properties are developed. Management considers these working interests as an economic hedge against a portion of a potential rise in natural gas prices in the future for a portion of our future natural gas production requirements.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second quarter of 2013, our Chemical Business’ gross profit included $3.4 million business interruption insurance recovery. Excluding the insurance recovery, the increase in gross profit of $20.6 million was primarily attributable to improved production at the Pryor and Cherokee Facilities (these facilities were out of production during a portion of the second quarter of 2013). In addition, the completion of certain reliability projects at the Pryor Facility in the second quarter of 2014 resulted in increased daily production and higher on-stream rates. However, the gross profit improvement was not proportionate to the increased production at the Cherokee and Pryor Facilities due to the significant decline in the margin per ton of nitrogen fertilizers due to lower selling prices and higher feedstock costs. Natural gas feedstock cost increased approximately 9%, while selling prices decreased 12-18%, negatively affecting gross profit margins on our nitrogen fertilizer sales.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operating income increased primarily as the result of the increase in gross profit as discussed above.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59" w:lineRule="exact"/>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5"/>
              <w:spacing w:after="0" w:line="159" w:lineRule="exact"/>
              <w:rPr>
                <w:sz w:val="20"/>
                <w:szCs w:val="20"/>
                <w:color w:val="auto"/>
              </w:rPr>
            </w:pPr>
            <w:r>
              <w:rPr>
                <w:rFonts w:ascii="Arial" w:cs="Arial" w:eastAsia="Arial" w:hAnsi="Arial"/>
                <w:sz w:val="14"/>
                <w:szCs w:val="14"/>
                <w:color w:val="auto"/>
              </w:rPr>
              <w:t>2013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5"/>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41,898</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47,209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(5,311)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12,421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(5,894)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8,432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11,833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(3,401)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62,751</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77,357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(14,606)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line="20" w:lineRule="exact"/>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18,502</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25,403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(6,901)</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line="20" w:lineRule="exact"/>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4,612</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9,456</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(4,844)</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Sales—Climate Control</w:t>
      </w:r>
    </w:p>
    <w:p>
      <w:pPr>
        <w:spacing w:after="0" w:line="96" w:lineRule="exact"/>
        <w:rPr>
          <w:rFonts w:ascii="Arial" w:cs="Arial" w:eastAsia="Arial" w:hAnsi="Arial"/>
          <w:sz w:val="18"/>
          <w:szCs w:val="18"/>
          <w:color w:val="auto"/>
        </w:rPr>
      </w:pPr>
    </w:p>
    <w:p>
      <w:pPr>
        <w:ind w:left="900" w:right="60" w:hanging="325"/>
        <w:spacing w:after="0" w:line="256"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Net sales of our water source and geothermal heat pump products decreased in the second quarter of 2014 as a result of a 10% decline in sales of our commercial/institutional products primarily due to lower product order levels in the first quarter (including a 7% decline in sales relating to Carrier) yielding a lower beginning backlog. Residential product sales also declined 17% as a result of a lower level of backlog and lower incoming orders (with approximately half of the decline related to Carrier).</w:t>
      </w:r>
    </w:p>
    <w:p>
      <w:pPr>
        <w:spacing w:after="0" w:line="62" w:lineRule="exact"/>
        <w:rPr>
          <w:rFonts w:ascii="Arial" w:cs="Arial" w:eastAsia="Arial" w:hAnsi="Arial"/>
          <w:sz w:val="18"/>
          <w:szCs w:val="18"/>
          <w:color w:val="auto"/>
        </w:rPr>
      </w:pPr>
    </w:p>
    <w:p>
      <w:pPr>
        <w:ind w:left="900" w:right="320" w:hanging="325"/>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Net sales of our hydronic fan coils declined 32% as a result of lower than expected product orders in first quarter of 2014 and delays in customer scheduled delivery dates.</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Net sales of our other HVAC products decreased primarily due to a lower beginning backlog entering the quarter and delays in customer scheduled delivery dates for our large custom air handlers and lower than expected product order levels in the first quarter and delays in customer delivery dates for our modular geothermal and other chillers.</w:t>
      </w:r>
    </w:p>
    <w:p>
      <w:pPr>
        <w:spacing w:after="0" w:line="59" w:lineRule="exact"/>
        <w:rPr>
          <w:rFonts w:ascii="Arial" w:cs="Arial" w:eastAsia="Arial" w:hAnsi="Arial"/>
          <w:sz w:val="18"/>
          <w:szCs w:val="18"/>
          <w:color w:val="auto"/>
        </w:rPr>
      </w:pPr>
    </w:p>
    <w:p>
      <w:pPr>
        <w:ind w:left="900" w:right="460" w:hanging="325"/>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general, the reduction in net sales was not concentrated in any particular commercial/institutional vertical market sector served, although the average unit selling prices increased due primarily to product and customer mix.</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net sales as discussed above and reduced labor efficiencies and overhead absorption related to fewer units sold.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decreased primarily as a result of the lower gross profit discussed above, partially offset by lower operating expenses, primarily variable selling costs related to lower sales volume (warranty decreased $0.6 million, commissions decreased $0.3 million, bad debt expense decreased $0.2 million, and freight decreased $0.1 million) and lower consulting and other services fees decreased $0.3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General corporate expenses for the second quarter of 2014 were approximately $4.9 million compared to $4.0 million for the same period in 2013. The increase primarily relates to personnel costs and professional and consulting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for the second quarter of 2014 was $5.7 million compared to $0.5 million for the same period in 2013. The increase is due primarily to the issuance of the Senior Secured Notes partially offset by $3.0 million of capitalized interest on capital projects (while under development and construction) during the second quarter of 2014 compared to $0.6 million capitalized during the second quarter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provision for income taxes for the second quarter of 2014 was $7.0 million compared to $4.4 million for the same period in 2013. The resulting effective tax rate for the second quarters of 2014 and 2013 was 39% and 37%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 – Six Months Ended June 30, 2014</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“Liquidity and Capital Resources” of this MD&amp;A.</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continuing operating activities was $55.9 million primarily as the result of net income of $22.8 million plus adjustments of $17.4 million for depreciation, depletion and amortization of PP&amp;E and $14.6 million for deferred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 – Six Months Ended June 30, 2014</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Net cash used by continuing investing activities was $9.9 million that consisted primarily of $92.9 million for expenditures for PP&amp;E, of which $91.6 million is for the benefit of our Chemical Business and $14.5 million purchase of short-term investments, partially offset by net proceeds of $92.9 million from restricted noncurrent cash, cash equivalents and investments, and proceeds of $5.1 million from property insurance recovery associated with PP&amp;E.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 – Six Months Ended June 30, 2014</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by continuing financing activities was $13.2 million that primarily related to payments on short-term financing and long-term debt.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our discussion on critical accounting policies and estimates in Item 7 of our 2013 Form 10-K. In addition, the preparation of financial statements requires management to make estimates and assumptions that affect the reported amount of assets, liabilities, revenues and expenses, and disclosures of contingencies. For the first half of 2014, we did not experience a material change in accounting estimates. However, it is reasonably possible that the estimates and assumptions utilized as of June 30, 2014 could change in the near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2014, we have agreed to indemnify the sureties for payments, up to $10.1 million, made by them in respect of such bonds. All of these insurance bonds are expected to expire or be renewed in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180"/>
        <w:spacing w:after="0" w:line="357" w:lineRule="auto"/>
        <w:rPr>
          <w:sz w:val="20"/>
          <w:szCs w:val="20"/>
          <w:color w:val="auto"/>
        </w:rPr>
      </w:pPr>
      <w:r>
        <w:rPr>
          <w:rFonts w:ascii="Arial" w:cs="Arial" w:eastAsia="Arial" w:hAnsi="Arial"/>
          <w:sz w:val="15"/>
          <w:szCs w:val="15"/>
          <w:color w:val="auto"/>
        </w:rPr>
        <w:t>In the operation of our businesses, we enter into contracts, leases and borrowing arrangements. As discussed in our 2013 Form 10-K, we had certain contractual obligations as of December 31, 2013, with various maturity dates, showing payments due for the next five years and thereafter related to the following:</w:t>
      </w: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ammonia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nitric acid plant and concentrator,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June 2014, a subsidiary within the Chemical Business entered into a contract to purchase approximately 11.8 million MMBtu of natural gas through June 2016 for anticipated production needs at one of our chemical facilities. See additional discussions concerning our futures/forward natural gas contracts below under “Commodity Price Risk” of Item 3 – Quantitative and Qualitative Disclosures about Market Risk.”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June 30, 2014, we did not have any embedded losses associated with sales commitments with firm sales prices relating to our Chemical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Certain subsidiaries within the Chemical Business entered into contracts to purchase natural gas for anticipated production needs. At June 30, 2014, all of the outstanding natural gas contracts were considered derivatives and were accounted for on a mark-to-market basis. At June 30, 2014, these natural gas contracts were for approximately 13 million MMBtu of natural gas through June 2016 (includes contractual costs indexed to future New York Mercantile Exchange prices) at a weighted-average cost of $4.21 per MMBtu ($55.0 million) and a weighted-average market value of $4.22 per MMBtu ($55.1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2014, we had no outstanding futures/forward copper contracts.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June 30, 2014, we have an interest rate swap, which sets a fixed three-month LIBOR of 3.23% on a declining balance (from $23.8 million to $18.8 million) for the period beginning April 2012 through March 2016. This contract is a free-standing derivative and is accounted for on a mark-to-market basis. At June 30, 2014, the fair value of these contracts (unrealized loss) was $1.0 million.</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June 30, 2014, we did not have any financial instruments with fair values significantly different from their carrying amounts, except for the Senior Secured Notes. The estimated fair value of the Senior Secured Notes exceeded the carrying value by approximately $30 million. The valuation is classified as Level 2 and is based on the range of ask/bid prices (106.5 to 107.5) as of June 30, 2014.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June 30, 2014 that have materially affected, or are reasonably likely to materially affect, our internal control over financial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35"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modest growth of the U.S. economy;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construction outlook for the commercial/institutional sector and single-family sector;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prices of out chemical products vary with the market price of certain feedstock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outlook for the types of nitrogen fertilizer products we produce and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the coal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expiration and renewal of insurance bonds;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outlook for coal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new chemical plants and when these plants will become operational;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demand for our industrial, mining and agricultural products for the remainder of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outlook for our chemical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natural gas and nitrogen fertilizer;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planned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new ammonia plan eliminating the current cost disadvantage;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dissolved mineral issue should not be an issue since the pipeline is operational;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increase in the second half of 2014 for the Climate Control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in the medium-term and long-term will be primarily driven by growth in new construction, as well as the introduction of new products;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GHPs use a form of renewable energy and, under certain conditions, can reduce energy usage up to 80% compared to some conventional HVAC systems;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plan to rely upon working capital, internally generated cash flows, noncurrent cash and cash equivalents, and third-party financing, which may include our revolving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 Dorado Facility’s use of the wastewater pipeline will ensure EDC’s ability to comply with future permit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relating to settlement with the EPA relating to issues involving the Clear Air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duration of Turnarounds during the remainder of 2014 for our chemical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 for the remainder of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needs and how we expect to fund our cash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depletion and amortization expected to increase during the remainder of 2014 and future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anticipated dividends on common stock in the near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production needs for natural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benefits relating to construction of new plants at the El Dorado Facility;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59"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coming due in the near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material changes in the cost of certain precious metals, anhydrous ammonia, natural gas, copper, steel and purchased components;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in duties for Ukraine and Russian AN products resulting in an increase in foreign AN products into the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2013 Form 10-K and in our quarterly report on Form 10-Q for the three months ended March 31, 2014.</w:t>
      </w:r>
    </w:p>
    <w:p>
      <w:pPr>
        <w:sectPr>
          <w:pgSz w:w="11900" w:h="16838" w:orient="portrait"/>
          <w:cols w:equalWidth="0" w:num="1">
            <w:col w:w="11340"/>
          </w:cols>
          <w:pgMar w:left="240" w:top="459" w:right="319" w:bottom="1440" w:gutter="0" w:footer="0" w:header="0"/>
        </w:sectPr>
      </w:pP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40"/>
          </w:cols>
          <w:pgMar w:left="240" w:top="459" w:right="3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2013 Form 10-K or in Item 1 of Part II of our March 31, 2014 Form 10-Q, except as follows:</w:t>
      </w:r>
    </w:p>
    <w:p>
      <w:pPr>
        <w:spacing w:after="0" w:line="132"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On May 28, 2014, the U.S. District Court for the Western District of Oklahoma approved and entered the Consent Decree between LSB; four of LSB’s subsidiaries: EDC, Cherokee Nitrogen Co., PCC, and EDN; and the EPA, DOJ, the Alabama Department of Environmental Management, and the Oklahoma Department of Environmental Quality (“ODEQ”). The Consent Decree resolves certain previously reported issues relating to (a) a complaint by the EPA under Section 114 of the Clean Air Act as to construction and modification activities at our El Dorado Facility, Cherokee Facility, and Baytown Facility, and</w:t>
      </w:r>
    </w:p>
    <w:p>
      <w:pPr>
        <w:spacing w:after="0" w:line="3" w:lineRule="exact"/>
        <w:rPr>
          <w:sz w:val="20"/>
          <w:szCs w:val="20"/>
          <w:color w:val="auto"/>
        </w:rPr>
      </w:pPr>
    </w:p>
    <w:p>
      <w:pPr>
        <w:ind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ODEQ’s allegations of non-compliance relating to federal and state air quality regulations at our Pryor Facility. The complaint originally arose from a national enforcement initiative in which the EPA sent information requests to most, if not all, of the operators of nitric acid plants in the United States, as well as an ODEQ inspection of the Pryor Facility conducted in December 2012.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previously reported, the Consent Decree was signed by the parties in January 2014, to settle this matter and provides, among other things, the following:</w:t>
      </w:r>
    </w:p>
    <w:p>
      <w:pPr>
        <w:spacing w:after="0" w:line="113" w:lineRule="exact"/>
        <w:rPr>
          <w:sz w:val="20"/>
          <w:szCs w:val="20"/>
          <w:color w:val="auto"/>
        </w:rPr>
      </w:pPr>
    </w:p>
    <w:p>
      <w:pPr>
        <w:ind w:left="900" w:right="40" w:hanging="325"/>
        <w:spacing w:after="0" w:line="29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of our Chemical Business’ owned and operated nitric acid plants are to achieve certain emission rates within a certain time period for each plant. Of the nine nitric acid production facilities currently owned or operated by our Chemical Business, all but EDN required additional pollution control technology to achieve these emission rates. The pollution control technology has already been installed at three of our nitric acid plants and five of our nitric acid plants still require additional pollution control technology equipment to be installed. The cost of the necessary pollution control equipment and the installment of such equipment is estimated to range from $2.0 million to $3.0 million for each of the remaining five nitric acid plants, the cost of which will be capitalized when incurred;</w:t>
      </w:r>
    </w:p>
    <w:p>
      <w:pPr>
        <w:spacing w:after="0" w:line="39"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for which we have accrued $150,000;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civil penalty in the amount of $725,000 (which includes the $100,000 civil penalty to the ODEQ), which amount has been paid by our Chemical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from the risk factors as previous disclosed in Item 1A to Part I of our 2013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240"/>
              <w:spacing w:after="0"/>
              <w:rPr>
                <w:sz w:val="20"/>
                <w:szCs w:val="20"/>
                <w:color w:val="auto"/>
              </w:rPr>
            </w:pPr>
            <w:r>
              <w:rPr>
                <w:rFonts w:ascii="Arial" w:cs="Arial" w:eastAsia="Arial" w:hAnsi="Arial"/>
                <w:sz w:val="18"/>
                <w:szCs w:val="18"/>
                <w:color w:val="auto"/>
              </w:rPr>
              <w:t>Agreement by and among the Company and Starboard Value LP, and certain of its affiliates, dated April 3,</w:t>
            </w:r>
          </w:p>
        </w:tc>
      </w:tr>
      <w:tr>
        <w:trPr>
          <w:trHeight w:val="216"/>
        </w:trPr>
        <w:tc>
          <w:tcPr>
            <w:tcW w:w="9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2014, which the Company hereby incorporates by reference from Exhibit 99.1 to the Company’s Form 8-K,</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filed April 4, 2014.</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400" w:type="dxa"/>
            <w:vAlign w:val="bottom"/>
          </w:tcPr>
          <w:p>
            <w:pPr>
              <w:ind w:left="240"/>
              <w:spacing w:after="0"/>
              <w:rPr>
                <w:sz w:val="20"/>
                <w:szCs w:val="20"/>
                <w:color w:val="auto"/>
              </w:rPr>
            </w:pPr>
            <w:r>
              <w:rPr>
                <w:rFonts w:ascii="Arial" w:cs="Arial" w:eastAsia="Arial" w:hAnsi="Arial"/>
                <w:sz w:val="18"/>
                <w:szCs w:val="18"/>
                <w:color w:val="auto"/>
              </w:rPr>
              <w:t>Agreement by and among the Company and Engine Capital, L.P., Red Alder, LLC, and certain of their</w:t>
            </w:r>
          </w:p>
        </w:tc>
      </w:tr>
      <w:tr>
        <w:trPr>
          <w:trHeight w:val="216"/>
        </w:trPr>
        <w:tc>
          <w:tcPr>
            <w:tcW w:w="9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respective affiliates, dated April 3, 2014, which the Company hereby incorporates by reference from</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Exhibit 99.2 to the Company’s Form 8-K, filed April 4, 2014.</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400" w:type="dxa"/>
            <w:vAlign w:val="bottom"/>
          </w:tcPr>
          <w:p>
            <w:pPr>
              <w:ind w:left="240"/>
              <w:spacing w:after="0"/>
              <w:rPr>
                <w:sz w:val="20"/>
                <w:szCs w:val="20"/>
                <w:color w:val="auto"/>
              </w:rPr>
            </w:pPr>
            <w:r>
              <w:rPr>
                <w:rFonts w:ascii="Arial" w:cs="Arial" w:eastAsia="Arial" w:hAnsi="Arial"/>
                <w:sz w:val="18"/>
                <w:szCs w:val="18"/>
                <w:color w:val="auto"/>
                <w:w w:val="90"/>
              </w:rPr>
              <w:t>Consent Decree, dated May 28, 2014, by and among, LSB Industries, Inc., El Dorado Chemical Co., Cherokee Nitrogen Co., Pryor Chemical</w:t>
            </w:r>
          </w:p>
        </w:tc>
      </w:tr>
      <w:tr>
        <w:trPr>
          <w:trHeight w:val="216"/>
        </w:trPr>
        <w:tc>
          <w:tcPr>
            <w:tcW w:w="9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5"/>
              </w:rPr>
              <w:t>Co., El Dorado Nitrogen, L.P.; the U.S. Department of Justice, the U.S. Environmental Protection Agency, the Alabama Department of</w:t>
            </w:r>
          </w:p>
        </w:tc>
      </w:tr>
      <w:tr>
        <w:trPr>
          <w:trHeight w:val="216"/>
        </w:trPr>
        <w:tc>
          <w:tcPr>
            <w:tcW w:w="9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88"/>
              </w:rPr>
              <w:t>Environmental Management, and the Oklahoma Department of Environment Quality which the Company hereby incorporates by reference from</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Exhibit 99.1 to the Company’s Form 8K, filed June 3, 2014.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240"/>
              <w:spacing w:after="0"/>
              <w:rPr>
                <w:sz w:val="20"/>
                <w:szCs w:val="20"/>
                <w:color w:val="auto"/>
              </w:rPr>
            </w:pPr>
            <w:r>
              <w:rPr>
                <w:rFonts w:ascii="Arial" w:cs="Arial" w:eastAsia="Arial" w:hAnsi="Arial"/>
                <w:sz w:val="18"/>
                <w:szCs w:val="18"/>
                <w:color w:val="auto"/>
                <w:w w:val="89"/>
              </w:rPr>
              <w:t>LSB Industries, Inc. 2008 Incentive Stock Plan, effective June 5, 2008, as amended by the First Amendment effective June 5, 2014, which the</w:t>
            </w:r>
          </w:p>
        </w:tc>
      </w:tr>
      <w:tr>
        <w:trPr>
          <w:trHeight w:val="222"/>
        </w:trPr>
        <w:tc>
          <w:tcPr>
            <w:tcW w:w="92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Company hereby incorporates by reference from Exhibit 99.3 to the Company’s Form 8-K, filed June 11, 2014.</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7th day of August 2014.</w:t>
      </w:r>
    </w:p>
    <w:p>
      <w:pPr>
        <w:spacing w:after="0" w:line="17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Executive Vice President of Finance and Chief Financial</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Accounting Officer)</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2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20" w:hanging="567"/>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 and Chief Financial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2014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2014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upperLetter"/>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upperLetter"/>
      <w:start w:val="3"/>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upperLetter"/>
      <w:start w:val="1"/>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lvl w:ilvl="1">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2"/>
    </w:lvl>
    <w:lvl w:ilvl="1">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2019-12-05T12:06:48Z</dcterms:created>
  <dcterms:modified xsi:type="dcterms:W3CDTF">2019-12-05T12:06:48Z</dcterms:modified>
</cp:coreProperties>
</file>