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6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6080" w:space="720"/>
            <w:col w:w="46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6380" w:type="dxa"/>
            <w:vAlign w:val="bottom"/>
          </w:tcPr>
          <w:p>
            <w:pPr>
              <w:jc w:val="center"/>
              <w:ind w:right="3962"/>
              <w:spacing w:after="0"/>
              <w:rPr>
                <w:sz w:val="20"/>
                <w:szCs w:val="20"/>
                <w:color w:val="auto"/>
              </w:rPr>
            </w:pPr>
            <w:r>
              <w:rPr>
                <w:rFonts w:ascii="Arial" w:cs="Arial" w:eastAsia="Arial" w:hAnsi="Arial"/>
                <w:sz w:val="18"/>
                <w:szCs w:val="18"/>
                <w:b w:val="1"/>
                <w:bCs w:val="1"/>
                <w:color w:val="auto"/>
                <w:w w:val="88"/>
              </w:rPr>
              <w:t>Delaware</w:t>
            </w:r>
          </w:p>
        </w:tc>
        <w:tc>
          <w:tcPr>
            <w:tcW w:w="1060" w:type="dxa"/>
            <w:vAlign w:val="bottom"/>
          </w:tcPr>
          <w:p>
            <w:pPr>
              <w:jc w:val="right"/>
              <w:ind w:right="4"/>
              <w:spacing w:after="0"/>
              <w:rPr>
                <w:sz w:val="20"/>
                <w:szCs w:val="20"/>
                <w:color w:val="auto"/>
              </w:rPr>
            </w:pPr>
            <w:r>
              <w:rPr>
                <w:rFonts w:ascii="Arial" w:cs="Arial" w:eastAsia="Arial" w:hAnsi="Arial"/>
                <w:sz w:val="18"/>
                <w:szCs w:val="18"/>
                <w:b w:val="1"/>
                <w:bCs w:val="1"/>
                <w:color w:val="auto"/>
                <w:w w:val="99"/>
              </w:rPr>
              <w:t>73-1015226</w:t>
            </w:r>
          </w:p>
        </w:tc>
      </w:tr>
      <w:tr>
        <w:trPr>
          <w:trHeight w:val="149"/>
        </w:trPr>
        <w:tc>
          <w:tcPr>
            <w:tcW w:w="6380" w:type="dxa"/>
            <w:vAlign w:val="bottom"/>
          </w:tcPr>
          <w:p>
            <w:pPr>
              <w:jc w:val="center"/>
              <w:ind w:right="394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80" w:type="dxa"/>
            <w:vAlign w:val="bottom"/>
          </w:tcPr>
          <w:p>
            <w:pPr>
              <w:jc w:val="center"/>
              <w:ind w:right="3942"/>
              <w:spacing w:after="0"/>
              <w:rPr>
                <w:sz w:val="20"/>
                <w:szCs w:val="20"/>
                <w:color w:val="auto"/>
              </w:rPr>
            </w:pPr>
            <w:r>
              <w:rPr>
                <w:rFonts w:ascii="Arial" w:cs="Arial" w:eastAsia="Arial" w:hAnsi="Arial"/>
                <w:sz w:val="14"/>
                <w:szCs w:val="14"/>
                <w:b w:val="1"/>
                <w:bCs w:val="1"/>
                <w:color w:val="auto"/>
                <w:w w:val="88"/>
              </w:rPr>
              <w:t>incorporation or organization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380" w:type="dxa"/>
            <w:vAlign w:val="bottom"/>
          </w:tcPr>
          <w:p>
            <w:pPr>
              <w:jc w:val="center"/>
              <w:ind w:right="3962"/>
              <w:spacing w:after="0"/>
              <w:rPr>
                <w:sz w:val="20"/>
                <w:szCs w:val="20"/>
                <w:color w:val="auto"/>
              </w:rPr>
            </w:pPr>
            <w:r>
              <w:rPr>
                <w:rFonts w:ascii="Arial" w:cs="Arial" w:eastAsia="Arial" w:hAnsi="Arial"/>
                <w:sz w:val="18"/>
                <w:szCs w:val="18"/>
                <w:b w:val="1"/>
                <w:bCs w:val="1"/>
                <w:color w:val="auto"/>
                <w:w w:val="86"/>
              </w:rPr>
              <w:t>16 South Pennsylvania Avenue,</w:t>
            </w:r>
          </w:p>
        </w:tc>
        <w:tc>
          <w:tcPr>
            <w:tcW w:w="1060" w:type="dxa"/>
            <w:vAlign w:val="bottom"/>
          </w:tcPr>
          <w:p>
            <w:pPr>
              <w:spacing w:after="0"/>
              <w:rPr>
                <w:sz w:val="24"/>
                <w:szCs w:val="24"/>
                <w:color w:val="auto"/>
              </w:rPr>
            </w:pPr>
          </w:p>
        </w:tc>
      </w:tr>
      <w:tr>
        <w:trPr>
          <w:trHeight w:val="231"/>
        </w:trPr>
        <w:tc>
          <w:tcPr>
            <w:tcW w:w="6380" w:type="dxa"/>
            <w:vAlign w:val="bottom"/>
          </w:tcPr>
          <w:p>
            <w:pPr>
              <w:jc w:val="center"/>
              <w:ind w:right="3962"/>
              <w:spacing w:after="0"/>
              <w:rPr>
                <w:sz w:val="20"/>
                <w:szCs w:val="20"/>
                <w:color w:val="auto"/>
              </w:rPr>
            </w:pPr>
            <w:r>
              <w:rPr>
                <w:rFonts w:ascii="Arial" w:cs="Arial" w:eastAsia="Arial" w:hAnsi="Arial"/>
                <w:sz w:val="18"/>
                <w:szCs w:val="18"/>
                <w:b w:val="1"/>
                <w:bCs w:val="1"/>
                <w:color w:val="auto"/>
                <w:w w:val="90"/>
              </w:rPr>
              <w:t>Oklahoma City, Oklahoma</w:t>
            </w:r>
          </w:p>
        </w:tc>
        <w:tc>
          <w:tcPr>
            <w:tcW w:w="1060" w:type="dxa"/>
            <w:vAlign w:val="bottom"/>
          </w:tcPr>
          <w:p>
            <w:pPr>
              <w:jc w:val="right"/>
              <w:ind w:right="204"/>
              <w:spacing w:after="0"/>
              <w:rPr>
                <w:sz w:val="20"/>
                <w:szCs w:val="20"/>
                <w:color w:val="auto"/>
              </w:rPr>
            </w:pPr>
            <w:r>
              <w:rPr>
                <w:rFonts w:ascii="Arial" w:cs="Arial" w:eastAsia="Arial" w:hAnsi="Arial"/>
                <w:sz w:val="18"/>
                <w:szCs w:val="18"/>
                <w:b w:val="1"/>
                <w:bCs w:val="1"/>
                <w:color w:val="auto"/>
              </w:rPr>
              <w:t>73107</w:t>
            </w:r>
          </w:p>
        </w:tc>
      </w:tr>
      <w:tr>
        <w:trPr>
          <w:trHeight w:val="174"/>
        </w:trPr>
        <w:tc>
          <w:tcPr>
            <w:tcW w:w="6380" w:type="dxa"/>
            <w:vAlign w:val="bottom"/>
          </w:tcPr>
          <w:p>
            <w:pPr>
              <w:jc w:val="center"/>
              <w:ind w:right="39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Zip Code</w:t>
            </w:r>
          </w:p>
        </w:tc>
      </w:tr>
      <w:tr>
        <w:trPr>
          <w:trHeight w:val="352"/>
        </w:trPr>
        <w:tc>
          <w:tcPr>
            <w:tcW w:w="6380" w:type="dxa"/>
            <w:vAlign w:val="bottom"/>
          </w:tcPr>
          <w:p>
            <w:pPr>
              <w:jc w:val="center"/>
              <w:ind w:left="1522"/>
              <w:spacing w:after="0"/>
              <w:rPr>
                <w:sz w:val="20"/>
                <w:szCs w:val="20"/>
                <w:color w:val="auto"/>
              </w:rPr>
            </w:pPr>
            <w:r>
              <w:rPr>
                <w:rFonts w:ascii="Arial" w:cs="Arial" w:eastAsia="Arial" w:hAnsi="Arial"/>
                <w:sz w:val="18"/>
                <w:szCs w:val="18"/>
                <w:b w:val="1"/>
                <w:bCs w:val="1"/>
                <w:color w:val="auto"/>
                <w:w w:val="89"/>
              </w:rPr>
              <w:t>(405) 235-4546</w:t>
            </w:r>
          </w:p>
        </w:tc>
        <w:tc>
          <w:tcPr>
            <w:tcW w:w="1060" w:type="dxa"/>
            <w:vAlign w:val="bottom"/>
          </w:tcPr>
          <w:p>
            <w:pPr>
              <w:spacing w:after="0"/>
              <w:rPr>
                <w:sz w:val="24"/>
                <w:szCs w:val="24"/>
                <w:color w:val="auto"/>
              </w:rPr>
            </w:pPr>
          </w:p>
        </w:tc>
      </w:tr>
      <w:tr>
        <w:trPr>
          <w:trHeight w:val="174"/>
        </w:trPr>
        <w:tc>
          <w:tcPr>
            <w:tcW w:w="6380" w:type="dxa"/>
            <w:vAlign w:val="bottom"/>
          </w:tcPr>
          <w:p>
            <w:pPr>
              <w:jc w:val="center"/>
              <w:ind w:left="1542"/>
              <w:spacing w:after="0"/>
              <w:rPr>
                <w:sz w:val="20"/>
                <w:szCs w:val="20"/>
                <w:color w:val="auto"/>
              </w:rPr>
            </w:pPr>
            <w:r>
              <w:rPr>
                <w:rFonts w:ascii="Arial" w:cs="Arial" w:eastAsia="Arial" w:hAnsi="Arial"/>
                <w:sz w:val="14"/>
                <w:szCs w:val="14"/>
                <w:b w:val="1"/>
                <w:bCs w:val="1"/>
                <w:color w:val="auto"/>
                <w:w w:val="85"/>
              </w:rPr>
              <w:t>Registrant’s telephone number, including area code</w:t>
            </w:r>
          </w:p>
        </w:tc>
        <w:tc>
          <w:tcPr>
            <w:tcW w:w="1060" w:type="dxa"/>
            <w:vAlign w:val="bottom"/>
          </w:tcPr>
          <w:p>
            <w:pPr>
              <w:spacing w:after="0"/>
              <w:rPr>
                <w:sz w:val="15"/>
                <w:szCs w:val="15"/>
                <w:color w:val="auto"/>
              </w:rPr>
            </w:pPr>
          </w:p>
        </w:tc>
      </w:tr>
      <w:tr>
        <w:trPr>
          <w:trHeight w:val="352"/>
        </w:trPr>
        <w:tc>
          <w:tcPr>
            <w:tcW w:w="6380" w:type="dxa"/>
            <w:vAlign w:val="bottom"/>
          </w:tcPr>
          <w:p>
            <w:pPr>
              <w:jc w:val="center"/>
              <w:ind w:left="1522"/>
              <w:spacing w:after="0"/>
              <w:rPr>
                <w:sz w:val="20"/>
                <w:szCs w:val="20"/>
                <w:color w:val="auto"/>
              </w:rPr>
            </w:pPr>
            <w:r>
              <w:rPr>
                <w:rFonts w:ascii="Arial" w:cs="Arial" w:eastAsia="Arial" w:hAnsi="Arial"/>
                <w:sz w:val="18"/>
                <w:szCs w:val="18"/>
                <w:b w:val="1"/>
                <w:bCs w:val="1"/>
                <w:color w:val="auto"/>
                <w:w w:val="84"/>
              </w:rPr>
              <w:t>None</w:t>
            </w:r>
          </w:p>
        </w:tc>
        <w:tc>
          <w:tcPr>
            <w:tcW w:w="1060" w:type="dxa"/>
            <w:vAlign w:val="bottom"/>
          </w:tcPr>
          <w:p>
            <w:pPr>
              <w:spacing w:after="0"/>
              <w:rPr>
                <w:sz w:val="24"/>
                <w:szCs w:val="24"/>
                <w:color w:val="auto"/>
              </w:rPr>
            </w:pPr>
          </w:p>
        </w:tc>
      </w:tr>
      <w:tr>
        <w:trPr>
          <w:trHeight w:val="174"/>
        </w:trPr>
        <w:tc>
          <w:tcPr>
            <w:tcW w:w="6380" w:type="dxa"/>
            <w:vAlign w:val="bottom"/>
          </w:tcPr>
          <w:p>
            <w:pPr>
              <w:jc w:val="center"/>
              <w:ind w:left="1522"/>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8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60"/>
            <w:col w:w="600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5">
            <w:col w:w="7300" w:space="180"/>
            <w:col w:w="140" w:space="100"/>
            <w:col w:w="260" w:space="160"/>
            <w:col w:w="160" w:space="100"/>
            <w:col w:w="3020"/>
          </w:cols>
          <w:pgMar w:left="240" w:top="230" w:right="239" w:bottom="1440" w:gutter="0" w:footer="0" w:header="0"/>
          <w:type w:val="continuous"/>
        </w:sectPr>
      </w:pPr>
    </w:p>
    <w:p>
      <w:pPr>
        <w:ind w:right="520"/>
        <w:spacing w:after="0" w:line="268" w:lineRule="auto"/>
        <w:rPr>
          <w:sz w:val="20"/>
          <w:szCs w:val="20"/>
          <w:color w:val="auto"/>
        </w:rPr>
      </w:pPr>
      <w:r>
        <w:rPr>
          <w:rFonts w:ascii="Arial" w:cs="Arial" w:eastAsia="Arial" w:hAnsi="Arial"/>
          <w:sz w:val="18"/>
          <w:szCs w:val="18"/>
          <w:color w:val="auto"/>
        </w:rPr>
        <w:t>The number of shares outstanding of the Registrant’s voting common stock, as of July 31, 2012 was 22,359,068 shares, excluding 4,320,462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 10-Q OF LSB INDUSTRIES,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60" w:type="dxa"/>
            <w:vAlign w:val="bottom"/>
            <w:gridSpan w:val="8"/>
            <w:vMerge w:val="restart"/>
          </w:tcPr>
          <w:p>
            <w:pPr>
              <w:jc w:val="center"/>
              <w:ind w:right="4540"/>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PART I — Financial Information</w:t>
              </w:r>
            </w:hyperlink>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860" w:type="dxa"/>
            <w:vAlign w:val="bottom"/>
            <w:gridSpan w:val="8"/>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2180" w:type="dxa"/>
            <w:vAlign w:val="bottom"/>
            <w:gridSpan w:val="4"/>
          </w:tcPr>
          <w:p>
            <w:pPr>
              <w:spacing w:after="0"/>
              <w:rPr>
                <w:sz w:val="24"/>
                <w:szCs w:val="24"/>
                <w:color w:val="auto"/>
              </w:rPr>
            </w:pPr>
          </w:p>
        </w:tc>
        <w:tc>
          <w:tcPr>
            <w:tcW w:w="2320" w:type="dxa"/>
            <w:vAlign w:val="bottom"/>
            <w:tcBorders>
              <w:top w:val="single" w:sz="8" w:color="0000EE"/>
            </w:tcBorders>
            <w:gridSpan w:val="6"/>
          </w:tcPr>
          <w:p>
            <w:pPr>
              <w:spacing w:after="0"/>
              <w:rPr>
                <w:sz w:val="24"/>
                <w:szCs w:val="24"/>
                <w:color w:val="auto"/>
              </w:rPr>
            </w:pPr>
          </w:p>
        </w:tc>
        <w:tc>
          <w:tcPr>
            <w:tcW w:w="454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06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2. Management’s Discussion and Analysis of Financial Condition and Results of Operations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48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gridSpan w:val="3"/>
          </w:tcPr>
          <w:p>
            <w:pPr>
              <w:spacing w:after="0"/>
              <w:rPr>
                <w:sz w:val="24"/>
                <w:szCs w:val="24"/>
                <w:color w:val="auto"/>
              </w:rPr>
            </w:pPr>
          </w:p>
        </w:tc>
        <w:tc>
          <w:tcPr>
            <w:tcW w:w="4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22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Item 4. Controls and Procedures</w:t>
              </w:r>
            </w:hyperlink>
          </w:p>
        </w:tc>
        <w:tc>
          <w:tcPr>
            <w:tcW w:w="8780" w:type="dxa"/>
            <w:vAlign w:val="bottom"/>
            <w:gridSpan w:val="11"/>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11060" w:type="dxa"/>
            <w:vAlign w:val="bottom"/>
            <w:gridSpan w:val="19"/>
          </w:tcPr>
          <w:p>
            <w:pPr>
              <w:ind w:left="440"/>
              <w:spacing w:after="0"/>
              <w:rPr>
                <w:rFonts w:ascii="Arial" w:cs="Arial" w:eastAsia="Arial" w:hAnsi="Arial"/>
                <w:sz w:val="18"/>
                <w:szCs w:val="18"/>
                <w:color w:val="0000EE"/>
              </w:rPr>
            </w:pPr>
            <w:hyperlink w:anchor="page49">
              <w:r>
                <w:rPr>
                  <w:rFonts w:ascii="Arial" w:cs="Arial" w:eastAsia="Arial" w:hAnsi="Arial"/>
                  <w:sz w:val="18"/>
                  <w:szCs w:val="18"/>
                  <w:color w:val="0000EE"/>
                </w:rPr>
                <w:t>Special Note Regarding Forward-Looking Statements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40" w:type="dxa"/>
            <w:vAlign w:val="bottom"/>
            <w:gridSpan w:val="7"/>
          </w:tcPr>
          <w:p>
            <w:pPr>
              <w:jc w:val="center"/>
              <w:ind w:right="4560"/>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PART II — Other Information</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Item 1. Legal Proceedings</w:t>
              </w:r>
            </w:hyperlink>
          </w:p>
        </w:tc>
        <w:tc>
          <w:tcPr>
            <w:tcW w:w="2440" w:type="dxa"/>
            <w:vAlign w:val="bottom"/>
            <w:gridSpan w:val="7"/>
          </w:tcPr>
          <w:p>
            <w:pPr>
              <w:spacing w:after="0"/>
              <w:rPr>
                <w:sz w:val="24"/>
                <w:szCs w:val="24"/>
                <w:color w:val="auto"/>
              </w:rPr>
            </w:pPr>
          </w:p>
        </w:tc>
        <w:tc>
          <w:tcPr>
            <w:tcW w:w="2120" w:type="dxa"/>
            <w:vAlign w:val="bottom"/>
            <w:tcBorders>
              <w:top w:val="single" w:sz="8" w:color="0000EE"/>
            </w:tcBorders>
            <w:gridSpan w:val="3"/>
          </w:tcPr>
          <w:p>
            <w:pPr>
              <w:spacing w:after="0"/>
              <w:rPr>
                <w:sz w:val="24"/>
                <w:szCs w:val="24"/>
                <w:color w:val="auto"/>
              </w:rPr>
            </w:pPr>
          </w:p>
        </w:tc>
        <w:tc>
          <w:tcPr>
            <w:tcW w:w="464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15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Item 1A. Risk Factors</w:t>
              </w:r>
            </w:hyperlink>
          </w:p>
        </w:tc>
        <w:tc>
          <w:tcPr>
            <w:tcW w:w="9500" w:type="dxa"/>
            <w:vAlign w:val="bottom"/>
            <w:gridSpan w:val="15"/>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48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Item 2. Unregistered Sales of Equity Securities and Use of Proceeds</w:t>
              </w:r>
            </w:hyperlink>
          </w:p>
        </w:tc>
        <w:tc>
          <w:tcPr>
            <w:tcW w:w="6260" w:type="dxa"/>
            <w:vAlign w:val="bottom"/>
            <w:gridSpan w:val="5"/>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3.</w:t>
              </w:r>
            </w:hyperlink>
          </w:p>
        </w:tc>
        <w:tc>
          <w:tcPr>
            <w:tcW w:w="2300" w:type="dxa"/>
            <w:vAlign w:val="bottom"/>
            <w:tcBorders>
              <w:bottom w:val="single" w:sz="8" w:color="0000EE"/>
            </w:tcBorders>
            <w:gridSpan w:val="8"/>
          </w:tcPr>
          <w:p>
            <w:pPr>
              <w:ind w:left="20"/>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Defaults Upon Senior Securities</w:t>
              </w:r>
            </w:hyperlink>
          </w:p>
        </w:tc>
        <w:tc>
          <w:tcPr>
            <w:tcW w:w="8240" w:type="dxa"/>
            <w:vAlign w:val="bottom"/>
            <w:gridSpan w:val="9"/>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4.</w:t>
              </w:r>
            </w:hyperlink>
          </w:p>
        </w:tc>
        <w:tc>
          <w:tcPr>
            <w:tcW w:w="10540" w:type="dxa"/>
            <w:vAlign w:val="bottom"/>
            <w:gridSpan w:val="17"/>
          </w:tcPr>
          <w:p>
            <w:pPr>
              <w:ind w:left="20"/>
              <w:spacing w:after="0"/>
              <w:rPr>
                <w:rFonts w:ascii="Arial" w:cs="Arial" w:eastAsia="Arial" w:hAnsi="Arial"/>
                <w:sz w:val="18"/>
                <w:szCs w:val="18"/>
                <w:color w:val="0000EE"/>
              </w:rPr>
            </w:pPr>
            <w:hyperlink w:anchor="page51">
              <w:r>
                <w:rPr>
                  <w:rFonts w:ascii="Arial" w:cs="Arial" w:eastAsia="Arial" w:hAnsi="Arial"/>
                  <w:sz w:val="18"/>
                  <w:szCs w:val="18"/>
                  <w:color w:val="0000EE"/>
                </w:rPr>
                <w:t>Mining Safety Disclosures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5.</w:t>
              </w:r>
            </w:hyperlink>
          </w:p>
        </w:tc>
        <w:tc>
          <w:tcPr>
            <w:tcW w:w="1320" w:type="dxa"/>
            <w:vAlign w:val="bottom"/>
            <w:tcBorders>
              <w:top w:val="single" w:sz="8" w:color="0000EE"/>
              <w:bottom w:val="single" w:sz="8" w:color="0000EE"/>
            </w:tcBorders>
            <w:gridSpan w:val="3"/>
          </w:tcPr>
          <w:p>
            <w:pPr>
              <w:ind w:left="20"/>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Other Information</w:t>
              </w:r>
            </w:hyperlink>
          </w:p>
        </w:tc>
        <w:tc>
          <w:tcPr>
            <w:tcW w:w="580" w:type="dxa"/>
            <w:vAlign w:val="bottom"/>
            <w:tcBorders>
              <w:top w:val="single" w:sz="8" w:color="0000EE"/>
            </w:tcBorders>
            <w:gridSpan w:val="4"/>
          </w:tcPr>
          <w:p>
            <w:pPr>
              <w:spacing w:after="0"/>
              <w:rPr>
                <w:sz w:val="24"/>
                <w:szCs w:val="24"/>
                <w:color w:val="auto"/>
              </w:rPr>
            </w:pPr>
          </w:p>
        </w:tc>
        <w:tc>
          <w:tcPr>
            <w:tcW w:w="8640" w:type="dxa"/>
            <w:vAlign w:val="bottom"/>
            <w:gridSpan w:val="10"/>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6.</w:t>
              </w:r>
            </w:hyperlink>
          </w:p>
        </w:tc>
        <w:tc>
          <w:tcPr>
            <w:tcW w:w="620" w:type="dxa"/>
            <w:vAlign w:val="bottom"/>
            <w:tcBorders>
              <w:bottom w:val="single" w:sz="8" w:color="0000EE"/>
            </w:tcBorders>
          </w:tcPr>
          <w:p>
            <w:pPr>
              <w:ind w:left="20"/>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Exhibits</w:t>
              </w:r>
            </w:hyperlink>
          </w:p>
        </w:tc>
        <w:tc>
          <w:tcPr>
            <w:tcW w:w="9920" w:type="dxa"/>
            <w:vAlign w:val="bottom"/>
            <w:gridSpan w:val="16"/>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gridSpan w:val="14"/>
          </w:tcPr>
          <w:p>
            <w:pPr>
              <w:ind w:left="5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June 30, 2012 is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540" w:type="dxa"/>
            <w:vAlign w:val="bottom"/>
          </w:tcPr>
          <w:p>
            <w:pPr>
              <w:spacing w:after="0"/>
              <w:rPr>
                <w:sz w:val="13"/>
                <w:szCs w:val="13"/>
                <w:color w:val="auto"/>
              </w:rPr>
            </w:pPr>
          </w:p>
        </w:tc>
        <w:tc>
          <w:tcPr>
            <w:tcW w:w="6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760" w:type="dxa"/>
            <w:vAlign w:val="bottom"/>
            <w:gridSpan w:val="4"/>
          </w:tcPr>
          <w:p>
            <w:pPr>
              <w:jc w:val="right"/>
              <w:ind w:right="37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$138,699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680" w:type="dxa"/>
            <w:vAlign w:val="bottom"/>
          </w:tcPr>
          <w:p>
            <w:pPr>
              <w:jc w:val="right"/>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680" w:type="dxa"/>
            <w:vAlign w:val="bottom"/>
          </w:tcPr>
          <w:p>
            <w:pPr>
              <w:jc w:val="right"/>
              <w:spacing w:after="0"/>
              <w:rPr>
                <w:sz w:val="20"/>
                <w:szCs w:val="20"/>
                <w:color w:val="auto"/>
              </w:rPr>
            </w:pPr>
            <w:r>
              <w:rPr>
                <w:rFonts w:ascii="Arial" w:cs="Arial" w:eastAsia="Arial" w:hAnsi="Arial"/>
                <w:sz w:val="18"/>
                <w:szCs w:val="18"/>
                <w:color w:val="auto"/>
              </w:rPr>
              <w:t>97,375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Finished goods</w:t>
            </w:r>
          </w:p>
        </w:tc>
        <w:tc>
          <w:tcPr>
            <w:tcW w:w="680" w:type="dxa"/>
            <w:vAlign w:val="bottom"/>
          </w:tcPr>
          <w:p>
            <w:pPr>
              <w:jc w:val="right"/>
              <w:spacing w:after="0"/>
              <w:rPr>
                <w:sz w:val="20"/>
                <w:szCs w:val="20"/>
                <w:color w:val="auto"/>
              </w:rPr>
            </w:pPr>
            <w:r>
              <w:rPr>
                <w:rFonts w:ascii="Arial" w:cs="Arial" w:eastAsia="Arial" w:hAnsi="Arial"/>
                <w:sz w:val="18"/>
                <w:szCs w:val="18"/>
                <w:color w:val="auto"/>
              </w:rPr>
              <w:t>24,868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Work in progress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Raw materials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28,023</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inventories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Supplies, prepaid items and other:</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insurance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Precious metals</w:t>
            </w:r>
          </w:p>
        </w:tc>
        <w:tc>
          <w:tcPr>
            <w:tcW w:w="680" w:type="dxa"/>
            <w:vAlign w:val="bottom"/>
          </w:tcPr>
          <w:p>
            <w:pPr>
              <w:jc w:val="right"/>
              <w:spacing w:after="0"/>
              <w:rPr>
                <w:sz w:val="20"/>
                <w:szCs w:val="20"/>
                <w:color w:val="auto"/>
              </w:rPr>
            </w:pPr>
            <w:r>
              <w:rPr>
                <w:rFonts w:ascii="Arial" w:cs="Arial" w:eastAsia="Arial" w:hAnsi="Arial"/>
                <w:sz w:val="18"/>
                <w:szCs w:val="18"/>
                <w:color w:val="auto"/>
              </w:rPr>
              <w:t>15,453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Supplies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Fair value of derivatives and other</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income taxes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supplies, prepaid items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328,106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680" w:type="dxa"/>
            <w:vAlign w:val="bottom"/>
          </w:tcPr>
          <w:p>
            <w:pPr>
              <w:jc w:val="right"/>
              <w:spacing w:after="0"/>
              <w:rPr>
                <w:sz w:val="20"/>
                <w:szCs w:val="20"/>
                <w:color w:val="auto"/>
              </w:rPr>
            </w:pPr>
            <w:r>
              <w:rPr>
                <w:rFonts w:ascii="Arial" w:cs="Arial" w:eastAsia="Arial" w:hAnsi="Arial"/>
                <w:sz w:val="18"/>
                <w:szCs w:val="18"/>
                <w:color w:val="auto"/>
              </w:rPr>
              <w:t>179,009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164,547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Investment in affiliate</w:t>
            </w:r>
          </w:p>
        </w:tc>
        <w:tc>
          <w:tcPr>
            <w:tcW w:w="680" w:type="dxa"/>
            <w:vAlign w:val="bottom"/>
          </w:tcPr>
          <w:p>
            <w:pPr>
              <w:jc w:val="right"/>
              <w:spacing w:after="0"/>
              <w:rPr>
                <w:sz w:val="20"/>
                <w:szCs w:val="20"/>
                <w:color w:val="auto"/>
              </w:rPr>
            </w:pPr>
            <w:r>
              <w:rPr>
                <w:rFonts w:ascii="Arial" w:cs="Arial" w:eastAsia="Arial" w:hAnsi="Arial"/>
                <w:sz w:val="18"/>
                <w:szCs w:val="18"/>
                <w:color w:val="auto"/>
              </w:rPr>
              <w:t>2,396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6,332</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528,096</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502,009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June 30, 2012 is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color w:val="auto"/>
                <w:w w:val="85"/>
              </w:rPr>
              <w:t>June 30,</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right"/>
              <w:ind w:right="37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Short-term financing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and other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70,051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74,525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Noncurrent accrued and other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23,595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12% cumulative, convertible preferred stock, $100 par value; 20,000 shares issued and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w w:val="97"/>
              </w:rPr>
              <w:t>Series D 6% cumulative, convertible Class C preferred stock, no par value; 1,000,000 shares issued and outstanding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$.10 par value; 75,000,000 shares authorized, 26,679,530 shares issued (26,638,285 at December 31, 2011)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163,479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162,092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193,924</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153,888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363,071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321,644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treasury stock at cost: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Common stock, 4,320,462 shares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28,374</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334,697</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293,270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528,096</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502,009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and Three Months Ended June 30, 2012 and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720"/>
              <w:spacing w:after="0"/>
              <w:rPr>
                <w:sz w:val="20"/>
                <w:szCs w:val="20"/>
                <w:color w:val="auto"/>
              </w:rPr>
            </w:pPr>
            <w:r>
              <w:rPr>
                <w:rFonts w:ascii="Arial" w:cs="Arial" w:eastAsia="Arial" w:hAnsi="Arial"/>
                <w:sz w:val="14"/>
                <w:szCs w:val="14"/>
                <w:color w:val="auto"/>
              </w:rPr>
              <w:t>Six Months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2011</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12"/>
          </w:tcPr>
          <w:p>
            <w:pPr>
              <w:jc w:val="right"/>
              <w:ind w:right="100"/>
              <w:spacing w:after="0" w:line="142" w:lineRule="exact"/>
              <w:rPr>
                <w:sz w:val="20"/>
                <w:szCs w:val="20"/>
                <w:color w:val="auto"/>
              </w:rPr>
            </w:pPr>
            <w:r>
              <w:rPr>
                <w:rFonts w:ascii="Arial" w:cs="Arial" w:eastAsia="Arial" w:hAnsi="Arial"/>
                <w:sz w:val="14"/>
                <w:szCs w:val="14"/>
                <w:color w:val="auto"/>
              </w:rPr>
              <w:t>(In Thousands, Except Per Share Amounts)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399,520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413,112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209,275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235,619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289,341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287,172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143,540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163,533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110,179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125,940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65,735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72,086</w:t>
            </w:r>
          </w:p>
        </w:tc>
        <w:tc>
          <w:tcPr>
            <w:tcW w:w="0" w:type="dxa"/>
            <w:vAlign w:val="bottom"/>
          </w:tcPr>
          <w:p>
            <w:pPr>
              <w:spacing w:after="0"/>
              <w:rPr>
                <w:sz w:val="1"/>
                <w:szCs w:val="1"/>
                <w:color w:val="auto"/>
              </w:rPr>
            </w:pPr>
          </w:p>
        </w:tc>
      </w:tr>
      <w:tr>
        <w:trPr>
          <w:trHeight w:val="322"/>
        </w:trPr>
        <w:tc>
          <w:tcPr>
            <w:tcW w:w="74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44,277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43,102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22,886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22,517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losses on accounts receivable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1"/>
        </w:trPr>
        <w:tc>
          <w:tcPr>
            <w:tcW w:w="74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Losses on extinguishment of debt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Non-operating other expense (income),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7480" w:type="dxa"/>
            <w:vAlign w:val="bottom"/>
            <w:gridSpan w:val="2"/>
          </w:tcPr>
          <w:p>
            <w:pPr>
              <w:spacing w:after="0"/>
              <w:rPr>
                <w:sz w:val="20"/>
                <w:szCs w:val="20"/>
                <w:color w:val="auto"/>
              </w:rPr>
            </w:pPr>
            <w:r>
              <w:rPr>
                <w:rFonts w:ascii="Arial" w:cs="Arial" w:eastAsia="Arial" w:hAnsi="Arial"/>
                <w:sz w:val="18"/>
                <w:szCs w:val="18"/>
                <w:color w:val="auto"/>
                <w:w w:val="90"/>
              </w:rPr>
              <w:t>Income from continuing operations before provisions for income taxes and equity in earnings and losses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of affiliate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63,366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78,600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41,411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46,268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Equity in losses (earnings) of affiliate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48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28,645</w:t>
            </w:r>
          </w:p>
        </w:tc>
        <w:tc>
          <w:tcPr>
            <w:tcW w:w="0" w:type="dxa"/>
            <w:vAlign w:val="bottom"/>
          </w:tcPr>
          <w:p>
            <w:pPr>
              <w:spacing w:after="0"/>
              <w:rPr>
                <w:sz w:val="1"/>
                <w:szCs w:val="1"/>
                <w:color w:val="auto"/>
              </w:rPr>
            </w:pPr>
          </w:p>
        </w:tc>
      </w:tr>
      <w:tr>
        <w:trPr>
          <w:trHeight w:val="331"/>
        </w:trPr>
        <w:tc>
          <w:tcPr>
            <w:tcW w:w="7480" w:type="dxa"/>
            <w:vAlign w:val="bottom"/>
            <w:gridSpan w:val="2"/>
          </w:tcPr>
          <w:p>
            <w:pPr>
              <w:spacing w:after="0"/>
              <w:rPr>
                <w:sz w:val="20"/>
                <w:szCs w:val="20"/>
                <w:color w:val="auto"/>
              </w:rPr>
            </w:pPr>
            <w:r>
              <w:rPr>
                <w:rFonts w:ascii="Arial" w:cs="Arial" w:eastAsia="Arial" w:hAnsi="Arial"/>
                <w:sz w:val="18"/>
                <w:szCs w:val="18"/>
                <w:color w:val="auto"/>
              </w:rPr>
              <w:t>Dividends on preferred stocks</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40,036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49,243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26,033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28,645</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23,516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23,509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24"/>
              <w:spacing w:after="0"/>
              <w:rPr>
                <w:sz w:val="20"/>
                <w:szCs w:val="20"/>
                <w:color w:val="auto"/>
              </w:rPr>
            </w:pPr>
            <w:r>
              <w:rPr>
                <w:rFonts w:ascii="Arial" w:cs="Arial" w:eastAsia="Arial" w:hAnsi="Arial"/>
                <w:sz w:val="14"/>
                <w:szCs w:val="14"/>
                <w:color w:val="auto"/>
                <w:w w:val="92"/>
              </w:rPr>
              <w:t>Non-</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3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3"/>
              </w:rPr>
              <w:t>Redeemable</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in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Treasury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4"/>
              <w:spacing w:after="0" w:line="149" w:lineRule="exact"/>
              <w:rPr>
                <w:sz w:val="20"/>
                <w:szCs w:val="20"/>
                <w:color w:val="auto"/>
              </w:rPr>
            </w:pPr>
            <w:r>
              <w:rPr>
                <w:rFonts w:ascii="Arial" w:cs="Arial" w:eastAsia="Arial" w:hAnsi="Arial"/>
                <w:sz w:val="14"/>
                <w:szCs w:val="14"/>
                <w:color w:val="auto"/>
                <w:w w:val="85"/>
              </w:rPr>
              <w:t>Preferred</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5"/>
              </w:rPr>
              <w:t>Stock Par</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Excess of</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Retained</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Stock-</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120" w:type="dxa"/>
            <w:vAlign w:val="bottom"/>
          </w:tcPr>
          <w:p>
            <w:pPr>
              <w:spacing w:after="0"/>
              <w:rPr>
                <w:sz w:val="13"/>
                <w:szCs w:val="13"/>
                <w:color w:val="auto"/>
              </w:rPr>
            </w:pP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1"/>
              </w:rPr>
              <w:t>Shares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4"/>
              <w:spacing w:after="0" w:line="159" w:lineRule="exact"/>
              <w:rPr>
                <w:sz w:val="20"/>
                <w:szCs w:val="20"/>
                <w:color w:val="auto"/>
              </w:rPr>
            </w:pPr>
            <w:r>
              <w:rPr>
                <w:rFonts w:ascii="Arial" w:cs="Arial" w:eastAsia="Arial" w:hAnsi="Arial"/>
                <w:sz w:val="14"/>
                <w:szCs w:val="14"/>
                <w:color w:val="auto"/>
                <w:w w:val="85"/>
              </w:rPr>
              <w:t>Stock</w:t>
            </w:r>
          </w:p>
        </w:tc>
        <w:tc>
          <w:tcPr>
            <w:tcW w:w="30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3"/>
              </w:rPr>
              <w:t>Value</w:t>
            </w:r>
          </w:p>
        </w:tc>
        <w:tc>
          <w:tcPr>
            <w:tcW w:w="300" w:type="dxa"/>
            <w:vAlign w:val="bottom"/>
          </w:tcPr>
          <w:p>
            <w:pPr>
              <w:spacing w:after="0"/>
              <w:rPr>
                <w:sz w:val="13"/>
                <w:szCs w:val="13"/>
                <w:color w:val="auto"/>
              </w:rPr>
            </w:pPr>
          </w:p>
        </w:tc>
        <w:tc>
          <w:tcPr>
            <w:tcW w:w="9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Par Value</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3"/>
                <w:szCs w:val="13"/>
                <w:color w:val="auto"/>
              </w:rPr>
            </w:pPr>
          </w:p>
        </w:tc>
        <w:tc>
          <w:tcPr>
            <w:tcW w:w="82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7"/>
              </w:rPr>
              <w:t>Common</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w w:val="95"/>
              </w:rPr>
              <w:t>(In Thousands)</w:t>
            </w: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26,638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$ 2,664</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$162,092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$153,888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(28,374)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$293,270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40,336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40,336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preferred stocks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829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w w:val="91"/>
              </w:rPr>
              <w:t>Excess income tax benefit associated with 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223</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redeemable preferred stock to common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Balance at June 30, 2012</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26,680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$ 2,668</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163,479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193,924</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(28,374)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334,697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2012 and 2011</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240" w:type="dxa"/>
            <w:vAlign w:val="bottom"/>
            <w:gridSpan w:val="2"/>
          </w:tcPr>
          <w:p>
            <w:pPr>
              <w:jc w:val="right"/>
              <w:ind w:right="94"/>
              <w:spacing w:after="0"/>
              <w:rPr>
                <w:sz w:val="20"/>
                <w:szCs w:val="20"/>
                <w:color w:val="auto"/>
              </w:rPr>
            </w:pPr>
            <w:r>
              <w:rPr>
                <w:rFonts w:ascii="Arial" w:cs="Arial" w:eastAsia="Arial" w:hAnsi="Arial"/>
                <w:sz w:val="14"/>
                <w:szCs w:val="14"/>
                <w:color w:val="auto"/>
              </w:rPr>
              <w:t>2012</w:t>
            </w:r>
          </w:p>
        </w:tc>
        <w:tc>
          <w:tcPr>
            <w:tcW w:w="200" w:type="dxa"/>
            <w:vAlign w:val="bottom"/>
          </w:tcPr>
          <w:p>
            <w:pPr>
              <w:spacing w:after="0"/>
              <w:rPr>
                <w:sz w:val="14"/>
                <w:szCs w:val="14"/>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Borders>
              <w:top w:val="single" w:sz="8" w:color="auto"/>
            </w:tcBorders>
            <w:gridSpan w:val="4"/>
          </w:tcPr>
          <w:p>
            <w:pPr>
              <w:jc w:val="right"/>
              <w:ind w:right="312"/>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1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income</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$ 40,336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$ 49,548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continuing operating activities:</w:t>
            </w:r>
          </w:p>
        </w:tc>
        <w:tc>
          <w:tcPr>
            <w:tcW w:w="1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Net loss from discontinued operations</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118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2,539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6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 associated with modification of secured term loan</w:t>
            </w:r>
          </w:p>
        </w:tc>
        <w:tc>
          <w:tcPr>
            <w:tcW w:w="1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Expense associated with induced conversion of 5.5% convertible debentures</w:t>
            </w:r>
          </w:p>
        </w:tc>
        <w:tc>
          <w:tcPr>
            <w:tcW w:w="16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gain on carbon credits</w:t>
            </w:r>
          </w:p>
        </w:tc>
        <w:tc>
          <w:tcPr>
            <w:tcW w:w="1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Losses on sales and disposals of property and equipment</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551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10,079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170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Provisions for losses on accounts receivable</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123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Provisions for losses on inventory</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Equity in earnings of affiliate</w:t>
            </w:r>
          </w:p>
        </w:tc>
        <w:tc>
          <w:tcPr>
            <w:tcW w:w="2440" w:type="dxa"/>
            <w:vAlign w:val="bottom"/>
            <w:gridSpan w:val="3"/>
          </w:tcPr>
          <w:p>
            <w:pPr>
              <w:jc w:val="right"/>
              <w:ind w:right="140"/>
              <w:spacing w:after="0"/>
              <w:rPr>
                <w:sz w:val="20"/>
                <w:szCs w:val="20"/>
                <w:color w:val="auto"/>
              </w:rPr>
            </w:pPr>
            <w:r>
              <w:rPr>
                <w:rFonts w:ascii="Arial" w:cs="Arial" w:eastAsia="Arial" w:hAnsi="Arial"/>
                <w:sz w:val="18"/>
                <w:szCs w:val="18"/>
                <w:color w:val="auto"/>
              </w:rPr>
              <w:t>(341)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received from affiliate</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Changes in fair value of commodities contracts</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208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fair value of interest rate contracts</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Cash provided (used) by changes in assets and liabilities</w:t>
            </w: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640"/>
              <w:spacing w:after="0"/>
              <w:rPr>
                <w:sz w:val="20"/>
                <w:szCs w:val="20"/>
                <w:color w:val="auto"/>
              </w:rPr>
            </w:pPr>
            <w:r>
              <w:rPr>
                <w:rFonts w:ascii="Arial" w:cs="Arial" w:eastAsia="Arial" w:hAnsi="Arial"/>
                <w:sz w:val="18"/>
                <w:szCs w:val="18"/>
                <w:color w:val="auto"/>
              </w:rPr>
              <w:t>(net of effects of discontinued operations):</w:t>
            </w:r>
          </w:p>
        </w:tc>
        <w:tc>
          <w:tcPr>
            <w:tcW w:w="1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2,305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1,262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supplies, prepaid items and other</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3,087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2440" w:type="dxa"/>
            <w:vAlign w:val="bottom"/>
            <w:gridSpan w:val="3"/>
          </w:tcPr>
          <w:p>
            <w:pPr>
              <w:jc w:val="right"/>
              <w:ind w:right="140"/>
              <w:spacing w:after="0"/>
              <w:rPr>
                <w:sz w:val="20"/>
                <w:szCs w:val="20"/>
                <w:color w:val="auto"/>
              </w:rPr>
            </w:pPr>
            <w:r>
              <w:rPr>
                <w:rFonts w:ascii="Arial" w:cs="Arial" w:eastAsia="Arial" w:hAnsi="Arial"/>
                <w:sz w:val="18"/>
                <w:szCs w:val="18"/>
                <w:color w:val="auto"/>
              </w:rPr>
              <w:t>(10,476)</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payroll and benefits</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(935)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Accrued and prepaid income taxes</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7,375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contractual profit-sharing obligation</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(1,451)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Deferred revenue on product sales</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Customer deposits</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(3,162)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Other current and noncurrent liabilities</w:t>
            </w:r>
          </w:p>
        </w:tc>
        <w:tc>
          <w:tcPr>
            <w:tcW w:w="16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56,522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41,163</w:t>
            </w:r>
          </w:p>
        </w:tc>
        <w:tc>
          <w:tcPr>
            <w:tcW w:w="0" w:type="dxa"/>
            <w:vAlign w:val="bottom"/>
          </w:tcPr>
          <w:p>
            <w:pPr>
              <w:spacing w:after="0"/>
              <w:rPr>
                <w:sz w:val="1"/>
                <w:szCs w:val="1"/>
                <w:color w:val="auto"/>
              </w:rPr>
            </w:pPr>
          </w:p>
        </w:tc>
      </w:tr>
      <w:tr>
        <w:trPr>
          <w:trHeight w:val="323"/>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(32,455)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203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short-term investments</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10,022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Purchase of short-term investments</w:t>
            </w:r>
          </w:p>
        </w:tc>
        <w:tc>
          <w:tcPr>
            <w:tcW w:w="2440" w:type="dxa"/>
            <w:vAlign w:val="bottom"/>
            <w:gridSpan w:val="3"/>
          </w:tcPr>
          <w:p>
            <w:pPr>
              <w:jc w:val="right"/>
              <w:ind w:right="140"/>
              <w:spacing w:after="0"/>
              <w:rPr>
                <w:sz w:val="20"/>
                <w:szCs w:val="20"/>
                <w:color w:val="auto"/>
              </w:rPr>
            </w:pPr>
            <w:r>
              <w:rPr>
                <w:rFonts w:ascii="Arial" w:cs="Arial" w:eastAsia="Arial" w:hAnsi="Arial"/>
                <w:sz w:val="18"/>
                <w:szCs w:val="18"/>
                <w:color w:val="auto"/>
              </w:rPr>
              <w:t>(10,021)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of restricted cash</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Proceeds from sales of carbon credits</w:t>
            </w:r>
          </w:p>
        </w:tc>
        <w:tc>
          <w:tcPr>
            <w:tcW w:w="16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contractual obligations — carbon credits</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6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continuing investing activities</w:t>
            </w:r>
          </w:p>
        </w:tc>
        <w:tc>
          <w:tcPr>
            <w:tcW w:w="1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(32,860)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2012 and 2011</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right"/>
              <w:ind w:right="39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Proceeds from revolving debt facility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209,238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revolving debt facility</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(209,238)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(329,797)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Proceeds from modification of secured term loan, net of fees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secured term loan, net of fees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Payments associated with induced conversion of 5.5% convertible debentures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other long-term debt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Payments on loans secured by cash value of life insurance policies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debt issuance costs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Payments on short-term financing</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Excess income tax benefit associated with stock-based compensation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redeemable preferred stock</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Dividends paid on preferred stocks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continuing financing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13,423</w:t>
            </w:r>
          </w:p>
        </w:tc>
        <w:tc>
          <w:tcPr>
            <w:tcW w:w="0" w:type="dxa"/>
            <w:vAlign w:val="bottom"/>
          </w:tcPr>
          <w:p>
            <w:pPr>
              <w:spacing w:after="0"/>
              <w:rPr>
                <w:sz w:val="1"/>
                <w:szCs w:val="1"/>
                <w:color w:val="auto"/>
              </w:rPr>
            </w:pPr>
          </w:p>
        </w:tc>
      </w:tr>
      <w:tr>
        <w:trPr>
          <w:trHeight w:val="323"/>
        </w:trPr>
        <w:tc>
          <w:tcPr>
            <w:tcW w:w="7820" w:type="dxa"/>
            <w:vAlign w:val="bottom"/>
            <w:gridSpan w:val="2"/>
          </w:tcPr>
          <w:p>
            <w:pPr>
              <w:spacing w:after="0"/>
              <w:rPr>
                <w:sz w:val="20"/>
                <w:szCs w:val="20"/>
                <w:color w:val="auto"/>
              </w:rPr>
            </w:pPr>
            <w:r>
              <w:rPr>
                <w:rFonts w:ascii="Arial" w:cs="Arial" w:eastAsia="Arial" w:hAnsi="Arial"/>
                <w:sz w:val="18"/>
                <w:szCs w:val="18"/>
                <w:color w:val="auto"/>
              </w:rPr>
              <w:t>Cash flows of discontinued operations: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cash flows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1"/>
        </w:trPr>
        <w:tc>
          <w:tcPr>
            <w:tcW w:w="78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124,929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138,699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115,998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2"/>
          </w:tcPr>
          <w:p>
            <w:pPr>
              <w:spacing w:after="0"/>
              <w:rPr>
                <w:sz w:val="20"/>
                <w:szCs w:val="20"/>
                <w:color w:val="auto"/>
              </w:rPr>
            </w:pPr>
            <w:r>
              <w:rPr>
                <w:rFonts w:ascii="Arial" w:cs="Arial" w:eastAsia="Arial" w:hAnsi="Arial"/>
                <w:sz w:val="18"/>
                <w:szCs w:val="18"/>
                <w:color w:val="auto"/>
              </w:rPr>
              <w:t>Cash payments for income taxes, net of refunds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13,057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24,619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Insurance claims receivable associated with property, plant and equipment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10,364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 and accounts payable associated with property, plant and equipment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Debt issuance costs incurred associated with secured term loan</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written off associated with 5.5% debentures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Accrued liabilities extinguished associated with 5.5% debentures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5.5% debentures converted to common stock</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24,400</w:t>
            </w:r>
          </w:p>
        </w:tc>
        <w:tc>
          <w:tcPr>
            <w:tcW w:w="0" w:type="dxa"/>
            <w:vAlign w:val="bottom"/>
          </w:tcPr>
          <w:p>
            <w:pPr>
              <w:spacing w:after="0"/>
              <w:rPr>
                <w:sz w:val="1"/>
                <w:szCs w:val="1"/>
                <w:color w:val="auto"/>
              </w:rPr>
            </w:pPr>
          </w:p>
        </w:tc>
      </w:tr>
      <w:tr>
        <w:trPr>
          <w:trHeight w:val="363"/>
        </w:trPr>
        <w:tc>
          <w:tcPr>
            <w:tcW w:w="7820" w:type="dxa"/>
            <w:vAlign w:val="bottom"/>
            <w:gridSpan w:val="2"/>
          </w:tcPr>
          <w:p>
            <w:pPr>
              <w:ind w:left="5680"/>
              <w:spacing w:after="0"/>
              <w:rPr>
                <w:sz w:val="20"/>
                <w:szCs w:val="20"/>
                <w:color w:val="auto"/>
              </w:rPr>
            </w:pPr>
            <w:r>
              <w:rPr>
                <w:rFonts w:ascii="Arial" w:cs="Arial" w:eastAsia="Arial" w:hAnsi="Arial"/>
                <w:sz w:val="18"/>
                <w:szCs w:val="18"/>
                <w:color w:val="auto"/>
              </w:rPr>
              <w:t>8</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For a complete discussion of our significant accounting policies, refer to the notes to our audited consolidated financial statements included in our Form 10-K for the year ended December 31, 2011 (“2011 Form 10-K”), filed with the Securities and Exchange Commission (“SEC”) on February 28, 2012.</w:t>
      </w:r>
    </w:p>
    <w:p>
      <w:pPr>
        <w:spacing w:after="0" w:line="79" w:lineRule="exact"/>
        <w:rPr>
          <w:sz w:val="20"/>
          <w:szCs w:val="20"/>
          <w:color w:val="auto"/>
        </w:rPr>
      </w:pPr>
    </w:p>
    <w:p>
      <w:pPr>
        <w:ind w:right="220"/>
        <w:spacing w:after="0" w:line="320" w:lineRule="auto"/>
        <w:rPr>
          <w:sz w:val="20"/>
          <w:szCs w:val="20"/>
          <w:color w:val="auto"/>
        </w:rPr>
      </w:pPr>
      <w:r>
        <w:rPr>
          <w:rFonts w:ascii="Arial" w:cs="Arial" w:eastAsia="Arial" w:hAnsi="Arial"/>
          <w:sz w:val="15"/>
          <w:szCs w:val="15"/>
          <w:b w:val="1"/>
          <w:bCs w:val="1"/>
          <w:color w:val="auto"/>
        </w:rPr>
        <w:t xml:space="preserve">Basis of Consolidation and Presentation — </w:t>
      </w:r>
      <w:r>
        <w:rPr>
          <w:rFonts w:ascii="Arial" w:cs="Arial" w:eastAsia="Arial" w:hAnsi="Arial"/>
          <w:sz w:val="15"/>
          <w:szCs w:val="15"/>
          <w:color w:val="auto"/>
        </w:rPr>
        <w:t>LSB Industries, Inc. (“LSB”) and its subsidiaries (the “Company”, “We”, “Us”, or “Our”) are consolidated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accompanying condensed consolidated financial statements. We are primarily engaged in the manufacture and sale of geothermal and water source heat pumps and air handling products (the “Climate Control Business”) and the manufacture and sale of chemical products (the “Chemical Business”). LSB is a holding company with no significant operations or assets other than cash, cash equivalents, and investments in its subsidiaries. Entities that are 20% to 50% owned and for which we have significant influence are accounted for on the equity method. All material intercompany accounts and transactions have been eliminated.</w:t>
      </w:r>
    </w:p>
    <w:p>
      <w:pPr>
        <w:spacing w:after="0" w:line="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the opinion of management, the unaudited condensed consolidated financial statements of the Company as of June 30, 2012 and for the six and three-month periods ended June 30, 2012 and 2011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United States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2011 Form 10-K.</w:t>
      </w:r>
    </w:p>
    <w:p>
      <w:pPr>
        <w:spacing w:after="0" w:line="137"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Income per Common Share — </w:t>
      </w:r>
      <w:r>
        <w:rPr>
          <w:rFonts w:ascii="Arial" w:cs="Arial" w:eastAsia="Arial" w:hAnsi="Arial"/>
          <w:sz w:val="16"/>
          <w:szCs w:val="16"/>
          <w:color w:val="auto"/>
        </w:rPr>
        <w:t>Net income applicable to common stock is computed by adjusting net income by the amount of preferred stock dividends and</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requirements, if applicable. Basic income per common share is based upon net income applicable to common stock and the weighted-average number of common shares outstanding during each year. Diluted income per share is based on net income applicable to common stock plus preferred stock dividends and dividend requirements on preferred stock assumed to be converted, if dilutive, and interest expense including amortization of debt issuance cost, net of income taxes, on convertible debt assumed to be converted, if dilutive, and the weighted-average number of common shares and dilutive common equivalent shares outstanding, and the assumed conversion of dilutive convertible securities outstanding.</w:t>
      </w:r>
    </w:p>
    <w:p>
      <w:pPr>
        <w:spacing w:after="0" w:line="11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 xml:space="preserve">Short-Term Investments — </w:t>
      </w:r>
      <w:r>
        <w:rPr>
          <w:rFonts w:ascii="Arial" w:cs="Arial" w:eastAsia="Arial" w:hAnsi="Arial"/>
          <w:sz w:val="18"/>
          <w:szCs w:val="18"/>
          <w:color w:val="auto"/>
        </w:rPr>
        <w:t>Investments, which consisted of certificates of deposit with an original maturity of 13 weeks, are considered short-term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These investments are carried at cost which approximates fair value. All of these investments were held by financial institutions within the U.S. and none of these investments were in excess of the federally insured limits.</w:t>
      </w:r>
    </w:p>
    <w:p>
      <w:pPr>
        <w:spacing w:after="0" w:line="132"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 xml:space="preserve">Accounts Receivable — </w:t>
      </w:r>
      <w:r>
        <w:rPr>
          <w:rFonts w:ascii="Arial" w:cs="Arial" w:eastAsia="Arial" w:hAnsi="Arial"/>
          <w:sz w:val="18"/>
          <w:szCs w:val="18"/>
          <w:color w:val="auto"/>
        </w:rPr>
        <w:t>Our accounts receivable are stated at net realizable value. This value includes an appropriate allowance for estimated uncollectible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to reflect any loss anticipated on accounts receivable balances. Our estimate is based on historical experience and periodic assessment of outstanding accounts receivable, particularly those accounts which are past due (based upon the terms of the sale). Our periodic assessment of our accounts receivable is based on our best estimate of amounts that are not recoverable.</w:t>
      </w:r>
    </w:p>
    <w:p>
      <w:pPr>
        <w:spacing w:after="0" w:line="136"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color w:val="auto"/>
        </w:rPr>
        <w:t xml:space="preserve">Inventories — </w:t>
      </w:r>
      <w:r>
        <w:rPr>
          <w:rFonts w:ascii="Arial" w:cs="Arial" w:eastAsia="Arial" w:hAnsi="Arial"/>
          <w:sz w:val="18"/>
          <w:szCs w:val="18"/>
          <w:color w:val="auto"/>
        </w:rPr>
        <w:t>Inventories are stated at the lower of cost (determined using the first-in, first-out (“FIFO”) basis) or market (net realizable value). Finished goods</w:t>
      </w:r>
      <w:r>
        <w:rPr>
          <w:rFonts w:ascii="Arial" w:cs="Arial" w:eastAsia="Arial" w:hAnsi="Arial"/>
          <w:sz w:val="18"/>
          <w:szCs w:val="18"/>
          <w:b w:val="1"/>
          <w:bCs w:val="1"/>
          <w:color w:val="auto"/>
        </w:rPr>
        <w:t xml:space="preserve"> </w:t>
      </w:r>
      <w:r>
        <w:rPr>
          <w:rFonts w:ascii="Arial" w:cs="Arial" w:eastAsia="Arial" w:hAnsi="Arial"/>
          <w:sz w:val="18"/>
          <w:szCs w:val="18"/>
          <w:color w:val="auto"/>
        </w:rPr>
        <w:t>and work-in-process inventories include material, labor, and manufacturing overhead costs. Additionally, we review inventories and record inventory reserves for slow-moving inventory items.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Precious Metals — </w:t>
      </w:r>
      <w:r>
        <w:rPr>
          <w:rFonts w:ascii="Arial" w:cs="Arial" w:eastAsia="Arial" w:hAnsi="Arial"/>
          <w:sz w:val="16"/>
          <w:szCs w:val="16"/>
          <w:color w:val="auto"/>
        </w:rPr>
        <w:t>Precious metals are used as a catalyst in the Chemical Business manufacturing process. Precious metals are carried at cost, with cost being</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using the FIFO basis. Because some of the catalyst consumed in the production process cannot be readily recovered and the amount and timing of recoveries are not predictable, we follow the practice of expensing precious metals as they are consumed. Occasionally, during major maintenance or capital projects, we may be able to perform procedures to recover precious metals (previously expensed) which have accumulated over time within the manufacturing equipment. Recoveries of precious metals are recognized at historical FIFO costs. When we accumulate precious metals in excess of our production requirements, we may sell a portion of the excess metals.</w:t>
      </w:r>
    </w:p>
    <w:p>
      <w:pPr>
        <w:spacing w:after="0" w:line="111"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 xml:space="preserve">Product Warranty — </w:t>
      </w:r>
      <w:r>
        <w:rPr>
          <w:rFonts w:ascii="Arial" w:cs="Arial" w:eastAsia="Arial" w:hAnsi="Arial"/>
          <w:sz w:val="16"/>
          <w:szCs w:val="16"/>
          <w:color w:val="auto"/>
        </w:rPr>
        <w:t>Our Climate Control Business sells equipment that has an expected life, under normal circumstances and use, which extends over several</w:t>
      </w:r>
      <w:r>
        <w:rPr>
          <w:rFonts w:ascii="Arial" w:cs="Arial" w:eastAsia="Arial" w:hAnsi="Arial"/>
          <w:sz w:val="16"/>
          <w:szCs w:val="16"/>
          <w:b w:val="1"/>
          <w:bCs w:val="1"/>
          <w:color w:val="auto"/>
        </w:rPr>
        <w:t xml:space="preserve"> </w:t>
      </w:r>
      <w:r>
        <w:rPr>
          <w:rFonts w:ascii="Arial" w:cs="Arial" w:eastAsia="Arial" w:hAnsi="Arial"/>
          <w:sz w:val="16"/>
          <w:szCs w:val="16"/>
          <w:color w:val="auto"/>
        </w:rPr>
        <w:t>years. As such, we provide warranties after equipment shipment/start up covering defects in materials and workmanship.</w:t>
      </w:r>
    </w:p>
    <w:p>
      <w:pPr>
        <w:spacing w:after="0" w:line="8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accounting policy and methodology for warranty arrangements is to measure and recognize the expense and liability for such warranty obligations at the time of sale using a percentage of sales and cost per unit of equipment, based upon our historical and estimated future warranty costs. We also recognize the additional warranty expense and liability to cover atypical costs associated with a specific product, or component thereof, or project installation, when such costs are probable and reasonably estimable. It is reasonably possible that our estimated accrued warranty costs could change in the near term.</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Contingencies — </w:t>
      </w:r>
      <w:r>
        <w:rPr>
          <w:rFonts w:ascii="Arial" w:cs="Arial" w:eastAsia="Arial" w:hAnsi="Arial"/>
          <w:sz w:val="16"/>
          <w:szCs w:val="16"/>
          <w:color w:val="auto"/>
        </w:rPr>
        <w:t>Certain conditions may exist which may result in a loss, but which will only be resolved when future events occur. We and our legal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112"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 xml:space="preserve">Derivatives, Hedges, Financial Instruments and Carbon Credits — </w:t>
      </w:r>
      <w:r>
        <w:rPr>
          <w:rFonts w:ascii="Arial" w:cs="Arial" w:eastAsia="Arial" w:hAnsi="Arial"/>
          <w:sz w:val="16"/>
          <w:szCs w:val="16"/>
          <w:color w:val="auto"/>
        </w:rPr>
        <w:t>Derivatives are recognized in the balance sheet and are measured at fair value. Changes in</w:t>
      </w:r>
      <w:r>
        <w:rPr>
          <w:rFonts w:ascii="Arial" w:cs="Arial" w:eastAsia="Arial" w:hAnsi="Arial"/>
          <w:sz w:val="16"/>
          <w:szCs w:val="16"/>
          <w:b w:val="1"/>
          <w:bCs w:val="1"/>
          <w:color w:val="auto"/>
        </w:rPr>
        <w:t xml:space="preserve"> </w:t>
      </w:r>
      <w:r>
        <w:rPr>
          <w:rFonts w:ascii="Arial" w:cs="Arial" w:eastAsia="Arial" w:hAnsi="Arial"/>
          <w:sz w:val="16"/>
          <w:szCs w:val="16"/>
          <w:color w:val="auto"/>
        </w:rPr>
        <w:t>fair value of derivatives are recorded in results of operations unless the normal purchase or sale exceptions apply or hedge accounting is elected.</w:t>
      </w:r>
    </w:p>
    <w:p>
      <w:pPr>
        <w:spacing w:after="0" w:line="80"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Climate reserve tonnes (“carbon credits”) are recognized in the balance sheet and are measured at fair value. Changes in fair value of carbon credits are recorded in results of operations. Contractual obligations associated with carbon credits are recognized in the balance sheet and are measured at fair value unless we enter into a firm sales commitment to sell the associated carbon credits. When we enter into a firm sales commitment, the sales price, pursuant to the terms of the firm sales commitment, establishes the amount of the associated contractual obligation. Changes in fair value of contractual obligations associated with carbon credits are recorded in results of operations.</w:t>
      </w:r>
    </w:p>
    <w:p>
      <w:pPr>
        <w:spacing w:after="0" w:line="13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Income Taxes — </w:t>
      </w:r>
      <w:r>
        <w:rPr>
          <w:rFonts w:ascii="Arial" w:cs="Arial" w:eastAsia="Arial" w:hAnsi="Arial"/>
          <w:sz w:val="18"/>
          <w:szCs w:val="18"/>
          <w:color w:val="auto"/>
        </w:rPr>
        <w:t>We do not recognize a tax benefit unless we conclude that it is more-likely-than-not that the benefit will be sustained on audit by the taxing</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based solely on the technical merits of the associated tax position. If the recognition threshold is met, we recognize a tax benefit measured at the largest amount of the tax benefit that, in our judgment, is greater than 50% likely to be realized. We also record interest related to unrecognized tax positions in interest expense and penalties in operating other expense.</w:t>
      </w:r>
    </w:p>
    <w:p>
      <w:pPr>
        <w:spacing w:after="0" w:line="14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Income tax benefits associated with amounts that are deductible for income tax purposes but that do not affect earnings are credited to equity. These benefits are principally generated from exercises of non-qualified stock options.</w:t>
      </w:r>
    </w:p>
    <w:p>
      <w:pPr>
        <w:spacing w:after="0" w:line="126"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 xml:space="preserve">Recognition of Insurance Recoveries — </w:t>
      </w:r>
      <w:r>
        <w:rPr>
          <w:rFonts w:ascii="Arial" w:cs="Arial" w:eastAsia="Arial" w:hAnsi="Arial"/>
          <w:sz w:val="18"/>
          <w:szCs w:val="18"/>
          <w:color w:val="auto"/>
        </w:rPr>
        <w:t>If an insurance claim relates to a recovery of our losses, we recognize the recovery when it is probable and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estimable. If our insurance claim relates to a contingent gain, we recognize the recovery when it is realized or realizable and earned. Amounts recoverable from our insurance carriers, if any, are included in accounts receivable.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Recently Issued Accounting Pronouncements — </w:t>
      </w:r>
      <w:r>
        <w:rPr>
          <w:rFonts w:ascii="Arial" w:cs="Arial" w:eastAsia="Arial" w:hAnsi="Arial"/>
          <w:sz w:val="18"/>
          <w:szCs w:val="18"/>
          <w:color w:val="auto"/>
        </w:rPr>
        <w:t>In 2011, the Financial Accounting Standards Board (“FASB”) issued an accounting standards update (“ASU”)</w:t>
      </w:r>
      <w:r>
        <w:rPr>
          <w:rFonts w:ascii="Arial" w:cs="Arial" w:eastAsia="Arial" w:hAnsi="Arial"/>
          <w:sz w:val="18"/>
          <w:szCs w:val="18"/>
          <w:b w:val="1"/>
          <w:bCs w:val="1"/>
          <w:color w:val="auto"/>
        </w:rPr>
        <w:t xml:space="preserve"> </w:t>
      </w:r>
      <w:r>
        <w:rPr>
          <w:rFonts w:ascii="Arial" w:cs="Arial" w:eastAsia="Arial" w:hAnsi="Arial"/>
          <w:sz w:val="18"/>
          <w:szCs w:val="18"/>
          <w:color w:val="auto"/>
        </w:rPr>
        <w:t>clarifying how to measure and disclose fair value. The requirements under this ASU became effective for us on January 1, 2012 and were applied prospectively. See Note 9 — Derivatives, Hedges, Financial Instruments and Carbon Credits.</w:t>
      </w:r>
    </w:p>
    <w:p>
      <w:pPr>
        <w:spacing w:after="0" w:line="138" w:lineRule="exact"/>
        <w:rPr>
          <w:sz w:val="20"/>
          <w:szCs w:val="20"/>
          <w:color w:val="auto"/>
        </w:rPr>
      </w:pPr>
    </w:p>
    <w:p>
      <w:pPr>
        <w:ind w:right="420"/>
        <w:spacing w:after="0" w:line="318" w:lineRule="auto"/>
        <w:rPr>
          <w:sz w:val="20"/>
          <w:szCs w:val="20"/>
          <w:color w:val="auto"/>
        </w:rPr>
      </w:pPr>
      <w:r>
        <w:rPr>
          <w:rFonts w:ascii="Arial" w:cs="Arial" w:eastAsia="Arial" w:hAnsi="Arial"/>
          <w:sz w:val="15"/>
          <w:szCs w:val="15"/>
          <w:color w:val="auto"/>
        </w:rPr>
        <w:t>In 2011, the FASB issued ASUs amending comprehensive income guidance, which eliminate the option to present the components of other comprehensive income as part of the statement of stockholders’ equity. Instead, we must report comprehensive income, if any, in either a single continuous statement of comprehensive income which contains two sections, net income and other comprehensive income, or in two separate but consecutive statements. The requirements under these ASUs became effective for us on January 1, 2012; however, because we did not have any items of other comprehensive income to report for the periods presented, the adoption of these ASUs did not impact the accompanying condensed financial statements.</w:t>
      </w:r>
    </w:p>
    <w:p>
      <w:pPr>
        <w:spacing w:after="0" w:line="100"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In 2011, the FASB issued an ASU requiring additional disclosures about an entity’s offsetting (netting) of certain assets and liabilities for the purpose of improving the transparency of financial reporting. Entities are required to disclose both gross information and net information about both instruments and transactions eligible for offset in the balance sheet and instruments and transactions subject to an agreement similar to a master netting arrangement. The new disclosure requirements become effective for us on January 1, 2013. The disclosure requirements are to be applied retrospectively.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Income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common share:</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(Dollars in Thousands, Except Per Share Amounts)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1000"/>
              <w:spacing w:after="0"/>
              <w:rPr>
                <w:sz w:val="20"/>
                <w:szCs w:val="20"/>
                <w:color w:val="auto"/>
              </w:rPr>
            </w:pPr>
            <w:r>
              <w:rPr>
                <w:rFonts w:ascii="Arial" w:cs="Arial" w:eastAsia="Arial" w:hAnsi="Arial"/>
                <w:sz w:val="14"/>
                <w:szCs w:val="14"/>
                <w:color w:val="auto"/>
              </w:rPr>
              <w:t>Six Months Ended</w:t>
            </w:r>
          </w:p>
        </w:tc>
        <w:tc>
          <w:tcPr>
            <w:tcW w:w="80" w:type="dxa"/>
            <w:vAlign w:val="bottom"/>
          </w:tcPr>
          <w:p>
            <w:pPr>
              <w:spacing w:after="0"/>
              <w:rPr>
                <w:sz w:val="14"/>
                <w:szCs w:val="14"/>
                <w:color w:val="auto"/>
              </w:rPr>
            </w:pPr>
          </w:p>
        </w:tc>
        <w:tc>
          <w:tcPr>
            <w:tcW w:w="2180" w:type="dxa"/>
            <w:vAlign w:val="bottom"/>
            <w:gridSpan w:val="5"/>
          </w:tcPr>
          <w:p>
            <w:pPr>
              <w:ind w:left="4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2"/>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June 30,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6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5"/>
              <w:spacing w:after="0" w:line="159"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3"/>
              <w:spacing w:after="0" w:line="159" w:lineRule="exact"/>
              <w:rPr>
                <w:sz w:val="20"/>
                <w:szCs w:val="20"/>
                <w:color w:val="auto"/>
              </w:rPr>
            </w:pPr>
            <w:r>
              <w:rPr>
                <w:rFonts w:ascii="Arial" w:cs="Arial" w:eastAsia="Arial" w:hAnsi="Arial"/>
                <w:sz w:val="14"/>
                <w:szCs w:val="14"/>
                <w:color w:val="auto"/>
              </w:rPr>
              <w:t>2011</w:t>
            </w:r>
          </w:p>
        </w:tc>
        <w:tc>
          <w:tcPr>
            <w:tcW w:w="4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5"/>
              <w:spacing w:after="0" w:line="159"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3"/>
              <w:spacing w:after="0" w:line="159"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40,336</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49,548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26,033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on Series B Preferred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ind w:left="880"/>
              <w:spacing w:after="0"/>
              <w:rPr>
                <w:sz w:val="20"/>
                <w:szCs w:val="20"/>
                <w:color w:val="auto"/>
              </w:rPr>
            </w:pPr>
            <w:r>
              <w:rPr>
                <w:rFonts w:ascii="Arial" w:cs="Arial" w:eastAsia="Arial" w:hAnsi="Arial"/>
                <w:sz w:val="18"/>
                <w:szCs w:val="18"/>
                <w:color w:val="auto"/>
              </w:rPr>
              <w:t>Dividends on Series D Preferred</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on Noncumulative Preferred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1300"/>
              <w:spacing w:after="0"/>
              <w:rPr>
                <w:sz w:val="20"/>
                <w:szCs w:val="20"/>
                <w:color w:val="auto"/>
              </w:rPr>
            </w:pPr>
            <w:r>
              <w:rPr>
                <w:rFonts w:ascii="Arial" w:cs="Arial" w:eastAsia="Arial" w:hAnsi="Arial"/>
                <w:sz w:val="18"/>
                <w:szCs w:val="18"/>
                <w:color w:val="auto"/>
              </w:rPr>
              <w:t>Total dividends on preferred stocks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Numerator for basic net income per common share — net income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applicable to common stock</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40,036</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49,243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26,033</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640" w:type="dxa"/>
            <w:vAlign w:val="bottom"/>
          </w:tcPr>
          <w:p>
            <w:pPr>
              <w:ind w:left="880"/>
              <w:spacing w:after="0"/>
              <w:rPr>
                <w:sz w:val="20"/>
                <w:szCs w:val="20"/>
                <w:color w:val="auto"/>
              </w:rPr>
            </w:pPr>
            <w:r>
              <w:rPr>
                <w:rFonts w:ascii="Arial" w:cs="Arial" w:eastAsia="Arial" w:hAnsi="Arial"/>
                <w:sz w:val="18"/>
                <w:szCs w:val="18"/>
                <w:color w:val="auto"/>
              </w:rPr>
              <w:t>Dividends on preferred stocks assumed to be converted, if</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1080"/>
              <w:spacing w:after="0"/>
              <w:rPr>
                <w:sz w:val="20"/>
                <w:szCs w:val="20"/>
                <w:color w:val="auto"/>
              </w:rPr>
            </w:pPr>
            <w:r>
              <w:rPr>
                <w:rFonts w:ascii="Arial" w:cs="Arial" w:eastAsia="Arial" w:hAnsi="Arial"/>
                <w:sz w:val="18"/>
                <w:szCs w:val="18"/>
                <w:color w:val="auto"/>
              </w:rPr>
              <w:t>dilutive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Interest expense including amortization of debt issuance costs,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of income taxes, on convertible debt assumed to be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converted, if dilutive</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ind w:left="440"/>
              <w:spacing w:after="0"/>
              <w:rPr>
                <w:sz w:val="20"/>
                <w:szCs w:val="20"/>
                <w:color w:val="auto"/>
              </w:rPr>
            </w:pPr>
            <w:r>
              <w:rPr>
                <w:rFonts w:ascii="Arial" w:cs="Arial" w:eastAsia="Arial" w:hAnsi="Arial"/>
                <w:sz w:val="18"/>
                <w:szCs w:val="18"/>
                <w:color w:val="auto"/>
              </w:rPr>
              <w:t>Numerator for diluted net income per common share</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40,336</w:t>
            </w: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49,838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26,033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40" w:type="dxa"/>
            <w:vAlign w:val="bottom"/>
          </w:tcPr>
          <w:p>
            <w:pPr>
              <w:ind w:left="440"/>
              <w:spacing w:after="0"/>
              <w:rPr>
                <w:sz w:val="20"/>
                <w:szCs w:val="20"/>
                <w:color w:val="auto"/>
              </w:rPr>
            </w:pPr>
            <w:r>
              <w:rPr>
                <w:rFonts w:ascii="Arial" w:cs="Arial" w:eastAsia="Arial" w:hAnsi="Arial"/>
                <w:sz w:val="18"/>
                <w:szCs w:val="18"/>
                <w:color w:val="auto"/>
                <w:w w:val="97"/>
              </w:rPr>
              <w:t>Denominator for basic net income per common share — weighted-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660"/>
              <w:spacing w:after="0"/>
              <w:rPr>
                <w:sz w:val="20"/>
                <w:szCs w:val="20"/>
                <w:color w:val="auto"/>
              </w:rPr>
            </w:pPr>
            <w:r>
              <w:rPr>
                <w:rFonts w:ascii="Arial" w:cs="Arial" w:eastAsia="Arial" w:hAnsi="Arial"/>
                <w:sz w:val="18"/>
                <w:szCs w:val="18"/>
                <w:color w:val="auto"/>
              </w:rPr>
              <w:t>average shares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22,332,303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21,656,508</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22,340,826</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22,133,217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Effective of dilutive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300"/>
              <w:spacing w:after="0"/>
              <w:rPr>
                <w:sz w:val="20"/>
                <w:szCs w:val="20"/>
                <w:color w:val="auto"/>
              </w:rPr>
            </w:pPr>
            <w:r>
              <w:rPr>
                <w:rFonts w:ascii="Arial" w:cs="Arial" w:eastAsia="Arial" w:hAnsi="Arial"/>
                <w:sz w:val="18"/>
                <w:szCs w:val="18"/>
                <w:color w:val="auto"/>
              </w:rPr>
              <w:t>Convertible preferred stocks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917,346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935,626</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916,666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935,626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266,776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359,158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251,838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300"/>
              <w:spacing w:after="0"/>
              <w:rPr>
                <w:sz w:val="20"/>
                <w:szCs w:val="20"/>
                <w:color w:val="auto"/>
              </w:rPr>
            </w:pPr>
            <w:r>
              <w:rPr>
                <w:rFonts w:ascii="Arial" w:cs="Arial" w:eastAsia="Arial" w:hAnsi="Arial"/>
                <w:sz w:val="18"/>
                <w:szCs w:val="18"/>
                <w:color w:val="auto"/>
              </w:rPr>
              <w:t>Convertible notes payable</w:t>
            </w:r>
          </w:p>
        </w:tc>
        <w:tc>
          <w:tcPr>
            <w:tcW w:w="10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534,146</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Dilutive potential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1,184,122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1,828,930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1,168,504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1,393,260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440"/>
              <w:spacing w:after="0"/>
              <w:rPr>
                <w:sz w:val="20"/>
                <w:szCs w:val="20"/>
                <w:color w:val="auto"/>
              </w:rPr>
            </w:pPr>
            <w:r>
              <w:rPr>
                <w:rFonts w:ascii="Arial" w:cs="Arial" w:eastAsia="Arial" w:hAnsi="Arial"/>
                <w:sz w:val="18"/>
                <w:szCs w:val="18"/>
                <w:color w:val="auto"/>
                <w:w w:val="97"/>
              </w:rPr>
              <w:t>Denominator for diluted net income per common share — adjusted</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660"/>
              <w:spacing w:after="0"/>
              <w:rPr>
                <w:sz w:val="20"/>
                <w:szCs w:val="20"/>
                <w:color w:val="auto"/>
              </w:rPr>
            </w:pPr>
            <w:r>
              <w:rPr>
                <w:rFonts w:ascii="Arial" w:cs="Arial" w:eastAsia="Arial" w:hAnsi="Arial"/>
                <w:sz w:val="18"/>
                <w:szCs w:val="18"/>
                <w:color w:val="auto"/>
              </w:rPr>
              <w:t>weighted-average shares and assumed conversions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23,516,425</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23,485,438</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23,509,330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23,526,477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Diluted net 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per common share as their effect would have been antidilutive:</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color w:val="auto"/>
                <w:w w:val="87"/>
              </w:rPr>
              <w:t>Six Months Ended</w:t>
            </w:r>
          </w:p>
        </w:tc>
        <w:tc>
          <w:tcPr>
            <w:tcW w:w="300" w:type="dxa"/>
            <w:vAlign w:val="bottom"/>
          </w:tcPr>
          <w:p>
            <w:pPr>
              <w:spacing w:after="0"/>
              <w:rPr>
                <w:sz w:val="14"/>
                <w:szCs w:val="14"/>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color w:val="auto"/>
                <w:w w:val="97"/>
              </w:rPr>
              <w:t>Three Months Ended</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20" w:type="dxa"/>
            <w:vAlign w:val="bottom"/>
            <w:gridSpan w:val="2"/>
          </w:tcPr>
          <w:p>
            <w:pPr>
              <w:jc w:val="center"/>
              <w:ind w:left="246"/>
              <w:spacing w:after="0" w:line="149" w:lineRule="exact"/>
              <w:rPr>
                <w:sz w:val="20"/>
                <w:szCs w:val="20"/>
                <w:color w:val="auto"/>
              </w:rPr>
            </w:pPr>
            <w:r>
              <w:rPr>
                <w:rFonts w:ascii="Arial" w:cs="Arial" w:eastAsia="Arial" w:hAnsi="Arial"/>
                <w:sz w:val="14"/>
                <w:szCs w:val="14"/>
                <w:color w:val="auto"/>
                <w:w w:val="81"/>
              </w:rPr>
              <w:t>June 30,</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93"/>
              </w:rPr>
              <w:t>June 30,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60" w:type="dxa"/>
            <w:vAlign w:val="bottom"/>
          </w:tcPr>
          <w:p>
            <w:pPr>
              <w:spacing w:after="0"/>
              <w:rPr>
                <w:sz w:val="13"/>
                <w:szCs w:val="13"/>
                <w:color w:val="auto"/>
              </w:rPr>
            </w:pPr>
          </w:p>
        </w:tc>
        <w:tc>
          <w:tcPr>
            <w:tcW w:w="5140" w:type="dxa"/>
            <w:vAlign w:val="bottom"/>
            <w:gridSpan w:val="2"/>
          </w:tcPr>
          <w:p>
            <w:pPr>
              <w:jc w:val="right"/>
              <w:ind w:right="106"/>
              <w:spacing w:after="0" w:line="159" w:lineRule="exact"/>
              <w:rPr>
                <w:sz w:val="20"/>
                <w:szCs w:val="20"/>
                <w:color w:val="auto"/>
              </w:rPr>
            </w:pPr>
            <w:r>
              <w:rPr>
                <w:rFonts w:ascii="Arial" w:cs="Arial" w:eastAsia="Arial" w:hAnsi="Arial"/>
                <w:sz w:val="14"/>
                <w:szCs w:val="14"/>
                <w:color w:val="auto"/>
              </w:rPr>
              <w:t>2012</w:t>
            </w:r>
          </w:p>
        </w:tc>
        <w:tc>
          <w:tcPr>
            <w:tcW w:w="30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w w:val="89"/>
              </w:rPr>
              <w:t>2011</w:t>
            </w:r>
          </w:p>
        </w:tc>
        <w:tc>
          <w:tcPr>
            <w:tcW w:w="960" w:type="dxa"/>
            <w:vAlign w:val="bottom"/>
            <w:gridSpan w:val="2"/>
          </w:tcPr>
          <w:p>
            <w:pPr>
              <w:jc w:val="right"/>
              <w:ind w:right="126"/>
              <w:spacing w:after="0" w:line="159" w:lineRule="exact"/>
              <w:rPr>
                <w:sz w:val="20"/>
                <w:szCs w:val="20"/>
                <w:color w:val="auto"/>
              </w:rPr>
            </w:pPr>
            <w:r>
              <w:rPr>
                <w:rFonts w:ascii="Arial" w:cs="Arial" w:eastAsia="Arial" w:hAnsi="Arial"/>
                <w:sz w:val="14"/>
                <w:szCs w:val="14"/>
                <w:color w:val="auto"/>
              </w:rPr>
              <w:t>2012</w:t>
            </w:r>
          </w:p>
        </w:tc>
        <w:tc>
          <w:tcPr>
            <w:tcW w:w="28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4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254,000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254,000</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520" w:type="dxa"/>
            <w:vAlign w:val="bottom"/>
            <w:vMerge w:val="restart"/>
          </w:tcPr>
          <w:p>
            <w:pPr>
              <w:jc w:val="right"/>
              <w:ind w:right="2162"/>
              <w:spacing w:after="0"/>
              <w:rPr>
                <w:sz w:val="20"/>
                <w:szCs w:val="20"/>
                <w:color w:val="auto"/>
              </w:rPr>
            </w:pPr>
            <w:r>
              <w:rPr>
                <w:rFonts w:ascii="Arial" w:cs="Arial" w:eastAsia="Arial" w:hAnsi="Arial"/>
                <w:sz w:val="18"/>
                <w:szCs w:val="18"/>
                <w:color w:val="auto"/>
              </w:rPr>
              <w:t>12</w:t>
            </w: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6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Accounts Receivable, net </w:t>
      </w:r>
      <w:r>
        <w:rPr>
          <w:rFonts w:ascii="Arial" w:cs="Arial" w:eastAsia="Arial" w:hAnsi="Arial"/>
          <w:sz w:val="18"/>
          <w:szCs w:val="18"/>
          <w:color w:val="auto"/>
        </w:rPr>
        <w:t>Our accounts receivables, net, consists of the following:</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940" w:type="dxa"/>
            <w:vAlign w:val="bottom"/>
            <w:gridSpan w:val="2"/>
          </w:tcPr>
          <w:p>
            <w:pPr>
              <w:jc w:val="right"/>
              <w:ind w:right="352"/>
              <w:spacing w:after="0"/>
              <w:rPr>
                <w:sz w:val="20"/>
                <w:szCs w:val="20"/>
                <w:color w:val="auto"/>
              </w:rPr>
            </w:pPr>
            <w:r>
              <w:rPr>
                <w:rFonts w:ascii="Arial" w:cs="Arial" w:eastAsia="Arial" w:hAnsi="Arial"/>
                <w:sz w:val="14"/>
                <w:szCs w:val="14"/>
                <w:color w:val="auto"/>
                <w:w w:val="93"/>
              </w:rPr>
              <w:t>June 30,</w:t>
            </w:r>
          </w:p>
        </w:tc>
        <w:tc>
          <w:tcPr>
            <w:tcW w:w="1180" w:type="dxa"/>
            <w:vAlign w:val="bottom"/>
            <w:gridSpan w:val="4"/>
          </w:tcPr>
          <w:p>
            <w:pPr>
              <w:ind w:left="300"/>
              <w:spacing w:after="0"/>
              <w:rPr>
                <w:sz w:val="20"/>
                <w:szCs w:val="20"/>
                <w:color w:val="auto"/>
              </w:rPr>
            </w:pPr>
            <w:r>
              <w:rPr>
                <w:rFonts w:ascii="Arial" w:cs="Arial" w:eastAsia="Arial" w:hAnsi="Arial"/>
                <w:sz w:val="14"/>
                <w:szCs w:val="14"/>
                <w:color w:val="auto"/>
                <w:w w:val="97"/>
              </w:rPr>
              <w:t>December 31,</w:t>
            </w:r>
          </w:p>
        </w:tc>
      </w:tr>
      <w:tr>
        <w:trPr>
          <w:trHeight w:val="159"/>
        </w:trPr>
        <w:tc>
          <w:tcPr>
            <w:tcW w:w="656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line="159" w:lineRule="exact"/>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13"/>
                <w:szCs w:val="13"/>
                <w:color w:val="auto"/>
              </w:rPr>
            </w:pPr>
          </w:p>
        </w:tc>
      </w:tr>
      <w:tr>
        <w:trPr>
          <w:trHeight w:val="142"/>
        </w:trPr>
        <w:tc>
          <w:tcPr>
            <w:tcW w:w="6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3"/>
          </w:tcPr>
          <w:p>
            <w:pPr>
              <w:ind w:left="20"/>
              <w:spacing w:after="0" w:line="142" w:lineRule="exact"/>
              <w:rPr>
                <w:sz w:val="20"/>
                <w:szCs w:val="20"/>
                <w:color w:val="auto"/>
              </w:rPr>
            </w:pPr>
            <w:r>
              <w:rPr>
                <w:rFonts w:ascii="Arial" w:cs="Arial" w:eastAsia="Arial" w:hAnsi="Arial"/>
                <w:sz w:val="14"/>
                <w:szCs w:val="14"/>
                <w:color w:val="auto"/>
                <w:w w:val="87"/>
              </w:rPr>
              <w:t>(In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$83,774</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87,303</w:t>
            </w:r>
          </w:p>
        </w:tc>
        <w:tc>
          <w:tcPr>
            <w:tcW w:w="12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Insurance claims</w:t>
            </w:r>
          </w:p>
        </w:tc>
        <w:tc>
          <w:tcPr>
            <w:tcW w:w="580" w:type="dxa"/>
            <w:vAlign w:val="bottom"/>
          </w:tcPr>
          <w:p>
            <w:pPr>
              <w:jc w:val="right"/>
              <w:spacing w:after="0"/>
              <w:rPr>
                <w:sz w:val="20"/>
                <w:szCs w:val="20"/>
                <w:color w:val="auto"/>
              </w:rPr>
            </w:pPr>
            <w:r>
              <w:rPr>
                <w:rFonts w:ascii="Arial" w:cs="Arial" w:eastAsia="Arial" w:hAnsi="Arial"/>
                <w:sz w:val="18"/>
                <w:szCs w:val="18"/>
                <w:color w:val="auto"/>
              </w:rPr>
              <w:t>13,799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8"/>
                <w:szCs w:val="18"/>
                <w:color w:val="auto"/>
              </w:rPr>
            </w:pPr>
          </w:p>
        </w:tc>
      </w:tr>
      <w:tr>
        <w:trPr>
          <w:trHeight w:val="221"/>
        </w:trPr>
        <w:tc>
          <w:tcPr>
            <w:tcW w:w="6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98,372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88,306</w:t>
            </w:r>
          </w:p>
        </w:tc>
        <w:tc>
          <w:tcPr>
            <w:tcW w:w="120" w:type="dxa"/>
            <w:vAlign w:val="bottom"/>
          </w:tcPr>
          <w:p>
            <w:pPr>
              <w:spacing w:after="0"/>
              <w:rPr>
                <w:sz w:val="19"/>
                <w:szCs w:val="19"/>
                <w:color w:val="auto"/>
              </w:rPr>
            </w:pPr>
          </w:p>
        </w:tc>
      </w:tr>
      <w:tr>
        <w:trPr>
          <w:trHeight w:val="21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9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(997)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(955)</w:t>
            </w:r>
          </w:p>
        </w:tc>
      </w:tr>
      <w:tr>
        <w:trPr>
          <w:trHeight w:val="20"/>
        </w:trPr>
        <w:tc>
          <w:tcPr>
            <w:tcW w:w="6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6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97,375</w:t>
            </w:r>
          </w:p>
        </w:tc>
        <w:tc>
          <w:tcPr>
            <w:tcW w:w="360" w:type="dxa"/>
            <w:vAlign w:val="bottom"/>
          </w:tcPr>
          <w:p>
            <w:pPr>
              <w:spacing w:after="0"/>
              <w:rPr>
                <w:sz w:val="19"/>
                <w:szCs w:val="19"/>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87,351</w:t>
            </w:r>
          </w:p>
        </w:tc>
        <w:tc>
          <w:tcPr>
            <w:tcW w:w="1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u w:val="single" w:color="auto"/>
          <w:color w:val="auto"/>
        </w:rPr>
        <w:t>Note 4: Inventories</w:t>
      </w:r>
      <w:r>
        <w:rPr>
          <w:rFonts w:ascii="Arial" w:cs="Arial" w:eastAsia="Arial" w:hAnsi="Arial"/>
          <w:sz w:val="18"/>
          <w:szCs w:val="18"/>
          <w:b w:val="1"/>
          <w:bCs w:val="1"/>
          <w:color w:val="auto"/>
        </w:rPr>
        <w:t xml:space="preserve"> </w:t>
      </w:r>
      <w:r>
        <w:rPr>
          <w:rFonts w:ascii="Arial" w:cs="Arial" w:eastAsia="Arial" w:hAnsi="Arial"/>
          <w:sz w:val="18"/>
          <w:szCs w:val="18"/>
          <w:color w:val="auto"/>
        </w:rPr>
        <w:t>At June 30, 2012 and December 31, 2011, inventory reserves for certain slow-moving inventory items (Climate Control products) were</w:t>
      </w:r>
      <w:r>
        <w:rPr>
          <w:rFonts w:ascii="Arial" w:cs="Arial" w:eastAsia="Arial" w:hAnsi="Arial"/>
          <w:sz w:val="18"/>
          <w:szCs w:val="18"/>
          <w:b w:val="1"/>
          <w:bCs w:val="1"/>
          <w:color w:val="auto"/>
        </w:rPr>
        <w:t xml:space="preserve"> </w:t>
      </w:r>
      <w:r>
        <w:rPr>
          <w:rFonts w:ascii="Arial" w:cs="Arial" w:eastAsia="Arial" w:hAnsi="Arial"/>
          <w:sz w:val="18"/>
          <w:szCs w:val="18"/>
          <w:color w:val="auto"/>
        </w:rPr>
        <w:t>$1,737,000 and $1,767,000, respectively. In addition, because cost exceeded the net realizable value, inventory reserves for certain nitrogen-based inventories provided by our Chemical Business were $16,000 at December 31, 2011 (none at June 30, 2012).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inventory reserves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800" w:type="dxa"/>
            <w:vAlign w:val="bottom"/>
            <w:gridSpan w:val="4"/>
          </w:tcPr>
          <w:p>
            <w:pPr>
              <w:jc w:val="right"/>
              <w:ind w:right="600"/>
              <w:spacing w:after="0"/>
              <w:rPr>
                <w:sz w:val="20"/>
                <w:szCs w:val="20"/>
                <w:color w:val="auto"/>
              </w:rPr>
            </w:pPr>
            <w:r>
              <w:rPr>
                <w:rFonts w:ascii="Arial" w:cs="Arial" w:eastAsia="Arial" w:hAnsi="Arial"/>
                <w:sz w:val="14"/>
                <w:szCs w:val="14"/>
                <w:color w:val="auto"/>
              </w:rPr>
              <w:t>Six Months Ended</w:t>
            </w:r>
          </w:p>
        </w:tc>
        <w:tc>
          <w:tcPr>
            <w:tcW w:w="1520" w:type="dxa"/>
            <w:vAlign w:val="bottom"/>
            <w:gridSpan w:val="5"/>
          </w:tcPr>
          <w:p>
            <w:pPr>
              <w:jc w:val="right"/>
              <w:ind w:right="240"/>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800" w:type="dxa"/>
            <w:vAlign w:val="bottom"/>
            <w:gridSpan w:val="4"/>
          </w:tcPr>
          <w:p>
            <w:pPr>
              <w:jc w:val="right"/>
              <w:ind w:right="880"/>
              <w:spacing w:after="0" w:line="149" w:lineRule="exact"/>
              <w:rPr>
                <w:sz w:val="20"/>
                <w:szCs w:val="20"/>
                <w:color w:val="auto"/>
              </w:rPr>
            </w:pPr>
            <w:r>
              <w:rPr>
                <w:rFonts w:ascii="Arial" w:cs="Arial" w:eastAsia="Arial" w:hAnsi="Arial"/>
                <w:sz w:val="14"/>
                <w:szCs w:val="14"/>
                <w:color w:val="auto"/>
              </w:rPr>
              <w:t>June 30,</w:t>
            </w:r>
          </w:p>
        </w:tc>
        <w:tc>
          <w:tcPr>
            <w:tcW w:w="1520" w:type="dxa"/>
            <w:vAlign w:val="bottom"/>
            <w:gridSpan w:val="5"/>
          </w:tcPr>
          <w:p>
            <w:pPr>
              <w:jc w:val="right"/>
              <w:ind w:right="580"/>
              <w:spacing w:after="0" w:line="149"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59"/>
        </w:trPr>
        <w:tc>
          <w:tcPr>
            <w:tcW w:w="7180" w:type="dxa"/>
            <w:vAlign w:val="bottom"/>
          </w:tcPr>
          <w:p>
            <w:pPr>
              <w:spacing w:after="0"/>
              <w:rPr>
                <w:sz w:val="13"/>
                <w:szCs w:val="13"/>
                <w:color w:val="auto"/>
              </w:rPr>
            </w:pPr>
          </w:p>
        </w:tc>
        <w:tc>
          <w:tcPr>
            <w:tcW w:w="500" w:type="dxa"/>
            <w:vAlign w:val="bottom"/>
            <w:tcBorders>
              <w:bottom w:val="single" w:sz="8" w:color="auto"/>
            </w:tcBorders>
          </w:tcPr>
          <w:p>
            <w:pPr>
              <w:jc w:val="right"/>
              <w:ind w:right="41"/>
              <w:spacing w:after="0" w:line="159"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9"/>
              <w:spacing w:after="0" w:line="159"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1"/>
              <w:spacing w:after="0" w:line="159" w:lineRule="exact"/>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40" w:type="dxa"/>
            <w:vAlign w:val="bottom"/>
            <w:gridSpan w:val="4"/>
          </w:tcPr>
          <w:p>
            <w:pPr>
              <w:jc w:val="right"/>
              <w:ind w:right="52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$1,705</w:t>
            </w: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Provisions for losses</w:t>
            </w: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279</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Write-offs and disposals</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1,737</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1,988</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1,737</w:t>
            </w:r>
          </w:p>
        </w:tc>
        <w:tc>
          <w:tcPr>
            <w:tcW w:w="24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(realization of) losses is included in cost of sales in the accompanying condensed consolidated statements of income.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240" w:top="459"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5: Current and Noncurrent Accrued and Other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Our current and noncurrent accrued and other liabilities consist of the following:</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89"/>
              </w:rPr>
              <w:t>June 30,</w:t>
            </w:r>
          </w:p>
        </w:tc>
        <w:tc>
          <w:tcPr>
            <w:tcW w:w="1440" w:type="dxa"/>
            <w:vAlign w:val="bottom"/>
            <w:gridSpan w:val="4"/>
          </w:tcPr>
          <w:p>
            <w:pPr>
              <w:ind w:left="580"/>
              <w:spacing w:after="0"/>
              <w:rPr>
                <w:sz w:val="20"/>
                <w:szCs w:val="20"/>
                <w:color w:val="auto"/>
              </w:rPr>
            </w:pPr>
            <w:r>
              <w:rPr>
                <w:rFonts w:ascii="Arial" w:cs="Arial" w:eastAsia="Arial" w:hAnsi="Arial"/>
                <w:sz w:val="14"/>
                <w:szCs w:val="14"/>
                <w:color w:val="auto"/>
                <w:w w:val="95"/>
              </w:rPr>
              <w:t>December 31,</w:t>
            </w:r>
          </w:p>
        </w:tc>
      </w:tr>
      <w:tr>
        <w:trPr>
          <w:trHeight w:val="159"/>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5"/>
              <w:spacing w:after="0" w:line="159" w:lineRule="exact"/>
              <w:rPr>
                <w:sz w:val="20"/>
                <w:szCs w:val="20"/>
                <w:color w:val="auto"/>
              </w:rPr>
            </w:pPr>
            <w:r>
              <w:rPr>
                <w:rFonts w:ascii="Arial" w:cs="Arial" w:eastAsia="Arial" w:hAnsi="Arial"/>
                <w:sz w:val="14"/>
                <w:szCs w:val="14"/>
                <w:color w:val="auto"/>
                <w:w w:val="96"/>
              </w:rPr>
              <w:t>2012</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ind w:left="460"/>
              <w:spacing w:after="0" w:line="142" w:lineRule="exact"/>
              <w:rPr>
                <w:sz w:val="20"/>
                <w:szCs w:val="20"/>
                <w:color w:val="auto"/>
              </w:rPr>
            </w:pPr>
            <w:r>
              <w:rPr>
                <w:rFonts w:ascii="Arial" w:cs="Arial" w:eastAsia="Arial" w:hAnsi="Arial"/>
                <w:sz w:val="14"/>
                <w:szCs w:val="14"/>
                <w:color w:val="auto"/>
                <w:w w:val="87"/>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on extended warranty contracts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Accrued payroll and benefits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6,332</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costs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Accrued death benefits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4,213</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Accrued group health and workers’ compensation insurance claims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Accrued contractual manufacturing obligations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derivatives and other</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Accrued executive benefits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Accrued commissions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1,327</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Accrued contractual profit-sharing obligation</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6,864</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41,717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43,916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noncurrent portion</w:t>
            </w:r>
          </w:p>
        </w:tc>
        <w:tc>
          <w:tcPr>
            <w:tcW w:w="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16,310</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15,239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accrued and other liabilities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25,407</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28,677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u w:val="single" w:color="auto"/>
          <w:color w:val="auto"/>
        </w:rPr>
        <w:t>Note 6: Accrued Warranty Costs</w:t>
      </w:r>
      <w:r>
        <w:rPr>
          <w:rFonts w:ascii="Arial" w:cs="Arial" w:eastAsia="Arial" w:hAnsi="Arial"/>
          <w:sz w:val="16"/>
          <w:szCs w:val="16"/>
          <w:b w:val="1"/>
          <w:bCs w:val="1"/>
          <w:color w:val="auto"/>
        </w:rPr>
        <w:t xml:space="preserve"> </w:t>
      </w:r>
      <w:r>
        <w:rPr>
          <w:rFonts w:ascii="Arial" w:cs="Arial" w:eastAsia="Arial" w:hAnsi="Arial"/>
          <w:sz w:val="16"/>
          <w:szCs w:val="16"/>
          <w:color w:val="auto"/>
        </w:rPr>
        <w:t>Our Climate Control Business sells equipment that has an expected life, under normal circumstances and use, which extends</w:t>
      </w:r>
      <w:r>
        <w:rPr>
          <w:rFonts w:ascii="Arial" w:cs="Arial" w:eastAsia="Arial" w:hAnsi="Arial"/>
          <w:sz w:val="16"/>
          <w:szCs w:val="16"/>
          <w:b w:val="1"/>
          <w:bCs w:val="1"/>
          <w:color w:val="auto"/>
        </w:rPr>
        <w:t xml:space="preserve"> </w:t>
      </w:r>
      <w:r>
        <w:rPr>
          <w:rFonts w:ascii="Arial" w:cs="Arial" w:eastAsia="Arial" w:hAnsi="Arial"/>
          <w:sz w:val="16"/>
          <w:szCs w:val="16"/>
          <w:color w:val="auto"/>
        </w:rPr>
        <w:t>over several years. As such, we provide warranties after equipment shipment/start 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 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obligation (accrued warranty costs)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80" w:type="dxa"/>
            <w:vAlign w:val="bottom"/>
            <w:gridSpan w:val="4"/>
          </w:tcPr>
          <w:p>
            <w:pPr>
              <w:jc w:val="right"/>
              <w:ind w:right="780"/>
              <w:spacing w:after="0"/>
              <w:rPr>
                <w:sz w:val="20"/>
                <w:szCs w:val="20"/>
                <w:color w:val="auto"/>
              </w:rPr>
            </w:pPr>
            <w:r>
              <w:rPr>
                <w:rFonts w:ascii="Arial" w:cs="Arial" w:eastAsia="Arial" w:hAnsi="Arial"/>
                <w:sz w:val="14"/>
                <w:szCs w:val="14"/>
                <w:color w:val="auto"/>
              </w:rPr>
              <w:t>Six Months Ended</w:t>
            </w:r>
          </w:p>
        </w:tc>
        <w:tc>
          <w:tcPr>
            <w:tcW w:w="1700" w:type="dxa"/>
            <w:vAlign w:val="bottom"/>
            <w:gridSpan w:val="4"/>
          </w:tcPr>
          <w:p>
            <w:pPr>
              <w:jc w:val="right"/>
              <w:ind w:right="3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3300" w:type="dxa"/>
            <w:vAlign w:val="bottom"/>
            <w:gridSpan w:val="2"/>
            <w:vMerge w:val="restart"/>
          </w:tcPr>
          <w:p>
            <w:pPr>
              <w:jc w:val="right"/>
              <w:ind w:right="62"/>
              <w:spacing w:after="0"/>
              <w:rPr>
                <w:sz w:val="20"/>
                <w:szCs w:val="20"/>
                <w:color w:val="auto"/>
              </w:rPr>
            </w:pPr>
            <w:r>
              <w:rPr>
                <w:rFonts w:ascii="Arial" w:cs="Arial" w:eastAsia="Arial" w:hAnsi="Arial"/>
                <w:sz w:val="14"/>
                <w:szCs w:val="14"/>
                <w:color w:val="auto"/>
              </w:rPr>
              <w:t>2012</w:t>
            </w:r>
          </w:p>
        </w:tc>
        <w:tc>
          <w:tcPr>
            <w:tcW w:w="480" w:type="dxa"/>
            <w:vAlign w:val="bottom"/>
          </w:tcPr>
          <w:p>
            <w:pPr>
              <w:jc w:val="right"/>
              <w:spacing w:after="0"/>
              <w:rPr>
                <w:sz w:val="20"/>
                <w:szCs w:val="20"/>
                <w:color w:val="auto"/>
              </w:rPr>
            </w:pPr>
            <w:r>
              <w:rPr>
                <w:rFonts w:ascii="Arial" w:cs="Arial" w:eastAsia="Arial" w:hAnsi="Arial"/>
                <w:sz w:val="14"/>
                <w:szCs w:val="14"/>
                <w:color w:val="auto"/>
                <w:w w:val="81"/>
              </w:rPr>
              <w:t>June 30,</w:t>
            </w:r>
          </w:p>
        </w:tc>
        <w:tc>
          <w:tcPr>
            <w:tcW w:w="560" w:type="dxa"/>
            <w:vAlign w:val="bottom"/>
            <w:vMerge w:val="restart"/>
          </w:tcPr>
          <w:p>
            <w:pPr>
              <w:jc w:val="right"/>
              <w:ind w:right="79"/>
              <w:spacing w:after="0"/>
              <w:rPr>
                <w:sz w:val="20"/>
                <w:szCs w:val="20"/>
                <w:color w:val="auto"/>
              </w:rPr>
            </w:pPr>
            <w:r>
              <w:rPr>
                <w:rFonts w:ascii="Arial" w:cs="Arial" w:eastAsia="Arial" w:hAnsi="Arial"/>
                <w:sz w:val="14"/>
                <w:szCs w:val="14"/>
                <w:color w:val="auto"/>
              </w:rPr>
              <w:t>2011</w:t>
            </w:r>
          </w:p>
        </w:tc>
        <w:tc>
          <w:tcPr>
            <w:tcW w:w="480" w:type="dxa"/>
            <w:vAlign w:val="bottom"/>
          </w:tcPr>
          <w:p>
            <w:pPr>
              <w:spacing w:after="0"/>
              <w:rPr>
                <w:sz w:val="16"/>
                <w:szCs w:val="16"/>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4"/>
                <w:szCs w:val="14"/>
                <w:color w:val="auto"/>
              </w:rPr>
              <w:t>2012</w:t>
            </w:r>
          </w:p>
        </w:tc>
        <w:tc>
          <w:tcPr>
            <w:tcW w:w="480" w:type="dxa"/>
            <w:vAlign w:val="bottom"/>
          </w:tcPr>
          <w:p>
            <w:pPr>
              <w:jc w:val="right"/>
              <w:spacing w:after="0"/>
              <w:rPr>
                <w:sz w:val="20"/>
                <w:szCs w:val="20"/>
                <w:color w:val="auto"/>
              </w:rPr>
            </w:pPr>
            <w:r>
              <w:rPr>
                <w:rFonts w:ascii="Arial" w:cs="Arial" w:eastAsia="Arial" w:hAnsi="Arial"/>
                <w:sz w:val="14"/>
                <w:szCs w:val="14"/>
                <w:color w:val="auto"/>
                <w:w w:val="81"/>
              </w:rPr>
              <w:t>June 30,</w:t>
            </w:r>
          </w:p>
        </w:tc>
        <w:tc>
          <w:tcPr>
            <w:tcW w:w="560" w:type="dxa"/>
            <w:vAlign w:val="bottom"/>
            <w:vMerge w:val="restart"/>
          </w:tcPr>
          <w:p>
            <w:pPr>
              <w:jc w:val="right"/>
              <w:ind w:right="76"/>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98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tcBorders>
              <w:top w:val="single" w:sz="8" w:color="auto"/>
            </w:tcBorders>
            <w:gridSpan w:val="3"/>
          </w:tcPr>
          <w:p>
            <w:pPr>
              <w:jc w:val="right"/>
              <w:ind w:right="319"/>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$ 5,370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$ 3,996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$ 5,616</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$ 4,284</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Amounts charged to costs and expenses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3,344</w:t>
            </w:r>
          </w:p>
        </w:tc>
        <w:tc>
          <w:tcPr>
            <w:tcW w:w="4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3,234</w:t>
            </w:r>
          </w:p>
        </w:tc>
        <w:tc>
          <w:tcPr>
            <w:tcW w:w="560" w:type="dxa"/>
            <w:vAlign w:val="bottom"/>
          </w:tcPr>
          <w:p>
            <w:pPr>
              <w:jc w:val="right"/>
              <w:spacing w:after="0"/>
              <w:rPr>
                <w:sz w:val="20"/>
                <w:szCs w:val="20"/>
                <w:color w:val="auto"/>
              </w:rPr>
            </w:pPr>
            <w:r>
              <w:rPr>
                <w:rFonts w:ascii="Arial" w:cs="Arial" w:eastAsia="Arial" w:hAnsi="Arial"/>
                <w:sz w:val="18"/>
                <w:szCs w:val="18"/>
                <w:color w:val="auto"/>
              </w:rPr>
              <w:t>1,776</w:t>
            </w:r>
          </w:p>
        </w:tc>
        <w:tc>
          <w:tcPr>
            <w:tcW w:w="4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27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(2,636)</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(2,632)</w:t>
            </w:r>
          </w:p>
        </w:tc>
        <w:tc>
          <w:tcPr>
            <w:tcW w:w="10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(1,314)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2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vMerge w:val="continue"/>
          </w:tcPr>
          <w:p>
            <w:pPr>
              <w:spacing w:after="0"/>
              <w:rPr>
                <w:sz w:val="19"/>
                <w:szCs w:val="19"/>
                <w:color w:val="auto"/>
              </w:rPr>
            </w:pP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$ 6,078</w:t>
            </w:r>
          </w:p>
        </w:tc>
        <w:tc>
          <w:tcPr>
            <w:tcW w:w="4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$ 4,598</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$ 6,078</w:t>
            </w:r>
          </w:p>
        </w:tc>
        <w:tc>
          <w:tcPr>
            <w:tcW w:w="4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$ 4,598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740" w:type="dxa"/>
            <w:vAlign w:val="bottom"/>
            <w:vMerge w:val="restart"/>
          </w:tcPr>
          <w:p>
            <w:pPr>
              <w:jc w:val="right"/>
              <w:ind w:right="1296"/>
              <w:spacing w:after="0"/>
              <w:rPr>
                <w:sz w:val="20"/>
                <w:szCs w:val="20"/>
                <w:color w:val="auto"/>
              </w:rPr>
            </w:pPr>
            <w:r>
              <w:rPr>
                <w:rFonts w:ascii="Arial" w:cs="Arial" w:eastAsia="Arial" w:hAnsi="Arial"/>
                <w:sz w:val="18"/>
                <w:szCs w:val="18"/>
                <w:color w:val="auto"/>
              </w:rPr>
              <w:t>14</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Long-Term Debt</w:t>
      </w:r>
      <w:r>
        <w:rPr>
          <w:rFonts w:ascii="Arial" w:cs="Arial" w:eastAsia="Arial" w:hAnsi="Arial"/>
          <w:sz w:val="18"/>
          <w:szCs w:val="18"/>
          <w:b w:val="1"/>
          <w:bCs w:val="1"/>
          <w:color w:val="auto"/>
        </w:rPr>
        <w:t xml:space="preserve"> </w:t>
      </w:r>
      <w:r>
        <w:rPr>
          <w:rFonts w:ascii="Arial" w:cs="Arial" w:eastAsia="Arial" w:hAnsi="Arial"/>
          <w:sz w:val="18"/>
          <w:szCs w:val="18"/>
          <w:color w:val="auto"/>
        </w:rPr>
        <w:t>Our long-term debt consists of the following:</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89"/>
              </w:rPr>
              <w:t>June 30,</w:t>
            </w:r>
          </w:p>
        </w:tc>
        <w:tc>
          <w:tcPr>
            <w:tcW w:w="1440" w:type="dxa"/>
            <w:vAlign w:val="bottom"/>
            <w:gridSpan w:val="4"/>
          </w:tcPr>
          <w:p>
            <w:pPr>
              <w:ind w:left="580"/>
              <w:spacing w:after="0"/>
              <w:rPr>
                <w:sz w:val="20"/>
                <w:szCs w:val="20"/>
                <w:color w:val="auto"/>
              </w:rPr>
            </w:pPr>
            <w:r>
              <w:rPr>
                <w:rFonts w:ascii="Arial" w:cs="Arial" w:eastAsia="Arial" w:hAnsi="Arial"/>
                <w:sz w:val="14"/>
                <w:szCs w:val="14"/>
                <w:color w:val="auto"/>
                <w:w w:val="95"/>
              </w:rPr>
              <w:t>December 31,</w:t>
            </w:r>
          </w:p>
        </w:tc>
      </w:tr>
      <w:tr>
        <w:trPr>
          <w:trHeight w:val="159"/>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7"/>
              <w:spacing w:after="0" w:line="159" w:lineRule="exact"/>
              <w:rPr>
                <w:sz w:val="20"/>
                <w:szCs w:val="20"/>
                <w:color w:val="auto"/>
              </w:rPr>
            </w:pPr>
            <w:r>
              <w:rPr>
                <w:rFonts w:ascii="Arial" w:cs="Arial" w:eastAsia="Arial" w:hAnsi="Arial"/>
                <w:sz w:val="14"/>
                <w:szCs w:val="14"/>
                <w:color w:val="auto"/>
                <w:w w:val="96"/>
              </w:rPr>
              <w:t>2012</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3"/>
                <w:szCs w:val="13"/>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ind w:left="460"/>
              <w:spacing w:after="0" w:line="142" w:lineRule="exact"/>
              <w:rPr>
                <w:sz w:val="20"/>
                <w:szCs w:val="20"/>
                <w:color w:val="auto"/>
              </w:rPr>
            </w:pPr>
            <w:r>
              <w:rPr>
                <w:rFonts w:ascii="Arial" w:cs="Arial" w:eastAsia="Arial" w:hAnsi="Arial"/>
                <w:sz w:val="14"/>
                <w:szCs w:val="14"/>
                <w:color w:val="auto"/>
                <w:w w:val="87"/>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Revolver Loan (A)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Secured Term Loan (B)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70,313</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72,188</w:t>
            </w:r>
          </w:p>
        </w:tc>
        <w:tc>
          <w:tcPr>
            <w:tcW w:w="100" w:type="dxa"/>
            <w:vAlign w:val="bottom"/>
          </w:tcPr>
          <w:p>
            <w:pPr>
              <w:spacing w:after="0"/>
              <w:rPr>
                <w:sz w:val="18"/>
                <w:szCs w:val="18"/>
                <w:color w:val="auto"/>
              </w:rPr>
            </w:pPr>
          </w:p>
        </w:tc>
      </w:tr>
      <w:tr>
        <w:trPr>
          <w:trHeight w:val="208"/>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with a current weighted-average interest rate of 6.84%, most of which is secured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by machinery, equipment and real estate</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5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100" w:type="dxa"/>
            <w:vAlign w:val="bottom"/>
            <w:shd w:val="clear" w:color="auto" w:fill="CCEEFF"/>
          </w:tcPr>
          <w:p>
            <w:pPr>
              <w:spacing w:after="0"/>
              <w:rPr>
                <w:sz w:val="19"/>
                <w:szCs w:val="19"/>
                <w:color w:val="auto"/>
              </w:rPr>
            </w:pPr>
          </w:p>
        </w:tc>
      </w:tr>
      <w:tr>
        <w:trPr>
          <w:trHeight w:val="222"/>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74,815</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79,460</w:t>
            </w:r>
          </w:p>
        </w:tc>
        <w:tc>
          <w:tcPr>
            <w:tcW w:w="100" w:type="dxa"/>
            <w:vAlign w:val="bottom"/>
          </w:tcPr>
          <w:p>
            <w:pPr>
              <w:spacing w:after="0"/>
              <w:rPr>
                <w:sz w:val="19"/>
                <w:szCs w:val="19"/>
                <w:color w:val="auto"/>
              </w:rPr>
            </w:pPr>
          </w:p>
        </w:tc>
      </w:tr>
      <w:tr>
        <w:trPr>
          <w:trHeight w:val="218"/>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100" w:type="dxa"/>
            <w:vAlign w:val="bottom"/>
            <w:shd w:val="clear" w:color="auto" w:fill="CCEEFF"/>
          </w:tcPr>
          <w:p>
            <w:pPr>
              <w:spacing w:after="0"/>
              <w:rPr>
                <w:sz w:val="18"/>
                <w:szCs w:val="18"/>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Long-term debt due after one year</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70,051</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74,525</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89" w:lineRule="auto"/>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Since the $50 million revolving credit facility (the “Working Capital Revolver Loan”) was scheduled to mature on April 13, 2012, our wholly-owned subsidiary, ThermaClime, LLC (“ThermaClime”) and its subsidiaries (collectively, the “Borrowers”) and the lender entered into an amendment to the Working Capital Revolver Loan, dated April 4, 2012, that continues to provide for advances based on specified percentages of eligible accounts receivable and inventories for ThermaClime and its subsidiaries. As amended, the Working Capital Revolver Loan matures on March 29, 2016, but could be extended to April 13, 2017 under certain conditions. The Working Capital Revolver Loan, as amended, accrues interest at a base rate (generally equivalent to the prime rate) plus .50% if borrowing availability is greater than $25 million, otherwise plus .75% (previously plus .50% only) or, at our option, accrues interest at LIBOR plus 1.50% if borrowing availability is greater than $25 million, otherwise plus 1.75% (previously plus 1.75% only). The interest rate at June 30, 2012 was 3.75% based on LIBOR. Interest continues to be paid monthly, if applicable.</w:t>
      </w:r>
    </w:p>
    <w:p>
      <w:pPr>
        <w:spacing w:after="0" w:line="11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As amended, the Working Capital Revolver Loan provides for up to $15 million of letters of credit. All letters of credit outstanding reduce availability under the Working Capital Revolver Loan. As of June 30, 2012, amounts available for borrowing under the Working Capital Revolver Loan were approximately $48.6 million. Under the Working Capital Revolver Loan, as amended, the lender also continues to require the Borrowers to pay a letter of credit fee equal to 1% per annum of the undrawn amount of all outstanding letters of credit, an unused line fee equal to .25% per annum (previously .375% per annum) for the excess amount available under the Working Capital Revolver Loan not drawn and various other audit, appraisal and valuation charges.</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lender continues to have the ability to, upon an event of default, as defined, terminate the Working Capital Revolver Loan and make the balance outstanding, if any, due and payable in full. The Working Capital Revolver Loan continues to be secured by the assets of all the ThermaClime entities other than El Dorado Nitric Company and its subsidiaries (“EDN”), but excluding the assets securing the Secured Term Loan, certain production equipment and facilities utilized by the Climate Control Business, and certain distribution-related assets of El Dorado Chemical Company (“EDC”). In addition, EDN is neither a borrower under, nor guarantor of, the Working Capital Revolver Loan. At June 30, 2012, the carrying value of the pledged assets was approximately $262 million.</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Working Capital Revolver Loan continues to require ThermaClime to meet a minimum fixed charge coverage ratio of not less than 1.10 to 1 measured on an annual basis, but the maximum senior leverage coverage ratio of not greater than 4.50 to 1 and the EBITDA requirement of greater than $25 million financial covenants have been eliminated. This requirement is to be measured on a fiscal year-end basis and as defined in the agreement. The Working Capital Revolver Loan continues to contain covenants that, among other things, limit the Borrowers’ (which does not include LSB) ability, without consent of the lender and with certain exceptions, to:</w:t>
      </w:r>
    </w:p>
    <w:p>
      <w:pPr>
        <w:spacing w:after="0" w:line="6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restricted payments or loans to affiliates who are not Borrowers,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dispose assets.</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However, pursuant to the Working Capital Revolver Loan amendment, such negative covenants were modified so as to provide the Borrowers with more flexibility in regards to such activities. Pursuant to certain agreements with the lender, all collections on accounts receivable are no longer made through a bank account in the name of the lender or their agent. As a result and compared to previous periods, we expect this change will reduce the amount of cash flow activity associated with the Working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Long-Term Debt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Capital Revolver Loan, which is also reported as cash flows from continuing financing activities.</w:t>
      </w:r>
    </w:p>
    <w:p>
      <w:pPr>
        <w:spacing w:after="0" w:line="212" w:lineRule="exact"/>
        <w:rPr>
          <w:sz w:val="20"/>
          <w:szCs w:val="20"/>
          <w:color w:val="auto"/>
        </w:rPr>
      </w:pPr>
    </w:p>
    <w:p>
      <w:pPr>
        <w:ind w:left="460" w:right="20" w:hanging="452"/>
        <w:spacing w:after="0" w:line="291" w:lineRule="auto"/>
        <w:tabs>
          <w:tab w:leader="none" w:pos="4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On March 29, 2011, ThermaClime and certain of its subsidiaries entered into an amended and restated term loan agreement (the “Amended Agreement”), which amended ThermaClime’s existing term loan agreement (the “Original Agreement”). Pursuant to the terms of the Amended Agreement, the maximum principal amount of ThermaClime’s term loan facility (the “Secured Term Loan”) was increased from $50 million to $60 million. On May 26, 2011, the principal amount of the Secured Term Loan was increased an additional $15 million to $75 million pursuant to the terms of the Amended Agreement. The Amended Agreement also extended the maturity of the Secured Term Loan from November 2, 2012, to March 29, 2016. For financial reporting purposes, this transaction was considered a non-substantial modification of the Original Agreement.</w:t>
      </w:r>
    </w:p>
    <w:p>
      <w:pPr>
        <w:spacing w:after="0" w:line="12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Secured Term Loan requires quarterly principal payments of approximately $0.9 million, plus interest and a final balloon payment of $56.3 million due on March 29, 2016. The stated interest rate on the Secured Term Loan includes a variable interest rate (based on three-month LIBOR plus 300 basis points, which rate is adjusted quarterly) and a fixed interest rate as detailed below:</w:t>
      </w:r>
    </w:p>
    <w:p>
      <w:pPr>
        <w:spacing w:after="0" w:line="27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2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w w:val="87"/>
              </w:rPr>
              <w:t>June 30, 2012</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20" w:type="dxa"/>
            <w:vAlign w:val="bottom"/>
          </w:tcPr>
          <w:p>
            <w:pPr>
              <w:jc w:val="center"/>
              <w:ind w:right="672"/>
              <w:spacing w:after="0" w:line="131" w:lineRule="exact"/>
              <w:rPr>
                <w:sz w:val="20"/>
                <w:szCs w:val="20"/>
                <w:color w:val="auto"/>
              </w:rPr>
            </w:pPr>
            <w:r>
              <w:rPr>
                <w:rFonts w:ascii="Arial" w:cs="Arial" w:eastAsia="Arial" w:hAnsi="Arial"/>
                <w:sz w:val="14"/>
                <w:szCs w:val="14"/>
                <w:color w:val="auto"/>
                <w:w w:val="85"/>
              </w:rPr>
              <w:t>Stated Interest</w:t>
            </w:r>
          </w:p>
        </w:tc>
        <w:tc>
          <w:tcPr>
            <w:tcW w:w="80" w:type="dxa"/>
            <w:vAlign w:val="bottom"/>
          </w:tcPr>
          <w:p>
            <w:pPr>
              <w:spacing w:after="0"/>
              <w:rPr>
                <w:sz w:val="11"/>
                <w:szCs w:val="11"/>
                <w:color w:val="auto"/>
              </w:rPr>
            </w:pPr>
          </w:p>
        </w:tc>
        <w:tc>
          <w:tcPr>
            <w:tcW w:w="580" w:type="dxa"/>
            <w:vAlign w:val="bottom"/>
          </w:tcPr>
          <w:p>
            <w:pPr>
              <w:jc w:val="center"/>
              <w:spacing w:after="0" w:line="131" w:lineRule="exact"/>
              <w:rPr>
                <w:sz w:val="20"/>
                <w:szCs w:val="20"/>
                <w:color w:val="auto"/>
              </w:rPr>
            </w:pPr>
            <w:r>
              <w:rPr>
                <w:rFonts w:ascii="Arial" w:cs="Arial" w:eastAsia="Arial" w:hAnsi="Arial"/>
                <w:sz w:val="14"/>
                <w:szCs w:val="14"/>
                <w:color w:val="auto"/>
                <w:w w:val="89"/>
              </w:rPr>
              <w:t>Principal</w:t>
            </w: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520" w:type="dxa"/>
            <w:vAlign w:val="bottom"/>
          </w:tcPr>
          <w:p>
            <w:pPr>
              <w:jc w:val="center"/>
              <w:ind w:right="672"/>
              <w:spacing w:after="0" w:line="159" w:lineRule="exact"/>
              <w:rPr>
                <w:sz w:val="20"/>
                <w:szCs w:val="20"/>
                <w:color w:val="auto"/>
              </w:rPr>
            </w:pPr>
            <w:r>
              <w:rPr>
                <w:rFonts w:ascii="Arial" w:cs="Arial" w:eastAsia="Arial" w:hAnsi="Arial"/>
                <w:sz w:val="14"/>
                <w:szCs w:val="14"/>
                <w:color w:val="auto"/>
                <w:w w:val="87"/>
              </w:rPr>
              <w:t>Rate</w:t>
            </w:r>
          </w:p>
        </w:tc>
        <w:tc>
          <w:tcPr>
            <w:tcW w:w="80" w:type="dxa"/>
            <w:vAlign w:val="bottom"/>
          </w:tcPr>
          <w:p>
            <w:pPr>
              <w:spacing w:after="0"/>
              <w:rPr>
                <w:sz w:val="13"/>
                <w:szCs w:val="13"/>
                <w:color w:val="auto"/>
              </w:rPr>
            </w:pPr>
          </w:p>
        </w:tc>
        <w:tc>
          <w:tcPr>
            <w:tcW w:w="68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6"/>
              </w:rPr>
              <w:t>Balance</w:t>
            </w: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180" w:type="dxa"/>
            <w:vAlign w:val="bottom"/>
            <w:tcBorders>
              <w:top w:val="single" w:sz="8" w:color="auto"/>
            </w:tcBorders>
            <w:gridSpan w:val="3"/>
          </w:tcPr>
          <w:p>
            <w:pPr>
              <w:ind w:left="460"/>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Variable interest rate</w:t>
            </w:r>
          </w:p>
        </w:tc>
        <w:tc>
          <w:tcPr>
            <w:tcW w:w="364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3.47%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$46,875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Fixed interest rate</w:t>
            </w:r>
          </w:p>
        </w:tc>
        <w:tc>
          <w:tcPr>
            <w:tcW w:w="3640" w:type="dxa"/>
            <w:vAlign w:val="bottom"/>
            <w:gridSpan w:val="2"/>
          </w:tcPr>
          <w:p>
            <w:pPr>
              <w:ind w:left="260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interest rate</w:t>
            </w:r>
          </w:p>
        </w:tc>
        <w:tc>
          <w:tcPr>
            <w:tcW w:w="364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4.03%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70,313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Secured Term Loan is secured by the real property and equipment located at our chemical production facilities located in El Dorado, Arkansas (the “El Dorado Facility”) and in Cherokee, Alabama (the “Cherokee Facility”). The carrying value of the pledged assets is approximately $68 million at June 30, 2012. In addition, the Secured Term Loan is guaranteed by LSB.</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Secured Term Loan borrowers are subject to numerous covenants under the Amended Agreement including, but not limited to, limitation on the incurrence of certain additional indebtedness and liens; limitations on mergers, acquisitions, dissolution and sale of assets; and limitations on declaration of dividends and distributions to LSB, all with certain exceptions. At June 30, 2012, the carrying value of the restricted net assets (including pledged assets) of ThermaClime and its subsidiaries was approximately $76 million. As defined in the agreement, the Secured Term Loan borrowers are also subject to a minimum fixed charge coverage ratio of not less than 1.10 to 1 and a maximum leverage ratio of not greater than 4.50 to 1. Both of these requirements are measured quarterly on a trailing twelve-month basis. The Secured Term Loan borrowers were in compliance with these financial covenants for the twelve-month period ended June 30,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 of the Secured Term Loan can be accelerated by the lender upon the occurrence of a continuing event of default, as defined.</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Working Capital Revolver Loan agreement (discussed in (A) above) and the Secured Term Loan contain cross-default provisions. If ThermaClime fails to meet the financial covenants of either of these agreements, the lenders may declare an event of default.</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prepayment premium equal to 1.0% of the principal amount prepaid is due to the lenders should the borrowers elect to prepay on or prior to March 29, 2014, however, this premium is eliminated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2011 Transaction</w:t>
      </w:r>
    </w:p>
    <w:p>
      <w:pPr>
        <w:spacing w:after="0" w:line="9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On March 31, 2011, one of the holders of the 5.5% debentures (“2007 Debentures”) converted $24.4 million principal amount of the 2007 Debentures into 888,160 shares of LSB common stock. For financial reporting purposes, this transaction was considered an induced conversion.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Purchase and Sales Commitments — </w:t>
      </w:r>
      <w:r>
        <w:rPr>
          <w:rFonts w:ascii="Arial" w:cs="Arial" w:eastAsia="Arial" w:hAnsi="Arial"/>
          <w:sz w:val="16"/>
          <w:szCs w:val="16"/>
          <w:color w:val="auto"/>
        </w:rPr>
        <w:t>The following significant commitments include contracts entered into during the six months ended June 30, 2012:</w:t>
      </w:r>
    </w:p>
    <w:p>
      <w:pPr>
        <w:spacing w:after="0" w:line="20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Certain subsidiaries within the Chemical Business entered into contracts to purchase natural gas for anticipated production needs at the Cherokee Facility and our chemical production facility located in Pryor, Oklahoma (the “Pryor Facility”). Since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June 30, 2012, our purchase commitments under these contracts were for approximately 0.7 million MMBtu of natural gas through October 2012 at the weighted-average cost of $3.42 per MMBtu ($2.5 million) and a weighted-average market value of $2.82 per MMBtu ($2.0 million). See Note 9 — Derivatives, Hedges, Financial Instruments and Carbon Credits for our commitments relating to derivative contracts and carbon credits at June 30, 2012.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operations are subject to numerous environmental laws (“Environmental Laws”) and to other federal, state and local laws regarding health and safety matters (“Health Laws”). In particular, the manufacture and distribution of chemical products are activities which entail environmental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relating to our Chemical Business have in the past resulted, and could in the future result, in compliance expenses, cleanup costs, penalties or other liabilities relating to the handling, manufacture, use, emission, discharge or disposal of effluents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w:t>
      </w:r>
    </w:p>
    <w:p>
      <w:pPr>
        <w:spacing w:after="0" w:line="11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will recognize a liability for the fair value of a conditional asset retirement obligation if the fair value of the liability can be reasonably estimated. We are obligated to manage certain discharge water outlets and monitor groundwater contaminants at our Chemical Business facilities should we discontinue the operations of a facility. We are also contractually obligated through at least December 2053 to pay a portion of the operating costs of a municipally owned wastewater pipeline currently being constructed, which will serve the El Dorado Facility.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In addition, we currently have no plans to discontinue the use of these facilities and the remaining life of the facilities is indeterminable. As a result, a liability for only a minimal amount relating to asset retirement obligations has been established at June 30, 2012. However, we will continue to review these obligations and record a liability when a reasonable estimate of the fair value can be made.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96"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The El Dorado Facility owned by our subsidiary, EDC, generates process wastewater, which includes cooling tower and boiler water quality control streams, contact storm water (rain water inside the facility area which picks up contaminants) and miscellaneous spills and leaks from process equipment. The process water discharge, storm-water runoff and miscellaneous spills and leaks are governed by a state National Pollutant Discharge Elimination System (“NPDES”) discharge water permit issued by the Arkansas Department of Environmental Quality (“ADEQ”), which permit is generally required to be renewed every five years. The El Dorado Facility is currently operating under a NPDES discharge water permit, which became effective in 2004 (“2004 NPDES permit”). In November 2010, a preliminary draft of a discharge water permit renewal, which contains more restrictive ammonia limits, was issued by the ADEQ for EDC’s review. EDC submitted comments to the ADEQ on the draft permit in December 2010.</w:t>
      </w:r>
    </w:p>
    <w:p>
      <w:pPr>
        <w:spacing w:after="0" w:line="118"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El Dorado Facility has generally demonstrated its ability to comply with applicable ammonia and nitrate permit limits, but has, from time to time, had difficulty demonstrating consistent compliance with the more restrictive dissolved minerals permit levels. As part of the El Dorado Facility’s long-term compliance plan, EDC has pursued a rulemaking and permit modification with the ADEQ. The ADEQ approved a rule change, but on August 31, 2011, the United States Environmental Protection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Agency (“EPA”) formally disapproved the rule change. On October 7, 2011, EDC filed a lawsuit against the EPA in the United States District Court, El Dorado, Arkansas, appealing the EPA’s decision disapproving the rule change. We do not believe this matter regarding the dissolved minerals will be an issue once the pipeline discussed below is operational.</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City of El Dorado, Arkansas (the “City”) received approval to construct a pipeline for disposal of wastewater generated by the City and by certain companies in the El Dorado area. However, in November 2011, opponents of the pipeline filed a lawsuit against the City and the pipeline consultants for alleged violations of the Freedom of Information Act. We do not believe that this lawsuit will affect the City’s approval, or the City’s construction, of the pipeline. The companies intending to use the pipeline will contribute to the cost of construction and operation of the pipeline. Although EDC believes it can comply with the more restrictive permit limits without the pipeline, except for an occasional difficulty demonstrating consistent compliance with the more restrictive dissolved minerals permit limits, EDC will participate in the construction of the pipeline that will be owned by the City in order to ensure that EDC will be able to comply with future permit limits. During April 2011, certain companies, including EDC, and the City entered into a funding agreement and operating agreement, pursuant to which each party to the agreements has agreed to contribute to the cost of construction and the annual operating costs of the pipeline for the right to use the pipeline to dispose its wastewater. EDC anticipates its capital cost in connection with the construction of the pipeline will be approximately $4.0 million, of which $1.3 million has been capitalized as of June 30, 2012. The City plans to complete the construction of the pipeline by mid-2014. Once the pipeline is completed, EDC’s estimated share of the annual operating costs is to be $100,000 to $150,000. The initial term of the operating agreement is through December 2053.</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the El Dorado Facility is currently operating under a consent administrative order (“2006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which costs (or range of costs) cannot currently be reasonably estimated. Therefore, no liability has been established at June 30, 2012, in connection with this matter.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Air Matters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EPA has sent information requests to most, if not all, of the operators of nitric acid plants in the United States, including our El Dorado and Cherokee Facilities and the chemical production facility located in Baytown, Texas (the “Baytown Facility”) operated by our subsidiary, EDN, under Section 114 of the Clean Air Act as to construction and modification activities at each of these facilities over a period of years. These information requests were to enable the EPA to determine whether these facilities are in compliance with certain provisions of the Clean Air Act. If it were determined that the equipment at any of our chemical facilities does not meet, or has not met, the requirements of the Clean Air Act, our Chemical Business could be subject to penalties in an amount not to exceed $27,500 per day as to each facility not in compliance and be required to retrofit each facility with the “best available control technology.”</w:t>
      </w:r>
    </w:p>
    <w:p>
      <w:pPr>
        <w:spacing w:after="0" w:line="12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After a review by our Chemical Business of these facilities in obtaining information for the EPA pursuant to the EPA’s request, our Chemical Business management believes that certain facilities within our Chemical Business may be required to make capital improvements to emission equipment in order to comply with the requirements of the Clean Air Act. During the first quarter of 2012, our Chemical Business provided to the EPA a proposed global settlement offer in connection with this matter, which settlement offer would require implementation of additional pollution controls to be installed over a period of time in each of our ten affected nitric acid plants to achieve certain proposed emission rates. The proposal also offered to negotiate a modest civil penalty but did not provide an amount of any proposed civil penalty. Since the specific types of pollution controls necessary to meet the proposed emission rates at each plant have not been determined, the total capital cost to achieve the proposed emission rates has not been determined with any degree of accuracy; however, the total capital cost could be significant.</w:t>
      </w:r>
    </w:p>
    <w:p>
      <w:pPr>
        <w:spacing w:after="0" w:line="11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United States Department of Justice (“DOJ”), on behalf of the EPA, has responded in writing to our proposed global settlement offer and advised in its response which of our proposals are acceptable and not acceptable and certain other provisions that the United States would require in a global settlement. The DOJ’s response also provided that they will require, among other things, that we pay an appropriate civil penalty to the United States and participating state parties, with the amount to be determined after the parties have reached agreement on the core components of a consent decree, and that any settlement is contingent upon the incorporation of the settlement terms into a definitive consent decree acceptable to the parties. Therefore a liability of $100,000 for potential civil penalties has been established at June 30, 2012, in connection with this matter. We are currently corresponding with the DOJ in an effort to resolve this matter.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Environmental Matters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2002, two subsidiaries within our Chemical Business, sold substantially all of their operating assets relating to a Kansas chemical facility (“Hallowell Facility”) but retained ownership of the real property. At December 31, 2002, even though we continued to own the real property, we did not assess our continuing involvement with our former Hallowell Facility to be significant and therefore accounted for the sale as discontinued operations. In connection with this sale, our subsidiary leased the real property to the buyer under a triple net long-term lease agreement. However, our subsidiary retained the obligation to be responsible for, and perform the activities under, a previously executed consent order to investigate the surface and subsurface contamination at the real property and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successor (“Chevron”) of a prior owner of the Hallowell Facility has agreed in writing, on a nonbinding basis and within certain other limitations, to pay and has been paying one-half of the costs of the interim measures relating to this matter as approved by the Kansas Department of Environmental Quality, subject to reallocation.</w:t>
      </w:r>
    </w:p>
    <w:p>
      <w:pPr>
        <w:spacing w:after="0" w:line="140"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Our subsidiary and Chevron are pursuing with the state of Kansas a course of long-term surface and groundwater monitoring to track the natural decline in contamination. Currently, our subsidiary and Chevron are in the process of performing additional surface and groundwater testing. We have accrued for our allocable portion of costs for the additional testing, monitoring and risk assessments that could be reasonably estimated.</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Kansas Department of Health and Environment (“KDHE”) notified our subsidiary and Chevron that the Hallowell Facility has been referred to the KDHE’s Natural Resources Trustee, who is to consider and recommend restoration, replacement and/or whether to seek compensation. KDHE will consider the recommendations in their evaluation. Currently, it is unknown what damages the KDHE would claim, if any. The ultimate required remediation, if any, is unknown. The nature and extent of a portion of the requirements are not currently defined and the associated costs (or range of costs) are not reasonably estimable.</w:t>
      </w:r>
    </w:p>
    <w:p>
      <w:pPr>
        <w:spacing w:after="0" w:line="14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At June 30, 2012, our allocable portion of the total estimated liability related to the Hallowell Facility of $208,000 has been established in connection with this matter. The estimated amount is not discounted to its present value. It is reasonably possible that a change in the estimate of our liability could occur in the near term.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Jayhawk Group</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November 2006, we entered into an agreement with Jayhawk Capital Management, LLC, Jayhawk Investments, L.P., Jayhawk Institutional Partners, L.P. and Kent McCarthy, the manager and sole member of Jayhawk Capital, (collectively, the “Jayhawk Group”), in which the Jayhawk Group agreed, among other things, that if we undertook, in our sole discretion, within one year from the date of agreement a tender offer for our Series 2 $3.25 convertible exchangeable Class C preferred stock (“Series 2 Preferred”) or to issue our common stock for a portion of our Series 2 Preferred pursuant to a private exchange, that they would tender or exchange an aggregate of no more than 180,450 shares of the 340,900 shares of the Series 2 Preferred beneficially owned by the Jayhawk Group, subject to, among other things, the entities owned and controlled by Jack E. Golsen, our chairman and chief executive officer (“Golsen”), and his immediate family, that beneficially own Series 2 Preferred only being able to exchange or tender approximately the same percentage of shares of Series 2 Preferred beneficially owned by them as the Jayhawk Group was able to tender or exchange under the terms of the agreement.</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During 2007, we made a tender offer for our outstanding Series 2 Preferred at the rate of 7.4 shares of our common stock for each share of Series 2 Preferred so tendered. In July 2007, we redeemed the balance of our outstanding shares of Series 2 Preferred. Pursuant to its terms, the Series 2 Preferred was convertible into 4.329 shares of our common stock for each share of Series 2 Preferred. As a result of the redemption, the Jayhawk Group converted the balance of its Series 2 Preferred pursuant to the terms of the Series 2 Preferred in lieu of having its shares redeemed.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Jayhawk Group has filed suit against us and Golsen alleging that the Jayhawk Group should have been able to tender all of its Series 2 Preferred pursuant to the tender offer, notwithstanding the above-described agreement, based on the following claims against us and Golsen:</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fraudulent inducement and fraud,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violation of 10(b) of the Exchange Act and Rule 10b-5,</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violation of 17-12A501 of the Kansas Uniform Securities Act,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breach of contract.</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Jayhawk Group seeks damages up to $12 million based on the additional number of common shares it allegedly would have received on conversion of all of its Series 2 Preferred through the February 2007 tender offer, plus punitive damages. In May 2008, the General Counsel for the Jayhawk Group offered to settle its claims against us and Golsen in return for a payment of $100,000, representing the approximate legal fees it had incurred investigating the claims at that time. Through counsel, we verbally agreed to the settlement offer and confirmed the agreement by e-mail. Afterward, the Jayhawk Group’s General Counsel purported to withdraw the settlement offer, and asserted that Jayhawk is not bound by any settlement agreement. We contend that the settlement agreement is binding on the Jayhawk Group. During September 2011, this case was tried before the court in the United States District Court for the District of Kansas. We are awaiting the court’s decision in this matter. Our insurer, Chartis, a subsidiary of AIG, has agreed to defend this lawsuit on our behalf and to indemnify under a reservation of rights to deny liability under certain conditions. We have incurred expenses associated with this matter up to our insurance deductible of $250,000, and our insurer is paying defense costs in excess of our deductible in this matter. Although our insurer is defending this matter under a reservation of rights, we are not currently aware of any material issue in this case that would result in our insurer denying coverage. Therefore, no liability has been established at June 30, 2012 as a result of this matter.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Pryor Chemical Company</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subsidiary within our Chemical Business, Pryor Chemical Company (“PCC”) has filed lawsuits against certain vendors of PCC related to work performed at the Pryor Facility. The claims allege certain damages resulting from improperly performed work by the vendors and for lost profits and other costs as the result of downtime at the Pryor Facility. The total amount for damages and lost profits claimed is substantial but the amount and timing of the ultimate recovery is uncertain. As a result, any recovery from litigation or settlement of these claims is a gain contingency and will be recognized if, and when, realized or realizable and earned.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Other Claims and Legal Actions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per claim. For any claims or legal actions that we have assessed the likelihood of our liability as probable, we have recognized our estimated liability up to the applicable deductible. At June 30, 2012, our accrued general liability insurance claims were $755,000 and are included in accrued and other liabilities. It is possible that the actual development of claims could be different from our estimates but, after consultation with legal counsel, if those general liability insurance claims for which we have not recognized a liability were determined adversely to us, it would not have a material effect on our business, financial condition or results of operations.</w:t>
      </w:r>
    </w:p>
    <w:p>
      <w:pPr>
        <w:spacing w:after="0" w:line="344"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u w:val="single" w:color="auto"/>
          <w:color w:val="auto"/>
        </w:rPr>
        <w:t>Note 9: Derivatives, Hedges, Financial Instruments and Carbon Credits</w:t>
      </w:r>
      <w:r>
        <w:rPr>
          <w:rFonts w:ascii="Arial" w:cs="Arial" w:eastAsia="Arial" w:hAnsi="Arial"/>
          <w:sz w:val="16"/>
          <w:szCs w:val="16"/>
          <w:b w:val="1"/>
          <w:bCs w:val="1"/>
          <w:color w:val="auto"/>
        </w:rPr>
        <w:t xml:space="preserve"> </w:t>
      </w:r>
      <w:r>
        <w:rPr>
          <w:rFonts w:ascii="Arial" w:cs="Arial" w:eastAsia="Arial" w:hAnsi="Arial"/>
          <w:sz w:val="16"/>
          <w:szCs w:val="16"/>
          <w:color w:val="auto"/>
        </w:rPr>
        <w:t>We have three classes of contracts that are accounted for on a fair value basis, which</w:t>
      </w:r>
      <w:r>
        <w:rPr>
          <w:rFonts w:ascii="Arial" w:cs="Arial" w:eastAsia="Arial" w:hAnsi="Arial"/>
          <w:sz w:val="16"/>
          <w:szCs w:val="16"/>
          <w:b w:val="1"/>
          <w:bCs w:val="1"/>
          <w:color w:val="auto"/>
        </w:rPr>
        <w:t xml:space="preserve"> </w:t>
      </w:r>
      <w:r>
        <w:rPr>
          <w:rFonts w:ascii="Arial" w:cs="Arial" w:eastAsia="Arial" w:hAnsi="Arial"/>
          <w:sz w:val="16"/>
          <w:szCs w:val="16"/>
          <w:color w:val="auto"/>
        </w:rPr>
        <w:t>are commodities futures/forward contracts (“commodities contracts”), foreign exchange contracts and interest rate contracts as discussed below. All of these contracts are used as economic hedges for risk management purposes but are not designated as hedging instruments. In addition as discussed below, we are issued carbon credits, which a certain portion of the carbon credits are to be sold and the proceeds given to Bayer Material Science LLC (“Bayer”). The carbon credits are accounted for on a fair value basis as discussed below. Also the contractual obligations associated with these carbon credits are accounted for on a fair value basis (as discussed below) unless we enter into a firm sales commitment to sell the carbon credits as discussed in Note 1 — Summary of Significant Accounting Policies. The valuations of these assets and liabilities were determined based on quoted market prices or, in instances where market quotes are not available, other valuation techniques or models used to estimate fair values.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June 30, 2012, the valuations of contracts classified as Level 2 related to a foreign exchange contract and an interest rate swap contract. For foreign exchange and interest rate swap contracts, we utilize valuation software and market data from a third-party provider. For foreign exchange contracts, these contracts are valued using the foreign currency exchange rate pursuant to the terms of the contracts and using market information for foreign currency exchange rates. At June 30, 2012, the valuation inputs included the contractual weighted-average exchange rate (U.S. Dollar/Euro) of approximately 1.27 and the estimated market weighted-average exchange rate of approximately 1.27. For interest rate contracts, these contracts are valued using a discounted cash flow model that calculates the present value of future cash flows pursuant to the terms of the contracts and using market information for forward interest-rate yield curves. At June 30, 2012, the valuation inputs included the contractual weighted-average pay rate of 3.23% and the estimated market weighted-average receive rate of 0.71%. No valuation input adjustments were considered necessary relating to nonperformance risk for the contracts.</w:t>
      </w:r>
    </w:p>
    <w:p>
      <w:pPr>
        <w:spacing w:after="0" w:line="1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valuations of assets and liabilities classified as Level 3 are based on prices or valuation techniques that require inputs that are both unobservable and significant to the overall fair value measurement. At June 30, 2012, the valuations ($3.15 per carbon credit) of the carbon credits and the contractual obligations associated with these carbon credits are classified as Level 3 and are based on the range of prices ($1.00 to $4.00) per carbon credit obtained from brokers involved in this low volume market and an offer from a potential customer. At December 31, 2011, the valuations ($3.15 per carbon credit) of the carbon credits and the contractual obligations associated with these carbon credits are classified as Level 3 and are based on the range of ask/bid prices ($1.00 to $3.00) per carbon credit obtained from a broker involved in this low volume market, the sales price of a December 2011 transaction and an offer received from a potential customer.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and associated contractual obligations.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Commodities Contracts</w:t>
      </w:r>
    </w:p>
    <w:p>
      <w:pPr>
        <w:spacing w:after="0" w:line="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Raw materials for use in our manufacturing processes include copper used by our Climate Control Business and anhydrous ammonia and natural gas used by our Chemical Business. As part of our raw material price risk management, we periodically enter into futures/forward contracts for these materials, which contracts may be required to be accounted for on a mark-to-market basis. At December 31, 2011, our futures/forward copper contracts were for 375,000 pounds of copper through May 2012 at a weighted-average cost of $3.42 per pound. At June 30, 2012, our futures/forward copper contracts were for 625,000 pounds of copper through December 2012 at a weighted-average cost of $3.83 per pound. At December 31, 2011 and June 30, 2012, we did not have any futures/forward natural gas contracts requiring mark-to-market accounting. The cash flows relating to these contracts are included in cash flows from continuing operating activities, if any.</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Exchange Contracts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One of our business operations purchases industrial machinery and related components from vendors outside of the United States. As part of our foreign currency risk management, we periodically enter into foreign exchange contracts, which set the U.S. Dollar/Euro exchange rates. These contracts are free-standing derivatives and are accounted for on a mark-to-market basis. At December 31, 2011, we did not have any foreign exchange contracts. At June 30, 2012, our foreign exchange contract was for the receipt of approximately 344,000 Euros through August 2012 at the contractual weighted-average exchange rate (U.S. Dollar/Euro) of approximately 1.27. The cash flows relating to these contracts are included in cash flows from continuing operating activities, if any.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Contracts</w:t>
      </w:r>
    </w:p>
    <w:p>
      <w:pPr>
        <w:spacing w:after="0" w:line="9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As part of our interest rate risk management, we periodically purchase and/or enter into various interest rate contracts. In April 2008, we entered into an interest rate swap at no cost, which set a fixed three-month LIBOR rate of 3.24% on $25 million and matured in April 2012. In September 2008, we acquired an interest rate swap at a cost basis of $0.4 million, which set a fixed three-month LIBOR rate of 3.595% on $25 million and matured in April 2012. These contracts were free-standing derivatives and were accounted for on a mark-to-market basis.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February 2011, we entered into an interest rate swap at no cost, which sets a fixed three-month LIBOR rate of 3.23% on a declining balance (from $23.8 million to $18.8 million) for the period beginning in April 2012 through March 2016. This contract is a free-standing derivative and is accounted for on a mark-to-market basis.</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During the six months ended June 30, 2012 and 2011, no cash flows occurred relating to the purchase or sale of interest rate contracts. The cash flows associated with the interest rate swap payments are included in cash flows from continuing operating activities.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Carbon Credits and Associated Contractual Obligation</w:t>
      </w:r>
    </w:p>
    <w:p>
      <w:pPr>
        <w:spacing w:after="0" w:line="9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Periodically, we are issued carbon credits by the Climate Action Reserve in relation to a greenhouse gas reduction project (“Project”) performed at the Baytown Facility. Pursuant to the terms of the agreement with Bayer, a certain portion of the carbon credits are to be used to recover the costs of the Project, and any balance thereafter to be allocated between Bayer and EDN. We have no obligation to reimburse Bayer for their costs associated with the Project, except through the transfer or sale of the carbon credits when such credits are issued to us. The carbon credits are accounted for on a fair value basis and the contractual obligations associated with these carbon credits are also accounted for on a fair value basis (unless we enter into a firm sales commitment to sell the carbon credits). At December 31, 2011 and June 30, 2012, we had a minimal amount of carbon credits, all of which were subject to contractual obligations. As a result, changes in the amounts of our unobservable valuation inputs (discussed above) would not result in a significant change in the fair value of the carbon credits and the associated contractual obligations and such changes would not impact net income. The cash flows associated with the carbon credits and the associated contractual obligations are included in cash flows from continuing investing activities.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and liabilities that are measured at fair value on a recurring basis at June 30, 2012 and December 31, 2011: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ind w:left="200"/>
              <w:spacing w:after="0"/>
              <w:rPr>
                <w:sz w:val="20"/>
                <w:szCs w:val="20"/>
                <w:color w:val="auto"/>
              </w:rPr>
            </w:pPr>
            <w:r>
              <w:rPr>
                <w:rFonts w:ascii="Arial" w:cs="Arial" w:eastAsia="Arial" w:hAnsi="Arial"/>
                <w:sz w:val="14"/>
                <w:szCs w:val="14"/>
                <w:color w:val="auto"/>
              </w:rPr>
              <w:t>Fair Value Measurements at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6"/>
          </w:tcPr>
          <w:p>
            <w:pPr>
              <w:ind w:left="400"/>
              <w:spacing w:after="0" w:line="159" w:lineRule="exact"/>
              <w:rPr>
                <w:sz w:val="20"/>
                <w:szCs w:val="20"/>
                <w:color w:val="auto"/>
              </w:rPr>
            </w:pPr>
            <w:r>
              <w:rPr>
                <w:rFonts w:ascii="Arial" w:cs="Arial" w:eastAsia="Arial" w:hAnsi="Arial"/>
                <w:sz w:val="14"/>
                <w:szCs w:val="14"/>
                <w:color w:val="auto"/>
              </w:rPr>
              <w:t>June 30, 2012 Using</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6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3"/>
          </w:tcPr>
          <w:p>
            <w:pPr>
              <w:ind w:left="20"/>
              <w:spacing w:after="0" w:line="131" w:lineRule="exact"/>
              <w:rPr>
                <w:sz w:val="20"/>
                <w:szCs w:val="20"/>
                <w:color w:val="auto"/>
              </w:rPr>
            </w:pPr>
            <w:r>
              <w:rPr>
                <w:rFonts w:ascii="Arial" w:cs="Arial" w:eastAsia="Arial" w:hAnsi="Arial"/>
                <w:sz w:val="14"/>
                <w:szCs w:val="14"/>
                <w:color w:val="auto"/>
              </w:rPr>
              <w:t>Quoted Prices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in Active</w:t>
            </w:r>
          </w:p>
        </w:tc>
        <w:tc>
          <w:tcPr>
            <w:tcW w:w="26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Significant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color w:val="auto"/>
                <w:w w:val="84"/>
              </w:rPr>
              <w:t>Total Fair</w:t>
            </w:r>
          </w:p>
        </w:tc>
        <w:tc>
          <w:tcPr>
            <w:tcW w:w="52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1"/>
              </w:rPr>
              <w:t>Markets for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5"/>
              </w:rPr>
              <w:t>Other</w:t>
            </w:r>
          </w:p>
        </w:tc>
        <w:tc>
          <w:tcPr>
            <w:tcW w:w="160" w:type="dxa"/>
            <w:vAlign w:val="bottom"/>
          </w:tcPr>
          <w:p>
            <w:pPr>
              <w:spacing w:after="0"/>
              <w:rPr>
                <w:sz w:val="12"/>
                <w:szCs w:val="12"/>
                <w:color w:val="auto"/>
              </w:rPr>
            </w:pP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w w:val="99"/>
              </w:rPr>
              <w:t>Significant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Total Fair</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Value At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8"/>
              </w:rPr>
              <w:t>Identical</w:t>
            </w:r>
          </w:p>
        </w:tc>
        <w:tc>
          <w:tcPr>
            <w:tcW w:w="2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Observable</w:t>
            </w:r>
          </w:p>
        </w:tc>
        <w:tc>
          <w:tcPr>
            <w:tcW w:w="1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Value at</w:t>
            </w:r>
          </w:p>
        </w:tc>
        <w:tc>
          <w:tcPr>
            <w:tcW w:w="0" w:type="dxa"/>
            <w:vAlign w:val="bottom"/>
          </w:tcPr>
          <w:p>
            <w:pPr>
              <w:spacing w:after="0"/>
              <w:rPr>
                <w:sz w:val="1"/>
                <w:szCs w:val="1"/>
                <w:color w:val="auto"/>
              </w:rPr>
            </w:pPr>
          </w:p>
        </w:tc>
      </w:tr>
      <w:tr>
        <w:trPr>
          <w:trHeight w:val="149"/>
        </w:trPr>
        <w:tc>
          <w:tcPr>
            <w:tcW w:w="514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June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0"/>
              </w:rPr>
              <w:t>Assets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9"/>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Inputs</w:t>
            </w:r>
          </w:p>
        </w:tc>
        <w:tc>
          <w:tcPr>
            <w:tcW w:w="2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3"/>
        </w:trPr>
        <w:tc>
          <w:tcPr>
            <w:tcW w:w="514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center"/>
              <w:ind w:right="34"/>
              <w:spacing w:after="0" w:line="146" w:lineRule="exact"/>
              <w:rPr>
                <w:sz w:val="20"/>
                <w:szCs w:val="20"/>
                <w:color w:val="auto"/>
              </w:rPr>
            </w:pPr>
            <w:r>
              <w:rPr>
                <w:rFonts w:ascii="Arial" w:cs="Arial" w:eastAsia="Arial" w:hAnsi="Arial"/>
                <w:sz w:val="14"/>
                <w:szCs w:val="14"/>
                <w:color w:val="auto"/>
                <w:w w:val="83"/>
              </w:rPr>
              <w:t>2012</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380"/>
              <w:spacing w:after="0" w:line="146" w:lineRule="exact"/>
              <w:rPr>
                <w:sz w:val="20"/>
                <w:szCs w:val="20"/>
                <w:color w:val="auto"/>
              </w:rPr>
            </w:pPr>
            <w:r>
              <w:rPr>
                <w:rFonts w:ascii="Arial" w:cs="Arial" w:eastAsia="Arial" w:hAnsi="Arial"/>
                <w:sz w:val="14"/>
                <w:szCs w:val="14"/>
                <w:color w:val="auto"/>
                <w:w w:val="91"/>
              </w:rPr>
              <w:t>(Level 1)</w:t>
            </w:r>
          </w:p>
        </w:tc>
        <w:tc>
          <w:tcPr>
            <w:tcW w:w="260" w:type="dxa"/>
            <w:vAlign w:val="bottom"/>
          </w:tcPr>
          <w:p>
            <w:pPr>
              <w:spacing w:after="0"/>
              <w:rPr>
                <w:sz w:val="13"/>
                <w:szCs w:val="13"/>
                <w:color w:val="auto"/>
              </w:rPr>
            </w:pPr>
          </w:p>
        </w:tc>
        <w:tc>
          <w:tcPr>
            <w:tcW w:w="1000" w:type="dxa"/>
            <w:vAlign w:val="bottom"/>
            <w:gridSpan w:val="3"/>
          </w:tcPr>
          <w:p>
            <w:pPr>
              <w:jc w:val="center"/>
              <w:ind w:right="380"/>
              <w:spacing w:after="0" w:line="146" w:lineRule="exact"/>
              <w:rPr>
                <w:sz w:val="20"/>
                <w:szCs w:val="20"/>
                <w:color w:val="auto"/>
              </w:rPr>
            </w:pPr>
            <w:r>
              <w:rPr>
                <w:rFonts w:ascii="Arial" w:cs="Arial" w:eastAsia="Arial" w:hAnsi="Arial"/>
                <w:sz w:val="14"/>
                <w:szCs w:val="14"/>
                <w:color w:val="auto"/>
                <w:w w:val="91"/>
              </w:rPr>
              <w:t>(Level 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w w:val="91"/>
              </w:rPr>
              <w:t>(Level 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8"/>
              <w:spacing w:after="0" w:line="146" w:lineRule="exact"/>
              <w:rPr>
                <w:sz w:val="20"/>
                <w:szCs w:val="20"/>
                <w:color w:val="auto"/>
              </w:rPr>
            </w:pPr>
            <w:r>
              <w:rPr>
                <w:rFonts w:ascii="Arial" w:cs="Arial" w:eastAsia="Arial" w:hAnsi="Arial"/>
                <w:sz w:val="14"/>
                <w:szCs w:val="14"/>
                <w:color w:val="auto"/>
                <w:w w:val="89"/>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0" w:type="dxa"/>
            <w:vAlign w:val="bottom"/>
            <w:tcBorders>
              <w:top w:val="single" w:sz="8" w:color="auto"/>
            </w:tcBorders>
          </w:tcPr>
          <w:p>
            <w:pPr>
              <w:spacing w:after="0"/>
              <w:rPr>
                <w:sz w:val="12"/>
                <w:szCs w:val="12"/>
                <w:color w:val="auto"/>
              </w:rPr>
            </w:pPr>
          </w:p>
        </w:tc>
        <w:tc>
          <w:tcPr>
            <w:tcW w:w="4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ind w:left="20"/>
              <w:spacing w:after="0" w:line="149" w:lineRule="exact"/>
              <w:rPr>
                <w:sz w:val="20"/>
                <w:szCs w:val="20"/>
                <w:color w:val="auto"/>
              </w:rPr>
            </w:pPr>
            <w:r>
              <w:rPr>
                <w:rFonts w:ascii="Arial" w:cs="Arial" w:eastAsia="Arial" w:hAnsi="Arial"/>
                <w:sz w:val="14"/>
                <w:szCs w:val="14"/>
                <w:color w:val="auto"/>
              </w:rPr>
              <w:t>(In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 Supplies, prepaid items and other:</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Commodities contracts</w:t>
            </w:r>
          </w:p>
        </w:tc>
        <w:tc>
          <w:tcPr>
            <w:tcW w:w="740" w:type="dxa"/>
            <w:vAlign w:val="bottom"/>
            <w:gridSpan w:val="3"/>
          </w:tcPr>
          <w:p>
            <w:pPr>
              <w:ind w:left="6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Carbon credits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 w:type="dxa"/>
            <w:vAlign w:val="bottom"/>
          </w:tcPr>
          <w:p>
            <w:pPr>
              <w:spacing w:after="0"/>
              <w:rPr>
                <w:sz w:val="19"/>
                <w:szCs w:val="19"/>
                <w:color w:val="auto"/>
              </w:rPr>
            </w:pPr>
          </w:p>
        </w:tc>
        <w:tc>
          <w:tcPr>
            <w:tcW w:w="4480" w:type="dxa"/>
            <w:vAlign w:val="bottom"/>
            <w:vMerge w:val="continue"/>
          </w:tcPr>
          <w:p>
            <w:pPr>
              <w:spacing w:after="0"/>
              <w:rPr>
                <w:sz w:val="19"/>
                <w:szCs w:val="19"/>
                <w:color w:val="auto"/>
              </w:rPr>
            </w:pPr>
          </w:p>
        </w:tc>
        <w:tc>
          <w:tcPr>
            <w:tcW w:w="740" w:type="dxa"/>
            <w:vAlign w:val="bottom"/>
            <w:gridSpan w:val="3"/>
          </w:tcPr>
          <w:p>
            <w:pPr>
              <w:ind w:left="6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Liabilities — Current and noncurrent accrued and other liabilities: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Commodities</w:t>
            </w:r>
          </w:p>
        </w:tc>
        <w:tc>
          <w:tcPr>
            <w:tcW w:w="740" w:type="dxa"/>
            <w:vAlign w:val="bottom"/>
            <w:gridSpan w:val="3"/>
          </w:tcPr>
          <w:p>
            <w:pPr>
              <w:ind w:left="6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208</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208</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Contractual obligations — carbon credits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contracts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2,015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 w:type="dxa"/>
            <w:vAlign w:val="bottom"/>
          </w:tcPr>
          <w:p>
            <w:pPr>
              <w:spacing w:after="0"/>
              <w:rPr>
                <w:sz w:val="19"/>
                <w:szCs w:val="19"/>
                <w:color w:val="auto"/>
              </w:rPr>
            </w:pPr>
          </w:p>
        </w:tc>
        <w:tc>
          <w:tcPr>
            <w:tcW w:w="44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2,267</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400"/>
              <w:spacing w:after="0"/>
              <w:rPr>
                <w:sz w:val="20"/>
                <w:szCs w:val="20"/>
                <w:color w:val="auto"/>
              </w:rPr>
            </w:pPr>
            <w:r>
              <w:rPr>
                <w:rFonts w:ascii="Arial" w:cs="Arial" w:eastAsia="Arial" w:hAnsi="Arial"/>
                <w:sz w:val="18"/>
                <w:szCs w:val="18"/>
                <w:color w:val="auto"/>
                <w:w w:val="79"/>
              </w:rPr>
              <w:t>208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2,017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740" w:type="dxa"/>
            <w:vAlign w:val="bottom"/>
            <w:gridSpan w:val="3"/>
          </w:tcPr>
          <w:p>
            <w:pPr>
              <w:jc w:val="right"/>
              <w:ind w:right="12"/>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six months ended June 30, 2012 and 2011, none of our assets or liabilities measured at fair value on a recurring basis transferred between Level 1 and Level 2 classifications. In addition, the following is a reconciliation of the beginning and ending balances for assets and liabilities measured at fair value on a recurring basis using significant unobservable inputs (Level 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color w:val="auto"/>
                <w:w w:val="90"/>
              </w:rPr>
              <w:t>Assets</w:t>
            </w:r>
          </w:p>
        </w:tc>
        <w:tc>
          <w:tcPr>
            <w:tcW w:w="280" w:type="dxa"/>
            <w:vAlign w:val="bottom"/>
          </w:tcPr>
          <w:p>
            <w:pPr>
              <w:spacing w:after="0"/>
              <w:rPr>
                <w:sz w:val="14"/>
                <w:szCs w:val="14"/>
                <w:color w:val="auto"/>
              </w:rPr>
            </w:pPr>
          </w:p>
        </w:tc>
        <w:tc>
          <w:tcPr>
            <w:tcW w:w="11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3"/>
              </w:rPr>
              <w:t>Liabilities</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85"/>
              </w:rPr>
              <w:t>Assets</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4"/>
                <w:szCs w:val="14"/>
                <w:color w:val="auto"/>
                <w:w w:val="93"/>
              </w:rPr>
              <w:t>Liabilities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5"/>
          </w:tcPr>
          <w:p>
            <w:pPr>
              <w:ind w:left="20"/>
              <w:spacing w:after="0" w:line="131" w:lineRule="exact"/>
              <w:rPr>
                <w:sz w:val="20"/>
                <w:szCs w:val="20"/>
                <w:color w:val="auto"/>
              </w:rPr>
            </w:pPr>
            <w:r>
              <w:rPr>
                <w:rFonts w:ascii="Arial" w:cs="Arial" w:eastAsia="Arial" w:hAnsi="Arial"/>
                <w:sz w:val="14"/>
                <w:szCs w:val="14"/>
                <w:color w:val="auto"/>
              </w:rPr>
              <w:t>Six Months Ended</w:t>
            </w:r>
          </w:p>
        </w:tc>
        <w:tc>
          <w:tcPr>
            <w:tcW w:w="1140" w:type="dxa"/>
            <w:vAlign w:val="bottom"/>
            <w:gridSpan w:val="5"/>
          </w:tcPr>
          <w:p>
            <w:pPr>
              <w:jc w:val="center"/>
              <w:spacing w:after="0" w:line="131" w:lineRule="exact"/>
              <w:rPr>
                <w:sz w:val="20"/>
                <w:szCs w:val="20"/>
                <w:color w:val="auto"/>
              </w:rPr>
            </w:pPr>
            <w:r>
              <w:rPr>
                <w:rFonts w:ascii="Arial" w:cs="Arial" w:eastAsia="Arial" w:hAnsi="Arial"/>
                <w:sz w:val="14"/>
                <w:szCs w:val="14"/>
                <w:color w:val="auto"/>
                <w:w w:val="89"/>
              </w:rPr>
              <w:t>Six Months Ended</w:t>
            </w:r>
          </w:p>
        </w:tc>
        <w:tc>
          <w:tcPr>
            <w:tcW w:w="280" w:type="dxa"/>
            <w:vAlign w:val="bottom"/>
          </w:tcPr>
          <w:p>
            <w:pPr>
              <w:spacing w:after="0"/>
              <w:rPr>
                <w:sz w:val="11"/>
                <w:szCs w:val="11"/>
                <w:color w:val="auto"/>
              </w:rPr>
            </w:pPr>
          </w:p>
        </w:tc>
        <w:tc>
          <w:tcPr>
            <w:tcW w:w="1540" w:type="dxa"/>
            <w:vAlign w:val="bottom"/>
            <w:gridSpan w:val="6"/>
          </w:tcPr>
          <w:p>
            <w:pPr>
              <w:jc w:val="center"/>
              <w:ind w:right="280"/>
              <w:spacing w:after="0" w:line="131" w:lineRule="exact"/>
              <w:rPr>
                <w:sz w:val="20"/>
                <w:szCs w:val="20"/>
                <w:color w:val="auto"/>
              </w:rPr>
            </w:pPr>
            <w:r>
              <w:rPr>
                <w:rFonts w:ascii="Arial" w:cs="Arial" w:eastAsia="Arial" w:hAnsi="Arial"/>
                <w:sz w:val="14"/>
                <w:szCs w:val="14"/>
                <w:color w:val="auto"/>
                <w:w w:val="87"/>
              </w:rPr>
              <w:t>Three Months Ended</w:t>
            </w:r>
          </w:p>
        </w:tc>
        <w:tc>
          <w:tcPr>
            <w:tcW w:w="1400" w:type="dxa"/>
            <w:vAlign w:val="bottom"/>
            <w:gridSpan w:val="6"/>
          </w:tcPr>
          <w:p>
            <w:pPr>
              <w:jc w:val="center"/>
              <w:ind w:right="100"/>
              <w:spacing w:after="0" w:line="131" w:lineRule="exact"/>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4"/>
                <w:szCs w:val="14"/>
                <w:color w:val="auto"/>
                <w:w w:val="81"/>
              </w:rPr>
              <w:t>June 30,</w:t>
            </w:r>
          </w:p>
        </w:tc>
        <w:tc>
          <w:tcPr>
            <w:tcW w:w="1420" w:type="dxa"/>
            <w:vAlign w:val="bottom"/>
            <w:gridSpan w:val="6"/>
          </w:tcPr>
          <w:p>
            <w:pPr>
              <w:jc w:val="center"/>
              <w:ind w:right="280"/>
              <w:spacing w:after="0"/>
              <w:rPr>
                <w:sz w:val="20"/>
                <w:szCs w:val="20"/>
                <w:color w:val="auto"/>
              </w:rPr>
            </w:pPr>
            <w:r>
              <w:rPr>
                <w:rFonts w:ascii="Arial" w:cs="Arial" w:eastAsia="Arial" w:hAnsi="Arial"/>
                <w:sz w:val="14"/>
                <w:szCs w:val="14"/>
                <w:color w:val="auto"/>
                <w:w w:val="85"/>
              </w:rPr>
              <w:t>June 30,</w:t>
            </w:r>
          </w:p>
        </w:tc>
        <w:tc>
          <w:tcPr>
            <w:tcW w:w="140" w:type="dxa"/>
            <w:vAlign w:val="bottom"/>
          </w:tcPr>
          <w:p>
            <w:pPr>
              <w:spacing w:after="0"/>
              <w:rPr>
                <w:sz w:val="14"/>
                <w:szCs w:val="14"/>
                <w:color w:val="auto"/>
              </w:rPr>
            </w:pPr>
          </w:p>
        </w:tc>
        <w:tc>
          <w:tcPr>
            <w:tcW w:w="720" w:type="dxa"/>
            <w:vAlign w:val="bottom"/>
            <w:gridSpan w:val="3"/>
          </w:tcPr>
          <w:p>
            <w:pPr>
              <w:jc w:val="center"/>
              <w:ind w:left="194"/>
              <w:spacing w:after="0"/>
              <w:rPr>
                <w:sz w:val="20"/>
                <w:szCs w:val="20"/>
                <w:color w:val="auto"/>
              </w:rPr>
            </w:pPr>
            <w:r>
              <w:rPr>
                <w:rFonts w:ascii="Arial" w:cs="Arial" w:eastAsia="Arial" w:hAnsi="Arial"/>
                <w:sz w:val="14"/>
                <w:szCs w:val="14"/>
                <w:color w:val="auto"/>
                <w:w w:val="81"/>
              </w:rPr>
              <w:t>June 30,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ind w:left="196"/>
              <w:spacing w:after="0"/>
              <w:rPr>
                <w:sz w:val="20"/>
                <w:szCs w:val="20"/>
                <w:color w:val="auto"/>
              </w:rPr>
            </w:pPr>
            <w:r>
              <w:rPr>
                <w:rFonts w:ascii="Arial" w:cs="Arial" w:eastAsia="Arial" w:hAnsi="Arial"/>
                <w:sz w:val="14"/>
                <w:szCs w:val="14"/>
                <w:color w:val="auto"/>
                <w:w w:val="85"/>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360" w:type="dxa"/>
            <w:vAlign w:val="bottom"/>
            <w:tcBorders>
              <w:bottom w:val="single" w:sz="8" w:color="auto"/>
            </w:tcBorders>
            <w:gridSpan w:val="2"/>
          </w:tcPr>
          <w:p>
            <w:pPr>
              <w:ind w:left="40"/>
              <w:spacing w:after="0" w:line="159" w:lineRule="exact"/>
              <w:rPr>
                <w:sz w:val="20"/>
                <w:szCs w:val="20"/>
                <w:color w:val="auto"/>
              </w:rPr>
            </w:pPr>
            <w:r>
              <w:rPr>
                <w:rFonts w:ascii="Arial" w:cs="Arial" w:eastAsia="Arial" w:hAnsi="Arial"/>
                <w:sz w:val="14"/>
                <w:szCs w:val="14"/>
                <w:color w:val="auto"/>
                <w:w w:val="96"/>
              </w:rPr>
              <w:t>2012</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ind w:left="40"/>
              <w:spacing w:after="0" w:line="159" w:lineRule="exact"/>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2012</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6"/>
              <w:spacing w:after="0" w:line="159" w:lineRule="exact"/>
              <w:rPr>
                <w:sz w:val="20"/>
                <w:szCs w:val="20"/>
                <w:color w:val="auto"/>
              </w:rPr>
            </w:pPr>
            <w:r>
              <w:rPr>
                <w:rFonts w:ascii="Arial" w:cs="Arial" w:eastAsia="Arial" w:hAnsi="Arial"/>
                <w:sz w:val="14"/>
                <w:szCs w:val="14"/>
                <w:color w:val="auto"/>
                <w:w w:val="83"/>
              </w:rPr>
              <w:t>2011</w:t>
            </w: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644</w:t>
            </w:r>
          </w:p>
        </w:tc>
        <w:tc>
          <w:tcPr>
            <w:tcW w:w="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 (42)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Transfers into Level 3</w:t>
            </w: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Total realized and unrealized gains (losses) included in earnings</w:t>
            </w: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1,030</w:t>
            </w: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(936)</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990</w:t>
            </w:r>
          </w:p>
        </w:tc>
        <w:tc>
          <w:tcPr>
            <w:tcW w:w="140" w:type="dxa"/>
            <w:vAlign w:val="bottom"/>
          </w:tcPr>
          <w:p>
            <w:pPr>
              <w:spacing w:after="0"/>
              <w:rPr>
                <w:sz w:val="18"/>
                <w:szCs w:val="18"/>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Issuances</w:t>
            </w: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(1,665)</w:t>
            </w:r>
          </w:p>
        </w:tc>
        <w:tc>
          <w:tcPr>
            <w:tcW w:w="5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Settlements</w:t>
            </w: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1,573</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 (42)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Realized and unrealized net losses included in earnings and the income statement classifications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5"/>
          </w:tcPr>
          <w:p>
            <w:pPr>
              <w:jc w:val="center"/>
              <w:ind w:right="320"/>
              <w:spacing w:after="0"/>
              <w:rPr>
                <w:sz w:val="20"/>
                <w:szCs w:val="20"/>
                <w:color w:val="auto"/>
              </w:rPr>
            </w:pPr>
            <w:r>
              <w:rPr>
                <w:rFonts w:ascii="Arial" w:cs="Arial" w:eastAsia="Arial" w:hAnsi="Arial"/>
                <w:sz w:val="14"/>
                <w:szCs w:val="14"/>
                <w:color w:val="auto"/>
                <w:w w:val="89"/>
              </w:rPr>
              <w:t>Six Months Ended</w:t>
            </w:r>
          </w:p>
        </w:tc>
        <w:tc>
          <w:tcPr>
            <w:tcW w:w="160" w:type="dxa"/>
            <w:vAlign w:val="bottom"/>
          </w:tcPr>
          <w:p>
            <w:pPr>
              <w:spacing w:after="0"/>
              <w:rPr>
                <w:sz w:val="13"/>
                <w:szCs w:val="13"/>
                <w:color w:val="auto"/>
              </w:rPr>
            </w:pPr>
          </w:p>
        </w:tc>
        <w:tc>
          <w:tcPr>
            <w:tcW w:w="1500" w:type="dxa"/>
            <w:vAlign w:val="bottom"/>
            <w:gridSpan w:val="6"/>
          </w:tcPr>
          <w:p>
            <w:pPr>
              <w:jc w:val="center"/>
              <w:ind w:right="12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59"/>
        </w:trPr>
        <w:tc>
          <w:tcPr>
            <w:tcW w:w="6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5"/>
              </w:rPr>
              <w:t>June 30,</w:t>
            </w: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auto"/>
            </w:tcBorders>
            <w:gridSpan w:val="4"/>
          </w:tcPr>
          <w:p>
            <w:pPr>
              <w:jc w:val="center"/>
              <w:ind w:left="324"/>
              <w:spacing w:after="0" w:line="159" w:lineRule="exact"/>
              <w:rPr>
                <w:sz w:val="20"/>
                <w:szCs w:val="20"/>
                <w:color w:val="auto"/>
              </w:rPr>
            </w:pPr>
            <w:r>
              <w:rPr>
                <w:rFonts w:ascii="Arial" w:cs="Arial" w:eastAsia="Arial" w:hAnsi="Arial"/>
                <w:sz w:val="14"/>
                <w:szCs w:val="14"/>
                <w:color w:val="auto"/>
                <w:w w:val="81"/>
              </w:rPr>
              <w:t>June 30,</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w w:val="89"/>
              </w:rPr>
              <w:t>2011</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right"/>
              <w:ind w:right="48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(losses) included in earnings: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Cost of sales — Commodities contracts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72"/>
              <w:spacing w:after="0"/>
              <w:rPr>
                <w:sz w:val="20"/>
                <w:szCs w:val="20"/>
                <w:color w:val="auto"/>
              </w:rPr>
            </w:pPr>
            <w:r>
              <w:rPr>
                <w:rFonts w:ascii="Arial" w:cs="Arial" w:eastAsia="Arial" w:hAnsi="Arial"/>
                <w:sz w:val="18"/>
                <w:szCs w:val="18"/>
                <w:color w:val="auto"/>
              </w:rPr>
              <w:t>(72)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 (214)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sales — Foreign exchange contracts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Other income — Carbon credits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expenses — Contractual obligations relating to carbon credits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Interest expense — Interest rate contracts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72"/>
              <w:spacing w:after="0"/>
              <w:rPr>
                <w:sz w:val="20"/>
                <w:szCs w:val="20"/>
                <w:color w:val="auto"/>
              </w:rPr>
            </w:pPr>
            <w:r>
              <w:rPr>
                <w:rFonts w:ascii="Arial" w:cs="Arial" w:eastAsia="Arial" w:hAnsi="Arial"/>
                <w:sz w:val="18"/>
                <w:szCs w:val="18"/>
                <w:color w:val="auto"/>
                <w:w w:val="85"/>
              </w:rPr>
              <w:t>(329)</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(1,026)</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5"/>
              </w:rPr>
              <w:t>(409)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(1,080)</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(455)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6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5"/>
          </w:tcPr>
          <w:p>
            <w:pPr>
              <w:jc w:val="center"/>
              <w:ind w:right="320"/>
              <w:spacing w:after="0"/>
              <w:rPr>
                <w:sz w:val="20"/>
                <w:szCs w:val="20"/>
                <w:color w:val="auto"/>
              </w:rPr>
            </w:pPr>
            <w:r>
              <w:rPr>
                <w:rFonts w:ascii="Arial" w:cs="Arial" w:eastAsia="Arial" w:hAnsi="Arial"/>
                <w:sz w:val="14"/>
                <w:szCs w:val="14"/>
                <w:color w:val="auto"/>
                <w:w w:val="89"/>
              </w:rPr>
              <w:t>Six Months Ended</w:t>
            </w:r>
          </w:p>
        </w:tc>
        <w:tc>
          <w:tcPr>
            <w:tcW w:w="160" w:type="dxa"/>
            <w:vAlign w:val="bottom"/>
          </w:tcPr>
          <w:p>
            <w:pPr>
              <w:spacing w:after="0"/>
              <w:rPr>
                <w:sz w:val="24"/>
                <w:szCs w:val="24"/>
                <w:color w:val="auto"/>
              </w:rPr>
            </w:pPr>
          </w:p>
        </w:tc>
        <w:tc>
          <w:tcPr>
            <w:tcW w:w="1500" w:type="dxa"/>
            <w:vAlign w:val="bottom"/>
            <w:gridSpan w:val="6"/>
          </w:tcPr>
          <w:p>
            <w:pPr>
              <w:jc w:val="center"/>
              <w:ind w:right="12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59"/>
        </w:trPr>
        <w:tc>
          <w:tcPr>
            <w:tcW w:w="6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5"/>
              </w:rPr>
              <w:t>June 30,</w:t>
            </w: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auto"/>
            </w:tcBorders>
            <w:gridSpan w:val="4"/>
          </w:tcPr>
          <w:p>
            <w:pPr>
              <w:jc w:val="center"/>
              <w:ind w:left="324"/>
              <w:spacing w:after="0" w:line="159" w:lineRule="exact"/>
              <w:rPr>
                <w:sz w:val="20"/>
                <w:szCs w:val="20"/>
                <w:color w:val="auto"/>
              </w:rPr>
            </w:pPr>
            <w:r>
              <w:rPr>
                <w:rFonts w:ascii="Arial" w:cs="Arial" w:eastAsia="Arial" w:hAnsi="Arial"/>
                <w:sz w:val="14"/>
                <w:szCs w:val="14"/>
                <w:color w:val="auto"/>
                <w:w w:val="81"/>
              </w:rPr>
              <w:t>June 30,</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w w:val="89"/>
              </w:rPr>
              <w:t>2011</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right"/>
              <w:ind w:right="48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 (losses) relating to contracts still held at period end: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Cost of sales — Commodities contracts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72"/>
              <w:spacing w:after="0"/>
              <w:rPr>
                <w:sz w:val="20"/>
                <w:szCs w:val="20"/>
                <w:color w:val="auto"/>
              </w:rPr>
            </w:pPr>
            <w:r>
              <w:rPr>
                <w:rFonts w:ascii="Arial" w:cs="Arial" w:eastAsia="Arial" w:hAnsi="Arial"/>
                <w:sz w:val="18"/>
                <w:szCs w:val="18"/>
                <w:color w:val="auto"/>
                <w:w w:val="85"/>
              </w:rPr>
              <w:t>(208)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 (209)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sales — Foreign exchange contracts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Other income — Carbon credits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expenses — Contractual obligations relating to carbon credits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Interest expense — Interest rate contracts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(240)</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(255)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5160"/>
              <w:spacing w:after="0"/>
              <w:rPr>
                <w:sz w:val="20"/>
                <w:szCs w:val="20"/>
                <w:color w:val="auto"/>
              </w:rPr>
            </w:pPr>
            <w:r>
              <w:rPr>
                <w:rFonts w:ascii="Arial" w:cs="Arial" w:eastAsia="Arial" w:hAnsi="Arial"/>
                <w:sz w:val="18"/>
                <w:szCs w:val="18"/>
                <w:color w:val="auto"/>
              </w:rPr>
              <w:t>23</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4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At June 30, 2012 and December 31, 2011, we did not have any financial instruments with fair values significantly different from their carrying amounts. These financial instruments include our long-term debt agreements, which valuations are classified as Level 3 and are based on valuation techniques that require inputs that are both unobservable and significant to the overall fair value measurement. The fair value measurement of our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the debt agreements. The fair value of financial instruments is not indicative of the overall fair value of our assets and liabilities since financial instruments do not include all assets, including intangibles, and all liabilities.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for income taxes are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560" w:type="dxa"/>
            <w:vAlign w:val="bottom"/>
            <w:gridSpan w:val="3"/>
          </w:tcPr>
          <w:p>
            <w:pPr>
              <w:jc w:val="right"/>
              <w:ind w:right="197"/>
              <w:spacing w:after="0"/>
              <w:rPr>
                <w:sz w:val="20"/>
                <w:szCs w:val="20"/>
                <w:color w:val="auto"/>
              </w:rPr>
            </w:pPr>
            <w:r>
              <w:rPr>
                <w:rFonts w:ascii="Arial" w:cs="Arial" w:eastAsia="Arial" w:hAnsi="Arial"/>
                <w:sz w:val="14"/>
                <w:szCs w:val="14"/>
                <w:color w:val="auto"/>
              </w:rPr>
              <w:t>Six Months Ended</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560" w:type="dxa"/>
            <w:vAlign w:val="bottom"/>
            <w:gridSpan w:val="3"/>
          </w:tcPr>
          <w:p>
            <w:pPr>
              <w:jc w:val="right"/>
              <w:ind w:right="457"/>
              <w:spacing w:after="0"/>
              <w:rPr>
                <w:sz w:val="20"/>
                <w:szCs w:val="20"/>
                <w:color w:val="auto"/>
              </w:rPr>
            </w:pPr>
            <w:r>
              <w:rPr>
                <w:rFonts w:ascii="Arial" w:cs="Arial" w:eastAsia="Arial" w:hAnsi="Arial"/>
                <w:sz w:val="14"/>
                <w:szCs w:val="14"/>
                <w:color w:val="auto"/>
              </w:rPr>
              <w:t>June 30,</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color w:val="auto"/>
                <w:w w:val="85"/>
              </w:rPr>
              <w:t>June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580" w:type="dxa"/>
            <w:vAlign w:val="bottom"/>
            <w:tcBorders>
              <w:bottom w:val="single" w:sz="8" w:color="auto"/>
            </w:tcBorders>
          </w:tcPr>
          <w:p>
            <w:pPr>
              <w:jc w:val="right"/>
              <w:ind w:right="58"/>
              <w:spacing w:after="0" w:line="159"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7"/>
              <w:spacing w:after="0" w:line="159" w:lineRule="exact"/>
              <w:rPr>
                <w:sz w:val="20"/>
                <w:szCs w:val="20"/>
                <w:color w:val="auto"/>
              </w:rPr>
            </w:pPr>
            <w:r>
              <w:rPr>
                <w:rFonts w:ascii="Arial" w:cs="Arial" w:eastAsia="Arial" w:hAnsi="Arial"/>
                <w:sz w:val="14"/>
                <w:szCs w:val="14"/>
                <w:color w:val="auto"/>
              </w:rPr>
              <w:t>2011</w:t>
            </w:r>
          </w:p>
        </w:tc>
        <w:tc>
          <w:tcPr>
            <w:tcW w:w="980" w:type="dxa"/>
            <w:vAlign w:val="bottom"/>
            <w:tcBorders>
              <w:bottom w:val="single" w:sz="8" w:color="auto"/>
            </w:tcBorders>
            <w:gridSpan w:val="2"/>
          </w:tcPr>
          <w:p>
            <w:pPr>
              <w:jc w:val="right"/>
              <w:ind w:right="92"/>
              <w:spacing w:after="0" w:line="159" w:lineRule="exact"/>
              <w:rPr>
                <w:sz w:val="20"/>
                <w:szCs w:val="20"/>
                <w:color w:val="auto"/>
              </w:rPr>
            </w:pPr>
            <w:r>
              <w:rPr>
                <w:rFonts w:ascii="Arial" w:cs="Arial" w:eastAsia="Arial" w:hAnsi="Arial"/>
                <w:sz w:val="14"/>
                <w:szCs w:val="14"/>
                <w:color w:val="auto"/>
              </w:rPr>
              <w:t>2012</w:t>
            </w:r>
          </w:p>
        </w:tc>
        <w:tc>
          <w:tcPr>
            <w:tcW w:w="960" w:type="dxa"/>
            <w:vAlign w:val="bottom"/>
            <w:tcBorders>
              <w:bottom w:val="single" w:sz="8" w:color="auto"/>
            </w:tcBorders>
            <w:gridSpan w:val="2"/>
          </w:tcPr>
          <w:p>
            <w:pPr>
              <w:jc w:val="right"/>
              <w:ind w:right="160"/>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60" w:type="dxa"/>
            <w:vAlign w:val="bottom"/>
            <w:gridSpan w:val="3"/>
          </w:tcPr>
          <w:p>
            <w:pPr>
              <w:jc w:val="right"/>
              <w:ind w:right="312"/>
              <w:spacing w:after="0" w:line="142" w:lineRule="exact"/>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Federal</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$17,441</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$21,914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$12,051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3,273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tcPr>
          <w:p>
            <w:pPr>
              <w:ind w:left="860"/>
              <w:spacing w:after="0"/>
              <w:rPr>
                <w:sz w:val="20"/>
                <w:szCs w:val="20"/>
                <w:color w:val="auto"/>
              </w:rPr>
            </w:pPr>
            <w:r>
              <w:rPr>
                <w:rFonts w:ascii="Arial" w:cs="Arial" w:eastAsia="Arial" w:hAnsi="Arial"/>
                <w:sz w:val="18"/>
                <w:szCs w:val="18"/>
                <w:color w:val="auto"/>
              </w:rPr>
              <w:t>Total Current</w:t>
            </w: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vMerge w:val="continue"/>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20,714</w:t>
            </w:r>
          </w:p>
        </w:tc>
        <w:tc>
          <w:tcPr>
            <w:tcW w:w="580" w:type="dxa"/>
            <w:vAlign w:val="bottom"/>
          </w:tcPr>
          <w:p>
            <w:pPr>
              <w:jc w:val="right"/>
              <w:spacing w:after="0"/>
              <w:rPr>
                <w:sz w:val="20"/>
                <w:szCs w:val="20"/>
                <w:color w:val="auto"/>
              </w:rPr>
            </w:pPr>
            <w:r>
              <w:rPr>
                <w:rFonts w:ascii="Arial" w:cs="Arial" w:eastAsia="Arial" w:hAnsi="Arial"/>
                <w:sz w:val="18"/>
                <w:szCs w:val="18"/>
                <w:color w:val="auto"/>
              </w:rPr>
              <w:t>27,583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14,249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Federal</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2,220</w:t>
            </w:r>
          </w:p>
        </w:tc>
        <w:tc>
          <w:tcPr>
            <w:tcW w:w="580" w:type="dxa"/>
            <w:vAlign w:val="bottom"/>
          </w:tcPr>
          <w:p>
            <w:pPr>
              <w:jc w:val="right"/>
              <w:spacing w:after="0"/>
              <w:rPr>
                <w:sz w:val="20"/>
                <w:szCs w:val="20"/>
                <w:color w:val="auto"/>
              </w:rPr>
            </w:pPr>
            <w:r>
              <w:rPr>
                <w:rFonts w:ascii="Arial" w:cs="Arial" w:eastAsia="Arial" w:hAnsi="Arial"/>
                <w:sz w:val="18"/>
                <w:szCs w:val="18"/>
                <w:color w:val="auto"/>
              </w:rPr>
              <w:t>1,378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1,049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tcPr>
          <w:p>
            <w:pPr>
              <w:ind w:left="860"/>
              <w:spacing w:after="0"/>
              <w:rPr>
                <w:sz w:val="20"/>
                <w:szCs w:val="20"/>
                <w:color w:val="auto"/>
              </w:rPr>
            </w:pPr>
            <w:r>
              <w:rPr>
                <w:rFonts w:ascii="Arial" w:cs="Arial" w:eastAsia="Arial" w:hAnsi="Arial"/>
                <w:sz w:val="18"/>
                <w:szCs w:val="18"/>
                <w:color w:val="auto"/>
              </w:rPr>
              <w:t>Total Deferred</w:t>
            </w: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vMerge w:val="continue"/>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2,539</w:t>
            </w:r>
          </w:p>
        </w:tc>
        <w:tc>
          <w:tcPr>
            <w:tcW w:w="580" w:type="dxa"/>
            <w:vAlign w:val="bottom"/>
          </w:tcPr>
          <w:p>
            <w:pPr>
              <w:jc w:val="right"/>
              <w:spacing w:after="0"/>
              <w:rPr>
                <w:sz w:val="20"/>
                <w:szCs w:val="20"/>
                <w:color w:val="auto"/>
              </w:rPr>
            </w:pPr>
            <w:r>
              <w:rPr>
                <w:rFonts w:ascii="Arial" w:cs="Arial" w:eastAsia="Arial" w:hAnsi="Arial"/>
                <w:sz w:val="18"/>
                <w:szCs w:val="18"/>
                <w:color w:val="auto"/>
              </w:rPr>
              <w:t>1,566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Provisions for income taxes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23,253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29,149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For the six and three months ended June 30, 2012 and 2011, the current provision for federal income taxes shown above includes regular federal income tax after the consideration of permanent and temporary differences between income for GAAP and tax purposes. For the six and three months ended June 30, 2012 and 2011, the current provision for state income taxes shown above includes regular state income tax and provisions for uncertain state income tax positions.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2011, we have remaining state tax net operating loss (“NOL”) carryforwards of approximately $8.0 million that begin expiring in 2013.</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annual estimated effective tax rate for 2012 includes the impact of permanent tax differences, such as the domestic manufacturer’s deduction, the advanced energy credit and other permanent items.</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tax provision for the six months ended June 30, 2012 and 2011 was $23.3 million (36% of pre-tax income) and $29.1 million (37% of pre-tax income), respectively.</w:t>
      </w:r>
    </w:p>
    <w:p>
      <w:pPr>
        <w:spacing w:after="0" w:line="13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We had approximately $1.0 million and $0.7 million accrued for uncertain tax liabilities at June 30, 2012 and December 31, 2011, respectively, which are included in current and noncurrent accrued and other liabilities.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2008-2010 years remain open for all purposes of examination by the U.S. Internal Revenue Service (“IRS”) and other major tax jurisdictions. Currently, we are under examination by the IRS and certain state tax authorities for the tax years 2007-2010.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u w:val="single" w:color="auto"/>
          <w:color w:val="auto"/>
        </w:rPr>
        <w:t>Note 11: Property and Business Interruption Insurance Claims</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on February 27, 2012, the Pryor Facility experienced unplanned downtime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urea plant due to a damaged stainless steel liner within the urea reactor. As a result, the Pryor Facility was unable to produce urea ammonium nitrate (“UAN”) through the end of the second quarter of 2012. Our insurance policy provides for replacement cost coverage relating to property damage with a $1.0 million deductible and provides for business interruption coverage for certain lost profits and extra expense with a 30-day waiting period. A notice of insurance claims for property damage and business interruption was filed with the insurance carrier but the total amount has not been determined. After an initial investigation was performed by an insurance adjuster, we received a reservation of rights letter stating that some insurance policy exclusions could apply resulting in a full or partial denial as to our claims for property damage and/or business interruption. A recovery, if any, from our insurance coverage has not been recognized since for accounting purposes it is not probable and reasonably estimable and/or it is considered a gain contingency, which will be recognized if, and when, realized or realizable and earned.</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May 15, 2012, the El Dorado Facility suffered significant damage when a reactor in its 98% concentrated nitric acid plant (“DSN plant”) exploded. No employees or individuals in the surrounding area were seriously injured as a result of the explosion. Due to extensive damages, the DSN plant is not being repaired but is being replaced with a new 65% concentrated nitric acid plant and a separate nitric acid concentration plant. In addition, several other plants and infrastructure within the El Dorado Facility sustained various degrees of damage. Our insurance policy provides for replacement cost coverage relating to property damage with a $1.0 million deductible and provides for business interruption coverage for certain lost profits and extra expense with a 30-day waiting period. A notice of insurance claims for property damage and business interruption was filed with the insurance carriers but the total amounts have not been determined but are expected to be substantial. Because our replacement cost coverage for property damages is estimated to exceed our property loss deductible, the net book value of the damaged property and other recoverable costs incurred through June 30, 2012, we did not recognize a loss relating to property damage from this explosion but we recorded an insurance claim receivable relating to this event primarily consisting of the disposal of the net book value of damaged property and certain repairs and clean-up costs incurred. In addition, a recovery for certain lost profits, if any, from our business interruption coverage has not been recognized since it is considered a gain contingency, which will be recognized if, and when, realized or realizable and earned. As of June 30, 2012, the balance of the insurance claim receivable relating to this event was $13.5 million. In general, if a recovery from our insurance coverage exceeds the balance of the insurance claim receivable, a gain will be recognized when realized or realizable and earned.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Other Expense, Other Income and Non-Operating Other Income (Expense), net</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6"/>
          </w:tcPr>
          <w:p>
            <w:pPr>
              <w:ind w:left="40"/>
              <w:spacing w:after="0"/>
              <w:rPr>
                <w:sz w:val="20"/>
                <w:szCs w:val="20"/>
                <w:color w:val="auto"/>
              </w:rPr>
            </w:pPr>
            <w:r>
              <w:rPr>
                <w:rFonts w:ascii="Arial" w:cs="Arial" w:eastAsia="Arial" w:hAnsi="Arial"/>
                <w:sz w:val="14"/>
                <w:szCs w:val="14"/>
                <w:color w:val="auto"/>
              </w:rPr>
              <w:t>Six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ind w:left="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2"/>
        </w:trPr>
        <w:tc>
          <w:tcPr>
            <w:tcW w:w="6140" w:type="dxa"/>
            <w:vAlign w:val="bottom"/>
          </w:tcPr>
          <w:p>
            <w:pPr>
              <w:spacing w:after="0"/>
              <w:rPr>
                <w:sz w:val="14"/>
                <w:szCs w:val="14"/>
                <w:color w:val="auto"/>
              </w:rPr>
            </w:pPr>
          </w:p>
        </w:tc>
        <w:tc>
          <w:tcPr>
            <w:tcW w:w="1580" w:type="dxa"/>
            <w:vAlign w:val="bottom"/>
            <w:gridSpan w:val="3"/>
            <w:vMerge w:val="restart"/>
          </w:tcPr>
          <w:p>
            <w:pPr>
              <w:jc w:val="right"/>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w w:val="81"/>
              </w:rPr>
              <w:t>June 30,</w:t>
            </w:r>
          </w:p>
        </w:tc>
        <w:tc>
          <w:tcPr>
            <w:tcW w:w="400" w:type="dxa"/>
            <w:vAlign w:val="bottom"/>
            <w:vMerge w:val="restart"/>
          </w:tcPr>
          <w:p>
            <w:pPr>
              <w:jc w:val="right"/>
              <w:ind w:right="35"/>
              <w:spacing w:after="0"/>
              <w:rPr>
                <w:sz w:val="20"/>
                <w:szCs w:val="20"/>
                <w:color w:val="auto"/>
              </w:rPr>
            </w:pPr>
            <w:r>
              <w:rPr>
                <w:rFonts w:ascii="Arial" w:cs="Arial" w:eastAsia="Arial" w:hAnsi="Arial"/>
                <w:sz w:val="14"/>
                <w:szCs w:val="14"/>
                <w:color w:val="auto"/>
                <w:w w:val="83"/>
              </w:rPr>
              <w:t>2011</w:t>
            </w:r>
          </w:p>
        </w:tc>
        <w:tc>
          <w:tcPr>
            <w:tcW w:w="220" w:type="dxa"/>
            <w:vAlign w:val="bottom"/>
          </w:tcPr>
          <w:p>
            <w:pPr>
              <w:spacing w:after="0"/>
              <w:rPr>
                <w:sz w:val="14"/>
                <w:szCs w:val="14"/>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4"/>
                <w:szCs w:val="14"/>
                <w:color w:val="auto"/>
              </w:rPr>
              <w:t>2012</w:t>
            </w:r>
          </w:p>
        </w:tc>
        <w:tc>
          <w:tcPr>
            <w:tcW w:w="6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w w:val="81"/>
              </w:rPr>
              <w:t>June 30,</w:t>
            </w:r>
          </w:p>
        </w:tc>
        <w:tc>
          <w:tcPr>
            <w:tcW w:w="460" w:type="dxa"/>
            <w:vAlign w:val="bottom"/>
            <w:vMerge w:val="restart"/>
          </w:tcPr>
          <w:p>
            <w:pPr>
              <w:jc w:val="right"/>
              <w:ind w:right="94"/>
              <w:spacing w:after="0"/>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14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5"/>
          </w:tcPr>
          <w:p>
            <w:pPr>
              <w:ind w:left="120"/>
              <w:spacing w:after="0" w:line="142"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Losses on sales and disposals of property and equipment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w w:val="86"/>
              </w:rPr>
              <w:t>551</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536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Losses on contractual obligations associated with carbon credits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23"/>
        </w:trPr>
        <w:tc>
          <w:tcPr>
            <w:tcW w:w="6140" w:type="dxa"/>
            <w:vAlign w:val="bottom"/>
          </w:tcPr>
          <w:p>
            <w:pPr>
              <w:ind w:left="440"/>
              <w:spacing w:after="0"/>
              <w:rPr>
                <w:sz w:val="20"/>
                <w:szCs w:val="20"/>
                <w:color w:val="auto"/>
              </w:rPr>
            </w:pPr>
            <w:r>
              <w:rPr>
                <w:rFonts w:ascii="Arial" w:cs="Arial" w:eastAsia="Arial" w:hAnsi="Arial"/>
                <w:sz w:val="18"/>
                <w:szCs w:val="18"/>
                <w:color w:val="auto"/>
              </w:rPr>
              <w:t>Miscellaneous expense (1)</w:t>
            </w:r>
          </w:p>
        </w:tc>
        <w:tc>
          <w:tcPr>
            <w:tcW w:w="1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171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expense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6"/>
              </w:rPr>
              <w:t>722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2,383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555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2,321</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Other income:</w:t>
            </w: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Gains on carbon credits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Settlements of litigation and potential litigation (2)</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Miscellaneous income (1)</w:t>
            </w:r>
          </w:p>
        </w:tc>
        <w:tc>
          <w:tcPr>
            <w:tcW w:w="1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348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40" w:type="dxa"/>
            <w:vAlign w:val="bottom"/>
          </w:tcPr>
          <w:p>
            <w:pPr>
              <w:ind w:left="880"/>
              <w:spacing w:after="0"/>
              <w:rPr>
                <w:sz w:val="20"/>
                <w:szCs w:val="20"/>
                <w:color w:val="auto"/>
              </w:rPr>
            </w:pPr>
            <w:r>
              <w:rPr>
                <w:rFonts w:ascii="Arial" w:cs="Arial" w:eastAsia="Arial" w:hAnsi="Arial"/>
                <w:sz w:val="18"/>
                <w:szCs w:val="18"/>
                <w:color w:val="auto"/>
              </w:rPr>
              <w:t>Total other income</w:t>
            </w:r>
          </w:p>
        </w:tc>
        <w:tc>
          <w:tcPr>
            <w:tcW w:w="1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w w:val="86"/>
              </w:rPr>
              <w:t>348</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1,977</w:t>
            </w:r>
          </w:p>
        </w:tc>
        <w:tc>
          <w:tcPr>
            <w:tcW w:w="2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1,105</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other income (expense), net:</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Miscellaneous income (1)</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6"/>
              </w:rPr>
              <w:t>263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263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Miscellaneous expense (1)</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55"/>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non-operating other income (expense), net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6"/>
              </w:rPr>
              <w:t>272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267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represent numerous unrelated transactions, none of which are individually significant requiring separate disclosure.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relates primarily to settlements reached with certain vendors of our Chemical Business.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Segment Information</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400"/>
              <w:spacing w:after="0"/>
              <w:rPr>
                <w:sz w:val="20"/>
                <w:szCs w:val="20"/>
                <w:color w:val="auto"/>
              </w:rPr>
            </w:pPr>
            <w:r>
              <w:rPr>
                <w:rFonts w:ascii="Arial" w:cs="Arial" w:eastAsia="Arial" w:hAnsi="Arial"/>
                <w:sz w:val="14"/>
                <w:szCs w:val="14"/>
                <w:color w:val="auto"/>
              </w:rPr>
              <w:t>Six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62"/>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680"/>
              <w:spacing w:after="0"/>
              <w:rPr>
                <w:sz w:val="20"/>
                <w:szCs w:val="20"/>
                <w:color w:val="auto"/>
              </w:rPr>
            </w:pPr>
            <w:r>
              <w:rPr>
                <w:rFonts w:ascii="Arial" w:cs="Arial" w:eastAsia="Arial" w:hAnsi="Arial"/>
                <w:sz w:val="14"/>
                <w:szCs w:val="14"/>
                <w:color w:val="auto"/>
              </w:rPr>
              <w:t>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66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59"/>
        </w:trPr>
        <w:tc>
          <w:tcPr>
            <w:tcW w:w="7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3"/>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tcPr>
          <w:p>
            <w:pPr>
              <w:jc w:val="right"/>
              <w:ind w:right="295"/>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Climate Control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130,304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140,824</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67,546</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77,175</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Chemical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262,339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267,051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138,134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155,620</w:t>
            </w:r>
          </w:p>
        </w:tc>
        <w:tc>
          <w:tcPr>
            <w:tcW w:w="0" w:type="dxa"/>
            <w:vAlign w:val="bottom"/>
          </w:tcPr>
          <w:p>
            <w:pPr>
              <w:spacing w:after="0"/>
              <w:rPr>
                <w:sz w:val="1"/>
                <w:szCs w:val="1"/>
                <w:color w:val="auto"/>
              </w:rPr>
            </w:pPr>
          </w:p>
        </w:tc>
      </w:tr>
      <w:tr>
        <w:trPr>
          <w:trHeight w:val="223"/>
        </w:trPr>
        <w:tc>
          <w:tcPr>
            <w:tcW w:w="708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399,520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413,112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209,275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235,619</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Gross profit: (2)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Climate Control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23,395</w:t>
            </w: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Chemical (1)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67,498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79,112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47,644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110,179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125,940</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65,735</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72,086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Climate Control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13,151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17,619</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7,313</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9,178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Chemical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42,720</w:t>
            </w:r>
          </w:p>
        </w:tc>
        <w:tc>
          <w:tcPr>
            <w:tcW w:w="0" w:type="dxa"/>
            <w:vAlign w:val="bottom"/>
          </w:tcPr>
          <w:p>
            <w:pPr>
              <w:spacing w:after="0"/>
              <w:rPr>
                <w:sz w:val="1"/>
                <w:szCs w:val="1"/>
                <w:color w:val="auto"/>
              </w:rPr>
            </w:pPr>
          </w:p>
        </w:tc>
      </w:tr>
      <w:tr>
        <w:trPr>
          <w:trHeight w:val="223"/>
        </w:trPr>
        <w:tc>
          <w:tcPr>
            <w:tcW w:w="7080" w:type="dxa"/>
            <w:vAlign w:val="bottom"/>
          </w:tcPr>
          <w:p>
            <w:pPr>
              <w:ind w:left="440"/>
              <w:spacing w:after="0"/>
              <w:rPr>
                <w:sz w:val="20"/>
                <w:szCs w:val="20"/>
                <w:color w:val="auto"/>
              </w:rPr>
            </w:pPr>
            <w:r>
              <w:rPr>
                <w:rFonts w:ascii="Arial" w:cs="Arial" w:eastAsia="Arial" w:hAnsi="Arial"/>
                <w:sz w:val="18"/>
                <w:szCs w:val="18"/>
                <w:color w:val="auto"/>
              </w:rPr>
              <w:t>General corporate expenses and other business operations, net (4)</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(7,126)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(4,137)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65,405</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Losses on extinguishment of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Non-operating other income (expense), net: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Climate Control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Chemical</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and other business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Provisions for income taxes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(23,253)</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(29,149)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(15,451)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(17,492)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affiliate-Climate Control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40,454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49,658</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26,130</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28,698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8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January 2012, a planned improvement project was performed at the Pryor Facility to increase anhydrous ammonia production levels, during which time the facility was not in production. In addition, the Pryor Facility experienced certain unplanned downtime in the ammonia and urea plants. The ammonia plant production was shut down for a portion of March 2012 while the repairs were performed. The repairs to the urea plant were extensive resulting in the urea plant being shut down from late February 2012 through June 2012. As a result, the Pryor Facility was unable to produce UAN during this timeframe. See additional discussion in Note 15 — Subsequent Event. On May 15, 2012, the El Dorado Facility suffered significant damage when a reactor in its DSN plant exploded. As a result, the DSN plant was severely damaged and several other plants and infrastructure within the El Dorado Facility sustained various degrees of damage. Therefore, the El Dorado Facility had only limited production of certain products during the remainder of the second quarter of 2012. As a result, the operating results of the Chemical Business for the six and three months ended June 30, 2012 were negatively impacted by the downtime of the Pryor and El Dorado Facilities. For the six and three months ended June 30, 2011, the Chemical Business recognized an insurance recovery of $8.6 million relating to a business interruption claim, which was recorded as a reduction to cost of sales.</w:t>
      </w:r>
    </w:p>
    <w:p>
      <w:pPr>
        <w:spacing w:after="0" w:line="5" w:lineRule="exact"/>
        <w:rPr>
          <w:rFonts w:ascii="Arial" w:cs="Arial" w:eastAsia="Arial" w:hAnsi="Arial"/>
          <w:sz w:val="16"/>
          <w:szCs w:val="16"/>
          <w:color w:val="auto"/>
        </w:rPr>
      </w:pPr>
    </w:p>
    <w:p>
      <w:pPr>
        <w:ind w:left="460" w:right="24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by business segment represents net sales less cost of sales. Gross profit classified as “Other” relates to the sales of industrial machinery and related components.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Segment Information (continued)</w:t>
      </w:r>
    </w:p>
    <w:p>
      <w:pPr>
        <w:spacing w:after="0" w:line="164" w:lineRule="exact"/>
        <w:rPr>
          <w:sz w:val="20"/>
          <w:szCs w:val="20"/>
          <w:color w:val="auto"/>
        </w:rPr>
      </w:pPr>
    </w:p>
    <w:p>
      <w:pPr>
        <w:ind w:left="460" w:hanging="452"/>
        <w:spacing w:after="0" w:line="283"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chief operating decision makers use operating income by business segment for purposes of making decisions, which include resource allocations and performance evaluations. Operating income by business segment represents gross profit by business segment less selling, general and administrative expense (“SG&amp;A”) incurred by each business segment plus other income and other expense earned/incurred by each business segment before general corporate expenses and other business operations, net. General corporate expenses and other business operations, net, consist of unallocated portions of gross profit, SG&amp;A, other income and other expense.</w:t>
      </w:r>
    </w:p>
    <w:p>
      <w:pPr>
        <w:spacing w:after="0" w:line="2" w:lineRule="exact"/>
        <w:rPr>
          <w:rFonts w:ascii="Arial" w:cs="Arial" w:eastAsia="Arial" w:hAnsi="Arial"/>
          <w:sz w:val="16"/>
          <w:szCs w:val="16"/>
          <w:color w:val="auto"/>
        </w:rPr>
      </w:pPr>
    </w:p>
    <w:p>
      <w:pPr>
        <w:ind w:left="460" w:right="500" w:hanging="452"/>
        <w:spacing w:after="0" w:line="361"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amounts included are not allocated to our Climate Control and Chemical Businesses since these items are not included in the operating results reviewed by our chief operating decision makers for purposes of making decisions as discussed above. A detail of these amounts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60" w:type="dxa"/>
            <w:vAlign w:val="bottom"/>
            <w:gridSpan w:val="7"/>
          </w:tcPr>
          <w:p>
            <w:pPr>
              <w:jc w:val="right"/>
              <w:ind w:right="400"/>
              <w:spacing w:after="0"/>
              <w:rPr>
                <w:sz w:val="20"/>
                <w:szCs w:val="20"/>
                <w:color w:val="auto"/>
              </w:rPr>
            </w:pPr>
            <w:r>
              <w:rPr>
                <w:rFonts w:ascii="Arial" w:cs="Arial" w:eastAsia="Arial" w:hAnsi="Arial"/>
                <w:sz w:val="14"/>
                <w:szCs w:val="14"/>
                <w:color w:val="auto"/>
              </w:rPr>
              <w:t>Six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60" w:type="dxa"/>
            <w:vAlign w:val="bottom"/>
            <w:gridSpan w:val="7"/>
          </w:tcPr>
          <w:p>
            <w:pPr>
              <w:jc w:val="right"/>
              <w:ind w:right="680"/>
              <w:spacing w:after="0"/>
              <w:rPr>
                <w:sz w:val="20"/>
                <w:szCs w:val="20"/>
                <w:color w:val="auto"/>
              </w:rPr>
            </w:pPr>
            <w:r>
              <w:rPr>
                <w:rFonts w:ascii="Arial" w:cs="Arial" w:eastAsia="Arial" w:hAnsi="Arial"/>
                <w:sz w:val="14"/>
                <w:szCs w:val="14"/>
                <w:color w:val="auto"/>
              </w:rPr>
              <w:t>June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6"/>
          </w:tcPr>
          <w:p>
            <w:pPr>
              <w:jc w:val="right"/>
              <w:ind w:right="64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680" w:type="dxa"/>
            <w:vAlign w:val="bottom"/>
            <w:gridSpan w:val="2"/>
          </w:tcPr>
          <w:p>
            <w:pPr>
              <w:jc w:val="right"/>
              <w:ind w:right="59"/>
              <w:spacing w:after="0" w:line="159" w:lineRule="exact"/>
              <w:rPr>
                <w:sz w:val="20"/>
                <w:szCs w:val="20"/>
                <w:color w:val="auto"/>
              </w:rPr>
            </w:pPr>
            <w:r>
              <w:rPr>
                <w:rFonts w:ascii="Arial" w:cs="Arial" w:eastAsia="Arial" w:hAnsi="Arial"/>
                <w:sz w:val="14"/>
                <w:szCs w:val="14"/>
                <w:color w:val="auto"/>
              </w:rPr>
              <w:t>2012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right"/>
              <w:ind w:right="72"/>
              <w:spacing w:after="0" w:line="159" w:lineRule="exact"/>
              <w:rPr>
                <w:sz w:val="20"/>
                <w:szCs w:val="20"/>
                <w:color w:val="auto"/>
              </w:rPr>
            </w:pPr>
            <w:r>
              <w:rPr>
                <w:rFonts w:ascii="Arial" w:cs="Arial" w:eastAsia="Arial" w:hAnsi="Arial"/>
                <w:sz w:val="14"/>
                <w:szCs w:val="14"/>
                <w:color w:val="auto"/>
              </w:rPr>
              <w:t>2011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57"/>
              <w:spacing w:after="0" w:line="159" w:lineRule="exact"/>
              <w:rPr>
                <w:sz w:val="20"/>
                <w:szCs w:val="20"/>
                <w:color w:val="auto"/>
              </w:rPr>
            </w:pPr>
            <w:r>
              <w:rPr>
                <w:rFonts w:ascii="Arial" w:cs="Arial" w:eastAsia="Arial" w:hAnsi="Arial"/>
                <w:sz w:val="14"/>
                <w:szCs w:val="14"/>
                <w:color w:val="auto"/>
              </w:rPr>
              <w:t>2012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5"/>
          </w:tcPr>
          <w:p>
            <w:pPr>
              <w:jc w:val="right"/>
              <w:ind w:right="277"/>
              <w:spacing w:after="0" w:line="142" w:lineRule="exact"/>
              <w:rPr>
                <w:sz w:val="20"/>
                <w:szCs w:val="20"/>
                <w:color w:val="auto"/>
              </w:rPr>
            </w:pPr>
            <w:r>
              <w:rPr>
                <w:rFonts w:ascii="Arial" w:cs="Arial" w:eastAsia="Arial" w:hAnsi="Arial"/>
                <w:sz w:val="14"/>
                <w:szCs w:val="14"/>
                <w:color w:val="auto"/>
                <w:w w:val="89"/>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profit-Other</w:t>
            </w: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$ 2,246</w:t>
            </w:r>
          </w:p>
        </w:tc>
        <w:tc>
          <w:tcPr>
            <w:tcW w:w="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$ 1,947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Personnel costs</w:t>
            </w:r>
          </w:p>
        </w:tc>
        <w:tc>
          <w:tcPr>
            <w:tcW w:w="1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(5,530)</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(4,151)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ind w:left="440"/>
              <w:spacing w:after="0"/>
              <w:rPr>
                <w:sz w:val="20"/>
                <w:szCs w:val="20"/>
                <w:color w:val="auto"/>
              </w:rPr>
            </w:pPr>
            <w:r>
              <w:rPr>
                <w:rFonts w:ascii="Arial" w:cs="Arial" w:eastAsia="Arial" w:hAnsi="Arial"/>
                <w:sz w:val="18"/>
                <w:szCs w:val="18"/>
                <w:color w:val="auto"/>
              </w:rPr>
              <w:t>Professional fees</w:t>
            </w:r>
          </w:p>
        </w:tc>
        <w:tc>
          <w:tcPr>
            <w:tcW w:w="1760" w:type="dxa"/>
            <w:vAlign w:val="bottom"/>
            <w:gridSpan w:val="4"/>
          </w:tcPr>
          <w:p>
            <w:pPr>
              <w:jc w:val="right"/>
              <w:ind w:right="20"/>
              <w:spacing w:after="0"/>
              <w:rPr>
                <w:sz w:val="20"/>
                <w:szCs w:val="20"/>
                <w:color w:val="auto"/>
              </w:rPr>
            </w:pPr>
            <w:r>
              <w:rPr>
                <w:rFonts w:ascii="Arial" w:cs="Arial" w:eastAsia="Arial" w:hAnsi="Arial"/>
                <w:sz w:val="18"/>
                <w:szCs w:val="18"/>
                <w:color w:val="auto"/>
              </w:rPr>
              <w:t>(2,369)</w:t>
            </w: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1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(1,782)</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selling, general and administrative</w:t>
            </w:r>
          </w:p>
        </w:tc>
        <w:tc>
          <w:tcPr>
            <w:tcW w:w="1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00" w:type="dxa"/>
            <w:vAlign w:val="bottom"/>
            <w:gridSpan w:val="3"/>
            <w:vMerge w:val="continue"/>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(9,681)</w:t>
            </w: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(8,751)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(5,392)</w:t>
            </w:r>
          </w:p>
        </w:tc>
        <w:tc>
          <w:tcPr>
            <w:tcW w:w="1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110"/>
        </w:trPr>
        <w:tc>
          <w:tcPr>
            <w:tcW w:w="46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11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general corporate expenses and other business operations, net</w:t>
            </w:r>
          </w:p>
        </w:tc>
        <w:tc>
          <w:tcPr>
            <w:tcW w:w="1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(7,240)</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(4,137)</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Arial" w:cs="Arial" w:eastAsia="Arial" w:hAnsi="Arial"/>
                <w:sz w:val="18"/>
                <w:szCs w:val="18"/>
                <w:color w:val="auto"/>
              </w:rPr>
              <w:t>Information about our total assets by business segment is as follows:</w:t>
            </w:r>
          </w:p>
        </w:tc>
        <w:tc>
          <w:tcPr>
            <w:tcW w:w="1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300" w:type="dxa"/>
            <w:vAlign w:val="bottom"/>
            <w:gridSpan w:val="3"/>
            <w:vMerge w:val="continue"/>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4"/>
          </w:tcPr>
          <w:p>
            <w:pPr>
              <w:jc w:val="right"/>
              <w:ind w:right="520"/>
              <w:spacing w:after="0"/>
              <w:rPr>
                <w:sz w:val="20"/>
                <w:szCs w:val="20"/>
                <w:color w:val="auto"/>
              </w:rPr>
            </w:pPr>
            <w:r>
              <w:rPr>
                <w:rFonts w:ascii="Arial" w:cs="Arial" w:eastAsia="Arial" w:hAnsi="Arial"/>
                <w:sz w:val="14"/>
                <w:szCs w:val="14"/>
                <w:color w:val="auto"/>
                <w:w w:val="89"/>
              </w:rPr>
              <w:t>June 30,</w:t>
            </w:r>
          </w:p>
        </w:tc>
        <w:tc>
          <w:tcPr>
            <w:tcW w:w="980" w:type="dxa"/>
            <w:vAlign w:val="bottom"/>
            <w:gridSpan w:val="5"/>
          </w:tcPr>
          <w:p>
            <w:pPr>
              <w:ind w:left="120"/>
              <w:spacing w:after="0"/>
              <w:rPr>
                <w:sz w:val="20"/>
                <w:szCs w:val="20"/>
                <w:color w:val="auto"/>
              </w:rPr>
            </w:pPr>
            <w:r>
              <w:rPr>
                <w:rFonts w:ascii="Arial" w:cs="Arial" w:eastAsia="Arial" w:hAnsi="Arial"/>
                <w:sz w:val="14"/>
                <w:szCs w:val="14"/>
                <w:color w:val="auto"/>
                <w:w w:val="95"/>
              </w:rPr>
              <w:t>December 31,</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42"/>
              <w:spacing w:after="0" w:line="159" w:lineRule="exact"/>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7"/>
              <w:spacing w:after="0" w:line="159" w:lineRule="exact"/>
              <w:rPr>
                <w:sz w:val="20"/>
                <w:szCs w:val="20"/>
                <w:color w:val="auto"/>
              </w:rPr>
            </w:pPr>
            <w:r>
              <w:rPr>
                <w:rFonts w:ascii="Arial" w:cs="Arial" w:eastAsia="Arial" w:hAnsi="Arial"/>
                <w:sz w:val="14"/>
                <w:szCs w:val="14"/>
                <w:color w:val="auto"/>
              </w:rPr>
              <w:t>2011</w:t>
            </w: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7"/>
          </w:tcPr>
          <w:p>
            <w:pPr>
              <w:jc w:val="right"/>
              <w:ind w:right="58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Climate Control</w:t>
            </w:r>
          </w:p>
        </w:tc>
        <w:tc>
          <w:tcPr>
            <w:tcW w:w="23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$122,750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119,323</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Chemical</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231,257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214,246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 and other</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174,089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168,440</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3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528,096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502,009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January 2011, we paid interest of $137,500 (that was accrued at December 31, 2010) relating to $5,000,000 of the 2007 Debentures held by Jack E. Golsen (“Golsen”), our Chairman of the Board and Chief Executive Officer, members of his immediate family (spouse and children), including Barry H. Golsen, our Vice Chairman and President, Steven J. Golsen, a Director and Chief Operating Officer of our Climate Control Business, entities owned by them and trusts for which they possess voting or dispositive power as trustee (together, the “Golsen Group”). In March 2011, we paid dividends totaling $300,000 on our Series B Preferred and our Series D Preferred. In March 2011, the Golsen Group sold $3,000,000 of the 2007 Debentures it held to a third party. During the six months ended June 30, 2011, we incurred interest expense of $55,000 relating to the remaining $2,000,000 of the 2007 Debentures that was held by the Golsen Group, which amount was paid in June 2011.</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Related Party Transactions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March 2012, we paid dividends totaling $300,000 on our Series B Preferred and our Series D Preferred.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Series B Preferred and Series D Preferred are non-redeemable preferred stocks issued in 1986 and 2001, respectively, and are owned by the Golsen Group.</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Landmark Transactions</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As approved by a special committee of our board of directors, in May 2011, Prime Financial L.L.C. (“Prime”), a subsidiary of LSB, entered into an agreement (the “First Purchase Agreement”) to purchase from Landmark Land Company, Inc. (“Landmark”) certain undeveloped real estate located in Oklahoma City, Oklahoma (the “Oklahoma Real Estate”) for the purchase price of $2,250,000, which transaction was consummated in June 2011. The First Purchase Agreement grants Prime put options to sell the Oklahoma Real Estate to Landmark or to Gerald G. Barton (“Barton”), who is the chief executive officer and a substantial stockholder of Landmark. The put option may be exercised during the sixth year following Prime’s purchase of the Oklahoma Real Estate. If a put option is exercised, the purchase price for the Oklahoma Real Estate will be $2,250,000, plus a premium equal to a simple 10% annual return on the purchase price beginning as of the closing of the First Purchase Agreement, subject to certain adjustments. For financial reporting purposes, no value from the purchase price was allocated to the put options because the appraised value of the Oklahoma Real Estate exceeded the purchase price.</w:t>
      </w:r>
    </w:p>
    <w:p>
      <w:pPr>
        <w:spacing w:after="0" w:line="11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As approved by a special committee of our board of directors and pursuant to an agreement (the “Second Purchase Agreement”) entered into in September 2011, effective February 7, 2012, Prime purchased from Landmark certain undeveloped real estate located in Laguna Vista, Texas (the “Texas Real Estate”) for the purchase price of approximately $2,500,000. The Second Purchase Agreement grants Prime put options to sell the Texas Real Estate to Landmark or to Gerald G. Barton (“Barton”), who is the chief executive officer and a substantial stockholder of Landmark. Prime may exercise a put option during the sixth year following Prime’s purchase of the Texas Real Estate. If a put option is exercised, the purchase price for the Texas Real Estate will be based on the original purchase price, plus a premium equal to a simple 10% annual return on the original purchase price beginning as of the closing of the Second Purchase Agreement, subject to certain adjustments. The Second Purchase Agreement also grants Prime warrants to purchase up to 1,000,000 shares of Landmark’s common stock, at $1.00 per share. The right of Prime to acquire Landmark shares under any unexercised warrants shall terminate on the completed exercise of the put options. Also Landmark entered into a separate agreement (“GHP Use Agreement”) to use its reasonable efforts to use, where technically feasible, geothermal heating and air conditioning units manufactured by one of LSB’s subsidiaries on other Landmark properties in the development where the Texas Real Estate is located. For financial reporting purposes, no value from the purchase price was allocated to the put options or the GHP Use Agreement primarily because the estimated market value of the Texas Real Estate exceeded the purchase price and a minimal value from the purchase price was allocated to the warrants primarily because Landmark’s common stock is lightly traded on the Over-the-Counter Bulletin Board with a minimal price per share (Landmark’s average closing price per share was approximately $0.11 over the twelve-month period ended February 7, 2012).</w:t>
      </w:r>
    </w:p>
    <w:p>
      <w:pPr>
        <w:spacing w:after="0" w:line="12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Golsen and another individual previously formed a limited liability company (“LLC”), and each contributed $1,000,000 to the LLC. The LLC subsequently loaned Landmark approximately $2,000,000. In March 2011, Golsen sold his membership interest in the LLC to Barton in consideration for a promissory note in the principal amount of approximately $1,100,000, representing the amount that Golsen had invested in the LLC, plus interest (the “Barton Note”). The Barton Note was due and payable in June 2011. Pursuant to the terms of the First and Second Purchase Agreements, until the expiration of the put options, no payment will be made on the Barton Note and payment of the amounts owing under the Barton Note will be subordinate to any amounts owing Prime upon the exercise of a put option. Further, Golsen has agreed under the Second Purchase Agreement that no portion of the purchase price shall be used by Landmark to repay any indebtedness owing to Golsen.</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Bernard Ille, one of our directors, served as a director of Landmark for many years until he resigned in March 2011. In light of the Barton Note and Mr. Ille’s past relationship with Landmark, our board of directors appointed a special committee for the purpose of reviewing and determining whether the LSB should purchase the Oklahoma and Texas Real Estate. The special committee believed, based on an analysis of a real estate consultant, that the price that we were to pay for the properties approximated the market value, and also believed that these properties, when developed, have the potential to establish a model geothermal community.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Subsequent Event</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As discussed in Note 13 — Segment Information, the urea plant at the Pryor Facility was shut down in late February 2012 for extensive repairs and the replacement of the urea reactor’s stainless steel liner. In July, this project was completed and the facility began limited UAN production.</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620"/>
          </w:cols>
          <w:pgMar w:left="240" w:top="45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9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a review of the other Items included in this Form 10-Q including our June 30, 2012 condensed consolidated financial statements included elsewhere in this report. Certain statements contained in this MD&amp;A may be deemed to be forward-looking statements. See “Special Note Regarding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LSB Industries, Inc. (“LSB”) is a manufacturing and marketing company operating through our subsidiaries. LSB and its wholly-owned subsidiaries (the “Company”, “We”, “Us”, or “Our”) own the following core businesses:</w:t>
      </w:r>
    </w:p>
    <w:p>
      <w:pPr>
        <w:spacing w:after="0" w:line="51" w:lineRule="exact"/>
        <w:rPr>
          <w:sz w:val="20"/>
          <w:szCs w:val="20"/>
          <w:color w:val="auto"/>
        </w:rPr>
      </w:pPr>
    </w:p>
    <w:p>
      <w:pPr>
        <w:ind w:left="1480" w:right="100" w:hanging="446"/>
        <w:spacing w:after="0" w:line="294" w:lineRule="auto"/>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Climate Control Business manufactures and sells a broad range of heating, ventilation and air conditioning (“HVAC”) products in the niche markets we serve consisting of geothermal and water source heat pumps, hydronic fan coils, large custom air handlers, modular geothermal and other chillers and other related products used to control the environment in commercial/institutional and residential new building construction, renovation of existing buildings and replacement of existing systems. For the first half of 2012, the Climate Control Business accounted for approximately 32% of our consolidated net sales.</w:t>
      </w:r>
    </w:p>
    <w:p>
      <w:pPr>
        <w:spacing w:after="0" w:line="34" w:lineRule="exact"/>
        <w:rPr>
          <w:rFonts w:ascii="Arial" w:cs="Arial" w:eastAsia="Arial" w:hAnsi="Arial"/>
          <w:sz w:val="16"/>
          <w:szCs w:val="16"/>
          <w:color w:val="auto"/>
        </w:rPr>
      </w:pPr>
    </w:p>
    <w:p>
      <w:pPr>
        <w:ind w:left="1480" w:right="80" w:hanging="446"/>
        <w:spacing w:after="0" w:line="291" w:lineRule="auto"/>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Chemical Business manufactures and sells nitrogen-based chemical products produced from four facilities located in El Dorado, Arkansas (the “El Dorado Facility”); Cherokee, Alabama (the “Cherokee Facility”); Pryor, Oklahoma (the “Pryor Facility”); and Baytown, Texas (the “Baytown Facility”) for the agricultural, industrial and mining markets. Our products include high purity and commercial grade anhydrous ammonia for industrial and agricultural applications, industrial and fertilizer grade ammonium nitrate (“AN”), urea ammonium nitrate (“UAN”), sulfuric acids, nitric acids in various concentrations, nitrogen solutions, diesel exhaust fluid (“DEF”) and various other products. For the first half of 2012, the Chemical Business accounted for approximately 66% of our consolidated net sales.</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second quarter of 2012, the Chemical Business’ sales volume and operating income were adversely affected by the unplanned downtime events as summarized below. Also see additional discussion concerning these events and concerning our property and business interruption insurance coverage described below under “Downtime at Pryor and El Dorado Facilities-2012”.</w:t>
      </w:r>
    </w:p>
    <w:p>
      <w:pPr>
        <w:spacing w:after="0" w:line="59" w:lineRule="exact"/>
        <w:rPr>
          <w:sz w:val="20"/>
          <w:szCs w:val="20"/>
          <w:color w:val="auto"/>
        </w:rPr>
      </w:pPr>
    </w:p>
    <w:p>
      <w:pPr>
        <w:ind w:left="1480" w:hanging="446"/>
        <w:spacing w:after="0" w:line="298" w:lineRule="auto"/>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believe the Pryor Facility lost approximately 70,000 tons of UAN sales due to the downtime of its urea reactor. The impact of the lost UAN production was offset in part by the continued production and sales of anhydrous ammonia, primarily into its agricultural markets. We believe the adverse impact to the Chemical Business’ operating income, including lost absorption and gross profit margins, was an estimated $10 million during the quarter due to the unplanned downtime. The urea reactor was returned to service in July 2012.</w:t>
      </w:r>
    </w:p>
    <w:p>
      <w:pPr>
        <w:spacing w:after="0" w:line="31" w:lineRule="exact"/>
        <w:rPr>
          <w:rFonts w:ascii="Arial" w:cs="Arial" w:eastAsia="Arial" w:hAnsi="Arial"/>
          <w:sz w:val="16"/>
          <w:szCs w:val="16"/>
          <w:color w:val="auto"/>
        </w:rPr>
      </w:pPr>
    </w:p>
    <w:p>
      <w:pPr>
        <w:ind w:left="1480" w:right="60" w:hanging="446"/>
        <w:spacing w:after="0" w:line="287" w:lineRule="auto"/>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El Dorado Facility lost all nitric and sulfuric acid production on May 15, 2012 when a reactor in its 98% concentrated nitric acid plant (“DSN plant”) exploded, damaging the other three regular concentration nitric acid plants and the sulfuric acid plant. Without acid production for the remainder of the quarter, all production at the El Dorado Facility was lower than would otherwise have been expected resulting in lost absorption and gross profit margins. We believe the adverse impact to the Chemical Business’ operating income was an estimated $7 million during the quarter due to the event. Currently, two of the three regular concentration nitric acid plants are back in production and the third plant is expected to be back in production before the end of August. The sulfuric acid plant is expected to restart by the end of 2012. Due to the extensive damage, the DSN plant is not being repaired but will be replaced with a new 65% concentrated nitric acid plant. We also plan to install a separate nitric acid concentration plant for the production of higher concentrations of nitric acid. The project to construct these new plants is currently expected to take at least two years to complete. Also see discussion below under “Capital Expenditures” and “Aggregate Contractual Obligations” of this Item 2.</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Economic Conditions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Since our two core business segments serve several diverse markets, we consider market fundamentals for each market individually as we evaluate economic conditions. From a macro standpoint, we believe the U.S. economy is poised for modest growth, based upon certain economic reports, including the Conference Board Composite Index of Leading Indicators.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Climate Control Business — Sales for the first half of 2012 were 7% lower than the same period in 2011, including a 9% decrease in geothermal and water source heat pump sales and an overall 4% decrease in hydronic fan coil and other HVAC sales. From a market sector perspective, the sales decline is due to a 14% decrease in residential product sales and a 6% decrease in sales of commercial/institutional products although we did experience a slight increase in sales of our custom air handlers. The decline in product sales generally reflects the continued softness in the markets we serve. For the first half of 2012, order levels of both our commercial/institutional and residential products decreased as compared to the same period of 2011 (2% and 15%, respectively), although fluctuations that occur in a particular period are not necessarily indicative of a developing trend. The latest information available from the Construction Market Forecasting Service provided by McGraw-Hill (“CMFS”) indicates that in 2012, the commercial/institutional construction sector we serve is expected to decrease modestly over 2011 levels and the single-family residential construction sector is expected to increase.</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Chemical Business — Our Chemical Business’ primary markets are agricultural, industrial and mining. During the first half of 2012, approximately 55% of sales were into agricultural markets to customers that purchase at spot market and/or future market prices. During the first half of 2012, our sales volumes to agricultural customers decreased 6% while sales dollars increased 8% compared to the same period in 2011. Excluding the impact on sales volume from the planned and unplanned downtime at our Pryor and El Dorado Facilities, our agricultural sales volumes and prices depend upon the supply of and the demand for fertilizer, which in turn depends on the market fundamentals for crops including corn, wheat, cotton and forage. The current 2012 outlook according to most market indicators, including reports in Green Markets, Fertilizer Week and the USDA’s World Agricultural Supply and Demand Estimates, point to positive supply and demand fundamentals for the types of nitrogen fertilizer products we produce and sell. However, it is possible that the fertilizer outlook could change if there are unanticipated changes in commodity prices, fertilizer imports, acres planted or unfavorable weather conditions. We produce anhydrous ammonia from natural gas and UAN from ammonia. Agricultural customer demand for ammonia and UAN was strong during the first half of 2012. Selling prices were generally higher while natural gas prices were generally lower compared to the same period in 2011. As a result, gross margins per ton increased for these two products. We produce agricultural grade AN from purchased ammonia and we are currently at a cost disadvantage compared to nitrogen fertilizers directly produced from natural gas.</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remaining 45% of our Chemical Business’ sales were into industrial and mining markets of which approximately 55% of these sales are to customers that have contractual obligations to purchase a minimum quantity and allow us to recover our cost plus a profit, irrespective of the volume of product sold. During the first half of 2012, our sales volumes to industrial customers decreased 6% and sales volumes to mining customers decreased 23%, as compared to the same period in 2011. Sales dollars during the first half of 2012 decreased 4% to industrial customers and sales dollars to mining customers decreased 24% as compared to the same period in 2011. The decreased industrial sales were primarily due to the unplanned downtime at our El Dorado Facility as discussed below under “Downtime at Pryor and El Dorado Facilities – 2012.” Mining sales were lower due to higher coal supply and lower coal demand due to the unseasonably warm winter in North America, the low cost of natural gas as an alternative feedstock for utility companies and the unplanned downtime at our El Dorado Facility. Customers of our Chemical Business that are subject to contractual obligations with the El Dorado Facility have been notified of this force majeure event pursuant to the terms of our contracts.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for the Second Quarter of 2012</w:t>
      </w:r>
    </w:p>
    <w:p>
      <w:pPr>
        <w:spacing w:after="0" w:line="9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Our consolidated net sales for the second quarter of 2012 were $209.3 million compared to $235.6 million for the same period in 2011. The sales decrease of $26.3 million includes $9.6 million relating to our Climate Control Business and $17.5 million relating to our Chemical Business.</w:t>
      </w:r>
    </w:p>
    <w:p>
      <w:pPr>
        <w:spacing w:after="0" w:line="8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Our consolidated operating income was $42.3 million for the second quarter of 2012 compared to $48.3 million for the same period in 2011. The decrease in operating income of $6.0 million includes $1.9 million in our Climate Control Business and $3.6 million in our Chemical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resulting effective income tax rate for the second quarter of 2012 was approximately 37% compared to 38% for the same period in 2011.</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Climate Control Business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Climate Control sales for the second quarter of 2012 were $67.5 million, or $9.6 million below the same period in 2011, and includes a $6.5 million decrease in geothermal and water source heat pump sales, a $1.9 million decrease in hydronic fan coil sales, and a $1.2 million decrease in other HVAC sales. From a market sector perspective, the net decrease includes a $7.1 million decrease in commercial/institutional sales and a $2.5 million decrease in residential product sales. Generally, the overall decline can be attributed to the lower beginning backlog entering the second quarter as a result of a lower order intake during the first quarter of 2012 compared to the same period in 2011. Orders for our custom air handlers and hydronic fan coils increased while orders for our heat pumps and modular chillers declined.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Our Climate Control operating income for the second quarter of 2012 was $7.3 million, or $1.9 million lower than the same period of 2011 primarily the result of the overall lower sales volume partially offset by an increase in our overall gross profit percentage due, in part, to lower costs for certain raw materials.</w:t>
      </w:r>
    </w:p>
    <w:p>
      <w:pPr>
        <w:spacing w:after="0" w:line="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continue to follow economic indicators and have attempted to assess the impact on the commercial/institutional and residential construction sectors that we serve, including, but not limited to, new construction and/or renovation of facilities in the following sectors:</w:t>
      </w:r>
    </w:p>
    <w:p>
      <w:pPr>
        <w:spacing w:after="0" w:line="51" w:lineRule="exact"/>
        <w:rPr>
          <w:sz w:val="20"/>
          <w:szCs w:val="20"/>
          <w:color w:val="auto"/>
        </w:rPr>
      </w:pPr>
    </w:p>
    <w:p>
      <w:pPr>
        <w:ind w:left="1920" w:hanging="318"/>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Single-Family Residential</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Multi-Family Residential</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Hospitality</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Retail</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second quarter of 2012, approximately 84% of our Climate Control Business’ sales were to the commercial/institutional and multi-family construction markets, and the remaining 16% were sales of geothermal heat pumps (“GHPs”) to the single-family residential market.</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shows information relating to our product order intake level, net sales and backlog of confirmed customer product orders of our Climate Control Business: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400" w:type="dxa"/>
            <w:vAlign w:val="bottom"/>
            <w:gridSpan w:val="3"/>
          </w:tcPr>
          <w:p>
            <w:pPr>
              <w:ind w:left="120"/>
              <w:spacing w:after="0"/>
              <w:rPr>
                <w:sz w:val="20"/>
                <w:szCs w:val="20"/>
                <w:color w:val="auto"/>
              </w:rPr>
            </w:pPr>
            <w:r>
              <w:rPr>
                <w:rFonts w:ascii="Arial" w:cs="Arial" w:eastAsia="Arial" w:hAnsi="Arial"/>
                <w:sz w:val="14"/>
                <w:szCs w:val="14"/>
                <w:color w:val="auto"/>
              </w:rPr>
              <w:t>New Orders (1)</w:t>
            </w:r>
          </w:p>
        </w:tc>
        <w:tc>
          <w:tcPr>
            <w:tcW w:w="1260" w:type="dxa"/>
            <w:vAlign w:val="bottom"/>
            <w:gridSpan w:val="3"/>
          </w:tcPr>
          <w:p>
            <w:pPr>
              <w:ind w:left="300"/>
              <w:spacing w:after="0"/>
              <w:rPr>
                <w:sz w:val="20"/>
                <w:szCs w:val="20"/>
                <w:color w:val="auto"/>
              </w:rPr>
            </w:pPr>
            <w:r>
              <w:rPr>
                <w:rFonts w:ascii="Arial" w:cs="Arial" w:eastAsia="Arial" w:hAnsi="Arial"/>
                <w:sz w:val="14"/>
                <w:szCs w:val="14"/>
                <w:color w:val="auto"/>
              </w:rPr>
              <w:t>Net Sales</w:t>
            </w:r>
          </w:p>
        </w:tc>
        <w:tc>
          <w:tcPr>
            <w:tcW w:w="140" w:type="dxa"/>
            <w:vAlign w:val="bottom"/>
          </w:tcPr>
          <w:p>
            <w:pPr>
              <w:spacing w:after="0"/>
              <w:rPr>
                <w:sz w:val="14"/>
                <w:szCs w:val="14"/>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color w:val="auto"/>
              </w:rPr>
              <w:t>Ending Backlog (1)</w:t>
            </w:r>
          </w:p>
        </w:tc>
      </w:tr>
      <w:tr>
        <w:trPr>
          <w:trHeight w:val="142"/>
        </w:trPr>
        <w:tc>
          <w:tcPr>
            <w:tcW w:w="73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center"/>
              <w:ind w:right="62"/>
              <w:spacing w:after="0" w:line="142" w:lineRule="exact"/>
              <w:rPr>
                <w:sz w:val="20"/>
                <w:szCs w:val="20"/>
                <w:color w:val="auto"/>
              </w:rPr>
            </w:pPr>
            <w:r>
              <w:rPr>
                <w:rFonts w:ascii="Arial" w:cs="Arial" w:eastAsia="Arial" w:hAnsi="Arial"/>
                <w:sz w:val="14"/>
                <w:szCs w:val="14"/>
                <w:color w:val="auto"/>
                <w:w w:val="89"/>
              </w:rPr>
              <w:t>2012</w:t>
            </w:r>
          </w:p>
        </w:tc>
        <w:tc>
          <w:tcPr>
            <w:tcW w:w="560" w:type="dxa"/>
            <w:vAlign w:val="bottom"/>
            <w:tcBorders>
              <w:top w:val="single" w:sz="8" w:color="auto"/>
              <w:bottom w:val="single" w:sz="8" w:color="auto"/>
            </w:tcBorders>
          </w:tcPr>
          <w:p>
            <w:pPr>
              <w:jc w:val="center"/>
              <w:ind w:left="76"/>
              <w:spacing w:after="0" w:line="142" w:lineRule="exact"/>
              <w:rPr>
                <w:sz w:val="20"/>
                <w:szCs w:val="20"/>
                <w:color w:val="auto"/>
              </w:rPr>
            </w:pPr>
            <w:r>
              <w:rPr>
                <w:rFonts w:ascii="Arial" w:cs="Arial" w:eastAsia="Arial" w:hAnsi="Arial"/>
                <w:sz w:val="14"/>
                <w:szCs w:val="14"/>
                <w:color w:val="auto"/>
                <w:w w:val="89"/>
              </w:rPr>
              <w:t>2011</w:t>
            </w:r>
          </w:p>
        </w:tc>
        <w:tc>
          <w:tcPr>
            <w:tcW w:w="30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ind w:right="84"/>
              <w:spacing w:after="0" w:line="142" w:lineRule="exact"/>
              <w:rPr>
                <w:sz w:val="20"/>
                <w:szCs w:val="20"/>
                <w:color w:val="auto"/>
              </w:rPr>
            </w:pPr>
            <w:r>
              <w:rPr>
                <w:rFonts w:ascii="Arial" w:cs="Arial" w:eastAsia="Arial" w:hAnsi="Arial"/>
                <w:sz w:val="14"/>
                <w:szCs w:val="14"/>
                <w:color w:val="auto"/>
                <w:w w:val="89"/>
              </w:rPr>
              <w:t>2012</w:t>
            </w:r>
          </w:p>
        </w:tc>
        <w:tc>
          <w:tcPr>
            <w:tcW w:w="540" w:type="dxa"/>
            <w:vAlign w:val="bottom"/>
            <w:tcBorders>
              <w:top w:val="single" w:sz="8" w:color="auto"/>
              <w:bottom w:val="single" w:sz="8" w:color="auto"/>
            </w:tcBorders>
          </w:tcPr>
          <w:p>
            <w:pPr>
              <w:jc w:val="center"/>
              <w:ind w:left="76"/>
              <w:spacing w:after="0" w:line="142" w:lineRule="exact"/>
              <w:rPr>
                <w:sz w:val="20"/>
                <w:szCs w:val="20"/>
                <w:color w:val="auto"/>
              </w:rPr>
            </w:pPr>
            <w:r>
              <w:rPr>
                <w:rFonts w:ascii="Arial" w:cs="Arial" w:eastAsia="Arial" w:hAnsi="Arial"/>
                <w:sz w:val="14"/>
                <w:szCs w:val="14"/>
                <w:color w:val="auto"/>
                <w:w w:val="83"/>
              </w:rPr>
              <w:t>2011</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72"/>
              <w:spacing w:after="0" w:line="142" w:lineRule="exact"/>
              <w:rPr>
                <w:sz w:val="20"/>
                <w:szCs w:val="20"/>
                <w:color w:val="auto"/>
              </w:rPr>
            </w:pPr>
            <w:r>
              <w:rPr>
                <w:rFonts w:ascii="Arial" w:cs="Arial" w:eastAsia="Arial" w:hAnsi="Arial"/>
                <w:sz w:val="14"/>
                <w:szCs w:val="14"/>
                <w:color w:val="auto"/>
                <w:w w:val="89"/>
              </w:rPr>
              <w:t>2012</w:t>
            </w: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2"/>
                <w:szCs w:val="12"/>
                <w:color w:val="auto"/>
              </w:rPr>
            </w:pPr>
          </w:p>
        </w:tc>
      </w:tr>
      <w:tr>
        <w:trPr>
          <w:trHeight w:val="142"/>
        </w:trPr>
        <w:tc>
          <w:tcPr>
            <w:tcW w:w="7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ind w:left="260"/>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40" w:type="dxa"/>
            <w:vAlign w:val="bottom"/>
            <w:shd w:val="clear" w:color="auto" w:fill="CCEEFF"/>
          </w:tcPr>
          <w:p>
            <w:pPr>
              <w:jc w:val="center"/>
              <w:ind w:right="62"/>
              <w:spacing w:after="0"/>
              <w:rPr>
                <w:sz w:val="20"/>
                <w:szCs w:val="20"/>
                <w:color w:val="auto"/>
              </w:rPr>
            </w:pPr>
            <w:r>
              <w:rPr>
                <w:rFonts w:ascii="Arial" w:cs="Arial" w:eastAsia="Arial" w:hAnsi="Arial"/>
                <w:sz w:val="18"/>
                <w:szCs w:val="18"/>
                <w:color w:val="auto"/>
                <w:w w:val="88"/>
              </w:rPr>
              <w:t>$62.9</w:t>
            </w: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$71.6</w:t>
            </w:r>
          </w:p>
        </w:tc>
        <w:tc>
          <w:tcPr>
            <w:tcW w:w="560" w:type="dxa"/>
            <w:vAlign w:val="bottom"/>
            <w:shd w:val="clear" w:color="auto" w:fill="CCEEFF"/>
          </w:tcPr>
          <w:p>
            <w:pPr>
              <w:jc w:val="center"/>
              <w:ind w:right="84"/>
              <w:spacing w:after="0"/>
              <w:rPr>
                <w:sz w:val="20"/>
                <w:szCs w:val="20"/>
                <w:color w:val="auto"/>
              </w:rPr>
            </w:pPr>
            <w:r>
              <w:rPr>
                <w:rFonts w:ascii="Arial" w:cs="Arial" w:eastAsia="Arial" w:hAnsi="Arial"/>
                <w:sz w:val="18"/>
                <w:szCs w:val="18"/>
                <w:color w:val="auto"/>
                <w:w w:val="88"/>
              </w:rPr>
              <w:t>$62.8</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$63.6</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$ 47.4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Second Quarter</w:t>
            </w:r>
          </w:p>
        </w:tc>
        <w:tc>
          <w:tcPr>
            <w:tcW w:w="540" w:type="dxa"/>
            <w:vAlign w:val="bottom"/>
          </w:tcPr>
          <w:p>
            <w:pPr>
              <w:jc w:val="center"/>
              <w:ind w:right="62"/>
              <w:spacing w:after="0"/>
              <w:rPr>
                <w:sz w:val="20"/>
                <w:szCs w:val="20"/>
                <w:color w:val="auto"/>
              </w:rPr>
            </w:pPr>
            <w:r>
              <w:rPr>
                <w:rFonts w:ascii="Arial" w:cs="Arial" w:eastAsia="Arial" w:hAnsi="Arial"/>
                <w:sz w:val="18"/>
                <w:szCs w:val="18"/>
                <w:color w:val="auto"/>
                <w:w w:val="88"/>
              </w:rPr>
              <w:t>$66.8</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$64.3</w:t>
            </w:r>
          </w:p>
        </w:tc>
        <w:tc>
          <w:tcPr>
            <w:tcW w:w="560" w:type="dxa"/>
            <w:vAlign w:val="bottom"/>
          </w:tcPr>
          <w:p>
            <w:pPr>
              <w:jc w:val="center"/>
              <w:ind w:right="84"/>
              <w:spacing w:after="0"/>
              <w:rPr>
                <w:sz w:val="20"/>
                <w:szCs w:val="20"/>
                <w:color w:val="auto"/>
              </w:rPr>
            </w:pPr>
            <w:r>
              <w:rPr>
                <w:rFonts w:ascii="Arial" w:cs="Arial" w:eastAsia="Arial" w:hAnsi="Arial"/>
                <w:sz w:val="18"/>
                <w:szCs w:val="18"/>
                <w:color w:val="auto"/>
                <w:w w:val="88"/>
              </w:rPr>
              <w:t>$67.5</w:t>
            </w:r>
          </w:p>
        </w:tc>
        <w:tc>
          <w:tcPr>
            <w:tcW w:w="7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$77.2</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7"/>
              </w:rPr>
              <w:t>$ 50.2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$65.7</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$71.8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Fourth Quarter</w:t>
            </w:r>
          </w:p>
        </w:tc>
        <w:tc>
          <w:tcPr>
            <w:tcW w:w="540" w:type="dxa"/>
            <w:vAlign w:val="bottom"/>
          </w:tcPr>
          <w:p>
            <w:pPr>
              <w:spacing w:after="0"/>
              <w:rPr>
                <w:sz w:val="19"/>
                <w:szCs w:val="19"/>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$60.8</w:t>
            </w:r>
          </w:p>
        </w:tc>
        <w:tc>
          <w:tcPr>
            <w:tcW w:w="560" w:type="dxa"/>
            <w:vAlign w:val="bottom"/>
          </w:tcPr>
          <w:p>
            <w:pPr>
              <w:spacing w:after="0"/>
              <w:rPr>
                <w:sz w:val="19"/>
                <w:szCs w:val="19"/>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$69.0</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right="40" w:hanging="452"/>
        <w:spacing w:after="0" w:line="290"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product order level consists of confirmed purchase orders from customers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expect to ship substantially all of these orders within the next twelve months; however,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 reported, exclude contracts related to our construction business due to the relative size of individual projects and, in some cases, extended timeframe for completion beyond a twelve-month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For July 2012, our new orders received were approximately $20.8 million and our backlog was approximately $50.3 million at July 31, 2012.</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Our GHPs use a form of renewable energy and, under certain conditions, can reduce energy costs up to 80% compared to some conventional HVAC systems. Tax</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legislation continues to provide incentives for customers purchasing products using forms of renewable energy. Homeowners who install GHPs are eligible for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tax credit. Businesses that install GHPs are eligible for a 10% tax credit and five year accelerated depreciation on the balance of the system cost.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currently enacted legislation, these tax credits for homeowners and tax credits and accelerated depreciation for business owners are effective through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2016. During 2012, businesses also have the option of electing 50% bonus depreciation on qualifying equipment, such as GHPs, that are placed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service during the 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expect the Climate Control Business to experience low to moderate sales growth in the short-term compared to the first half of 2012. Although a significant part of the Climate Control Business’ sales are products that are used for renovation and replacement application, sales increases in the medium-term and long-term are expected to be primarily driven by growth in new construction, as well as the introduction of new products. We continue to increase our sales and marketing efforts for all of our Climate Control products in an effort to increase our share of the existing market for our products as well as expand the market for and application of our products, including GHPs.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Chemical Business</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Chemical Business operates four chemical facilities. The Cherokee and Pryor Facilities produce anhydrous ammonia and nitrogen products from natural gas delivered by pipeline but can also receive supplemental anhydrous ammonia by other modes of delivery. The El Dorado and Baytown Facilities produce nitrogen products from anhydrous ammonia delivered by pipeline.</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Chemical Business sales for the second quarter of 2012 were $138.1 million, a decrease of $17.5 million compared to the same period in 2011, which includes a $6.6 million decrease in industrial acids and other products sales and a $12.6 million decrease in mining products sales partially offset by a $1.7 million increase in agricultural products sales.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change in sales (volume and dollars) for the second quarter of 2012 compared to the second quarter of 2011 is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980" w:type="dxa"/>
            <w:vAlign w:val="bottom"/>
            <w:gridSpan w:val="4"/>
          </w:tcPr>
          <w:p>
            <w:pPr>
              <w:jc w:val="right"/>
              <w:ind w:right="540"/>
              <w:spacing w:after="0"/>
              <w:rPr>
                <w:sz w:val="20"/>
                <w:szCs w:val="20"/>
                <w:color w:val="auto"/>
              </w:rPr>
            </w:pPr>
            <w:r>
              <w:rPr>
                <w:rFonts w:ascii="Arial" w:cs="Arial" w:eastAsia="Arial" w:hAnsi="Arial"/>
                <w:sz w:val="14"/>
                <w:szCs w:val="14"/>
                <w:color w:val="auto"/>
              </w:rPr>
              <w:t>Percentage Change of</w:t>
            </w:r>
          </w:p>
        </w:tc>
      </w:tr>
      <w:tr>
        <w:trPr>
          <w:trHeight w:val="159"/>
        </w:trPr>
        <w:tc>
          <w:tcPr>
            <w:tcW w:w="6700" w:type="dxa"/>
            <w:vAlign w:val="bottom"/>
          </w:tcPr>
          <w:p>
            <w:pPr>
              <w:spacing w:after="0"/>
              <w:rPr>
                <w:sz w:val="13"/>
                <w:szCs w:val="13"/>
                <w:color w:val="auto"/>
              </w:rPr>
            </w:pPr>
          </w:p>
        </w:tc>
        <w:tc>
          <w:tcPr>
            <w:tcW w:w="1220" w:type="dxa"/>
            <w:vAlign w:val="bottom"/>
            <w:gridSpan w:val="2"/>
          </w:tcPr>
          <w:p>
            <w:pPr>
              <w:jc w:val="right"/>
              <w:ind w:right="940"/>
              <w:spacing w:after="0" w:line="159" w:lineRule="exact"/>
              <w:rPr>
                <w:sz w:val="20"/>
                <w:szCs w:val="20"/>
                <w:color w:val="auto"/>
              </w:rPr>
            </w:pPr>
            <w:r>
              <w:rPr>
                <w:rFonts w:ascii="Arial" w:cs="Arial" w:eastAsia="Arial" w:hAnsi="Arial"/>
                <w:sz w:val="14"/>
                <w:szCs w:val="14"/>
                <w:color w:val="auto"/>
                <w:w w:val="83"/>
              </w:rPr>
              <w:t>Tons</w:t>
            </w:r>
          </w:p>
        </w:tc>
        <w:tc>
          <w:tcPr>
            <w:tcW w:w="7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96"/>
              </w:rPr>
              <w:t>Dollars</w:t>
            </w: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Chemical products:</w:t>
            </w: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Agricultural</w:t>
            </w: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Mining</w:t>
            </w: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(41)%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6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weighted-average change</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15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net decrease in agricultural tons includes a decrease in UAN volumes due to the unplanned downtime at our Pryor Facility partially offset by the increased tons of agricultural grade AN and ammonia. Despite the net lower tons shipped, our sales dollars increased slightly due primarily to the impact of product mix change from UAN to agricultural grade AN and ammonia.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industrial acids and other sales in tons and dollars was primarily due to the unplanned downtime at our El Dorado Facility.</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decrease in mining sales in tons and dollars was primarily due to the unplanned downtime at our El Dorado Facility and to the reduction in customer demand due, in part, to a warmer than normal winter in North America which reduced demand for coal, resulting in excess coal inventories. Also with lower natural gas prices, certain utility companies switched feedstock from coal to natural gas.</w:t>
      </w:r>
    </w:p>
    <w:p>
      <w:pPr>
        <w:spacing w:after="0" w:line="14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Chemical Business’ operating income for the second quarter of 2012 was $39.1 million or approximately $3.6 million lower than the same period of 2011. The second quarter of 2011 included an insurance recovery of $8.6 million recorded as a reduction to cost of sales. Excluding the insurance recovery in the 2011 second quarter, the Chemical Business’ operating income increased $5.0 million. This increase was primarily due to improved agricultural sales margins primarily as the result of strong customer demand, higher sales prices and lower natural gas feedstock costs but was adversely impacted by the unplanned downtime at our Pryor and El Dorado Facilities as discussed below under “Downtime at Pryor and El Dorado Facilities — 2012.”</w:t>
      </w:r>
    </w:p>
    <w:p>
      <w:pPr>
        <w:spacing w:after="0" w:line="1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primary raw material feedstocks (anhydrous ammonia and natural gas) are commodities subject to significant price fluctuations. Generally, we purchase at prices in effect at the time of delivery; however, periodically, we enter into contracts to purchase natural gas for anticipated production needs, which contract prices will vary from the spot market prices. During the second quarter of 2012, the average prices for those commodities compared to the same period of 2011 were as follows:</w:t>
      </w:r>
    </w:p>
    <w:p>
      <w:pPr>
        <w:spacing w:after="0" w:line="27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2"/>
                <w:shd w:val="clear" w:color="auto" w:fill="CCEEFF"/>
              </w:rPr>
              <w:t>Natural gas average price per MMBtu based upon Henry Hub pipeline pricing point</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shd w:val="clear" w:color="auto" w:fill="CCEEFF"/>
              </w:rPr>
              <w:t>$</w:t>
            </w:r>
            <w:r>
              <w:rPr>
                <w:rFonts w:ascii="Arial" w:cs="Arial" w:eastAsia="Arial" w:hAnsi="Arial"/>
                <w:sz w:val="18"/>
                <w:szCs w:val="18"/>
                <w:color w:val="auto"/>
                <w:w w:val="84"/>
                <w:shd w:val="clear" w:color="auto" w:fill="CCEEFF"/>
              </w:rPr>
              <w:t>2.27</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shd w:val="clear" w:color="auto" w:fill="CCEEFF"/>
              </w:rPr>
              <w:t>$</w:t>
            </w:r>
            <w:r>
              <w:rPr>
                <w:rFonts w:ascii="Arial" w:cs="Arial" w:eastAsia="Arial" w:hAnsi="Arial"/>
                <w:sz w:val="18"/>
                <w:szCs w:val="18"/>
                <w:color w:val="auto"/>
                <w:w w:val="84"/>
                <w:shd w:val="clear" w:color="auto" w:fill="CCEEFF"/>
              </w:rPr>
              <w:t>4.35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Ammonia average price based upon low Tampa price per metric ton</w:t>
            </w: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40" w:type="dxa"/>
            <w:vAlign w:val="bottom"/>
            <w:vMerge w:val="continue"/>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$ 564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right"/>
              <w:ind w:right="2092"/>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Most of our Chemical Business sales in the industrial and mining markets were pursuant to sales contracts and/or pricing arrangements on terms that include the cost of raw material feedstock as a pass through component in the sales price. Our Chemical Business sales in the agricultural markets primarily were at the spot market price in effect at the time of sale or at a negotiated future price.</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believe the El Dorado Facility’s nitric acid production will decline from prior periods by approximately 20%, during the next 30 months while awaiting the construction of the new 65% concentrated nitric acid plant. The lower production will result in lower sales volumes at the El Dorado Facility; however, we believe the lost profit margins at this facility will be covered by our business interruption insurance as discussed below under “Downtime at Pryor and El Dorado Facilities — 2012”.</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May 2012, we received permits to operate the two smaller ammonia plants at the Pryor Facility. We expect those plants to be in production by the end of 2012.</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Downtime at Pryor and El Dorado Facilities — 2012</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Pryor Facility — Due to production limitations, the primary ammonia plant was unable to sustain production above 500 tons per day (“TPD”) during 2011. Therefore beginning on January 3, 2012, a planned improvement project was performed at the Pryor Facility to increase anhydrous ammonia production levels, during which time the facility was not in production. The plant was gradually brought back into production on February 3, 2012.</w:t>
      </w:r>
    </w:p>
    <w:p>
      <w:pPr>
        <w:spacing w:after="0" w:line="10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However during March 2012, the Pryor Facility experienced certain unplanned downtime in the ammonia and urea plants. The ammonia plant production was shut down for approximately 8 days while the repairs were performed and resumed production and sales of ammonia after the repairs were completed. Excluding the impact of the unplanned downtime, we believe the total ammonia production for the remainder of 2012 to be approximately 75% of our planned production rate of 600 TPD. The lower production rate will reduce our available sales of ammonia. We believe the primary production problem is due to the ammonia converter that we plan to replace with an upgraded design in early 2013, which expenditure will be funded from our working capital. In addition, the repair undertaken at the urea plant, which began on February 27, 2012, was more extensive than initially anticipated and required the replacement of the urea reactor’s stainless steel liner. As a result, the Pryor Facility did not produce UAN from February 27, 2012 until July 2012. The capital expenditures incurred associated with this event was approximately $1.2 million.</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first half of 2012, we believe the cumulative adverse impact to operating income due to the planned and unplanned downtime at the Pryor Facility was an estimated $24 million (of which $10 million related to the second quarter of 2012) including lost absorption and gross profit of $18 million, losses incurred on firm sales commitments of $3 million, and maintenance and repair costs of $3 million.</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notice of insurance claims for property damage and business interruption has been filed with the insurance carrier but the total amount has not been determined. Our insurance policy provides for replacement cost coverage relating to property damage with a $1.0 million deductible and provides for business interruption coverage for certain lost profits and extra expense with a 30-day waiting period. After an initial investigation was performed by an insurance adjuster, we received a reservation of rights letter stating that some insurance policy exclusions could apply resulting in a full or partial denial as to our claims for property damage and/or business interruption. A recovery, if any, from our insurance coverage has not been recognized since for accounting purposes it is not probable and reasonably estimable and/or it is considered a gain contingency, which will be recognized if, and when, realized or realizable and earned.</w:t>
      </w:r>
    </w:p>
    <w:p>
      <w:pPr>
        <w:spacing w:after="0" w:line="12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El Dorado Facility — On May 15, 2012, the El Dorado Facility suffered significant damage when a reactor in its DSN plant exploded. As a result, the DSN plant was severely damaged and several other plants and infrastructure within the El Dorado Facility sustained various degrees of damage. Due to the extensive damage, the DSN plant, which supplied approximately 20% of the nitric acid produced at this facility, is not being repaired but will be replaced with a new 65% concentrated nitric acid plant and a nitric acid concentration plant. The engineering and design process has begun on the new nitric acid plant. The project to construct these new plants is currently expected to take at least two years to complete (also see discussion under “Capital Expenditures” and “Aggregate Contractual Obligations” of this Item 2). Of the three other remaining nitric acid plants, which produce approximately 80% of the nitric acid at the facility in various concentrations from 56% to 65%, one was restarted in June, another nitric acid plant was restarted in July and the remaining nitric acid plant is expected to restart before the end of August. The sulfuric acid plant also sustained significant damage and is expected to restart before the end of 2012. The high and low density AN prill plants are fully operational but with limited capacity due to the limited nitric acid feedstock available while the existing nitric acid plants are brought back into service.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believe the cumulative adverse impact to operating income for the unplanned downtime at the El Dorado Facility was approximately $7 million (all of which related to the second quarter of 2012) including lost absorption and gross profit margins.</w:t>
      </w:r>
    </w:p>
    <w:p>
      <w:pPr>
        <w:spacing w:after="0" w:line="132"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A notice of insurance claims for property damage and business interruption was filed with the insurance carriers but the total amounts have not been determined but are expected to be substantial. Our insurance policy provides for replacement cost coverage relating to property damage with a $1.0 million deductible and provides for business interruption coverage for certain lost profits and extra expense with a 30-day waiting period. Because our replacement cost coverage for property damages is estimated to exceed our property loss deductible, the net book value of the damaged property and other recoverable costs incurred through June 30, 2012, we did not recognize a loss relating to property damage from this explosion but we recorded an insurance claim receivable relating to this event primarily consisting of the disposal of the net book value of damaged property and certain repairs and clean-up costs incurred. In addition, a recovery for certain lost profits, if any, from our business interruption coverage has not been recognized since it is considered a gain contingency, which will be recognized if, and when, realized or realizable and earned. As of June 30, 2012, the balance of the insurance claim receivable relating to this event was $13.5 million. In general, if a recovery from our insurance coverage exceeds the balance of the insurance claim receivable, a gain will be recognized when realized or realizable and earned.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cash and cash equivalents, short-term investments, total interest bearing debt and stockholders’ equity:</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81"/>
              </w:rPr>
              <w:t>June 30,</w:t>
            </w:r>
          </w:p>
        </w:tc>
        <w:tc>
          <w:tcPr>
            <w:tcW w:w="1440" w:type="dxa"/>
            <w:vAlign w:val="bottom"/>
            <w:gridSpan w:val="4"/>
          </w:tcPr>
          <w:p>
            <w:pPr>
              <w:ind w:left="58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5"/>
              <w:spacing w:after="0" w:line="159" w:lineRule="exact"/>
              <w:rPr>
                <w:sz w:val="20"/>
                <w:szCs w:val="20"/>
                <w:color w:val="auto"/>
              </w:rPr>
            </w:pPr>
            <w:r>
              <w:rPr>
                <w:rFonts w:ascii="Arial" w:cs="Arial" w:eastAsia="Arial" w:hAnsi="Arial"/>
                <w:sz w:val="14"/>
                <w:szCs w:val="14"/>
                <w:color w:val="auto"/>
                <w:w w:val="83"/>
              </w:rPr>
              <w:t>2012</w:t>
            </w: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w w:val="89"/>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Arial" w:cs="Arial" w:eastAsia="Arial" w:hAnsi="Arial"/>
                <w:sz w:val="14"/>
                <w:szCs w:val="14"/>
                <w:color w:val="auto"/>
                <w:w w:val="97"/>
              </w:rPr>
              <w:t>(In 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138.7</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Short-term investments (1)</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148.7</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Secured Term Loan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including current portion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gridSpan w:val="2"/>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334.7</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investments consisted of certificates of deposit with an original maturity of 13 weeks. All of these investments were held by financial institutions within the United States and none of these investments were in excess of the federally insured limits.</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At June 30, 2012, our cash, cash equivalents and short-term investments totaled $148.7 million and our $50 million revolving credit facility (the “Working Capital Revolver Loan”) was undrawn and available to fund operations, if needed, subject to the amount of our eligible collateral and outstanding letters of credit.</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remainder of 2012, we expect our primary cash needs will be for working capital to fund our operations, certain capital expenditures, and general obligations. We expect to fund these cash needs from internally generated cash flows and cash on hand. Our internally generated cash flows and liquidity could be affected by possible declines in sales volumes resulting from the uncertainty relative to the current economic conditions. In addition, for the remainder of 2012, we expect cash needs to fund expenditures associated with the repair and/or replacement of damaged plants and infrastructure within the El Dorado Facility. We expect to fund these expenditures primarily from insurance proceeds; however, our cash flows and liquidity could be affected by the timing of these insurance proceeds.</w:t>
      </w:r>
    </w:p>
    <w:p>
      <w:pPr>
        <w:spacing w:after="0" w:line="14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As discussed below under “Loan Agreements-Terms and Conditions,” the term loan facility (the “Secured Term Loan”) requires quarterly principal payments of approximately $0.9 million, plus interest and a final balloon payment of $56.3 million due on March 29, 2016. At June 30, 2012, the weighted-average interest rate was approximately 4.03%. The Secured Term Loan is secured by the real property and equipment located at our El Dorado and Cherokee Facilities.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subsidiaries are subject to numerous covenants under the Secured Term Loan including, but not limited to, limitation on the incurrence of certain additional indebtedness and liens, limitations on mergers, acquisitions, dissolution and sale of assets, and limitations on declaration of dividends and distributions to us, all with certain exceptions.</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discussed below under “Loan Agreements-Terms and Conditions”, since the Working Capital Revolver Loan was scheduled to mature on April 13, 2012, our wholly-owned subsidiary, ThermaClime, LLC (“ThermaClime”) and its subsidiaries and the lender entered into an amendment to the Working Capital Revolver Loan, dated April 4, 2012, that continues to provide for advances based on specified percentages of eligible accounts receivable and inventories for ThermaClime, and its subsidiaries. As amended, the Working Capital Revolver Loan matures on March 29, 2016, but could be extended to April 13, 2017 under certain conditions. As of June 30, 2012, amounts available for borrowing under the Working Capital Revolver Loan were approximately $48.6 million based on eligible collateral less outstanding letters of credit.</w:t>
      </w:r>
    </w:p>
    <w:p>
      <w:pPr>
        <w:spacing w:after="0" w:line="14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financial covenants of the Working Capital Revolver Loan and the Secured Term Loan are discussed below under “Loan Agreements — Terms and Conditions”. The Borrowers’ ability to maintain borrowing availability under the Working Capital Revolver Loan depends on their ability to comply with the terms and conditions of the loan agreements and their ability to generate cash flow from operations. The Borrowers are restricted under their credit agreements as to the funds they may transfer to LSB and its subsidiaries that are not parties to the loan agreement. This limitation does not prohibit payment to LSB of amounts due under a Services Agreement, Management Agreement and a Tax Sharing Agreement with ThermaClime. Based upon our current projections, we believe our working capital is adequate to fund operations for the near term.</w:t>
      </w:r>
    </w:p>
    <w:p>
      <w:pPr>
        <w:spacing w:after="0" w:line="12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2009, we filed a universal shelf registration statement on Form S-3, with the SEC. The shelf registration statement provides that we could offer and sell up to $200 million of our securities consisting of equity (common and preferred), debt (senior and subordinated), warrants and units, or a combination thereof. The shelf registration statement expires in November 2012 unless we decide to file a new Form S-3 covering the same securities, which new Form S-3 would be subject to a review by the SEC. </w:t>
      </w:r>
      <w:r>
        <w:rPr>
          <w:rFonts w:ascii="Arial" w:cs="Arial" w:eastAsia="Arial" w:hAnsi="Arial"/>
          <w:sz w:val="18"/>
          <w:szCs w:val="18"/>
          <w:b w:val="1"/>
          <w:bCs w:val="1"/>
          <w:color w:val="auto"/>
        </w:rPr>
        <w:t>This disclosure shall not constitute an offer to sell or the solicitation of an offer to buy, nor shall there be any sale of these</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 in any state in which such offer, solicitation or sale would be unlawful prior to registration or qualification under the securities laws of any such state.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We recognize and pay federal income taxes at regular corporate tax rates. With few exceptions, the 2008-2010 years remain open for all purposes of examination by the IRS and other major tax jurisdictions. Currently, we are under examination by the IRS and certain state tax authorities for the tax years 2007-2010.</w:t>
      </w:r>
    </w:p>
    <w:p>
      <w:pPr>
        <w:spacing w:after="0" w:line="6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Subject to examination by taxing authorities, we believe that we do not have any material uncertain tax positions other than the failure to file original or amended state income tax returns in some jurisdictions where LSB or some of its subsidiaries may have a filing responsibility. We had approximately $1.0 million accrued for uncertain tax liabilities at June 30, 2012.</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Expenditures-First Half of 2012</w:t>
      </w:r>
    </w:p>
    <w:p>
      <w:pPr>
        <w:spacing w:after="0" w:line="90"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Cash used for capital expenditures during the first half of 2012 was $32.5 million, including $2.0 million for the benefit of our Climate Control Business and $27.8 million for the benefit of our Chemical Business. The Chemical Business capital expenditures also included approximately $2.3 million associated with maintaining compliance with environmental laws, regulations and guidelines. The capital expenditures were funded from working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Committed and Planned Capital Expenditures-Remainder of 2012</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At June 30, 2012, we had committed capital expenditures of approximately $22.6 million for the remainder of 2012. The committed expenditures included $19.2 million for the benefit of our Chemical Business. In addition, our committed expenditures included $3.1 million for the benefit of our Climate Control Business and the remainder for general corporate facility upgrades. We plan to fund these expenditures from working capital.</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to committed capital expenditures at June 30, 2012, we had additional planned capital expenditures for the remainder of 2012 of $31.3 million, of which $26.8 million is for the benefit of our Chemical Business (including $11.9 million consisting primarily of down payments on equipment associated with the new 65% concentrated nitric acid plant), $4.2 million is for the benefit of our Climate Control Business and the remainder for general corporate facility upgrades. The total planned capital expenditures for the new 65% concentrated nitric acid plant and a nitric acid concentration plant over the next two to the three years is expected to exceed $100 million, which we expect to fund most, if not all, from insurance proceeds.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planned capital expenditures are subject to economic conditions and approval by senior management. If these capital expenditures are approved, we believe most of these expenditures will likely be funded from working capital, internal cash flows and insurance proceeds. The committed and planned capital expenditures include $2.7 million associated with environmental laws, regulations and guidelines (including the wastewater pipeline discussed below). In addition, see discussion below under “Wastewater Pipeline” relating to expenditures associated with the participation of the construction of a wastewater pipeline. Also see discussion below under “Information Request from EPA” that may require additional capital improvement to certain emission equipment not currently included in our committed or planned capital expenditures for the remainder of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Wastewater Pipeline</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El Dorado Facility generates process wastewater, which is subject to a wastewater discharge permit issued by the ADEQ, which permit is generally renewed every five years. During April 2011, certain companies, including our subsidiary, El Dorado Chemical Company (“EDC”), and the City of El Dorado, Arkansas (the “City”) entered into a funding agreement and operating agreement related to a wastewater pipeline to be constructed by the City. Each party to the agreements has agreed to contribute to the cost of construction and the annual operating costs of the pipeline for the right to use the pipeline to dispose of its wastewater. EDC anticipates its capital cost in connection with the construction of the pipeline will be approximately $4.0 million, of which $1.3 million has been capitalized as of June 30, 2012. The City plans to complete the construction of the pipeline by mid-2014. Once the pipeline is completed, EDC’s estimated share of the annual operating costs is to be $100,000 to $150,000. The initial term of the operating agreement is through December 2053.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Request from EPA</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United States Environmental Protection Agency (“EPA”) has sent information requests to most, if not all, of the operators of nitric acid plants in the United States, including our El Dorado and Cherokee Facilities and the Baytown Facility operated by our subsidiary, El Dorado Nitric Company and its subsidiaries (“EDN”), under Section 114 of the Clean Air Act as to construction and modification activities at each of these facilities over a period of years. These information requests were to enable the EPA to determine whether these facilities are in compliance with certain provisions of the Clean Air Act. If it were determined that the equipment at any of our chemical facilities does not meet or, has not met, the requirements of the Clean Air Act, our Chemical Business could be subject to penalties in an amount not to exceed $27,500 per day as to each facility not in compliance and be required to retrofit each facility with the “best available control technology.” We believe this technology is already employed at the Baytown Facility.</w:t>
      </w:r>
    </w:p>
    <w:p>
      <w:pPr>
        <w:spacing w:after="0" w:line="11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After a review by our Chemical Business of these facilities in obtaining information for the EPA pursuant to the EPA’s request, our Chemical Business management believes that certain facilities within our Chemical Business may be required to make capital improvements to emission equipment in order to comply with the requirements of the Clean Air Act. During the first quarter of 2012, our Chemical Business provided to the EPA a proposed global settlement offer in connection with this matter, which settlement offer would require implementation of additional pollution controls to be installed over a period of time in each of our ten affected nitric acid plants to achieve certain proposed emission rates. The proposal also offered to negotiate a modest civil penalty but did not provide an amount of any proposed civil penalty. Since the specific types of pollution controls necessary to meet the proposed emission rates at each plant have not been determined, the total capital cost to achieve the proposed emission rates has not been determined with any degree of accuracy; however, the total capital cost could be significant.</w:t>
      </w:r>
    </w:p>
    <w:p>
      <w:pPr>
        <w:spacing w:after="0" w:line="11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United States Department of Justice (“DOJ”), on behalf of the EPA, has responded in writing to our proposed global settlement offer and advised in its response which of our proposals are acceptable and not acceptable and certain other provisions that the United States would require in a global settlement. The DOJ’s response also provided that they will require, among other things, that we pay an appropriate civil penalty to the United States and participating state parties, with the amount to be determined after the parties have reached agreement on the core components of a consent decree, and that any settlement is contingent upon the incorporation of the settlement terms into a definitive consent decree acceptable to the parties. Therefore a liability of $100,000 for potential civil penalties has been established at June 30, 2012, in connection with this matter. We are currently corresponding with the DOJ in an effort to resolve this matter.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Advanced Manufacturing Energy Credits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8, 2010, two subsidiaries within the Climate Control Business were awarded Internal Revenue Code §48C tax credits (also referred to as “Advanced Manufacturing Energy Credits”) of approximately $9.6 million. The award was based on anticipated capital expenditures made from February 2009 through June 2014 for machinery that will be used to produce geothermal heat pumps and green modular chillers. As these subsidiaries invest in the qualifying machinery, we will be entitled to an income tax credit equal to 30% of the machinery cost, up to the total credit amount awarded. As of June 30, 2012, we utilized $0.8 million of §48C tax credits and we anticipate utilizing approximately $0.4 million and $0.6 million of these tax credits to partially offset our federal income tax liability for 2011 and 2012, respectively.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Estimated Plant Turnaround Costs — Remainder of 2012</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Chemical Business expenses the maintenance, repairs and minor renewal costs relating to planned major maintenance activities (“Turnarounds”) as they are incurred and are classified as cost of sales. Based on our current plan for Turnarounds during the remainder of 2012, we estimate that we will incur approximately $3.0 million to $4.0 million of these Turnaround costs. These costs do not include the costs relating to lost absorption or reduced margins due to the associated plants being shut down. We plan to fund these expenditures from our available working capital. However, it is possible that the actual costs could be significantly different from our estimates.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9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Chemical Business is subject to specific federal and state environmental compliance laws, regulations and guidelines. As a result, our Chemical Business incurred expenses of $2.3 million in the first half of 2012 in connection with environmental regulatory issues. For the remainder of 2012, we expect to incur expenses ranging from $1.5 million to $2.5 million in connection with environmental regulatory issues. However, it is possible that the actual costs could be significantly different than our estimates.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Authorization to Repurchase Stock</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As previously reported, our board of directors enacted a stock repurchase authorization for an unstipulated number of shares for an indefinite period. The stock repurchase authorization will remain in effect until such time as our board of directors decides to end it. If we should repurchase stock, we currently intend to fund any repurchases from our available working capital; however, our plan could change in the near term.</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LSB is a holding company and, accordingly, its ability to pay cash dividends on its preferred stock and common stock depends in large part on its ability to obtain funds from its subsidiaries. The ability of ThermaClime (which owns a substantial portion of the companies comprising the Climate Control Business and Chemical Business) and its wholly-owned subsidiaries to pay dividends and to make distributions to LSB is restricted by certain covenants contained in the Working Capital Revolver Loan, as amended, and the Secured Term Loan agreements. Under the terms of these agreements, ThermaClime cannot transfer funds to LSB in the form of cash dividends or other distributions or advances, except for the following (so long as no default or event of default has occurred, is continuing or would result therefrom in certain cases):</w:t>
      </w:r>
    </w:p>
    <w:p>
      <w:pPr>
        <w:spacing w:after="0" w:line="63" w:lineRule="exact"/>
        <w:rPr>
          <w:sz w:val="20"/>
          <w:szCs w:val="20"/>
          <w:color w:val="auto"/>
        </w:rPr>
      </w:pPr>
    </w:p>
    <w:p>
      <w:pPr>
        <w:ind w:left="900" w:right="7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loans to LSB entered into subsequent to April 4, 2012, provided the aggregate amount of such loans do not exceed $5.0 million at any time outstanding;</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not to exceed $7.5 million annually under a certain management agreement between LSB and ThermaClime, provided certain conditions are met;</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repayment of costs and expenses incurred by LSB that are directly allocable to ThermaClime or its subsidiaries for LSB’s provision of services under certain services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income taxes that ThermaClime would be required to pay if they were not consolidated with LSB; and</w:t>
      </w:r>
    </w:p>
    <w:p>
      <w:pPr>
        <w:spacing w:after="0" w:line="90" w:lineRule="exact"/>
        <w:rPr>
          <w:rFonts w:ascii="Arial" w:cs="Arial" w:eastAsia="Arial" w:hAnsi="Arial"/>
          <w:sz w:val="18"/>
          <w:szCs w:val="18"/>
          <w:color w:val="auto"/>
        </w:rPr>
      </w:pPr>
    </w:p>
    <w:p>
      <w:pPr>
        <w:jc w:val="both"/>
        <w:ind w:left="900" w:right="48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amount not to exceed fifty percent (50%) of ThermaClime’s consolidated net income during each fiscal year determined in accordance with generally accepted accounting principles plus income taxes paid to LSB during such fiscal year within the previous bullet above, provided that certain other conditions are met.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Holders of our common stock and preferred stocks are entitled to receive dividends only when and if declared by our board of directors.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2012</w:t>
      </w:r>
      <w:r>
        <w:rPr>
          <w:rFonts w:ascii="Arial" w:cs="Arial" w:eastAsia="Arial" w:hAnsi="Arial"/>
          <w:sz w:val="16"/>
          <w:szCs w:val="16"/>
          <w:b w:val="1"/>
          <w:bCs w:val="1"/>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2012, dividends totaling $300,000 were declared and paid on our outstanding preferred stock using funds from our working capital.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Each share of preferred stock is entitled to receive an annual dividend, only when declared by our board of directors, payable as follows:</w:t>
      </w:r>
    </w:p>
    <w:p>
      <w:pPr>
        <w:spacing w:after="0" w:line="8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shares of the Series D Preferred and Series B Preferred are owned by the Golsen Group. There are no optional or mandatory redemption rights with respect to the Series B Preferred or Series D Preferred.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9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discussed below under “Loan Agreements — Terms and Conditions”, the Secured Term Loan and Working Capital Revolver Loan, as amended, of ThermaClime and its subsidiaries require, among other things, that ThermaClime meet certain financial covenants. Currently, ThermaClime’s forecast is that ThermaClime will be able to meet all financial covenant requirements for the remainder of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 Terms and Conditions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Amendment to Working Capital Revolver Loan </w:t>
      </w:r>
      <w:r>
        <w:rPr>
          <w:rFonts w:ascii="Arial" w:cs="Arial" w:eastAsia="Arial" w:hAnsi="Arial"/>
          <w:sz w:val="16"/>
          <w:szCs w:val="16"/>
          <w:color w:val="auto"/>
        </w:rPr>
        <w:t>— Since the Working Capital Revolver Loan was scheduled to mature on April 13, 2012, ThermaClime</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subsidiaries (collectively, the “Borrowers”) and the lender entered into an amendment to the Working Capital Revolver Loan, dated April 4, 2012, that continues to provide for advances based on specified percentages of eligible accounts receivable and inventories for ThermaClime and its subsidiaries. As amended, the Working Capital Revolver Loan matures on March 29, 2016, but could be extended to April 13, 2017 under certain conditions. The Working Capital Revolver Loan, as amended, accrues interest at a base rate (generally equivalent to the prime rate) plus .50% if borrowing availability is greater than $25 million, otherwise plus .75% (previously plus .50% only) or, at our option, accrues interest at LIBOR plus 1.50% if borrowing availability is greater than $25 million, otherwise plus 1.75% (previously plus 1.75% only). The interest rate at June 30, 2012 was 3.75% based on LIBOR. Interest continues to be paid monthly, if applicable.</w:t>
      </w:r>
    </w:p>
    <w:p>
      <w:pPr>
        <w:spacing w:after="0" w:line="11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As amended, the Working Capital Revolver Loan provides for up to $15 million of letters of credit. All letters of credit outstanding reduce availability under the Working Capital Revolver Loan. As of June 30, 2012, amounts available for borrowing under the Working Capital Revolver Loan were approximately $48.6 million. Under the Working Capital Revolver Loan, as amended, the lender also continues to require the Borrowers to pay a letter of credit fee equal to 1% per annum of the undrawn amount of all outstanding letters of credit, an unused line fee equal to .25% per annum (previously .375% per annum) for the excess amount available under the Working Capital Revolver Loan not drawn and various other audit, appraisal and valuation charges.</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lender continues to have the ability to, upon an event of default, as defined, terminate the Working Capital Revolver Loan and make the balance outstanding, if any, due and payable in full. The Working Capital Revolver Loan continues to be secured by the assets of all the ThermaClime entities other than EDN, but excluding the assets securing the Secured Term Loan, certain production equipment and facilities utilized by the Climate Control Business, and certain distribution-related assets of EDC. In addition, EDN is neither a borrower under, nor guarantor of, the Working Capital Revolver Loan. At June 30, 2012, the carrying value of the pledged assets was approximately $262 million.</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Working Capital Revolver Loan continues to require ThermaClime to meet a minimum fixed charge coverage ratio of not less than 1.10 to 1, but the maximum senior leverage coverage ratio of not greater than 4.50 to 1 and the EBITDA requirement of greater than $25 million financial covenants have been eliminated. This requirement is to be measured on a fiscal year-end basis and as defined in the agreement. The Working Capital Revolver Loan continues to contain covenants that, among other things, limit the Borrowers’ (which does not include LSB) ability, without consent of the lender and with certain exceptions, to:</w:t>
      </w:r>
    </w:p>
    <w:p>
      <w:pPr>
        <w:spacing w:after="0" w:line="6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restricted payments or loans to affiliates who are not Borrowers,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dispose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However, pursuant to the Working Capital Revolver Loan amendment, such negative covenants were modified so as to provide the Borrowers with more flexibility in regards to such activities. Pursuant to certain agreements with the lender, all collections on accounts receivable are no longer made through a bank account in the name of the lender or their agent. As a result and compared to previous periods, we expect this change will reduce the amount of cash flow activity associated with the Working Capital Revolver Loan, which is also reported as cash flows from continuing financing activities.</w:t>
      </w:r>
    </w:p>
    <w:p>
      <w:pPr>
        <w:spacing w:after="0" w:line="107"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Secured Term Loan </w:t>
      </w:r>
      <w:r>
        <w:rPr>
          <w:rFonts w:ascii="Arial" w:cs="Arial" w:eastAsia="Arial" w:hAnsi="Arial"/>
          <w:sz w:val="16"/>
          <w:szCs w:val="16"/>
          <w:color w:val="auto"/>
        </w:rPr>
        <w:t>— At June 30, 2012, the Secured Term Loan’s outstanding balance was $70.3 million. The Secured Term Loan requires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payments of approximately $0.9 million, plus interest and a final balloon payment of $56.3 million due on March 29, 2016. At June 30, 2012, the stated interest rate on the Secured Term Loan includes a variable interest rate of 3.47% on the principal amount of $46.9 million (the variable interest rate is based on three-month LIBOR plus 300 basis points, which rate is adjusted quarterly) and a fixed interest rate of 5.15% on the principal amount of $23.4 million. At June 30, 2012, the resulting weighted-average interest rate was approximately 4.03%.</w:t>
      </w:r>
    </w:p>
    <w:p>
      <w:pPr>
        <w:spacing w:after="0" w:line="11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Secured Term Loan is secured by the real property and equipment located at our El Dorado and Cherokee Facilities. The carrying value of the pledged assets is approximately $68 million at June 30, 2012.</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Secured Term Loan borrowers are subject to numerous covenants under the agreement including, but not limited to, limitation on the incurrence of certain additional indebtedness and liens; limitations on mergers, acquisitions, dissolution and sale of assets; and limitations on declaration of dividends and distributions to LSB, all with certain exceptions. At June 30, 2012, the carrying value of the restricted net assets (including pledged assets) of ThermaClime and its subsidiaries was approximately $76 million. As defined in the agreement, the Secured Term Loan borrowers are also subject to a minimum fixed charge coverage ratio of not less than 1.10 to 1 and a maximum leverage ratio of not greater than 4.50 to 1. Both of these requirements are measured quarterly on a trailing twelve-month basis. As of June 30, 2012 and as defined in the agreement, Secured Term Loan borrowers’ fixed charge coverage ratio was 1.70 to 1 and the leverage ratio was .73 to 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 of the Secured Term Loan can be accelerated by the lender upon the occurrence of a continuing event of default, as defined.</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prepayment premium equal to 1.0% of the principal amount prepaid is due to the lenders should the borrowers elect to prepay on or prior to March 29, 2014, however, this premium is eliminated thereafter.</w:t>
      </w:r>
    </w:p>
    <w:p>
      <w:pPr>
        <w:spacing w:after="0" w:line="126" w:lineRule="exact"/>
        <w:rPr>
          <w:sz w:val="20"/>
          <w:szCs w:val="20"/>
          <w:color w:val="auto"/>
        </w:rPr>
      </w:pPr>
    </w:p>
    <w:p>
      <w:pPr>
        <w:ind w:right="1020" w:firstLine="456"/>
        <w:spacing w:after="0" w:line="339" w:lineRule="auto"/>
        <w:rPr>
          <w:sz w:val="20"/>
          <w:szCs w:val="20"/>
          <w:color w:val="auto"/>
        </w:rPr>
      </w:pPr>
      <w:r>
        <w:rPr>
          <w:rFonts w:ascii="Arial" w:cs="Arial" w:eastAsia="Arial" w:hAnsi="Arial"/>
          <w:sz w:val="16"/>
          <w:szCs w:val="16"/>
          <w:b w:val="1"/>
          <w:bCs w:val="1"/>
          <w:color w:val="auto"/>
        </w:rPr>
        <w:t xml:space="preserve">Cross-Default Provisions </w:t>
      </w:r>
      <w:r>
        <w:rPr>
          <w:rFonts w:ascii="Arial" w:cs="Arial" w:eastAsia="Arial" w:hAnsi="Arial"/>
          <w:sz w:val="16"/>
          <w:szCs w:val="16"/>
          <w:color w:val="auto"/>
        </w:rPr>
        <w:t>— The Working Capital Revolver Loan agreement and the Secured Term Loan contain cross-default provisions. If</w:t>
      </w:r>
      <w:r>
        <w:rPr>
          <w:rFonts w:ascii="Arial" w:cs="Arial" w:eastAsia="Arial" w:hAnsi="Arial"/>
          <w:sz w:val="16"/>
          <w:szCs w:val="16"/>
          <w:b w:val="1"/>
          <w:bCs w:val="1"/>
          <w:color w:val="auto"/>
        </w:rPr>
        <w:t xml:space="preserve"> </w:t>
      </w:r>
      <w:r>
        <w:rPr>
          <w:rFonts w:ascii="Arial" w:cs="Arial" w:eastAsia="Arial" w:hAnsi="Arial"/>
          <w:sz w:val="16"/>
          <w:szCs w:val="16"/>
          <w:color w:val="auto"/>
        </w:rPr>
        <w:t>ThermaClime fails to meet the financial covenants of either of these agreements, the lenders may declare an event of default.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believe that our only significant seasonal products are fertilizer and related chemical products sold by our Chemical Business to the agricultural industry. The selling seasons for those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increases its inventory of agricultural products prior to the beginning of each planting season. In addition, the amount and timing of sales to the agricultural markets depend upon weather conditions and other circumstances beyond our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“Liquidity and Capital Resources-Dividends”.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Landmark Transactions</w:t>
      </w:r>
    </w:p>
    <w:p>
      <w:pPr>
        <w:spacing w:after="0" w:line="9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As previously reported and as approved by a special committee of our board of directors and pursuant to an agreement (the “Purchase Agreement”) entered into in September 2011, effective February 7, 2012, one of our subsidiaries, Prime Financial L.L.C. (“Prime”), purchased from Landmark Land Company, Inc. (“Landmark”) certain undeveloped real estate located in Laguna Vista, Texas (the “Texas Real Estate”) for the purchase price of approximately $2,500,000. The Purchase Agreement grants Prime put options to sell the Texas Real Estate to Landmark or to Gerald G. Barton (“Barton”), who is the chief executive officer and a substantial stockholder of Landmark. Prime may exercise a put option during the sixth year following Prime’s purchase of the Texas Real Estate. If a put option is exercised, the purchase price for the Texas Real Estate will be based on the original purchase price, plus a premium equal to a simple 10% annual return on the original purchase price beginning February 2012, subject to certain adjustments. The Purchase Agreement also grants Prime warrants to purchase up to 1,000,000 shares of Landmark’s common stock, at $1.00 per share. The right of Prime to acquire Landmark shares under any unexercised warrants shall terminate on the completed exercise of the put options. Also Landmark entered into a separate agreement (“GHP Use Agreement”) to use its reasonable efforts to use, where technically feasible, geothermal heating and air conditioning units manufactured by one of LSB’s subsidiaries on other Landmark properties in the development where the Texas Real Estate is located. For financial reporting purposes, no value from the purchase price was allocated to the put options or the GHP Use Agreement primarily because the estimated market value of the Texas Real Estate exceeded the purchase price and a minimal value from the purchase price was allocated to the warrants primarily because Landmark’s common stock is lightly traded on the Over-the-Counter Bulletin Board with a minimal price per share (Landmark’s average closing price per share was approximately $0.11 over the twelve-month period ended February 7, 2012). The above described transaction is in addition to the previously reported transaction with Landmark whereby Prime purchased from a subsidiary of Landmark real estate located in Oklahoma City, Oklahoma during 2011.</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Jack E. Golsen (“Golsen”) and another individual previously formed a limited liability company (“LLC”), and each contributed $1,000,000 to the LLC. The LLC subsequently loaned Landmark approximately $2,000,000. In March 2011, Golsen sold his membership interest in the LLC to Barton in consideration for a promissory note in the principal amount of approximately $1,100,000, representing the amount that Golsen had invested in the LLC, plus interest (the “Barton Note”). The Barton Note was due and payable in June 2011. Pursuant to the terms of the Purchase Agreement, until the expiration of the put option, no payment will be made on the Barton Note and payment of the amounts owing under the Barton Note will be subordinate to any amounts owing Prime upon the exercise of a put option. Further, Golsen has agreed under the Purchase Agreement that no portion of the purchase price shall be used by Landmark to repay any indebtedness owing to Golsen.</w:t>
      </w:r>
    </w:p>
    <w:p>
      <w:pPr>
        <w:spacing w:after="0" w:line="147"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In addition, Bernard Ille, one of our directors, served as a director of Landmark for many years until he resigned in March 2011. In light of the Barton Note and Mr. Ille’s past relationship with Landmark, our board of directors appointed a special committee for the purpose of reviewing and determining whether Prime should purchase the Texas Real Estate. The special committee believed, based on an analysis of a real estate consultant, that the price paid for the Texas Real Estate approximated the market value, and also believed that this property, when developed, has the potential to establish a model geothermal community.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Six Months Ended June 30, 2012 Compared To Six Months Ended June 30,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six months ended June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2011</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760"/>
              <w:spacing w:after="0" w:line="159" w:lineRule="exact"/>
              <w:rPr>
                <w:sz w:val="20"/>
                <w:szCs w:val="20"/>
                <w:color w:val="auto"/>
              </w:rPr>
            </w:pPr>
            <w:r>
              <w:rPr>
                <w:rFonts w:ascii="Arial" w:cs="Arial" w:eastAsia="Arial" w:hAnsi="Arial"/>
                <w:sz w:val="14"/>
                <w:szCs w:val="14"/>
                <w:color w:val="auto"/>
                <w:w w:val="81"/>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color w:val="auto"/>
                <w:w w:val="93"/>
              </w:rPr>
              <w:t>(Dollars 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Geothermal and water source heat pumps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81,868</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90,186</w:t>
            </w:r>
          </w:p>
        </w:tc>
        <w:tc>
          <w:tcPr>
            <w:tcW w:w="4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(8,318)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Hydronic fan coils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26,646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Other HVAC products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21,790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22,755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(965)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Climate Control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130,304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140,824</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(10,520)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Gross profit — 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40,435</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44,881</w:t>
            </w:r>
          </w:p>
        </w:tc>
        <w:tc>
          <w:tcPr>
            <w:tcW w:w="4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(4,446)</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Climate Control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Operating income — 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13,151</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17,619</w:t>
            </w:r>
          </w:p>
        </w:tc>
        <w:tc>
          <w:tcPr>
            <w:tcW w:w="4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(4,468)</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Climate Control</w:t>
      </w:r>
    </w:p>
    <w:p>
      <w:pPr>
        <w:spacing w:after="0" w:line="96" w:lineRule="exact"/>
        <w:rPr>
          <w:sz w:val="20"/>
          <w:szCs w:val="20"/>
          <w:color w:val="auto"/>
        </w:rPr>
      </w:pPr>
    </w:p>
    <w:p>
      <w:pPr>
        <w:ind w:left="460" w:right="360" w:hanging="452"/>
        <w:spacing w:after="0" w:line="323"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Net sales of our geothermal and water source heat pump products decreased primarily as a result of a 14% decline in sales of our residential products, primarily due to the softness in the single-family residential construction market. Sales of our commercial/institutional products also declined by 7% primarily due to the lower beginning backlog and order levels. During the first six months of 2012, we continued to maintain a market share leadership position of approximately 40%, based on preliminary market data supplied by the Air-Conditioning, Heating and Refrigeration Institute (“AHRI”);</w:t>
      </w:r>
    </w:p>
    <w:p>
      <w:pPr>
        <w:spacing w:after="0" w:line="16" w:lineRule="exact"/>
        <w:rPr>
          <w:rFonts w:ascii="Arial" w:cs="Arial" w:eastAsia="Arial" w:hAnsi="Arial"/>
          <w:sz w:val="15"/>
          <w:szCs w:val="15"/>
          <w:color w:val="auto"/>
        </w:rPr>
      </w:pPr>
    </w:p>
    <w:p>
      <w:pPr>
        <w:ind w:left="46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sales of our hydronic fan coils decreased primarily due to a 7% decrease in the number of units sold partially offset by a 1% increase in the average unit sales price related to product mix. During the first six months of 2012, we continued to have a market share leadership position of approximately 30% based on preliminary market data supplied by the AHRI;</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sales of our other HVAC products in the first half of 2012 were slightly below the same period in 2011.</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Climate Control</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decrease in gross profit in our Climate Control Business was primarily the result of the lower sales volume as discussed above. The gross profit percentage decline of 0.9% was primarily due to product mix, including a higher content of commercial products with lower gross margins than our residential products, and overhead absorption related to the lower sales volume.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 Climate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primarily as the result of the decrease in gross profit discussed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9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Chemical segment for the six months ended June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2011</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760"/>
              <w:spacing w:after="0" w:line="159" w:lineRule="exact"/>
              <w:rPr>
                <w:sz w:val="20"/>
                <w:szCs w:val="20"/>
                <w:color w:val="auto"/>
              </w:rPr>
            </w:pPr>
            <w:r>
              <w:rPr>
                <w:rFonts w:ascii="Arial" w:cs="Arial" w:eastAsia="Arial" w:hAnsi="Arial"/>
                <w:sz w:val="14"/>
                <w:szCs w:val="14"/>
                <w:color w:val="auto"/>
                <w:w w:val="81"/>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color w:val="auto"/>
                <w:w w:val="93"/>
              </w:rPr>
              <w:t>(Dollars 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Agricultural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143,831</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132,933</w:t>
            </w:r>
          </w:p>
        </w:tc>
        <w:tc>
          <w:tcPr>
            <w:tcW w:w="4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10,898</w:t>
            </w:r>
          </w:p>
        </w:tc>
        <w:tc>
          <w:tcPr>
            <w:tcW w:w="6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 chemical products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78,109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(3,042)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Mining products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40,399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52,967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(12,568)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Chemical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262,339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267,051</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(4,712)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Gross profit — Chemical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67,498</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79,112</w:t>
            </w:r>
          </w:p>
        </w:tc>
        <w:tc>
          <w:tcPr>
            <w:tcW w:w="4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(11,614)</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Chemical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Operating income — Chemical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59,494</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71,818</w:t>
            </w:r>
          </w:p>
        </w:tc>
        <w:tc>
          <w:tcPr>
            <w:tcW w:w="4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(12,324)</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Chemical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Chemical Business reported a 1.8% sales decrease for the first half of 2012 as a result of the following:</w:t>
      </w:r>
    </w:p>
    <w:p>
      <w:pPr>
        <w:spacing w:after="0" w:line="90" w:lineRule="exact"/>
        <w:rPr>
          <w:sz w:val="20"/>
          <w:szCs w:val="20"/>
          <w:color w:val="auto"/>
        </w:rPr>
      </w:pPr>
    </w:p>
    <w:p>
      <w:pPr>
        <w:ind w:left="900" w:right="20" w:hanging="446"/>
        <w:spacing w:after="0" w:line="298"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Agricultural products sales — Agricultural products sales increased $10.9 million, or 8%, primarily due to increased sales volumes and selling prices for agricultural grade AN and ammonia, partially offset by lower sales of UAN. The increase in agricultural grade AN and ammonia sales was driven by an increase in market demand for crop nutrients and strong grain commodity prices. Despite strong customer demand, our UAN sales decreased due to lower volumes at our Pryor Facility as a result of the planned and unplanned downtime.</w:t>
      </w:r>
    </w:p>
    <w:p>
      <w:pPr>
        <w:spacing w:after="0" w:line="31"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 Industrial acids and other products sales decreased $3.0 million, or 4%, primarily due to lower volumes as the result of unplanned downtime at the El Dorado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42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Mining products sales — Mining products sales decreased $12.6 million, or 24% primarily due to lower volumes as the result of the unplanned downtime at the El Dorado Facility and to the current higher coal supply and lower coal demand due to the unseasonably warm winter in North America and the current low cost of natural gas as an alternative fuel for utility companies.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Chemical</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decrease in gross profit of $11.6 million is attributable to costs totaling $14.8 million due to the planned and unplanned downtime at our Pryor and El Dorado Facilities during the first six months of 2012, which includes unabsorbed fixed overhead costs, losses incurred on firm sales commitments and maintenance and repair costs, and an insurance recovery of $8.6 million in the second quarter of 2011 (recorded as a reduction to cost of sales) relating to a business interruption claim. This decrease was partially offset by improved UAN margins and increased agricultural grade AN sales volumes and margins due to increased selling prices and lower natural gas feedstock costs over the same period in 2011.</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 Chemical</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spite of very strong agricultural supply and demand fundamentals, operating income declined $12.3 million primarily due to the decrease in gross profit as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business operation classified as “Other” primarily sells industrial machinery and related components to machine tool dealers and end users. General corporate expenses and other business operations, net consist of unallocated portions of gross profit, SG&amp;A, other income and other expense. The following table contains certain information about our net sales and gross profit classified as “Other” and general corporate expenses and other business operations, net, for the six months ended June 30,</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6180" w:type="dxa"/>
            <w:vAlign w:val="bottom"/>
          </w:tcPr>
          <w:p>
            <w:pPr>
              <w:spacing w:after="0"/>
              <w:rPr>
                <w:sz w:val="13"/>
                <w:szCs w:val="13"/>
                <w:color w:val="auto"/>
              </w:rPr>
            </w:pPr>
          </w:p>
        </w:tc>
        <w:tc>
          <w:tcPr>
            <w:tcW w:w="560" w:type="dxa"/>
            <w:vAlign w:val="bottom"/>
          </w:tcPr>
          <w:p>
            <w:pPr>
              <w:jc w:val="right"/>
              <w:ind w:right="56"/>
              <w:spacing w:after="0" w:line="159" w:lineRule="exact"/>
              <w:rPr>
                <w:sz w:val="20"/>
                <w:szCs w:val="20"/>
                <w:color w:val="auto"/>
              </w:rPr>
            </w:pPr>
            <w:r>
              <w:rPr>
                <w:rFonts w:ascii="Arial" w:cs="Arial" w:eastAsia="Arial" w:hAnsi="Arial"/>
                <w:sz w:val="14"/>
                <w:szCs w:val="14"/>
                <w:color w:val="auto"/>
              </w:rPr>
              <w:t>2012</w:t>
            </w:r>
          </w:p>
        </w:tc>
        <w:tc>
          <w:tcPr>
            <w:tcW w:w="18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2011</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tcPr>
          <w:p>
            <w:pPr>
              <w:jc w:val="right"/>
              <w:ind w:right="720"/>
              <w:spacing w:after="0" w:line="159" w:lineRule="exact"/>
              <w:rPr>
                <w:sz w:val="20"/>
                <w:szCs w:val="20"/>
                <w:color w:val="auto"/>
              </w:rPr>
            </w:pPr>
            <w:r>
              <w:rPr>
                <w:rFonts w:ascii="Arial" w:cs="Arial" w:eastAsia="Arial" w:hAnsi="Arial"/>
                <w:sz w:val="14"/>
                <w:szCs w:val="14"/>
                <w:color w:val="auto"/>
                <w:w w:val="89"/>
              </w:rPr>
              <w:t>Change</w:t>
            </w:r>
          </w:p>
        </w:tc>
        <w:tc>
          <w:tcPr>
            <w:tcW w:w="8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color w:val="auto"/>
                <w:w w:val="91"/>
              </w:rPr>
              <w:t>(Dollars 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sales — 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$ 6,877</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$ 5,237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1,640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Gross profit — Other</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line="20" w:lineRule="exact"/>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$ 2,246</w:t>
            </w:r>
          </w:p>
        </w:tc>
        <w:tc>
          <w:tcPr>
            <w:tcW w:w="180" w:type="dxa"/>
            <w:vAlign w:val="bottom"/>
          </w:tcPr>
          <w:p>
            <w:pPr>
              <w:spacing w:after="0"/>
              <w:rPr>
                <w:sz w:val="18"/>
                <w:szCs w:val="18"/>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$ 1,947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299</w:t>
            </w: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Other (1)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General corporate expense and other business operations, net</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(7,240)</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(114)</w:t>
            </w: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provision for income taxes for the first half of 2012 was $23.3 million compared to $29.1 million for the first half of 2011. The resulting effective tax rate for the first half of 2012 was 36% compared to 37% for the same period in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Three Months Ended June 30, 2012 Compared To Three Months Ended June 30,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three months ended June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6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5"/>
              <w:spacing w:after="0" w:line="159" w:lineRule="exact"/>
              <w:rPr>
                <w:sz w:val="20"/>
                <w:szCs w:val="20"/>
                <w:color w:val="auto"/>
              </w:rPr>
            </w:pPr>
            <w:r>
              <w:rPr>
                <w:rFonts w:ascii="Arial" w:cs="Arial" w:eastAsia="Arial" w:hAnsi="Arial"/>
                <w:sz w:val="14"/>
                <w:szCs w:val="14"/>
                <w:color w:val="auto"/>
              </w:rPr>
              <w:t>2012</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5"/>
              <w:spacing w:after="0" w:line="159" w:lineRule="exact"/>
              <w:rPr>
                <w:sz w:val="20"/>
                <w:szCs w:val="20"/>
                <w:color w:val="auto"/>
              </w:rPr>
            </w:pPr>
            <w:r>
              <w:rPr>
                <w:rFonts w:ascii="Arial" w:cs="Arial" w:eastAsia="Arial" w:hAnsi="Arial"/>
                <w:sz w:val="14"/>
                <w:szCs w:val="14"/>
                <w:color w:val="auto"/>
                <w:w w:val="96"/>
              </w:rPr>
              <w:t>2011</w:t>
            </w:r>
          </w:p>
        </w:tc>
        <w:tc>
          <w:tcPr>
            <w:tcW w:w="600" w:type="dxa"/>
            <w:vAlign w:val="bottom"/>
          </w:tcPr>
          <w:p>
            <w:pPr>
              <w:spacing w:after="0"/>
              <w:rPr>
                <w:sz w:val="13"/>
                <w:szCs w:val="13"/>
                <w:color w:val="auto"/>
              </w:rPr>
            </w:pPr>
          </w:p>
        </w:tc>
        <w:tc>
          <w:tcPr>
            <w:tcW w:w="116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w w:val="97"/>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center"/>
              <w:ind w:right="220"/>
              <w:spacing w:after="0" w:line="142" w:lineRule="exact"/>
              <w:rPr>
                <w:sz w:val="20"/>
                <w:szCs w:val="20"/>
                <w:color w:val="auto"/>
              </w:rPr>
            </w:pPr>
            <w:r>
              <w:rPr>
                <w:rFonts w:ascii="Arial" w:cs="Arial" w:eastAsia="Arial" w:hAnsi="Arial"/>
                <w:sz w:val="14"/>
                <w:szCs w:val="14"/>
                <w:color w:val="auto"/>
                <w:w w:val="87"/>
              </w:rPr>
              <w:t>(Dollars In Thousands)</w:t>
            </w:r>
          </w:p>
        </w:tc>
        <w:tc>
          <w:tcPr>
            <w:tcW w:w="5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Geothermal and water source heat pumps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41,095</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47,615</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$(6,520)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Hydronic fan coils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14,900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16,794</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(1,894)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Other HVAC products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11,551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12,766</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(1,215)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Climate Control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67,546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77,175</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(9,629)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Gross profit — Climate Control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20,989</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23,395</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(2,406)</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Climate Control (1)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30.3%</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0.8%</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Operating income — Climate Control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7,313</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9,178</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(1,865)</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Climate Control</w:t>
      </w:r>
    </w:p>
    <w:p>
      <w:pPr>
        <w:spacing w:after="0" w:line="96" w:lineRule="exact"/>
        <w:rPr>
          <w:sz w:val="20"/>
          <w:szCs w:val="20"/>
          <w:color w:val="auto"/>
        </w:rPr>
      </w:pPr>
    </w:p>
    <w:p>
      <w:pPr>
        <w:ind w:left="4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sales of our geothermal and water source heat pump products decreased primarily as a result of a 19% decline in sales of our residential products, primarily due to the softness in the single-family residential construction market. Sales of our commercial/institutional products also declined by 12% due to the lower beginning backlog and order levels;</w:t>
      </w:r>
    </w:p>
    <w:p>
      <w:pPr>
        <w:spacing w:after="0" w:line="59"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sales of our hydronic fan coils decreased primarily due to an 8% decrease in the average unit sales price related to product mix coupled with a 6% decrease in number of units sold;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sales of our other HVAC products in the second quarter of 2012 were below the same period in 2011 primarily due to lower sales volume.</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Climate Control</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decrease in gross profit in our Climate Control Business was primarily the result of the lower sales volume as discussed above. The gross profit percentage increase of 0.8% was primarily due to lower costs for certain raw materials.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 Climate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primarily as the result of the decrease in gross profit discussed above.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80"/>
          </w:cols>
          <w:pgMar w:left="240" w:top="459"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Chemical segment for the three months ended June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2011</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720"/>
              <w:spacing w:after="0" w:line="159" w:lineRule="exact"/>
              <w:rPr>
                <w:sz w:val="20"/>
                <w:szCs w:val="20"/>
                <w:color w:val="auto"/>
              </w:rPr>
            </w:pPr>
            <w:r>
              <w:rPr>
                <w:rFonts w:ascii="Arial" w:cs="Arial" w:eastAsia="Arial" w:hAnsi="Arial"/>
                <w:sz w:val="14"/>
                <w:szCs w:val="14"/>
                <w:color w:val="auto"/>
                <w:w w:val="81"/>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color w:val="auto"/>
                <w:w w:val="93"/>
              </w:rPr>
              <w:t>(Dollars In Thousands)</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Agricultural products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83,495</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81,832</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1,663</w:t>
            </w:r>
          </w:p>
        </w:tc>
        <w:tc>
          <w:tcPr>
            <w:tcW w:w="6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 chemical products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(6,569)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Mining products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16,900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29,480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(12,580)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Chemical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138,134</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155,620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(17,486)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Gross profit — Chemical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43,500</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47,644</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(4,144)</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Chemical (1)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Operating income — Chemical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39,147</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42,720</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(3,573)</w:t>
            </w: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Chemical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Chemical Business reported an 11.2% sales decrease for the second quarter of 2012 as a result of the following:</w:t>
      </w:r>
    </w:p>
    <w:p>
      <w:pPr>
        <w:spacing w:after="0" w:line="90" w:lineRule="exact"/>
        <w:rPr>
          <w:sz w:val="20"/>
          <w:szCs w:val="20"/>
          <w:color w:val="auto"/>
        </w:rPr>
      </w:pPr>
    </w:p>
    <w:p>
      <w:pPr>
        <w:ind w:left="900" w:hanging="446"/>
        <w:spacing w:after="0" w:line="298"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Agricultural products sales — Agricultural products sales increased $1.7 million, or 2%, primarily due to increased sales volumes and selling prices for agricultural grade AN and ammonia, partially offset by lower sales of UAN. The increase in agricultural grade AN and ammonia sales was driven by an increase in market demand for crop nutrients and strong grain commodity prices. Despite strong customer demand, our UAN sales decreased due to lower volumes at our Pryor Facility as a result of the unplanned downtime.</w:t>
      </w:r>
    </w:p>
    <w:p>
      <w:pPr>
        <w:spacing w:after="0" w:line="31"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 Industrial acids and other products sales decreased $6.6 million, or 15%, primarily due to lower volumes as the result of the unplanned downtime at the El Dorado Facility.</w:t>
      </w:r>
    </w:p>
    <w:p>
      <w:pPr>
        <w:spacing w:after="0" w:line="50" w:lineRule="exact"/>
        <w:rPr>
          <w:rFonts w:ascii="Arial" w:cs="Arial" w:eastAsia="Arial" w:hAnsi="Arial"/>
          <w:sz w:val="18"/>
          <w:szCs w:val="18"/>
          <w:color w:val="auto"/>
        </w:rPr>
      </w:pPr>
    </w:p>
    <w:p>
      <w:pPr>
        <w:jc w:val="both"/>
        <w:ind w:left="900" w:right="42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Mining products sales — Mining products sales decreased $12.6 million, or 43% primarily due to lower volumes as the result of the unplanned downtime at the El Dorado Facility and to the current higher coal supply and lower coal demand due to the unseasonably warm winter in North America and the current low cost of natural gas as an alternative fuel for utility companies.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Chemical</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decrease in gross profit of $4.1 million includes an insurance recovery of $8.6 million in the second quarter of 2011 (recorded as a reduction to cost of sales) relating to a business interruption claim and costs totaling $8.4 million due to the unplanned downtime at our Pryor and El Dorado Facilities in the second quarter of 2012, which includes unabsorbed fixed overhead costs and maintenance and repair costs. This decrease was partially offset by improved UAN margins and increased agricultural grade AN sales margins due to increased selling prices and lower natural gas feedstock costs over the same period in 2011.</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 Chemical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operating income of $3.6 million relates primarily to the decrease in gross profit discussed above.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business operation classified as “Other” primarily sells industrial machinery and related components to machine tool dealers and end users. General corporate expenses and other business operations, net consist of unallocated portions of gross profit, SG&amp;A, other income and other expense. The following table contains certain information about our net sales and gross profit classified as “Other” and general corporate expenses and other business operations, net, for the three months ended June 30,</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6260" w:type="dxa"/>
            <w:vAlign w:val="bottom"/>
          </w:tcPr>
          <w:p>
            <w:pPr>
              <w:spacing w:after="0"/>
              <w:rPr>
                <w:sz w:val="13"/>
                <w:szCs w:val="13"/>
                <w:color w:val="auto"/>
              </w:rPr>
            </w:pPr>
          </w:p>
        </w:tc>
        <w:tc>
          <w:tcPr>
            <w:tcW w:w="560" w:type="dxa"/>
            <w:vAlign w:val="bottom"/>
          </w:tcPr>
          <w:p>
            <w:pPr>
              <w:jc w:val="right"/>
              <w:ind w:right="56"/>
              <w:spacing w:after="0" w:line="159" w:lineRule="exact"/>
              <w:rPr>
                <w:sz w:val="20"/>
                <w:szCs w:val="20"/>
                <w:color w:val="auto"/>
              </w:rPr>
            </w:pPr>
            <w:r>
              <w:rPr>
                <w:rFonts w:ascii="Arial" w:cs="Arial" w:eastAsia="Arial" w:hAnsi="Arial"/>
                <w:sz w:val="14"/>
                <w:szCs w:val="14"/>
                <w:color w:val="auto"/>
              </w:rPr>
              <w:t>2012</w:t>
            </w:r>
          </w:p>
        </w:tc>
        <w:tc>
          <w:tcPr>
            <w:tcW w:w="160" w:type="dxa"/>
            <w:vAlign w:val="bottom"/>
          </w:tcPr>
          <w:p>
            <w:pPr>
              <w:spacing w:after="0"/>
              <w:rPr>
                <w:sz w:val="13"/>
                <w:szCs w:val="13"/>
                <w:color w:val="auto"/>
              </w:rPr>
            </w:pPr>
          </w:p>
        </w:tc>
        <w:tc>
          <w:tcPr>
            <w:tcW w:w="100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2011</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680"/>
              <w:spacing w:after="0" w:line="159" w:lineRule="exact"/>
              <w:rPr>
                <w:sz w:val="20"/>
                <w:szCs w:val="20"/>
                <w:color w:val="auto"/>
              </w:rPr>
            </w:pPr>
            <w:r>
              <w:rPr>
                <w:rFonts w:ascii="Arial" w:cs="Arial" w:eastAsia="Arial" w:hAnsi="Arial"/>
                <w:sz w:val="14"/>
                <w:szCs w:val="14"/>
                <w:color w:val="auto"/>
                <w:w w:val="77"/>
              </w:rPr>
              <w:t>Change</w:t>
            </w:r>
          </w:p>
        </w:tc>
        <w:tc>
          <w:tcPr>
            <w:tcW w:w="8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color w:val="auto"/>
                <w:w w:val="98"/>
              </w:rPr>
              <w:t>(Dollars In Thousands)</w:t>
            </w: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sales — 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$ 3,595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6"/>
              </w:rPr>
              <w:t>$ 2,824</w:t>
            </w:r>
          </w:p>
        </w:tc>
        <w:tc>
          <w:tcPr>
            <w:tcW w:w="4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$ 771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Gross profit — Other</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line="20" w:lineRule="exact"/>
              <w:rPr>
                <w:sz w:val="1"/>
                <w:szCs w:val="1"/>
                <w:color w:val="auto"/>
              </w:rPr>
            </w:pPr>
          </w:p>
        </w:tc>
      </w:tr>
      <w:tr>
        <w:trPr>
          <w:trHeight w:val="209"/>
        </w:trPr>
        <w:tc>
          <w:tcPr>
            <w:tcW w:w="62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$ 1,246</w:t>
            </w:r>
          </w:p>
        </w:tc>
        <w:tc>
          <w:tcPr>
            <w:tcW w:w="16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w w:val="86"/>
              </w:rPr>
              <w:t>$ 1,047</w:t>
            </w:r>
          </w:p>
        </w:tc>
        <w:tc>
          <w:tcPr>
            <w:tcW w:w="460" w:type="dxa"/>
            <w:vAlign w:val="bottom"/>
          </w:tcPr>
          <w:p>
            <w:pPr>
              <w:spacing w:after="0"/>
              <w:rPr>
                <w:sz w:val="18"/>
                <w:szCs w:val="18"/>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8"/>
                <w:szCs w:val="18"/>
                <w:color w:val="auto"/>
              </w:rPr>
              <w:t>$ 199</w:t>
            </w: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Other (1)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14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37.1%</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General corporate expense and other business operations, net</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line="20" w:lineRule="exact"/>
              <w:rPr>
                <w:sz w:val="1"/>
                <w:szCs w:val="1"/>
                <w:color w:val="auto"/>
              </w:rPr>
            </w:pPr>
          </w:p>
        </w:tc>
      </w:tr>
      <w:tr>
        <w:trPr>
          <w:trHeight w:val="209"/>
        </w:trPr>
        <w:tc>
          <w:tcPr>
            <w:tcW w:w="6260" w:type="dxa"/>
            <w:vAlign w:val="bottom"/>
            <w:vMerge w:val="continue"/>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(4,137)</w:t>
            </w:r>
          </w:p>
        </w:tc>
        <w:tc>
          <w:tcPr>
            <w:tcW w:w="1460" w:type="dxa"/>
            <w:vAlign w:val="bottom"/>
            <w:gridSpan w:val="3"/>
          </w:tcPr>
          <w:p>
            <w:pPr>
              <w:ind w:lef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(3,624)</w:t>
            </w:r>
          </w:p>
        </w:tc>
        <w:tc>
          <w:tcPr>
            <w:tcW w:w="1260" w:type="dxa"/>
            <w:vAlign w:val="bottom"/>
            <w:gridSpan w:val="3"/>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(513)</w:t>
            </w: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provision for income taxes for the second quarter of 2012 was $15.5 million compared to $17.5 million for the second quarter of 2011. The resulting effective tax rate for the second quarter of 2012 was 37% compared to 38% for the same period in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Operating Activities</w:t>
      </w:r>
    </w:p>
    <w:p>
      <w:pPr>
        <w:spacing w:after="0" w:line="9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Historically, our primary cash needs have been for operating expenses, working capital and capital expenditures. We have financed our cash requirements primarily through internally generated cash flow, secured asset financing and the sale of assets. See additional discussions concerning cash flow relating to our Climate Control and Chemical Businesses under “Overview” and “Liquidity and Capital Resources” of this MD&amp;A.</w:t>
      </w:r>
    </w:p>
    <w:p>
      <w:pPr>
        <w:spacing w:after="0" w:line="10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For the first half of 2012, net cash provided by continuing operating activities was $56.5 million primarily as the result of net income of $40.3 million plus an adjustment of $10.2 million for depreciation and amortization partially offset by net cash used by the following significant changes in assets and liabilities:</w:t>
      </w:r>
    </w:p>
    <w:p>
      <w:pPr>
        <w:spacing w:after="0" w:line="8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Accounts payable decreased $10.5 million primarily as the result of the reduction of purchases of ammonia due to the unplanned downtime at the El Dorado Facility.</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change in accrued and prepaid income taxes of $7.4 million primarily relates to the recognition of income taxes for the first half of 2012 partially offset by payments made to the taxing authorities.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Investing Activities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Net cash used by continuing investing activities for the first half of 2012 was $32.9 million that consisted primarily of capital expenditures of which $2.0 million and $27.8 million are for the benefit of our Climate Control and Chemical Businesses,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Financing Activities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Net cash used by continuing financing activities was $9.8 million that primarily consisted of payments on long-term debt, loans and short-term financing.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See our discussion on critical accounting policies and estimates in Item 7 of our 2011 Form 10-K. In addition, the preparation of financial statements requires management to make estimates and assumptions that affect the reported amount of assets, liabilities, revenues and expenses, and disclosures of contingencies. For the first half of 2012, we did not experience a material change in accounting estimates. However, it is reasonably possible that the estimates and assumptions utilized as of June 30, 2012 could change in the near term.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9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We are contingently liable to sureties in respect of certain insurance bonds issued by the sureties in connection with certain contracts entered into by certain subsidiaries in the normal course of business. These insurance bonds primarily represent guarantees of future performance of our subsidiaries. As of June 30, 2012, we have agreed to indemnify the sureties for payments, up to $9.8 million, made by them in respect of such bonds. All of these insurances bonds are expected to expire or be renewed in 2012 or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off-balance sheet arrangements as defined in Item 303(a)(4)(ii) of Regulation S-K under the Securities Exchange Act of 1934, as amended.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operation of our businesses, we enter into contracts, leases and borrowing arrangements. As discussed in our 2011 Form 10-K and in our Form 10-Q for the quarterly period ended March 31, 2012 (“March 31, 2012 Form 10-Q”), we had certain contractual obligations, with various maturity dates, related to the following:</w:t>
      </w:r>
    </w:p>
    <w:p>
      <w:pPr>
        <w:spacing w:after="0" w:line="59" w:lineRule="exact"/>
        <w:rPr>
          <w:sz w:val="20"/>
          <w:szCs w:val="20"/>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 contracts,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wastewater pipeline project,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firm purchase commitments and futures/forward contracts,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contractual obligations — carbon credits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accrued contractual manufacturing and profit sharing obligations,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discussed under “Overview” and “Liquidity and Capital Resources”, in May 2012, the El Dorado Facility suffered significant damage when a reactor in its DSN plant exploded. As a result, the DSN plant was severely damaged and several other plants and infrastructure within the El Dorado Facility sustained various degrees of damage. Due to the extensive damage, the DSN plant is not being repaired but will be replaced by a new 65% concentrated nitric acid plant and a nitric acid concentration plant, which is currently expected to take at least two years to complete. Although the estimated amount of capital expenditures for these new plants is expected to exceed $100 million, we expect to fund most, if not all, of these capital expenditures from insurance proceeds.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results of operations and operating cash flows are impacted by changes in market prices of copper, steel, anhydrous ammonia and natural gas, changes in market currency exchange rates, and changes in market interest rates.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Periodically, our Climate Control and Chemical Businesses enter into forward firm sales commitments for products to be delivered in future periods. As a result, we could be exposed to embedded losses should our product costs exceed the firm sales prices. At June 30, 2012, we had no embedded losses associated with sales commitments with firm sales prices.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Climate Control Business buys substantial quantities of copper and steel for use in manufacturing processes and our Chemical Business buys substantial quantities of anhydrous ammonia and natural gas as feedstocks generally at market prices. As part of our raw material price risk management, periodically, our Climate Control Business enters into futures contracts for copper and our Chemical Business enters into firm purchase commitments and/or futures/forward contracts for anhydrous ammonia and natural gas.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At June 30, 2012, our futures/forward copper contracts were for 625,000 pounds of copper through December 2012 at a weighted-average cost of $3.83 per pound ($2.4 million) and a weighted-average market value of $3.50 per pound ($2.2 million), which contracts are generally accounted for on a mark-to-market basis.</w:t>
      </w:r>
    </w:p>
    <w:p>
      <w:pPr>
        <w:spacing w:after="0" w:line="6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Periodically, certain subsidiaries within the Chemical Business entered into contracts to purchase natural gas for anticipated production needs. Since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June 30, 2012, our purchase commitments under these contracts were for approximately 0.7 million MMBtu of natural gas through October 2012 at the weighted-average cost of $3.42 per MMBtu ($2.5 million) and a weighted-average market value of $2.82 per MMBtu ($2.0 million).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Foreign Currency Risk</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One of our business operations purchases industrial machinery and related components from vendors outside of the U.S. As part of our foreign currency risk management, we periodically enter into foreign exchange contracts. At June 30, 2012, our foreign exchange contract was for the receipt of approximately 344,000 Euros through August 2012 at the contractual weighted-average exchange rate (U.S. Dollar/Euro) of approximately 1.27 and the market weighted-average exchange rate of approximately 1.27.</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Our interest rate risk exposure results from our debt portfolio which is impacted by short-term rates, primarily variable-rate borrowings from commercial banks, and long-term rates, primarily fixed-rate notes, some of which prohibit prepayment or require a substantial premium payment with the prepayment.</w:t>
      </w:r>
    </w:p>
    <w:p>
      <w:pPr>
        <w:spacing w:after="0" w:line="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part of our interest rate risk management, we periodically purchase and/or enter into various interest rate contracts. At June 30, 2012, we have an interest rate swap, which sets a fixed three-month LIBOR of 3.23% on a declining balance (from $23.8 million to $18.8 million) for the period beginning April 2012 through March 2016. This contract is a free-standing derivative and is accounted for on a mark-to-market basis. At June 30, 2012, the fair value of this contract (unrealized loss) was $2.0 million.</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As of June 30, 2012 and December 31, 2011, the estimated fair value of our variable and fixed rate debt was not significantly different than the debt’s carrying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Securities Exchange Act of 1934). Based upon that evaluation, our Principal Executive Officer and our Principal Financial Officer have concluded that our disclosure controls and procedures were effective. There were no changes to our internal control over financial reporting during the quarter ended June 30, 2012 that have materially affected, or are reasonably likely to materially affect, our internal control over financial reporting.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Certain statements contained within this report may be deemed “Forward-Looking Statements” within the meaning of Section 27A of the Securities Act of 1933, as amended, and Section 21E of the Securities Exchange Act of 1934, as amended.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among other things:</w:t>
      </w:r>
    </w:p>
    <w:p>
      <w:pPr>
        <w:spacing w:after="0" w:line="35" w:lineRule="exact"/>
        <w:rPr>
          <w:sz w:val="20"/>
          <w:szCs w:val="20"/>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U.S. economy is poised for modest growth;</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negative impact to operating results in 2012 from the planned and unplanned downtime at the Pryor and El Dorado Facilities;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modest decrease in sales demand in the commercial/institutional sector and an increase in the residential sector for 2012 compared to 2011;</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positive supply and demand fundamentals for nitrogen fertilizer products;</w:t>
      </w:r>
    </w:p>
    <w:p>
      <w:pPr>
        <w:spacing w:after="0" w:line="9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increases in the medium and long-term to be primarily driven by growth in new construction and introduction of new products in the Climate Control Business;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when the nitric acid and sulfuric acid plants will be constructed and/or restarted;</w:t>
      </w:r>
    </w:p>
    <w:p>
      <w:pPr>
        <w:spacing w:after="0" w:line="90" w:lineRule="exact"/>
        <w:rPr>
          <w:rFonts w:ascii="Arial" w:cs="Arial" w:eastAsia="Arial" w:hAnsi="Arial"/>
          <w:sz w:val="18"/>
          <w:szCs w:val="18"/>
          <w:color w:val="auto"/>
        </w:rPr>
      </w:pPr>
    </w:p>
    <w:p>
      <w:pPr>
        <w:ind w:left="440" w:right="240" w:hanging="324"/>
        <w:spacing w:after="0" w:line="268"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cash needs associated with the repair and/or replacement of damaged plants and infrastructure within the El Dorado Facility and funding those cash needs primarily from insurance proceeds;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only significant seasonal products are fertilizer and related chemical products;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of decline in nitric acid production at the El Dorado Facility and the lost profit margins will be covered by our business interruption insurance;</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period of time the two ammonia plants will begin producing ammonia and the annual amount of production;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production rate of ammonia and reduction of available sales of ammonia for the remainder of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replacement of the ammonia convertor in early 2013;</w:t>
      </w:r>
    </w:p>
    <w:p>
      <w:pPr>
        <w:spacing w:after="0" w:line="90" w:lineRule="exact"/>
        <w:rPr>
          <w:rFonts w:ascii="Arial" w:cs="Arial" w:eastAsia="Arial" w:hAnsi="Arial"/>
          <w:sz w:val="18"/>
          <w:szCs w:val="18"/>
          <w:color w:val="auto"/>
        </w:rPr>
      </w:pPr>
    </w:p>
    <w:p>
      <w:pPr>
        <w:ind w:left="440" w:right="800" w:hanging="324"/>
        <w:spacing w:after="0" w:line="268"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and amount of time to construct the new 65% nitric acid plant and a nitric acid concentration plant and funding most, if not all, of these expenditures from insurance proceeds;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shipping substantially all of the orders of our Climate Control Business’ backlog within the next twelve months;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Climate Control Business to experience low to moderate sales growth in the short-term compared to the first half of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primary cash needs will be for working capital to fund our operations, certain capital expenditures, and general obligations for the remainder of 2012;</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funding our cash needs from internally generated cash flows and cash on hand for the remainder of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internally generated cash flows and liquidity could be affected by declines in sales volume;</w:t>
      </w:r>
    </w:p>
    <w:p>
      <w:pPr>
        <w:spacing w:after="0" w:line="90" w:lineRule="exact"/>
        <w:rPr>
          <w:rFonts w:ascii="Arial" w:cs="Arial" w:eastAsia="Arial" w:hAnsi="Arial"/>
          <w:sz w:val="18"/>
          <w:szCs w:val="18"/>
          <w:color w:val="auto"/>
        </w:rPr>
      </w:pPr>
    </w:p>
    <w:p>
      <w:pPr>
        <w:ind w:left="440" w:right="140" w:hanging="324"/>
        <w:spacing w:after="0" w:line="268"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do not have any material uncertain tax positions other than the failure to file original or amended state income tax returns in some jurisdictions where LSB or some of its subsidiaries may have a filing responsibility;</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most of the approved planned capital expenditures will likely be funded from working capital, internal cash flows and insurance proceeds;</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expenses in connection with environmental regulatory issues for the remainder of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accounting estimates and assumptions utilized as of June 30, 2012 could change in the near term;</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insurance bonds to expire or be renewed in 2012 or 2013;</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committed and planned capital expenditures for the remainder of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and timing of Turnarounds for the remainder of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advanced manufacturing energy credits to be utilized to partially offset our federal tax liability for 2011 and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of capital expenditures necessary in order to bring the equipment into compliance with the Clean Air Act could be substantial;</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meeting all required covenant tests for all the remaining quarters of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relating to environmental and health laws and enforcement policies thereunder;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w:t>
      </w:r>
    </w:p>
    <w:p>
      <w:pPr>
        <w:spacing w:after="0" w:line="59" w:lineRule="exact"/>
        <w:rPr>
          <w:sz w:val="20"/>
          <w:szCs w:val="20"/>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reduction in revenues,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collect in a timely manner a material amount of receivables, including our insurance claims,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90" w:lineRule="exact"/>
        <w:rPr>
          <w:rFonts w:ascii="Arial" w:cs="Arial" w:eastAsia="Arial" w:hAnsi="Arial"/>
          <w:sz w:val="18"/>
          <w:szCs w:val="18"/>
          <w:color w:val="auto"/>
        </w:rPr>
      </w:pPr>
    </w:p>
    <w:p>
      <w:pPr>
        <w:ind w:left="440" w:right="840" w:hanging="324"/>
        <w:spacing w:after="0" w:line="268"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the American Reinvestment and Recovery act, or interpretation of such,</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pay or secure additional financing for planned capital expenditures or financing obligations coming due in the near term,</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changes in the cost of certain precious metals, anhydrous ammonia, natural gas, copper, steel and purchased components,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fund the working capital and expansion of our businesses,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problems with product equipment,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production rates at the Pryor Facility,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obtain necessary raw materials and purchased components,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changes in accounting estimates,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problems with our production equipment,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the construction of the nitric acid plants,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obtain or retain our insurance coverage,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negotiate a satisfactory settlement with the EPA and/or DOJ,</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claims by customers as a result of downtime of production at our Pryor and El Dorado Facilities,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9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described in “Risk Factors” and “Special Note Regarding Forward-Looking Statements” contained in our 2011 Form 10-K and “Risk Factors” of Item 1A of Part II of the March 31, 2012 Form 10-Q.</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are no material legal proceedings or material developments in any such legal proceedings pending against us not reported in Item 3 of our 2011 Form 10-K or in our March 31, 2012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from the risk factors as previous disclosed in Item 1A to Part I of our 2011 Form 10-K or in our March 31, 2012 Form 10-Q.</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9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xml:space="preserve"> The Company has included the following exhibits in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Fifth Amendment to the Amended and Restated Loan and Security Agreement, dated effective as of April 4, 2012, by and among the Company,</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ThermaClime, Inc., certain subsidiaries of ThermaClime, and Consolidated Industries, the Lenders signatory thereto, and Wells Fargo Capital</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88"/>
              </w:rPr>
              <w:t>Finance, Inc., as the arranger and administrative agent for the Lenders, which the Company hereby incorporates by reference from Exhibit 99.1 to</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the Company’s Form 8-K, filed April 9, 2012.</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0480" w:type="dxa"/>
            <w:vAlign w:val="bottom"/>
          </w:tcPr>
          <w:p>
            <w:pPr>
              <w:ind w:left="240"/>
              <w:spacing w:after="0"/>
              <w:rPr>
                <w:sz w:val="20"/>
                <w:szCs w:val="20"/>
                <w:color w:val="auto"/>
              </w:rPr>
            </w:pPr>
            <w:r>
              <w:rPr>
                <w:rFonts w:ascii="Arial" w:cs="Arial" w:eastAsia="Arial" w:hAnsi="Arial"/>
                <w:sz w:val="18"/>
                <w:szCs w:val="18"/>
                <w:color w:val="auto"/>
                <w:w w:val="95"/>
              </w:rPr>
              <w:t>Amendment Number Two to the Amended and Restated Term Loan Agreement, dated as of April 4, 2012, among LSB Industries, Inc.,</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ThermaClime, L.L.C. and certain subsidiaries of ThermaClime, L.L.C., Cherokee Nitrogen Holdings, Inc., the Required Lenders signatory</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thereto, Banc of America Leasing &amp; Capital, LLC as the Administrative and Collateral Agent, and Bank of Utah as Payment Agent, which the</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Company hereby incorporates by reference from Exhibit 99.2 to the Company’s Form 8-K, filed April 9, 2012.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Jack E. Golsen, Chief Executive Officer, pursuant to Sarbanes-Oxley Act of 2002, Section 302.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Tony M. Shelby, Chief Financial Officer, pursuant to Sarbanes-Oxley Act of 2002, Section 302.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Jack E. Golsen, Chief Executive Officer, furnished pursuant to Sarbanes-Oxley Act of 2002, Section 906.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Tony M. Shelby, Chief Financial Officer, furnished pursuant to Sarbanes-Oxley Act of 2002, Section 906.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96" w:lineRule="exact"/>
        <w:rPr>
          <w:sz w:val="20"/>
          <w:szCs w:val="20"/>
          <w:color w:val="auto"/>
        </w:rPr>
      </w:pPr>
    </w:p>
    <w:p>
      <w:pPr>
        <w:ind w:left="460" w:right="240" w:hanging="452"/>
        <w:spacing w:after="0" w:line="306"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8</w:t>
      </w:r>
      <w:r>
        <w:rPr>
          <w:rFonts w:ascii="Arial" w:cs="Arial" w:eastAsia="Arial" w:hAnsi="Arial"/>
          <w:sz w:val="11"/>
          <w:szCs w:val="11"/>
          <w:color w:val="auto"/>
        </w:rPr>
        <w:t>th</w:t>
      </w:r>
      <w:r>
        <w:rPr>
          <w:rFonts w:ascii="Arial" w:cs="Arial" w:eastAsia="Arial" w:hAnsi="Arial"/>
          <w:sz w:val="18"/>
          <w:szCs w:val="18"/>
          <w:color w:val="auto"/>
        </w:rPr>
        <w:t xml:space="preserve"> day of August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LSB INDUSTRIES,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 President of Finance and Chief Financial Officer</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L. Rieker,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Principal Accounting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Exhibit 31.1</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Jack E. Golsen, certify that:</w:t>
      </w:r>
    </w:p>
    <w:p>
      <w:pPr>
        <w:spacing w:after="0" w:line="9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40" w:hanging="567"/>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60" w:hanging="567"/>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60" w:hanging="567"/>
        <w:spacing w:after="0" w:line="332"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60" w:hanging="567"/>
        <w:spacing w:after="0" w:line="268"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Jack E. Golsen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00"/>
          </w:cols>
          <w:pgMar w:left="240" w:top="131"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Exhibit 31.2</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Tony M. Shelby, certify that:</w:t>
      </w:r>
    </w:p>
    <w:p>
      <w:pPr>
        <w:spacing w:after="0" w:line="9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4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6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60" w:hanging="567"/>
        <w:spacing w:after="0" w:line="332" w:lineRule="auto"/>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60" w:hanging="567"/>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00"/>
          </w:cols>
          <w:pgMar w:left="240" w:top="131"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2012 as filed with the Securities and Exchange Commission on the date hereof (the “Report”). I, Jack E. Golsen, Chairman of the Board and Chief Executive Officer of LSB, certify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LSB.</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Jack E. Golsen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August 8, 2012</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160"/>
          </w:cols>
          <w:pgMar w:left="240" w:top="131" w:right="49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2012 as filed with the Securities and Exchange Commission on the date hereof (the “Report”), I, Tony M. Shelby, Executive Vice President of Finance and Chief Financial Officer of LSB, certify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LSB.</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August 8, 2012</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100"/>
      </w:cols>
      <w:pgMar w:left="24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upperLetter"/>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upperLetter"/>
      <w:start w:val="2"/>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3"/>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2019-12-09T07:19:38Z</dcterms:created>
  <dcterms:modified xsi:type="dcterms:W3CDTF">2019-12-09T07:19:38Z</dcterms:modified>
</cp:coreProperties>
</file>