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207645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2012</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5" w:lineRule="exact"/>
        <w:rPr>
          <w:sz w:val="24"/>
          <w:szCs w:val="24"/>
          <w:color w:val="auto"/>
        </w:rPr>
      </w:pPr>
    </w:p>
    <w:p>
      <w:pPr>
        <w:ind w:left="460" w:right="460" w:hanging="452"/>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11" w:lineRule="exact"/>
        <w:rPr>
          <w:sz w:val="24"/>
          <w:szCs w:val="24"/>
          <w:color w:val="auto"/>
        </w:rPr>
      </w:pPr>
    </w:p>
    <w:p>
      <w:pPr>
        <w:ind w:left="3560"/>
        <w:spacing w:after="0"/>
        <w:tabs>
          <w:tab w:leader="none" w:pos="67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3731260</wp:posOffset>
            </wp:positionH>
            <wp:positionV relativeFrom="paragraph">
              <wp:posOffset>-8890</wp:posOffset>
            </wp:positionV>
            <wp:extent cx="1263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1-7677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196215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LSB INDUSTRIES, INC.</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4900" w:type="dxa"/>
            <w:vAlign w:val="bottom"/>
            <w:gridSpan w:val="4"/>
          </w:tcPr>
          <w:p>
            <w:pPr>
              <w:jc w:val="center"/>
              <w:ind w:right="3760"/>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73-1015226</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7220" w:type="dxa"/>
            <w:vAlign w:val="bottom"/>
            <w:gridSpan w:val="5"/>
          </w:tcPr>
          <w:p>
            <w:pPr>
              <w:jc w:val="center"/>
              <w:ind w:right="14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(State of Incorporation)</w:t>
            </w:r>
          </w:p>
        </w:tc>
        <w:tc>
          <w:tcPr>
            <w:tcW w:w="1920" w:type="dxa"/>
            <w:vAlign w:val="bottom"/>
            <w:gridSpan w:val="2"/>
          </w:tcPr>
          <w:p>
            <w:pPr>
              <w:jc w:val="center"/>
              <w:ind w:left="862"/>
              <w:spacing w:after="0" w:line="149" w:lineRule="exact"/>
              <w:rPr>
                <w:sz w:val="20"/>
                <w:szCs w:val="20"/>
                <w:color w:val="auto"/>
              </w:rPr>
            </w:pPr>
            <w:r>
              <w:rPr>
                <w:rFonts w:ascii="Times New Roman" w:cs="Times New Roman" w:eastAsia="Times New Roman" w:hAnsi="Times New Roman"/>
                <w:sz w:val="14"/>
                <w:szCs w:val="14"/>
                <w:b w:val="1"/>
                <w:bCs w:val="1"/>
                <w:color w:val="auto"/>
                <w:w w:val="96"/>
              </w:rPr>
              <w:t>(I.R.S. Employer</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c>
          <w:tcPr>
            <w:tcW w:w="0" w:type="dxa"/>
            <w:vAlign w:val="bottom"/>
          </w:tcPr>
          <w:p>
            <w:pPr>
              <w:spacing w:after="0"/>
              <w:rPr>
                <w:sz w:val="1"/>
                <w:szCs w:val="1"/>
                <w:color w:val="auto"/>
              </w:rPr>
            </w:pPr>
          </w:p>
        </w:tc>
      </w:tr>
      <w:tr>
        <w:trPr>
          <w:trHeight w:val="403"/>
        </w:trPr>
        <w:tc>
          <w:tcPr>
            <w:tcW w:w="7220" w:type="dxa"/>
            <w:vAlign w:val="bottom"/>
            <w:gridSpan w:val="5"/>
          </w:tcPr>
          <w:p>
            <w:pPr>
              <w:jc w:val="center"/>
              <w:ind w:right="1440"/>
              <w:spacing w:after="0"/>
              <w:rPr>
                <w:sz w:val="20"/>
                <w:szCs w:val="20"/>
                <w:color w:val="auto"/>
              </w:rPr>
            </w:pPr>
            <w:r>
              <w:rPr>
                <w:rFonts w:ascii="Times New Roman" w:cs="Times New Roman" w:eastAsia="Times New Roman" w:hAnsi="Times New Roman"/>
                <w:sz w:val="18"/>
                <w:szCs w:val="18"/>
                <w:b w:val="1"/>
                <w:bCs w:val="1"/>
                <w:color w:val="auto"/>
                <w:w w:val="97"/>
              </w:rPr>
              <w:t>16 South Pennsylvania Avenue</w:t>
            </w: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220" w:type="dxa"/>
            <w:vAlign w:val="bottom"/>
            <w:gridSpan w:val="5"/>
          </w:tcPr>
          <w:p>
            <w:pPr>
              <w:jc w:val="center"/>
              <w:ind w:right="1440"/>
              <w:spacing w:after="0"/>
              <w:rPr>
                <w:sz w:val="20"/>
                <w:szCs w:val="20"/>
                <w:color w:val="auto"/>
              </w:rPr>
            </w:pPr>
            <w:r>
              <w:rPr>
                <w:rFonts w:ascii="Times New Roman" w:cs="Times New Roman" w:eastAsia="Times New Roman" w:hAnsi="Times New Roman"/>
                <w:sz w:val="18"/>
                <w:szCs w:val="18"/>
                <w:b w:val="1"/>
                <w:bCs w:val="1"/>
                <w:color w:val="auto"/>
                <w:w w:val="96"/>
              </w:rPr>
              <w:t>Oklahoma City, Oklahoma</w:t>
            </w:r>
          </w:p>
        </w:tc>
        <w:tc>
          <w:tcPr>
            <w:tcW w:w="192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73107</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7220" w:type="dxa"/>
            <w:vAlign w:val="bottom"/>
            <w:gridSpan w:val="5"/>
          </w:tcPr>
          <w:p>
            <w:pPr>
              <w:jc w:val="center"/>
              <w:ind w:right="1440"/>
              <w:spacing w:after="0"/>
              <w:rPr>
                <w:sz w:val="20"/>
                <w:szCs w:val="20"/>
                <w:color w:val="auto"/>
              </w:rPr>
            </w:pPr>
            <w:r>
              <w:rPr>
                <w:rFonts w:ascii="Times New Roman" w:cs="Times New Roman" w:eastAsia="Times New Roman" w:hAnsi="Times New Roman"/>
                <w:sz w:val="14"/>
                <w:szCs w:val="14"/>
                <w:b w:val="1"/>
                <w:bCs w:val="1"/>
                <w:color w:val="auto"/>
                <w:w w:val="96"/>
              </w:rPr>
              <w:t>(Address of Principal Executive Offices)</w:t>
            </w:r>
          </w:p>
        </w:tc>
        <w:tc>
          <w:tcPr>
            <w:tcW w:w="1920" w:type="dxa"/>
            <w:vAlign w:val="bottom"/>
            <w:gridSpan w:val="2"/>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w w:val="95"/>
              </w:rPr>
              <w:t>(Zip Code)</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2320" w:type="dxa"/>
            <w:vAlign w:val="bottom"/>
          </w:tcPr>
          <w:p>
            <w:pPr>
              <w:spacing w:after="0"/>
              <w:rPr>
                <w:sz w:val="24"/>
                <w:szCs w:val="24"/>
                <w:color w:val="auto"/>
              </w:rPr>
            </w:pPr>
          </w:p>
        </w:tc>
        <w:tc>
          <w:tcPr>
            <w:tcW w:w="6160" w:type="dxa"/>
            <w:vAlign w:val="bottom"/>
            <w:gridSpan w:val="5"/>
          </w:tcPr>
          <w:p>
            <w:pPr>
              <w:jc w:val="center"/>
              <w:ind w:left="537"/>
              <w:spacing w:after="0"/>
              <w:rPr>
                <w:sz w:val="20"/>
                <w:szCs w:val="20"/>
                <w:color w:val="auto"/>
              </w:rPr>
            </w:pPr>
            <w:r>
              <w:rPr>
                <w:rFonts w:ascii="Times New Roman" w:cs="Times New Roman" w:eastAsia="Times New Roman" w:hAnsi="Times New Roman"/>
                <w:sz w:val="18"/>
                <w:szCs w:val="18"/>
                <w:b w:val="1"/>
                <w:bCs w:val="1"/>
                <w:color w:val="auto"/>
                <w:w w:val="96"/>
              </w:rPr>
              <w:t>Registrant’s Telephone Number, Including Area Code: (405) 235-4546</w:t>
            </w: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20" w:type="dxa"/>
            <w:vAlign w:val="bottom"/>
            <w:gridSpan w:val="4"/>
          </w:tcPr>
          <w:p>
            <w:pPr>
              <w:jc w:val="center"/>
              <w:ind w:right="422"/>
              <w:spacing w:after="0"/>
              <w:rPr>
                <w:sz w:val="20"/>
                <w:szCs w:val="20"/>
                <w:color w:val="auto"/>
              </w:rPr>
            </w:pPr>
            <w:r>
              <w:rPr>
                <w:rFonts w:ascii="Times New Roman" w:cs="Times New Roman" w:eastAsia="Times New Roman" w:hAnsi="Times New Roman"/>
                <w:sz w:val="18"/>
                <w:szCs w:val="18"/>
                <w:b w:val="1"/>
                <w:bCs w:val="1"/>
                <w:color w:val="auto"/>
                <w:w w:val="97"/>
              </w:rPr>
              <w:t>Securities Registered Pursuant to Section 12(b) of the Act:</w:t>
            </w: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320" w:type="dxa"/>
            <w:vAlign w:val="bottom"/>
            <w:vMerge w:val="restart"/>
          </w:tcPr>
          <w:p>
            <w:pPr>
              <w:ind w:left="1720"/>
              <w:spacing w:after="0"/>
              <w:rPr>
                <w:sz w:val="20"/>
                <w:szCs w:val="20"/>
                <w:color w:val="auto"/>
              </w:rPr>
            </w:pPr>
            <w:r>
              <w:rPr>
                <w:rFonts w:ascii="Times New Roman" w:cs="Times New Roman" w:eastAsia="Times New Roman" w:hAnsi="Times New Roman"/>
                <w:sz w:val="18"/>
                <w:szCs w:val="18"/>
                <w:b w:val="1"/>
                <w:bCs w:val="1"/>
                <w:color w:val="auto"/>
                <w:w w:val="81"/>
              </w:rPr>
              <w:t>Common</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Title of Each Class</w:t>
            </w:r>
          </w:p>
        </w:tc>
        <w:tc>
          <w:tcPr>
            <w:tcW w:w="3760" w:type="dxa"/>
            <w:vAlign w:val="bottom"/>
            <w:gridSpan w:val="3"/>
          </w:tcPr>
          <w:p>
            <w:pPr>
              <w:spacing w:after="0"/>
              <w:rPr>
                <w:sz w:val="24"/>
                <w:szCs w:val="24"/>
                <w:color w:val="auto"/>
              </w:rPr>
            </w:pPr>
          </w:p>
        </w:tc>
        <w:tc>
          <w:tcPr>
            <w:tcW w:w="2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Name of Each Exchange On Which Registered</w:t>
            </w:r>
          </w:p>
        </w:tc>
        <w:tc>
          <w:tcPr>
            <w:tcW w:w="0" w:type="dxa"/>
            <w:vAlign w:val="bottom"/>
          </w:tcPr>
          <w:p>
            <w:pPr>
              <w:spacing w:after="0"/>
              <w:rPr>
                <w:sz w:val="1"/>
                <w:szCs w:val="1"/>
                <w:color w:val="auto"/>
              </w:rPr>
            </w:pPr>
          </w:p>
        </w:tc>
      </w:tr>
      <w:tr>
        <w:trPr>
          <w:trHeight w:val="193"/>
        </w:trPr>
        <w:tc>
          <w:tcPr>
            <w:tcW w:w="2320" w:type="dxa"/>
            <w:vAlign w:val="bottom"/>
            <w:vMerge w:val="continue"/>
          </w:tcPr>
          <w:p>
            <w:pPr>
              <w:spacing w:after="0"/>
              <w:rPr>
                <w:sz w:val="16"/>
                <w:szCs w:val="16"/>
                <w:color w:val="auto"/>
              </w:rPr>
            </w:pPr>
          </w:p>
        </w:tc>
        <w:tc>
          <w:tcPr>
            <w:tcW w:w="4900" w:type="dxa"/>
            <w:vAlign w:val="bottom"/>
            <w:gridSpan w:val="4"/>
          </w:tcPr>
          <w:p>
            <w:pPr>
              <w:ind w:left="140"/>
              <w:spacing w:after="0" w:line="194" w:lineRule="exact"/>
              <w:rPr>
                <w:sz w:val="20"/>
                <w:szCs w:val="20"/>
                <w:color w:val="auto"/>
              </w:rPr>
            </w:pPr>
            <w:r>
              <w:rPr>
                <w:rFonts w:ascii="Times New Roman" w:cs="Times New Roman" w:eastAsia="Times New Roman" w:hAnsi="Times New Roman"/>
                <w:sz w:val="18"/>
                <w:szCs w:val="18"/>
                <w:b w:val="1"/>
                <w:bCs w:val="1"/>
                <w:color w:val="auto"/>
              </w:rPr>
              <w:t>Stock, Par Value $.10</w:t>
            </w:r>
          </w:p>
        </w:tc>
        <w:tc>
          <w:tcPr>
            <w:tcW w:w="286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6"/>
              </w:rPr>
              <w:t>New York Stock Exchange</w:t>
            </w:r>
          </w:p>
        </w:tc>
        <w:tc>
          <w:tcPr>
            <w:tcW w:w="0" w:type="dxa"/>
            <w:vAlign w:val="bottom"/>
          </w:tcPr>
          <w:p>
            <w:pPr>
              <w:spacing w:after="0"/>
              <w:rPr>
                <w:sz w:val="1"/>
                <w:szCs w:val="1"/>
                <w:color w:val="auto"/>
              </w:rPr>
            </w:pPr>
          </w:p>
        </w:tc>
      </w:tr>
      <w:tr>
        <w:trPr>
          <w:trHeight w:val="230"/>
        </w:trPr>
        <w:tc>
          <w:tcPr>
            <w:tcW w:w="7220" w:type="dxa"/>
            <w:vAlign w:val="bottom"/>
            <w:gridSpan w:val="5"/>
          </w:tcPr>
          <w:p>
            <w:pPr>
              <w:jc w:val="center"/>
              <w:ind w:right="1440"/>
              <w:spacing w:after="0"/>
              <w:rPr>
                <w:sz w:val="20"/>
                <w:szCs w:val="20"/>
                <w:color w:val="auto"/>
              </w:rPr>
            </w:pPr>
            <w:r>
              <w:rPr>
                <w:rFonts w:ascii="Times New Roman" w:cs="Times New Roman" w:eastAsia="Times New Roman" w:hAnsi="Times New Roman"/>
                <w:sz w:val="18"/>
                <w:szCs w:val="18"/>
                <w:b w:val="1"/>
                <w:bCs w:val="1"/>
                <w:color w:val="auto"/>
                <w:w w:val="96"/>
              </w:rPr>
              <w:t>Preferred Share Purchase Rights</w:t>
            </w:r>
          </w:p>
        </w:tc>
        <w:tc>
          <w:tcPr>
            <w:tcW w:w="28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New York Stock Exchange</w:t>
            </w:r>
          </w:p>
        </w:tc>
        <w:tc>
          <w:tcPr>
            <w:tcW w:w="0" w:type="dxa"/>
            <w:vAlign w:val="bottom"/>
          </w:tcPr>
          <w:p>
            <w:pPr>
              <w:spacing w:after="0"/>
              <w:rPr>
                <w:sz w:val="1"/>
                <w:szCs w:val="1"/>
                <w:color w:val="auto"/>
              </w:rPr>
            </w:pPr>
          </w:p>
        </w:tc>
      </w:tr>
      <w:tr>
        <w:trPr>
          <w:trHeight w:val="299"/>
        </w:trPr>
        <w:tc>
          <w:tcPr>
            <w:tcW w:w="4520" w:type="dxa"/>
            <w:vAlign w:val="bottom"/>
            <w:gridSpan w:val="3"/>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580" w:type="dxa"/>
            <w:vAlign w:val="bottom"/>
            <w:gridSpan w:val="2"/>
          </w:tcPr>
          <w:p>
            <w:pPr>
              <w:spacing w:after="0"/>
              <w:rPr>
                <w:sz w:val="24"/>
                <w:szCs w:val="24"/>
                <w:color w:val="auto"/>
              </w:rPr>
            </w:pPr>
          </w:p>
        </w:tc>
        <w:tc>
          <w:tcPr>
            <w:tcW w:w="660" w:type="dxa"/>
            <w:vAlign w:val="bottom"/>
            <w:vMerge w:val="restart"/>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p>
        </w:tc>
        <w:tc>
          <w:tcPr>
            <w:tcW w:w="940" w:type="dxa"/>
            <w:vAlign w:val="bottom"/>
            <w:vMerge w:val="restart"/>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tc>
        <w:tc>
          <w:tcPr>
            <w:tcW w:w="0" w:type="dxa"/>
            <w:vAlign w:val="bottom"/>
          </w:tcPr>
          <w:p>
            <w:pPr>
              <w:spacing w:after="0"/>
              <w:rPr>
                <w:sz w:val="1"/>
                <w:szCs w:val="1"/>
                <w:color w:val="auto"/>
              </w:rPr>
            </w:pPr>
          </w:p>
        </w:tc>
      </w:tr>
      <w:tr>
        <w:trPr>
          <w:trHeight w:val="390"/>
        </w:trPr>
        <w:tc>
          <w:tcPr>
            <w:tcW w:w="848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Indicate by check mark if the Registrant is a well-known seasoned issuer, as defined in Rule 405 of the Securities Act.</w:t>
            </w:r>
          </w:p>
        </w:tc>
        <w:tc>
          <w:tcPr>
            <w:tcW w:w="660" w:type="dxa"/>
            <w:vAlign w:val="bottom"/>
            <w:vMerge w:val="continue"/>
          </w:tcPr>
          <w:p>
            <w:pPr>
              <w:spacing w:after="0"/>
              <w:rPr>
                <w:sz w:val="24"/>
                <w:szCs w:val="24"/>
                <w:color w:val="auto"/>
              </w:rPr>
            </w:pPr>
          </w:p>
        </w:tc>
        <w:tc>
          <w:tcPr>
            <w:tcW w:w="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8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7"/>
              </w:rPr>
              <w:t>Indicate by check mark if the Registrant is not required to file reports pursuant to Section 13 or Section 15(d) of the Act.</w:t>
            </w:r>
          </w:p>
        </w:tc>
        <w:tc>
          <w:tcPr>
            <w:tcW w:w="660" w:type="dxa"/>
            <w:vAlign w:val="bottom"/>
          </w:tcPr>
          <w:p>
            <w:pPr>
              <w:ind w:left="160"/>
              <w:spacing w:after="0" w:line="207" w:lineRule="exact"/>
              <w:rPr>
                <w:sz w:val="20"/>
                <w:szCs w:val="20"/>
                <w:color w:val="auto"/>
              </w:rPr>
            </w:pPr>
            <w:r>
              <w:rPr>
                <w:rFonts w:ascii="MS PGothic" w:cs="MS PGothic" w:eastAsia="MS PGothic" w:hAnsi="MS PGothic"/>
                <w:sz w:val="18"/>
                <w:szCs w:val="18"/>
                <w:color w:val="auto"/>
                <w:w w:val="94"/>
              </w:rPr>
              <w:t>☐</w:t>
            </w:r>
            <w:r>
              <w:rPr>
                <w:rFonts w:ascii="Times New Roman" w:cs="Times New Roman" w:eastAsia="Times New Roman" w:hAnsi="Times New Roman"/>
                <w:sz w:val="18"/>
                <w:szCs w:val="18"/>
                <w:color w:val="auto"/>
                <w:w w:val="94"/>
              </w:rPr>
              <w:t xml:space="preserve"> Yes</w:t>
            </w:r>
          </w:p>
        </w:tc>
        <w:tc>
          <w:tcPr>
            <w:tcW w:w="94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tc>
        <w:tc>
          <w:tcPr>
            <w:tcW w:w="0" w:type="dxa"/>
            <w:vAlign w:val="bottom"/>
          </w:tcPr>
          <w:p>
            <w:pPr>
              <w:spacing w:after="0"/>
              <w:rPr>
                <w:sz w:val="1"/>
                <w:szCs w:val="1"/>
                <w:color w:val="auto"/>
              </w:rPr>
            </w:pPr>
          </w:p>
        </w:tc>
      </w:tr>
    </w:tbl>
    <w:p>
      <w:pPr>
        <w:spacing w:after="0" w:line="49" w:lineRule="exact"/>
        <w:rPr>
          <w:sz w:val="24"/>
          <w:szCs w:val="24"/>
          <w:color w:val="auto"/>
        </w:rPr>
      </w:pPr>
    </w:p>
    <w:p>
      <w:pPr>
        <w:ind w:right="280"/>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by Section 13 or 15(d) of the Securities Exchange Act of 1934 during the preceding 12 months (or for the shorter period that the Registrant has had to file the reports), and (2) has been subject to the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30" w:lineRule="exact"/>
        <w:rPr>
          <w:sz w:val="24"/>
          <w:szCs w:val="24"/>
          <w:color w:val="auto"/>
        </w:rPr>
      </w:pPr>
    </w:p>
    <w:p>
      <w:pPr>
        <w:ind w:right="80"/>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49" w:lineRule="exact"/>
        <w:rPr>
          <w:sz w:val="24"/>
          <w:szCs w:val="24"/>
          <w:color w:val="auto"/>
        </w:rPr>
      </w:pPr>
    </w:p>
    <w:p>
      <w:pPr>
        <w:ind w:right="100"/>
        <w:spacing w:after="0" w:line="289" w:lineRule="auto"/>
        <w:rPr>
          <w:sz w:val="20"/>
          <w:szCs w:val="20"/>
          <w:color w:val="auto"/>
        </w:rPr>
      </w:pPr>
      <w:r>
        <w:rPr>
          <w:rFonts w:ascii="Times New Roman" w:cs="Times New Roman" w:eastAsia="Times New Roman" w:hAnsi="Times New Roman"/>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w:t>
      </w:r>
    </w:p>
    <w:p>
      <w:pPr>
        <w:spacing w:after="0" w:line="1" w:lineRule="exact"/>
        <w:rPr>
          <w:sz w:val="24"/>
          <w:szCs w:val="24"/>
          <w:color w:val="auto"/>
        </w:rPr>
      </w:pPr>
    </w:p>
    <w:p>
      <w:pPr>
        <w:ind w:left="260" w:hanging="252"/>
        <w:spacing w:after="0" w:line="207" w:lineRule="exact"/>
        <w:tabs>
          <w:tab w:leader="none" w:pos="26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59" w:lineRule="exact"/>
        <w:rPr>
          <w:sz w:val="24"/>
          <w:szCs w:val="24"/>
          <w:color w:val="auto"/>
        </w:rPr>
      </w:pPr>
    </w:p>
    <w:p>
      <w:pPr>
        <w:ind w:right="620"/>
        <w:spacing w:after="0" w:line="33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26" w:right="239" w:bottom="0" w:gutter="0" w:footer="0" w:header="0"/>
        </w:sectPr>
      </w:pP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6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6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26" w:right="239" w:bottom="0" w:gutter="0" w:footer="0" w:header="0"/>
          <w:type w:val="continuous"/>
        </w:sectPr>
      </w:pP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26" w:right="239" w:bottom="0" w:gutter="0" w:footer="0" w:header="0"/>
          <w:type w:val="continuous"/>
        </w:sectPr>
      </w:pP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171" w:lineRule="exact"/>
        <w:rPr>
          <w:sz w:val="24"/>
          <w:szCs w:val="24"/>
          <w:color w:val="auto"/>
        </w:rPr>
      </w:pPr>
    </w:p>
    <w:p>
      <w:pPr>
        <w:sectPr>
          <w:pgSz w:w="11900" w:h="16838" w:orient="portrait"/>
          <w:cols w:equalWidth="0" w:num="5">
            <w:col w:w="7300" w:space="180"/>
            <w:col w:w="140" w:space="100"/>
            <w:col w:w="260" w:space="160"/>
            <w:col w:w="160" w:space="100"/>
            <w:col w:w="3020"/>
          </w:cols>
          <w:pgMar w:left="240" w:top="226" w:right="239" w:bottom="0" w:gutter="0" w:footer="0" w:header="0"/>
          <w:type w:val="continuous"/>
        </w:sect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aggregate market value of the Registrant’s voting common equity held by non-affiliates of the Registrant, computed by reference to the price at which the voting common stock was last sold as of June 30, 2012, was approximately $580 million. As a result, the Registrant is a large accelerated filer as of December 31, 2012. For purposes of this computation, shares of the Registrant’s common stock beneficially owned by each executive officer and director of the Registrant were deemed to be owned by affiliates of the Registrant as of June 30, 2012. Such determination should not be deemed an admission that such executive officers and directors of our common stock are, in fact, affiliates of the Registrant or affiliates as of the date of this Form 10-K.</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line="275" w:lineRule="auto"/>
        <w:rPr>
          <w:sz w:val="20"/>
          <w:szCs w:val="20"/>
          <w:color w:val="auto"/>
        </w:rPr>
      </w:pPr>
      <w:r>
        <w:rPr>
          <w:rFonts w:ascii="Times New Roman" w:cs="Times New Roman" w:eastAsia="Times New Roman" w:hAnsi="Times New Roman"/>
          <w:sz w:val="18"/>
          <w:szCs w:val="18"/>
          <w:color w:val="auto"/>
        </w:rPr>
        <w:t>As of February 15, 2013, the Registrant had 22,423,273 shares of common stock outstanding (excluding 4,320,462 shares of common stock held as 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80"/>
          </w:cols>
          <w:pgMar w:left="240" w:top="125" w:right="67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920" w:type="dxa"/>
            <w:vAlign w:val="bottom"/>
            <w:gridSpan w:val="14"/>
          </w:tcPr>
          <w:p>
            <w:pPr>
              <w:jc w:val="center"/>
              <w:ind w:right="3760"/>
              <w:spacing w:after="0"/>
              <w:rPr>
                <w:sz w:val="20"/>
                <w:szCs w:val="20"/>
                <w:color w:val="auto"/>
              </w:rPr>
            </w:pPr>
            <w:r>
              <w:rPr>
                <w:rFonts w:ascii="Times New Roman" w:cs="Times New Roman" w:eastAsia="Times New Roman" w:hAnsi="Times New Roman"/>
                <w:sz w:val="18"/>
                <w:szCs w:val="18"/>
                <w:color w:val="auto"/>
                <w:w w:val="97"/>
              </w:rPr>
              <w:t>FORM 10-K OF LSB INDUSTRIES, INC.</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920" w:type="dxa"/>
            <w:vAlign w:val="bottom"/>
            <w:gridSpan w:val="14"/>
          </w:tcPr>
          <w:p>
            <w:pPr>
              <w:jc w:val="center"/>
              <w:ind w:right="3780"/>
              <w:spacing w:after="0"/>
              <w:rPr>
                <w:sz w:val="20"/>
                <w:szCs w:val="20"/>
                <w:color w:val="auto"/>
              </w:rPr>
            </w:pPr>
            <w:r>
              <w:rPr>
                <w:rFonts w:ascii="Times New Roman" w:cs="Times New Roman" w:eastAsia="Times New Roman" w:hAnsi="Times New Roman"/>
                <w:sz w:val="18"/>
                <w:szCs w:val="18"/>
                <w:color w:val="auto"/>
                <w:w w:val="96"/>
              </w:rPr>
              <w:t>TABLE OF CONTENTS</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5460" w:type="dxa"/>
            <w:vAlign w:val="bottom"/>
            <w:gridSpan w:val="9"/>
            <w:vMerge w:val="restart"/>
          </w:tcPr>
          <w:p>
            <w:pPr>
              <w:jc w:val="center"/>
              <w:ind w:right="4940"/>
              <w:spacing w:after="0"/>
              <w:rPr>
                <w:rFonts w:ascii="Times New Roman" w:cs="Times New Roman" w:eastAsia="Times New Roman" w:hAnsi="Times New Roman"/>
                <w:sz w:val="18"/>
                <w:szCs w:val="18"/>
                <w:color w:val="0000EE"/>
                <w:w w:val="91"/>
              </w:rPr>
            </w:pPr>
            <w:hyperlink w:anchor="page4">
              <w:r>
                <w:rPr>
                  <w:rFonts w:ascii="Times New Roman" w:cs="Times New Roman" w:eastAsia="Times New Roman" w:hAnsi="Times New Roman"/>
                  <w:sz w:val="18"/>
                  <w:szCs w:val="18"/>
                  <w:color w:val="0000EE"/>
                  <w:w w:val="91"/>
                </w:rPr>
                <w:t>PART I</w:t>
              </w:r>
            </w:hyperlink>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7"/>
              </w:rPr>
              <w:t>Page</w:t>
            </w: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5460" w:type="dxa"/>
            <w:vAlign w:val="bottom"/>
            <w:gridSpan w:val="9"/>
            <w:vMerge w:val="continue"/>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w:anchor="page4">
              <w:r>
                <w:rPr>
                  <w:rFonts w:ascii="Times New Roman" w:cs="Times New Roman" w:eastAsia="Times New Roman" w:hAnsi="Times New Roman"/>
                  <w:sz w:val="18"/>
                  <w:szCs w:val="18"/>
                  <w:color w:val="0000EE"/>
                  <w:w w:val="96"/>
                </w:rPr>
                <w:t>Business</w:t>
              </w:r>
            </w:hyperlink>
          </w:p>
        </w:tc>
        <w:tc>
          <w:tcPr>
            <w:tcW w:w="4080" w:type="dxa"/>
            <w:vAlign w:val="bottom"/>
            <w:gridSpan w:val="16"/>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4940" w:type="dxa"/>
            <w:vAlign w:val="bottom"/>
            <w:gridSpan w:val="8"/>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10180" w:type="dxa"/>
            <w:vAlign w:val="bottom"/>
            <w:gridSpan w:val="26"/>
          </w:tcPr>
          <w:p>
            <w:pPr>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Risk Factors</w:t>
              </w:r>
            </w:hyperlink>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10180" w:type="dxa"/>
            <w:vAlign w:val="bottom"/>
            <w:gridSpan w:val="26"/>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Unresolved Staff Comments</w:t>
              </w:r>
            </w:hyperlink>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72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5"/>
              </w:rPr>
            </w:pPr>
            <w:hyperlink w:anchor="page20">
              <w:r>
                <w:rPr>
                  <w:rFonts w:ascii="Times New Roman" w:cs="Times New Roman" w:eastAsia="Times New Roman" w:hAnsi="Times New Roman"/>
                  <w:sz w:val="18"/>
                  <w:szCs w:val="18"/>
                  <w:color w:val="0000EE"/>
                  <w:w w:val="95"/>
                </w:rPr>
                <w:t>Properties</w:t>
              </w:r>
            </w:hyperlink>
          </w:p>
        </w:tc>
        <w:tc>
          <w:tcPr>
            <w:tcW w:w="1280" w:type="dxa"/>
            <w:vAlign w:val="bottom"/>
            <w:tcBorders>
              <w:top w:val="single" w:sz="8" w:color="0000EE"/>
            </w:tcBorders>
            <w:gridSpan w:val="6"/>
          </w:tcPr>
          <w:p>
            <w:pPr>
              <w:spacing w:after="0"/>
              <w:rPr>
                <w:sz w:val="24"/>
                <w:szCs w:val="24"/>
                <w:color w:val="auto"/>
              </w:rPr>
            </w:pPr>
          </w:p>
        </w:tc>
        <w:tc>
          <w:tcPr>
            <w:tcW w:w="8180" w:type="dxa"/>
            <w:vAlign w:val="bottom"/>
            <w:gridSpan w:val="18"/>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0180" w:type="dxa"/>
            <w:vAlign w:val="bottom"/>
            <w:gridSpan w:val="26"/>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Legal Proceedings</w:t>
              </w:r>
            </w:hyperlink>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8"/>
              </w:rPr>
            </w:pPr>
            <w:hyperlink w:anchor="page22">
              <w:r>
                <w:rPr>
                  <w:rFonts w:ascii="Times New Roman" w:cs="Times New Roman" w:eastAsia="Times New Roman" w:hAnsi="Times New Roman"/>
                  <w:sz w:val="18"/>
                  <w:szCs w:val="18"/>
                  <w:color w:val="0000EE"/>
                  <w:w w:val="98"/>
                </w:rPr>
                <w:t>Mine Safety Disclosures</w:t>
              </w:r>
            </w:hyperlink>
          </w:p>
        </w:tc>
        <w:tc>
          <w:tcPr>
            <w:tcW w:w="8420" w:type="dxa"/>
            <w:vAlign w:val="bottom"/>
            <w:gridSpan w:val="19"/>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10180" w:type="dxa"/>
            <w:vAlign w:val="bottom"/>
            <w:gridSpan w:val="26"/>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Executive Officers of the Registrant</w:t>
              </w:r>
            </w:hyperlink>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Borders>
              <w:bottom w:val="single" w:sz="8" w:color="0000EE"/>
            </w:tcBorders>
            <w:gridSpan w:val="3"/>
          </w:tcPr>
          <w:p>
            <w:pPr>
              <w:jc w:val="center"/>
              <w:spacing w:after="0"/>
              <w:rPr>
                <w:rFonts w:ascii="Times New Roman" w:cs="Times New Roman" w:eastAsia="Times New Roman" w:hAnsi="Times New Roman"/>
                <w:sz w:val="18"/>
                <w:szCs w:val="18"/>
                <w:color w:val="0000EE"/>
                <w:w w:val="92"/>
              </w:rPr>
            </w:pPr>
            <w:hyperlink w:anchor="page25">
              <w:r>
                <w:rPr>
                  <w:rFonts w:ascii="Times New Roman" w:cs="Times New Roman" w:eastAsia="Times New Roman" w:hAnsi="Times New Roman"/>
                  <w:sz w:val="18"/>
                  <w:szCs w:val="18"/>
                  <w:color w:val="0000EE"/>
                  <w:w w:val="92"/>
                </w:rPr>
                <w:t>PART II</w:t>
              </w:r>
            </w:hyperlink>
          </w:p>
        </w:tc>
        <w:tc>
          <w:tcPr>
            <w:tcW w:w="4900" w:type="dxa"/>
            <w:vAlign w:val="bottom"/>
            <w:gridSpan w:val="7"/>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0180" w:type="dxa"/>
            <w:vAlign w:val="bottom"/>
            <w:gridSpan w:val="26"/>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Market for Registrant’s Common Equity, Related Stockholder Matters and Issuer Purchases of Equity Securities</w:t>
              </w:r>
            </w:hyperlink>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168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7"/>
              </w:rPr>
            </w:pPr>
            <w:hyperlink w:anchor="page27">
              <w:r>
                <w:rPr>
                  <w:rFonts w:ascii="Times New Roman" w:cs="Times New Roman" w:eastAsia="Times New Roman" w:hAnsi="Times New Roman"/>
                  <w:sz w:val="18"/>
                  <w:szCs w:val="18"/>
                  <w:color w:val="0000EE"/>
                  <w:w w:val="97"/>
                </w:rPr>
                <w:t>Selected Financial Data</w:t>
              </w:r>
            </w:hyperlink>
          </w:p>
        </w:tc>
        <w:tc>
          <w:tcPr>
            <w:tcW w:w="6200" w:type="dxa"/>
            <w:vAlign w:val="bottom"/>
            <w:tcBorders>
              <w:top w:val="single" w:sz="8" w:color="0000EE"/>
            </w:tcBorders>
            <w:gridSpan w:val="20"/>
          </w:tcPr>
          <w:p>
            <w:pPr>
              <w:spacing w:after="0"/>
              <w:rPr>
                <w:sz w:val="24"/>
                <w:szCs w:val="24"/>
                <w:color w:val="auto"/>
              </w:rPr>
            </w:pPr>
          </w:p>
        </w:tc>
        <w:tc>
          <w:tcPr>
            <w:tcW w:w="23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10180" w:type="dxa"/>
            <w:vAlign w:val="bottom"/>
            <w:gridSpan w:val="26"/>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Management’s Discussion and Analysis of Financial Condition and Results of Operations</w:t>
              </w:r>
            </w:hyperlink>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4260" w:type="dxa"/>
            <w:vAlign w:val="bottom"/>
            <w:tcBorders>
              <w:top w:val="single" w:sz="8" w:color="0000EE"/>
              <w:bottom w:val="single" w:sz="8" w:color="0000EE"/>
            </w:tcBorders>
            <w:gridSpan w:val="14"/>
          </w:tcPr>
          <w:p>
            <w:pPr>
              <w:spacing w:after="0"/>
              <w:rPr>
                <w:rFonts w:ascii="Times New Roman" w:cs="Times New Roman" w:eastAsia="Times New Roman" w:hAnsi="Times New Roman"/>
                <w:sz w:val="18"/>
                <w:szCs w:val="18"/>
                <w:color w:val="0000EE"/>
                <w:w w:val="97"/>
              </w:rPr>
            </w:pPr>
            <w:hyperlink w:anchor="page54">
              <w:r>
                <w:rPr>
                  <w:rFonts w:ascii="Times New Roman" w:cs="Times New Roman" w:eastAsia="Times New Roman" w:hAnsi="Times New Roman"/>
                  <w:sz w:val="18"/>
                  <w:szCs w:val="18"/>
                  <w:color w:val="0000EE"/>
                  <w:w w:val="97"/>
                </w:rPr>
                <w:t>Quantitative and Qualitative Disclosures About Market Risk</w:t>
              </w:r>
            </w:hyperlink>
          </w:p>
        </w:tc>
        <w:tc>
          <w:tcPr>
            <w:tcW w:w="2040" w:type="dxa"/>
            <w:vAlign w:val="bottom"/>
            <w:tcBorders>
              <w:top w:val="single" w:sz="8" w:color="0000EE"/>
            </w:tcBorders>
            <w:gridSpan w:val="8"/>
          </w:tcPr>
          <w:p>
            <w:pPr>
              <w:spacing w:after="0"/>
              <w:rPr>
                <w:sz w:val="24"/>
                <w:szCs w:val="24"/>
                <w:color w:val="auto"/>
              </w:rPr>
            </w:pPr>
          </w:p>
        </w:tc>
        <w:tc>
          <w:tcPr>
            <w:tcW w:w="3880" w:type="dxa"/>
            <w:vAlign w:val="bottom"/>
            <w:gridSpan w:val="4"/>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32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7"/>
              </w:rPr>
            </w:pPr>
            <w:hyperlink w:anchor="page57">
              <w:r>
                <w:rPr>
                  <w:rFonts w:ascii="Times New Roman" w:cs="Times New Roman" w:eastAsia="Times New Roman" w:hAnsi="Times New Roman"/>
                  <w:sz w:val="18"/>
                  <w:szCs w:val="18"/>
                  <w:color w:val="0000EE"/>
                  <w:w w:val="97"/>
                </w:rPr>
                <w:t>Financial Statements and Supplementary Data</w:t>
              </w:r>
            </w:hyperlink>
          </w:p>
        </w:tc>
        <w:tc>
          <w:tcPr>
            <w:tcW w:w="6920" w:type="dxa"/>
            <w:vAlign w:val="bottom"/>
            <w:gridSpan w:val="14"/>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10180" w:type="dxa"/>
            <w:vAlign w:val="bottom"/>
            <w:gridSpan w:val="26"/>
          </w:tcPr>
          <w:p>
            <w:pPr>
              <w:spacing w:after="0"/>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Changes in and Disagreements with Accountants on Accounting and Financial Disclosure</w:t>
              </w:r>
            </w:hyperlink>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174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7"/>
              </w:rPr>
            </w:pPr>
            <w:hyperlink w:anchor="page57">
              <w:r>
                <w:rPr>
                  <w:rFonts w:ascii="Times New Roman" w:cs="Times New Roman" w:eastAsia="Times New Roman" w:hAnsi="Times New Roman"/>
                  <w:sz w:val="18"/>
                  <w:szCs w:val="18"/>
                  <w:color w:val="0000EE"/>
                  <w:w w:val="97"/>
                </w:rPr>
                <w:t>Controls and Procedures</w:t>
              </w:r>
            </w:hyperlink>
          </w:p>
        </w:tc>
        <w:tc>
          <w:tcPr>
            <w:tcW w:w="4580" w:type="dxa"/>
            <w:vAlign w:val="bottom"/>
            <w:tcBorders>
              <w:top w:val="single" w:sz="8" w:color="0000EE"/>
            </w:tcBorders>
            <w:gridSpan w:val="17"/>
          </w:tcPr>
          <w:p>
            <w:pPr>
              <w:spacing w:after="0"/>
              <w:rPr>
                <w:sz w:val="24"/>
                <w:szCs w:val="24"/>
                <w:color w:val="auto"/>
              </w:rPr>
            </w:pPr>
          </w:p>
        </w:tc>
        <w:tc>
          <w:tcPr>
            <w:tcW w:w="3860" w:type="dxa"/>
            <w:vAlign w:val="bottom"/>
            <w:gridSpan w:val="3"/>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10180" w:type="dxa"/>
            <w:vAlign w:val="bottom"/>
            <w:gridSpan w:val="26"/>
          </w:tcPr>
          <w:p>
            <w:pPr>
              <w:spacing w:after="0"/>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Other Information</w:t>
              </w:r>
            </w:hyperlink>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520" w:type="dxa"/>
            <w:vAlign w:val="bottom"/>
            <w:gridSpan w:val="11"/>
          </w:tcPr>
          <w:p>
            <w:pPr>
              <w:jc w:val="center"/>
              <w:ind w:right="4880"/>
              <w:spacing w:after="0"/>
              <w:rPr>
                <w:rFonts w:ascii="Times New Roman" w:cs="Times New Roman" w:eastAsia="Times New Roman" w:hAnsi="Times New Roman"/>
                <w:sz w:val="18"/>
                <w:szCs w:val="18"/>
                <w:color w:val="0000EE"/>
                <w:w w:val="93"/>
              </w:rPr>
            </w:pPr>
            <w:hyperlink w:anchor="page61">
              <w:r>
                <w:rPr>
                  <w:rFonts w:ascii="Times New Roman" w:cs="Times New Roman" w:eastAsia="Times New Roman" w:hAnsi="Times New Roman"/>
                  <w:sz w:val="18"/>
                  <w:szCs w:val="18"/>
                  <w:color w:val="0000EE"/>
                  <w:w w:val="93"/>
                </w:rPr>
                <w:t>PART III</w:t>
              </w:r>
            </w:hyperlink>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4660" w:type="dxa"/>
            <w:vAlign w:val="bottom"/>
            <w:gridSpan w:val="15"/>
          </w:tcPr>
          <w:p>
            <w:pPr>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Directors, Executive Officers and Corporate Governance</w:t>
              </w:r>
            </w:hyperlink>
          </w:p>
        </w:tc>
        <w:tc>
          <w:tcPr>
            <w:tcW w:w="640" w:type="dxa"/>
            <w:vAlign w:val="bottom"/>
            <w:tcBorders>
              <w:top w:val="single" w:sz="8" w:color="0000EE"/>
            </w:tcBorders>
            <w:gridSpan w:val="5"/>
          </w:tcPr>
          <w:p>
            <w:pPr>
              <w:spacing w:after="0"/>
              <w:rPr>
                <w:sz w:val="24"/>
                <w:szCs w:val="24"/>
                <w:color w:val="auto"/>
              </w:rPr>
            </w:pPr>
          </w:p>
        </w:tc>
        <w:tc>
          <w:tcPr>
            <w:tcW w:w="4880" w:type="dxa"/>
            <w:vAlign w:val="bottom"/>
            <w:gridSpan w:val="6"/>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4000" w:type="dxa"/>
            <w:vAlign w:val="bottom"/>
            <w:tcBorders>
              <w:top w:val="single" w:sz="8" w:color="0000EE"/>
            </w:tcBorders>
            <w:gridSpan w:val="13"/>
          </w:tcPr>
          <w:p>
            <w:pPr>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Executive Compensation</w:t>
              </w:r>
            </w:hyperlink>
          </w:p>
        </w:tc>
        <w:tc>
          <w:tcPr>
            <w:tcW w:w="6180" w:type="dxa"/>
            <w:vAlign w:val="bottom"/>
            <w:gridSpan w:val="13"/>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712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7"/>
              </w:rPr>
            </w:pPr>
            <w:hyperlink w:anchor="page79">
              <w:r>
                <w:rPr>
                  <w:rFonts w:ascii="Times New Roman" w:cs="Times New Roman" w:eastAsia="Times New Roman" w:hAnsi="Times New Roman"/>
                  <w:sz w:val="18"/>
                  <w:szCs w:val="18"/>
                  <w:color w:val="0000EE"/>
                  <w:w w:val="97"/>
                </w:rPr>
                <w:t>Security Ownership of Certain Beneficial Owners and Management and Related Stockholder Matters</w:t>
              </w:r>
            </w:hyperlink>
          </w:p>
        </w:tc>
        <w:tc>
          <w:tcPr>
            <w:tcW w:w="3060" w:type="dxa"/>
            <w:vAlign w:val="bottom"/>
            <w:gridSpan w:val="2"/>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10180" w:type="dxa"/>
            <w:vAlign w:val="bottom"/>
            <w:gridSpan w:val="26"/>
          </w:tcPr>
          <w:p>
            <w:pPr>
              <w:spacing w:after="0"/>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Certain Relationships and Related Transactions, and Director Independence</w:t>
              </w:r>
            </w:hyperlink>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5320" w:type="dxa"/>
            <w:vAlign w:val="bottom"/>
            <w:tcBorders>
              <w:top w:val="single" w:sz="8" w:color="0000EE"/>
            </w:tcBorders>
            <w:gridSpan w:val="21"/>
          </w:tcPr>
          <w:p>
            <w:pPr>
              <w:spacing w:after="0"/>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Principal Accountant Fees and Services</w:t>
              </w:r>
            </w:hyperlink>
          </w:p>
        </w:tc>
        <w:tc>
          <w:tcPr>
            <w:tcW w:w="4860" w:type="dxa"/>
            <w:vAlign w:val="bottom"/>
            <w:gridSpan w:val="5"/>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520" w:type="dxa"/>
            <w:vAlign w:val="bottom"/>
            <w:gridSpan w:val="11"/>
          </w:tcPr>
          <w:p>
            <w:pPr>
              <w:jc w:val="center"/>
              <w:ind w:right="4880"/>
              <w:spacing w:after="0"/>
              <w:rPr>
                <w:rFonts w:ascii="Times New Roman" w:cs="Times New Roman" w:eastAsia="Times New Roman" w:hAnsi="Times New Roman"/>
                <w:sz w:val="18"/>
                <w:szCs w:val="18"/>
                <w:color w:val="0000EE"/>
                <w:w w:val="92"/>
              </w:rPr>
            </w:pPr>
            <w:hyperlink w:anchor="page85">
              <w:r>
                <w:rPr>
                  <w:rFonts w:ascii="Times New Roman" w:cs="Times New Roman" w:eastAsia="Times New Roman" w:hAnsi="Times New Roman"/>
                  <w:sz w:val="18"/>
                  <w:szCs w:val="18"/>
                  <w:color w:val="0000EE"/>
                  <w:w w:val="92"/>
                </w:rPr>
                <w:t>PART IV</w:t>
              </w:r>
            </w:hyperlink>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4660" w:type="dxa"/>
            <w:vAlign w:val="bottom"/>
            <w:gridSpan w:val="15"/>
          </w:tcPr>
          <w:p>
            <w:pPr>
              <w:spacing w:after="0"/>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Exhibits and Financial Statement Schedules</w:t>
              </w:r>
            </w:hyperlink>
          </w:p>
        </w:tc>
        <w:tc>
          <w:tcPr>
            <w:tcW w:w="640" w:type="dxa"/>
            <w:vAlign w:val="bottom"/>
            <w:tcBorders>
              <w:top w:val="single" w:sz="8" w:color="0000EE"/>
            </w:tcBorders>
            <w:gridSpan w:val="5"/>
          </w:tcPr>
          <w:p>
            <w:pPr>
              <w:spacing w:after="0"/>
              <w:rPr>
                <w:sz w:val="24"/>
                <w:szCs w:val="24"/>
                <w:color w:val="auto"/>
              </w:rPr>
            </w:pPr>
          </w:p>
        </w:tc>
        <w:tc>
          <w:tcPr>
            <w:tcW w:w="4880" w:type="dxa"/>
            <w:vAlign w:val="bottom"/>
            <w:gridSpan w:val="6"/>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383"/>
        </w:trPr>
        <w:tc>
          <w:tcPr>
            <w:tcW w:w="880" w:type="dxa"/>
            <w:vAlign w:val="bottom"/>
          </w:tcPr>
          <w:p>
            <w:pPr>
              <w:spacing w:after="0"/>
              <w:rPr>
                <w:sz w:val="24"/>
                <w:szCs w:val="24"/>
                <w:color w:val="auto"/>
              </w:rPr>
            </w:pPr>
          </w:p>
        </w:tc>
        <w:tc>
          <w:tcPr>
            <w:tcW w:w="3080" w:type="dxa"/>
            <w:vAlign w:val="bottom"/>
            <w:tcBorders>
              <w:top w:val="single" w:sz="8" w:color="0000EE"/>
            </w:tcBorders>
            <w:gridSpan w:val="11"/>
          </w:tcPr>
          <w:p>
            <w:pPr>
              <w:spacing w:after="0"/>
              <w:rPr>
                <w:sz w:val="24"/>
                <w:szCs w:val="24"/>
                <w:color w:val="auto"/>
              </w:rPr>
            </w:pPr>
          </w:p>
        </w:tc>
        <w:tc>
          <w:tcPr>
            <w:tcW w:w="2160" w:type="dxa"/>
            <w:vAlign w:val="bottom"/>
            <w:gridSpan w:val="7"/>
          </w:tcPr>
          <w:p>
            <w:pPr>
              <w:jc w:val="center"/>
              <w:ind w:left="1272"/>
              <w:spacing w:after="0"/>
              <w:rPr>
                <w:sz w:val="20"/>
                <w:szCs w:val="20"/>
                <w:color w:val="auto"/>
              </w:rPr>
            </w:pPr>
            <w:r>
              <w:rPr>
                <w:rFonts w:ascii="Times New Roman" w:cs="Times New Roman" w:eastAsia="Times New Roman" w:hAnsi="Times New Roman"/>
                <w:sz w:val="18"/>
                <w:szCs w:val="18"/>
                <w:color w:val="auto"/>
                <w:w w:val="88"/>
              </w:rPr>
              <w:t>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5" w:right="3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PART I</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BUSINESS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92"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LSB Industries, Inc. (“LSB” or “Registrant”) was formed in 1968 as an Oklahoma corporation and became a Delaware corporation in 1977. LSB is a diversified holding company involved in manufacturing and marketing operations through its subsidiaries. LSB and its wholly-owned subsidiaries (the “Company”, “We”, “Us”, or “Our”) own the following core businesses:</w:t>
      </w:r>
    </w:p>
    <w:p>
      <w:pPr>
        <w:spacing w:after="0" w:line="51" w:lineRule="exact"/>
        <w:rPr>
          <w:sz w:val="20"/>
          <w:szCs w:val="20"/>
          <w:color w:val="auto"/>
        </w:rPr>
      </w:pPr>
    </w:p>
    <w:p>
      <w:pPr>
        <w:ind w:left="440" w:right="60" w:hanging="324"/>
        <w:spacing w:after="0" w:line="255" w:lineRule="auto"/>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Chemical Business manufactures and sells nitrogen-based chemical products produced from four facilities located in El Dorado, Arkansas (the “El Dorado Facility”); Cherokee, Alabama (the “Cherokee Facility”); Pryor, Oklahoma (the “Pryor Facility”); and Baytown, Texas (the “Baytown Facility”) for the agricultural, industrial, and mining markets. Our products include high purity and commercial grade anhydrous ammonia for industrial and agricultural applications, industrial and fertilizer grade ammonium nitrate (“AN”), urea ammonium nitrate (“UAN”), sulfuric acids, nitric acids in various concentrations, nitrogen solutions, diesel exhaust fluid (“DEF”) and various other products. Also see discussion below under “Chemical Business” concerning an acquisition of working interests in certain natural gas properties.</w:t>
      </w:r>
    </w:p>
    <w:p>
      <w:pPr>
        <w:spacing w:after="0" w:line="58" w:lineRule="exact"/>
        <w:rPr>
          <w:rFonts w:ascii="Times New Roman" w:cs="Times New Roman" w:eastAsia="Times New Roman" w:hAnsi="Times New Roman"/>
          <w:sz w:val="18"/>
          <w:szCs w:val="18"/>
          <w:color w:val="auto"/>
        </w:rPr>
      </w:pPr>
    </w:p>
    <w:p>
      <w:pPr>
        <w:ind w:left="440" w:right="20" w:hanging="324"/>
        <w:spacing w:after="0" w:line="256" w:lineRule="auto"/>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Control Business manufactures and sells a broad range of heating, ventilation and air conditioning (“HVAC”) products in the niche markets we serve consisting of geothermal and water source heat pumps, hydronic fan coils, large custom air handlers, modular geothermal and other chillers and other related products used to control the environment in commercial/institutional and residential new building construction, renovation of existing buildings and replacement of existing systems. Our Climate Control Business manufactures and distributes its products from seven facilities located in Oklahoma City, Oklahoma.</w:t>
      </w:r>
    </w:p>
    <w:p>
      <w:pPr>
        <w:spacing w:after="0" w:line="139" w:lineRule="exact"/>
        <w:rPr>
          <w:sz w:val="20"/>
          <w:szCs w:val="20"/>
          <w:color w:val="auto"/>
        </w:rPr>
      </w:pPr>
    </w:p>
    <w:p>
      <w:pPr>
        <w:ind w:right="420"/>
        <w:spacing w:after="0" w:line="262" w:lineRule="auto"/>
        <w:rPr>
          <w:sz w:val="20"/>
          <w:szCs w:val="20"/>
          <w:color w:val="auto"/>
        </w:rPr>
      </w:pPr>
      <w:r>
        <w:rPr>
          <w:rFonts w:ascii="Times New Roman" w:cs="Times New Roman" w:eastAsia="Times New Roman" w:hAnsi="Times New Roman"/>
          <w:sz w:val="18"/>
          <w:szCs w:val="18"/>
          <w:color w:val="auto"/>
        </w:rPr>
        <w:t>Our Chemical Business is a supplier to some of the world’s leading chemical and industrial companies. By focusing on specific geographic areas, we have developed freight and distribution advantages over many of our competitors, and we believe our Chemical Business has established leading regional market positions.</w:t>
      </w:r>
    </w:p>
    <w:p>
      <w:pPr>
        <w:spacing w:after="0" w:line="132"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We sell most of our industrial and mining products to customers pursuant to contracts containing minimum volumes and/or cost plus a profit provision. These contractual sales stabilize the effect of commodity cost changes and fluctuations in demand for these products due to the cyclicality of the end markets. Periodically we enter into forward sales commitments for agricultural products but we sell most of our agricultural products at the current spot market price in effect at time of shipment.</w:t>
      </w:r>
    </w:p>
    <w:p>
      <w:pPr>
        <w:spacing w:after="0" w:line="13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believe our Climate Control Business has developed leadership positions in certain niche markets by offering extensive product lines, customized products and improved technologies. Under this focused strategy, we have developed what we believe to be the most extensive line of geothermal and water source heat pumps and hydronic fan coils in the United States (“U.S.”). Further, we believe that we were a pioneer in the use of geothermal technology in the climate control industry and we have used it to create what we believe to be the most energy efficient climate control systems commercially available today. We employ highly flexible production capabilities that allow us to custom design units for new construction as well as the retrofit and replacement markets. This flexibility positions us well for an eventual recovery in commercial/institutional and residential construction markets.</w:t>
      </w:r>
    </w:p>
    <w:p>
      <w:pPr>
        <w:spacing w:after="0" w:line="1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recent years, we have put heavy emphasis on our geothermal heating and air conditioning products, which are considered “green” technology and a form of renewable energy. We believe our geothermal systems are among the most energy efficient systems available in the market for heating and cooling applications in commercial/institutional and single family new construction as well as replacement and renovation markets. Based upon industry information available to us, we believe we have the leading market share.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statements contained in this Part I may be deemed to be forward-looking statements. See “Special Note Regarding Forward-Looking Statements.”</w:t>
      </w:r>
    </w:p>
    <w:p>
      <w:pPr>
        <w:spacing w:after="0" w:line="2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Current State of the Economy</w:t>
      </w:r>
    </w:p>
    <w:p>
      <w:pPr>
        <w:spacing w:after="0" w:line="9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Since our two core business segments serve several diverse markets, we consider fundamentals for each market individually as we evaluate economic conditions. From a macro standpoint, we believe the U.S. economy is poised for modest growth, based upon certain economic reports, including the Conference Board Composite Index of Leading Indicators.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80"/>
          </w:cols>
          <w:pgMar w:left="240" w:top="455" w:right="27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6"/>
          <w:szCs w:val="16"/>
          <w:color w:val="auto"/>
        </w:rPr>
        <w:t>Chemical Business - Our Chemical Business’ primary markets are agricultural, industrial and mining. During 2012, approximately 46% of sales were into agricultural markets to customers that purchase at spot market and/or futures market prices. During 2012, our sales volumes to agricultural customers decreased 17% while sales dollars decreased 6% compared to 2011. This decrease in sales is primarily the result of the planned and unplanned downtime at certain of our chemical facilities as discussed below partially offset by higher sales prices. In normal circumstances, our agricultural sales volumes and prices depend upon the supply of and the demand for fertilizer, which in turn depends on the market fundamentals for crops including corn, wheat, cotton and forage. The current outlook for 2013 according to most market indicators, including reports in Green Markets, Fertilizer Week and the USDA’s World Agricultural Supply and Demand Estimates, points to positive supply and demand fundamentals for the types of nitrogen fertilizer products we produce and sell. However, it is possible that the fertilizer outlook could change if there are unanticipated changes in commodity prices, fertilizer imports, acres planted of crops requiring fertilizer, or unfavorable weather conditions. We use natural gas to produce anhydrous ammonia, which ammonia is also used to produce UAN. Agricultural customer demand for ammonia and UAN was strong during 2012. Selling prices for ammonia were generally higher while selling prices for UAN were slightly less compared to 2011 and the cost for natural gas used to produce these products was generally lower. As a result, gross margins per ton increased for these two products. We produce agricultural grade AN from purchased ammonia, which cost is significantly higher compared to previous years and significantly higher than producing it from natural gas, resulting in a cost disadvantage compared to nitrogen fertilizers that can be produced from natural gas.</w:t>
      </w:r>
    </w:p>
    <w:p>
      <w:pPr>
        <w:spacing w:after="0" w:line="331"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16"/>
          <w:szCs w:val="16"/>
          <w:color w:val="auto"/>
        </w:rPr>
        <w:t>Approximately 54% of our Chemical Business’ sales were into industrial and mining markets of which approximately 60% of these sales are to customers that have contractual obligations to purchase a minimum quantity and allow us to recover our cost plus a profit, irrespective of the volume of product sold. During 2012, our sales volumes to industrial customers decreased 5% and sales volumes to mining customers decreased 24%, as compared to 2011. Sales dollars during 2012 increased slightly to industrial customers and sales dollars to mining customers decreased 19% as compared to 2011. The slight increase in industrial sales was due to our ability to pass through higher cost ammonia with our contractual pricing. Mining sales were lower due, in part, to the unplanned downtime at our El Dorado and Cherokee Facilities as discussed below under “Downtime at Certain Chemical Facilities and Certain Capital Expenditures” and due to lower customer demand, which we believe is due to higher coal inventories and natural gas being a more attractive alternative feedstock than coal for utility companies.</w:t>
      </w:r>
    </w:p>
    <w:p>
      <w:pPr>
        <w:spacing w:after="0" w:line="11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Climate Control Business - Sales for 2012 were 5% lower than the same period in 2011, including an 11% decrease in geothermal and water source heat pump sales partially offset by a 3% increase in hydronic fan coil and a 10% increase in other HVAC sales. From a market sector perspective, the sales decline is due to a 21% decrease in residential product sales and a slight decrease in sales of commercial/institutional products although sales of our custom air handlers increased. The decline in product sales generally reflects the continued softness in the markets we serve, customers placing orders later in the project construction process, and delays between the date of order intake and the date of delivery. For 2012, order levels of our products decreased slightly primarily due to lower order levels of our residential products (down 21%), partially offset by an increase in order levels of our commercial/institutional products (up 6%). The latest information available from the Construction Market Forecasting Service provided by McGraw-Hill (“CMFS”) indicates that construction activity for the markets we serve in the commercial/institutional sector are expected to increase in aggregate during 2013 and return to the activity levels experienced in 2011. CMFS has also indicated construction growth in the single-family residential sector for 2013.</w:t>
      </w:r>
    </w:p>
    <w:p>
      <w:pPr>
        <w:spacing w:after="0" w:line="14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See further discussion relating to the economy under various risk factors under Item 1A of this Part 1 and “Overview-Economic Conditions” of the Management’s Discussion and Analysis of Financial Condition and Results of Operations (“MD&amp;A”) contained in this report.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Downtime at Certain Chemical Facilities and Certain Capital Expenditures</w:t>
      </w:r>
    </w:p>
    <w:p>
      <w:pPr>
        <w:spacing w:after="0" w:line="9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During 2012, our Chemical Business encountered a number of significant issues including an explosion in one of our nitric acid plants at the El Dorado Facility in May, a pipe rupture at the Cherokee Facility in November that damaged the ammonia plant and mechanical issues at the Pryor Facility all resulting in lost production and significant adverse effect on 2012 sales, operating income and cash flow.</w:t>
      </w:r>
    </w:p>
    <w:p>
      <w:pPr>
        <w:spacing w:after="0" w:line="132" w:lineRule="exact"/>
        <w:rPr>
          <w:sz w:val="20"/>
          <w:szCs w:val="20"/>
          <w:color w:val="auto"/>
        </w:rPr>
      </w:pPr>
    </w:p>
    <w:p>
      <w:pPr>
        <w:ind w:right="620"/>
        <w:spacing w:after="0" w:line="275" w:lineRule="auto"/>
        <w:rPr>
          <w:sz w:val="20"/>
          <w:szCs w:val="20"/>
          <w:color w:val="auto"/>
        </w:rPr>
      </w:pPr>
      <w:r>
        <w:rPr>
          <w:rFonts w:ascii="Times New Roman" w:cs="Times New Roman" w:eastAsia="Times New Roman" w:hAnsi="Times New Roman"/>
          <w:sz w:val="18"/>
          <w:szCs w:val="18"/>
          <w:color w:val="auto"/>
        </w:rPr>
        <w:t>For 2012, we estimate the cumulative negative effect on operating income from these incidents and issues to be approximately $83 million, including lost absorption and gross profit margins.</w:t>
      </w:r>
    </w:p>
    <w:p>
      <w:pPr>
        <w:spacing w:after="0" w:line="12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Until the facilities are returned to normal production, operating income at these facilities will continue to be lower in 2013 than otherwise would be expected. We estimate that the monthly negative effect on operating income will approximate $1 million to $2 million at the El Dorado Facility until the new 65% strength nitric acid plant and the 98% concentrated nitric acid plant are constructed and begin production during the first half of 2015. The estimated combined cost for these new nitric acid plants is up to approximately $120 million. See discussion under “Liquidity and Capital Resources” in our MD&amp;A contained herein as to funding of these new plants. In addition, we estimate that the monthly negative effect on operating income will approximate $8 million to $9 million at the Cherokee Facility until the repairs of the ammonia plant are completed and production resumes, which production is currently scheduled to begin in May 2013. Also we estimate the monthly adverse effect on the Pryor Facility’s operating income in 2013 prior to the restart of the ammonia plant in March 2013 was approximately $8 million.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Although the events are unrelated to each other, the severity and frequency of the events at our Pryor, Cherokee, and El Dorado Facilities caused us to undergo a thorough reexamination of our process safety management (“PSM”), reliability and mechanical integrity programs. As a result, we have recently undertaken a concerted program to attempt to improve the reliability and mechanical integrity of our chemical plant facilities. A key component of the improvement program is the implementation of enhanced PSM programs to supplement existing PSM programs. The improvement program includes engaging outside experts and consultants who specialize in risk management, reliability, mechanical integrity and PSM. We are also recruiting and hiring additional corporate and plant engineering and operational personnel, and accelerating acquisition of additional spare parts to supplement our existing spare parts program. The program also includes the installation of additional automation and additional plant equipment protections.</w:t>
      </w:r>
    </w:p>
    <w:p>
      <w:pPr>
        <w:spacing w:after="0" w:line="141"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As a result of certain of the events discussed above, we have filed insurance claims to recover a portion of the costs incurred and lost profits. See further discussion relating to the downtime of certain chemical facilities (and various risk factors associated with our chemical facilities) and our property and business interruption insurance claims and recovery under Item 1A of this Part I and “Overview” of our MD&amp;A contained in this report.</w:t>
      </w:r>
    </w:p>
    <w:p>
      <w:pPr>
        <w:spacing w:after="0" w:line="13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are also planning to construct an ammonia plant at the El Dorado Facility at an estimated cost ranging from $250 million to $300 million. If constructed, the ammonia plant will produce all of this facility’s ammonia feedstock requirements replacing the ammonia currently being purchased at a cost disadvantage compared to ammonia produced from natural gas. The final decision to construct the ammonia plant is subject to approval of our Board of Directors, and a number of business considerations, including, but not limited to, obtaining the required permits and adequate third-party financing. An independent engineering firm has been engaged to assist in the preliminary engineering and cost evaluation leading to our final decision. See further discussion relating to capital expenditures and related financing under “Liquidity and Capital Resources” of our MD&amp;A contained in this report.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Website Access to Company’s Reports</w:t>
      </w:r>
    </w:p>
    <w:p>
      <w:pPr>
        <w:spacing w:after="0" w:line="92"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 xml:space="preserve">Our internet website address is </w:t>
      </w:r>
      <w:r>
        <w:rPr>
          <w:rFonts w:ascii="Times New Roman" w:cs="Times New Roman" w:eastAsia="Times New Roman" w:hAnsi="Times New Roman"/>
          <w:sz w:val="18"/>
          <w:szCs w:val="18"/>
          <w:u w:val="single" w:color="auto"/>
          <w:color w:val="auto"/>
        </w:rPr>
        <w:t>www.lsbindustries.com</w:t>
      </w:r>
      <w:r>
        <w:rPr>
          <w:rFonts w:ascii="Times New Roman" w:cs="Times New Roman" w:eastAsia="Times New Roman" w:hAnsi="Times New Roman"/>
          <w:sz w:val="18"/>
          <w:szCs w:val="18"/>
          <w:color w:val="auto"/>
        </w:rPr>
        <w:t>. Our annual reports on Form 10-K, quarterly reports on Form 10-Q, current reports on Form 8-K, and amendments to those reports filed or furnished pursuant to section 13(a) or 15(d) of the Exchange Act are available free of charge through our website within a reasonable amount of time after they are electronically filed with, or furnished to, the Securities and Exchange Commission (“SEC”).</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Information and Foreign and Domestic Operations and Export Sales</w:t>
      </w:r>
    </w:p>
    <w:p>
      <w:pPr>
        <w:spacing w:after="0" w:line="92"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Schedules of the amounts of net sales, gross profit, operating income and identifiable assets attributable to each of our lines of business and of the amount of our export sales in the aggregate and by major geographic area for each of the last three years appear in Note 19 of the Notes to Consolidated Financial Statements included elsewhere in this report.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Chemical Business</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Chemical Business manufactures products for three principal markets:</w:t>
      </w:r>
    </w:p>
    <w:p>
      <w:pPr>
        <w:spacing w:after="0" w:line="90" w:lineRule="exact"/>
        <w:rPr>
          <w:sz w:val="20"/>
          <w:szCs w:val="20"/>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anhydrous ammonia, fertilizer grade AN, UAN, and ammonium nitrate ammonia solution for agricultural applications,</w:t>
      </w:r>
    </w:p>
    <w:p>
      <w:pPr>
        <w:spacing w:after="0" w:line="90" w:lineRule="exact"/>
        <w:rPr>
          <w:rFonts w:ascii="Times New Roman" w:cs="Times New Roman" w:eastAsia="Times New Roman" w:hAnsi="Times New Roman"/>
          <w:sz w:val="18"/>
          <w:szCs w:val="18"/>
          <w:color w:val="auto"/>
        </w:rPr>
      </w:pPr>
    </w:p>
    <w:p>
      <w:pPr>
        <w:ind w:left="900" w:right="80" w:hanging="325"/>
        <w:spacing w:after="0" w:line="275"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purity and commercial grade anhydrous ammonia, high purity AN, sulfuric acids, concentrated, blended and regular nitric acid, mixed nitrating acids, and DEF for industrial applications, and</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grade AN and solutions for the mining industry.</w:t>
      </w:r>
    </w:p>
    <w:p>
      <w:pPr>
        <w:spacing w:after="0" w:line="1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October 2012, a subsidiary within our Chemical Business acquired working interests in certain natural gas properties. Since our Chemical Business purchases a significant amount of natural gas as a feedstock for the production of anhydrous ammonia, management considers this acquisition as an economic hedge against a potential rise in natural gas prices in the future for a portion of our future natural gas production requirements although we are not the operator of the wells included in this acquisition and have no, or very limited, ability to direct the operations of these wells. We report the working interests as part of the Chemical Business reportable segment. See additional discussion concerning our natural gas working interests under “Liquidity and Capital Resources” of our MD&amp;A contained in this report.</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455" w:right="2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net sales information relating to our products of the Chemical Business:</w:t>
      </w:r>
    </w:p>
    <w:p>
      <w:pPr>
        <w:spacing w:after="0" w:line="21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2012</w:t>
            </w:r>
          </w:p>
        </w:tc>
        <w:tc>
          <w:tcPr>
            <w:tcW w:w="6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2"/>
              </w:rPr>
              <w:t>2011</w:t>
            </w:r>
          </w:p>
        </w:tc>
        <w:tc>
          <w:tcPr>
            <w:tcW w:w="6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2010</w:t>
            </w:r>
          </w:p>
        </w:tc>
        <w:tc>
          <w:tcPr>
            <w:tcW w:w="280" w:type="dxa"/>
            <w:vAlign w:val="bottom"/>
            <w:tcBorders>
              <w:bottom w:val="single" w:sz="8" w:color="CCEEFF"/>
            </w:tcBorders>
          </w:tcPr>
          <w:p>
            <w:pPr>
              <w:spacing w:after="0"/>
              <w:rPr>
                <w:sz w:val="14"/>
                <w:szCs w:val="14"/>
                <w:color w:val="auto"/>
              </w:rPr>
            </w:pPr>
          </w:p>
        </w:tc>
      </w:tr>
      <w:tr>
        <w:trPr>
          <w:trHeight w:val="196"/>
        </w:trPr>
        <w:tc>
          <w:tcPr>
            <w:tcW w:w="6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Percentage of net sales of the Chemical Business:</w:t>
            </w: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16"/>
        </w:trPr>
        <w:tc>
          <w:tcPr>
            <w:tcW w:w="6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Agricultural products</w:t>
            </w:r>
          </w:p>
        </w:tc>
        <w:tc>
          <w:tcPr>
            <w:tcW w:w="1000" w:type="dxa"/>
            <w:vAlign w:val="bottom"/>
            <w:gridSpan w:val="2"/>
          </w:tcPr>
          <w:p>
            <w:pPr>
              <w:jc w:val="right"/>
              <w:ind w:right="452"/>
              <w:spacing w:after="0"/>
              <w:rPr>
                <w:sz w:val="20"/>
                <w:szCs w:val="20"/>
                <w:color w:val="auto"/>
              </w:rPr>
            </w:pPr>
            <w:r>
              <w:rPr>
                <w:rFonts w:ascii="Times New Roman" w:cs="Times New Roman" w:eastAsia="Times New Roman" w:hAnsi="Times New Roman"/>
                <w:sz w:val="18"/>
                <w:szCs w:val="18"/>
                <w:color w:val="auto"/>
              </w:rPr>
              <w:t>46%</w:t>
            </w:r>
          </w:p>
        </w:tc>
        <w:tc>
          <w:tcPr>
            <w:tcW w:w="1000" w:type="dxa"/>
            <w:vAlign w:val="bottom"/>
            <w:gridSpan w:val="2"/>
          </w:tcPr>
          <w:p>
            <w:pPr>
              <w:jc w:val="right"/>
              <w:ind w:right="452"/>
              <w:spacing w:after="0"/>
              <w:rPr>
                <w:sz w:val="20"/>
                <w:szCs w:val="20"/>
                <w:color w:val="auto"/>
              </w:rPr>
            </w:pPr>
            <w:r>
              <w:rPr>
                <w:rFonts w:ascii="Times New Roman" w:cs="Times New Roman" w:eastAsia="Times New Roman" w:hAnsi="Times New Roman"/>
                <w:sz w:val="18"/>
                <w:szCs w:val="18"/>
                <w:color w:val="auto"/>
              </w:rPr>
              <w:t>45%</w:t>
            </w:r>
          </w:p>
        </w:tc>
        <w:tc>
          <w:tcPr>
            <w:tcW w:w="60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6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Industrial acids and other chemical products</w:t>
            </w:r>
          </w:p>
        </w:tc>
        <w:tc>
          <w:tcPr>
            <w:tcW w:w="1000" w:type="dxa"/>
            <w:vAlign w:val="bottom"/>
            <w:gridSpan w:val="2"/>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34%</w:t>
            </w:r>
          </w:p>
        </w:tc>
        <w:tc>
          <w:tcPr>
            <w:tcW w:w="1000" w:type="dxa"/>
            <w:vAlign w:val="bottom"/>
            <w:gridSpan w:val="2"/>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32%</w:t>
            </w:r>
          </w:p>
        </w:tc>
        <w:tc>
          <w:tcPr>
            <w:tcW w:w="60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6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Mining products</w:t>
            </w:r>
          </w:p>
        </w:tc>
        <w:tc>
          <w:tcPr>
            <w:tcW w:w="1000" w:type="dxa"/>
            <w:vAlign w:val="bottom"/>
            <w:gridSpan w:val="2"/>
          </w:tcPr>
          <w:p>
            <w:pPr>
              <w:jc w:val="right"/>
              <w:ind w:right="452"/>
              <w:spacing w:after="0"/>
              <w:rPr>
                <w:sz w:val="20"/>
                <w:szCs w:val="20"/>
                <w:color w:val="auto"/>
              </w:rPr>
            </w:pPr>
            <w:r>
              <w:rPr>
                <w:rFonts w:ascii="Times New Roman" w:cs="Times New Roman" w:eastAsia="Times New Roman" w:hAnsi="Times New Roman"/>
                <w:sz w:val="18"/>
                <w:szCs w:val="18"/>
                <w:color w:val="auto"/>
              </w:rPr>
              <w:t>20%</w:t>
            </w:r>
          </w:p>
        </w:tc>
        <w:tc>
          <w:tcPr>
            <w:tcW w:w="1000" w:type="dxa"/>
            <w:vAlign w:val="bottom"/>
            <w:gridSpan w:val="2"/>
          </w:tcPr>
          <w:p>
            <w:pPr>
              <w:jc w:val="right"/>
              <w:ind w:right="452"/>
              <w:spacing w:after="0"/>
              <w:rPr>
                <w:sz w:val="20"/>
                <w:szCs w:val="20"/>
                <w:color w:val="auto"/>
              </w:rPr>
            </w:pPr>
            <w:r>
              <w:rPr>
                <w:rFonts w:ascii="Times New Roman" w:cs="Times New Roman" w:eastAsia="Times New Roman" w:hAnsi="Times New Roman"/>
                <w:sz w:val="18"/>
                <w:szCs w:val="18"/>
                <w:color w:val="auto"/>
              </w:rPr>
              <w:t>23%</w:t>
            </w:r>
          </w:p>
        </w:tc>
        <w:tc>
          <w:tcPr>
            <w:tcW w:w="60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6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Natural gas (1)</w:t>
            </w:r>
          </w:p>
        </w:tc>
        <w:tc>
          <w:tcPr>
            <w:tcW w:w="1000" w:type="dxa"/>
            <w:vAlign w:val="bottom"/>
            <w:gridSpan w:val="2"/>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9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8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8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6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1"/>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LSB’s consolidated net sales:</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6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Agricultural products</w:t>
            </w:r>
          </w:p>
        </w:tc>
        <w:tc>
          <w:tcPr>
            <w:tcW w:w="1000" w:type="dxa"/>
            <w:vAlign w:val="bottom"/>
            <w:gridSpan w:val="2"/>
          </w:tcPr>
          <w:p>
            <w:pPr>
              <w:jc w:val="right"/>
              <w:ind w:right="452"/>
              <w:spacing w:after="0"/>
              <w:rPr>
                <w:sz w:val="20"/>
                <w:szCs w:val="20"/>
                <w:color w:val="auto"/>
              </w:rPr>
            </w:pPr>
            <w:r>
              <w:rPr>
                <w:rFonts w:ascii="Times New Roman" w:cs="Times New Roman" w:eastAsia="Times New Roman" w:hAnsi="Times New Roman"/>
                <w:sz w:val="18"/>
                <w:szCs w:val="18"/>
                <w:color w:val="auto"/>
              </w:rPr>
              <w:t>29%</w:t>
            </w:r>
          </w:p>
        </w:tc>
        <w:tc>
          <w:tcPr>
            <w:tcW w:w="1000" w:type="dxa"/>
            <w:vAlign w:val="bottom"/>
            <w:gridSpan w:val="2"/>
          </w:tcPr>
          <w:p>
            <w:pPr>
              <w:jc w:val="right"/>
              <w:ind w:right="452"/>
              <w:spacing w:after="0"/>
              <w:rPr>
                <w:sz w:val="20"/>
                <w:szCs w:val="20"/>
                <w:color w:val="auto"/>
              </w:rPr>
            </w:pPr>
            <w:r>
              <w:rPr>
                <w:rFonts w:ascii="Times New Roman" w:cs="Times New Roman" w:eastAsia="Times New Roman" w:hAnsi="Times New Roman"/>
                <w:sz w:val="18"/>
                <w:szCs w:val="18"/>
                <w:color w:val="auto"/>
              </w:rPr>
              <w:t>29%</w:t>
            </w:r>
          </w:p>
        </w:tc>
        <w:tc>
          <w:tcPr>
            <w:tcW w:w="60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6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Industrial acids and other chemical products</w:t>
            </w:r>
          </w:p>
        </w:tc>
        <w:tc>
          <w:tcPr>
            <w:tcW w:w="1000" w:type="dxa"/>
            <w:vAlign w:val="bottom"/>
            <w:gridSpan w:val="2"/>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21%</w:t>
            </w:r>
          </w:p>
        </w:tc>
        <w:tc>
          <w:tcPr>
            <w:tcW w:w="1000" w:type="dxa"/>
            <w:vAlign w:val="bottom"/>
            <w:gridSpan w:val="2"/>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20%</w:t>
            </w:r>
          </w:p>
        </w:tc>
        <w:tc>
          <w:tcPr>
            <w:tcW w:w="60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6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Mining products</w:t>
            </w:r>
          </w:p>
        </w:tc>
        <w:tc>
          <w:tcPr>
            <w:tcW w:w="1000" w:type="dxa"/>
            <w:vAlign w:val="bottom"/>
            <w:gridSpan w:val="2"/>
          </w:tcPr>
          <w:p>
            <w:pPr>
              <w:jc w:val="right"/>
              <w:ind w:right="452"/>
              <w:spacing w:after="0"/>
              <w:rPr>
                <w:sz w:val="20"/>
                <w:szCs w:val="20"/>
                <w:color w:val="auto"/>
              </w:rPr>
            </w:pPr>
            <w:r>
              <w:rPr>
                <w:rFonts w:ascii="Times New Roman" w:cs="Times New Roman" w:eastAsia="Times New Roman" w:hAnsi="Times New Roman"/>
                <w:sz w:val="18"/>
                <w:szCs w:val="18"/>
                <w:color w:val="auto"/>
              </w:rPr>
              <w:t>13%</w:t>
            </w:r>
          </w:p>
        </w:tc>
        <w:tc>
          <w:tcPr>
            <w:tcW w:w="1000" w:type="dxa"/>
            <w:vAlign w:val="bottom"/>
            <w:gridSpan w:val="2"/>
          </w:tcPr>
          <w:p>
            <w:pPr>
              <w:jc w:val="right"/>
              <w:ind w:right="452"/>
              <w:spacing w:after="0"/>
              <w:rPr>
                <w:sz w:val="20"/>
                <w:szCs w:val="20"/>
                <w:color w:val="auto"/>
              </w:rPr>
            </w:pPr>
            <w:r>
              <w:rPr>
                <w:rFonts w:ascii="Times New Roman" w:cs="Times New Roman" w:eastAsia="Times New Roman" w:hAnsi="Times New Roman"/>
                <w:sz w:val="18"/>
                <w:szCs w:val="18"/>
                <w:color w:val="auto"/>
              </w:rPr>
              <w:t>15%</w:t>
            </w:r>
          </w:p>
        </w:tc>
        <w:tc>
          <w:tcPr>
            <w:tcW w:w="60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Natural gas (1)</w:t>
            </w:r>
          </w:p>
        </w:tc>
        <w:tc>
          <w:tcPr>
            <w:tcW w:w="1000" w:type="dxa"/>
            <w:vAlign w:val="bottom"/>
            <w:gridSpan w:val="2"/>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9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23"/>
        </w:trPr>
        <w:tc>
          <w:tcPr>
            <w:tcW w:w="6980" w:type="dxa"/>
            <w:vAlign w:val="bottom"/>
          </w:tcPr>
          <w:p>
            <w:pPr>
              <w:spacing w:after="0"/>
              <w:rPr>
                <w:sz w:val="19"/>
                <w:szCs w:val="19"/>
                <w:color w:val="auto"/>
              </w:rPr>
            </w:pPr>
          </w:p>
        </w:tc>
        <w:tc>
          <w:tcPr>
            <w:tcW w:w="1000" w:type="dxa"/>
            <w:vAlign w:val="bottom"/>
            <w:gridSpan w:val="2"/>
          </w:tcPr>
          <w:p>
            <w:pPr>
              <w:jc w:val="right"/>
              <w:ind w:right="452"/>
              <w:spacing w:after="0"/>
              <w:rPr>
                <w:sz w:val="20"/>
                <w:szCs w:val="20"/>
                <w:color w:val="auto"/>
              </w:rPr>
            </w:pPr>
            <w:r>
              <w:rPr>
                <w:rFonts w:ascii="Times New Roman" w:cs="Times New Roman" w:eastAsia="Times New Roman" w:hAnsi="Times New Roman"/>
                <w:sz w:val="18"/>
                <w:szCs w:val="18"/>
                <w:color w:val="auto"/>
              </w:rPr>
              <w:t>63%</w:t>
            </w:r>
          </w:p>
        </w:tc>
        <w:tc>
          <w:tcPr>
            <w:tcW w:w="1000" w:type="dxa"/>
            <w:vAlign w:val="bottom"/>
            <w:gridSpan w:val="2"/>
          </w:tcPr>
          <w:p>
            <w:pPr>
              <w:jc w:val="right"/>
              <w:ind w:right="452"/>
              <w:spacing w:after="0"/>
              <w:rPr>
                <w:sz w:val="20"/>
                <w:szCs w:val="20"/>
                <w:color w:val="auto"/>
              </w:rPr>
            </w:pPr>
            <w:r>
              <w:rPr>
                <w:rFonts w:ascii="Times New Roman" w:cs="Times New Roman" w:eastAsia="Times New Roman" w:hAnsi="Times New Roman"/>
                <w:sz w:val="18"/>
                <w:szCs w:val="18"/>
                <w:color w:val="auto"/>
              </w:rPr>
              <w:t>64%</w:t>
            </w:r>
          </w:p>
        </w:tc>
        <w:tc>
          <w:tcPr>
            <w:tcW w:w="60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69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w:t>
        <w:tab/>
        <w:t>Less than 1% in 2012</w:t>
      </w:r>
    </w:p>
    <w:p>
      <w:pPr>
        <w:spacing w:after="0" w:line="2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Market Conditions—Chemical Business</w:t>
      </w:r>
    </w:p>
    <w:p>
      <w:pPr>
        <w:spacing w:after="0" w:line="9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As discussed above and in more detail below under “Overview-Economic Conditions” of the MD&amp;A contained in this report, agricultural volumes are driven by fertilizer demand, which depends upon acres planted of crops requiring fertilizer to enhance yield. We believe the current outlook indicates a strong demand for grains that should in turn result in strong demand for the types of nitrogen fertilizer we produce. The fertilizer outlook could be affected by significant changes in commodity prices, acres planted or weather conditions. The industrial and mining volumes are driven by general economic conditions, energy prices, and contractual arrangements with certain large customers.</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Agricultural Products</w:t>
      </w:r>
    </w:p>
    <w:p>
      <w:pPr>
        <w:spacing w:after="0" w:line="9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Our Chemical Business produces UAN, agricultural grade AN, and anhydrous ammonia, all of which are nitrogen-based fertilizers. Farmers and ranchers decide which type of nitrogen-based fertilizer to apply based on the crop planted, soil and weather conditions, regional farming practices and relative nitrogen fertilizer prices. Our agricultural markets include a high concentration of pastureland and row crops, which favor our products. We sell these agricultural products to farmers, ranchers, fertilizer dealers and distributors primarily in the ranch land and grain production markets in the U.S. We develop our market position in these areas by emphasizing high quality products, customer service and technical advice. During the past few years, we have been successful in expanding outside our traditional markets by barging to distributors on the Tennessee and Ohio rivers, and by railing into certain Western States. Our historical sales of agricultural products are shown in the following table. The sales shown do not reflect amounts used internally, such as ammonia, in the manufacture of other products, or intercompany sales.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4"/>
          </w:tcPr>
          <w:p>
            <w:pPr>
              <w:jc w:val="right"/>
              <w:ind w:right="372"/>
              <w:spacing w:after="0"/>
              <w:rPr>
                <w:sz w:val="20"/>
                <w:szCs w:val="20"/>
                <w:color w:val="auto"/>
              </w:rPr>
            </w:pPr>
            <w:r>
              <w:rPr>
                <w:rFonts w:ascii="Times New Roman" w:cs="Times New Roman" w:eastAsia="Times New Roman" w:hAnsi="Times New Roman"/>
                <w:sz w:val="14"/>
                <w:szCs w:val="14"/>
                <w:color w:val="auto"/>
              </w:rPr>
              <w:t>2012</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382"/>
              <w:spacing w:after="0"/>
              <w:rPr>
                <w:sz w:val="20"/>
                <w:szCs w:val="20"/>
                <w:color w:val="auto"/>
              </w:rPr>
            </w:pPr>
            <w:r>
              <w:rPr>
                <w:rFonts w:ascii="Times New Roman" w:cs="Times New Roman" w:eastAsia="Times New Roman" w:hAnsi="Times New Roman"/>
                <w:sz w:val="14"/>
                <w:szCs w:val="14"/>
                <w:color w:val="auto"/>
              </w:rPr>
              <w:t>2011</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ind w:right="372"/>
              <w:spacing w:after="0"/>
              <w:rPr>
                <w:sz w:val="20"/>
                <w:szCs w:val="20"/>
                <w:color w:val="auto"/>
              </w:rPr>
            </w:pPr>
            <w:r>
              <w:rPr>
                <w:rFonts w:ascii="Times New Roman" w:cs="Times New Roman" w:eastAsia="Times New Roman" w:hAnsi="Times New Roman"/>
                <w:sz w:val="14"/>
                <w:szCs w:val="14"/>
                <w:color w:val="auto"/>
              </w:rPr>
              <w:t>2010</w:t>
            </w:r>
          </w:p>
        </w:tc>
        <w:tc>
          <w:tcPr>
            <w:tcW w:w="100" w:type="dxa"/>
            <w:vAlign w:val="bottom"/>
          </w:tcPr>
          <w:p>
            <w:pPr>
              <w:spacing w:after="0"/>
              <w:rPr>
                <w:sz w:val="14"/>
                <w:szCs w:val="14"/>
                <w:color w:val="auto"/>
              </w:rPr>
            </w:pPr>
          </w:p>
        </w:tc>
      </w:tr>
      <w:tr>
        <w:trPr>
          <w:trHeight w:val="142"/>
        </w:trPr>
        <w:tc>
          <w:tcPr>
            <w:tcW w:w="7320" w:type="dxa"/>
            <w:vAlign w:val="bottom"/>
          </w:tcPr>
          <w:p>
            <w:pPr>
              <w:spacing w:after="0"/>
              <w:rPr>
                <w:sz w:val="12"/>
                <w:szCs w:val="12"/>
                <w:color w:val="auto"/>
              </w:rPr>
            </w:pPr>
          </w:p>
        </w:tc>
        <w:tc>
          <w:tcPr>
            <w:tcW w:w="3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92"/>
              </w:rPr>
              <w:t>Tons</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Net Sales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jc w:val="right"/>
              <w:ind w:right="32"/>
              <w:spacing w:after="0" w:line="142" w:lineRule="exact"/>
              <w:rPr>
                <w:sz w:val="20"/>
                <w:szCs w:val="20"/>
                <w:color w:val="auto"/>
              </w:rPr>
            </w:pPr>
            <w:r>
              <w:rPr>
                <w:rFonts w:ascii="Times New Roman" w:cs="Times New Roman" w:eastAsia="Times New Roman" w:hAnsi="Times New Roman"/>
                <w:sz w:val="14"/>
                <w:szCs w:val="14"/>
                <w:color w:val="auto"/>
                <w:w w:val="99"/>
              </w:rPr>
              <w:t>Tons</w:t>
            </w:r>
          </w:p>
        </w:tc>
        <w:tc>
          <w:tcPr>
            <w:tcW w:w="120" w:type="dxa"/>
            <w:vAlign w:val="bottom"/>
          </w:tcPr>
          <w:p>
            <w:pPr>
              <w:spacing w:after="0"/>
              <w:rPr>
                <w:sz w:val="12"/>
                <w:szCs w:val="12"/>
                <w:color w:val="auto"/>
              </w:rPr>
            </w:pPr>
          </w:p>
        </w:tc>
        <w:tc>
          <w:tcPr>
            <w:tcW w:w="680" w:type="dxa"/>
            <w:vAlign w:val="bottom"/>
          </w:tcPr>
          <w:p>
            <w:pPr>
              <w:jc w:val="right"/>
              <w:ind w:right="2"/>
              <w:spacing w:after="0" w:line="142" w:lineRule="exact"/>
              <w:rPr>
                <w:sz w:val="20"/>
                <w:szCs w:val="20"/>
                <w:color w:val="auto"/>
              </w:rPr>
            </w:pPr>
            <w:r>
              <w:rPr>
                <w:rFonts w:ascii="Times New Roman" w:cs="Times New Roman" w:eastAsia="Times New Roman" w:hAnsi="Times New Roman"/>
                <w:sz w:val="14"/>
                <w:szCs w:val="14"/>
                <w:color w:val="auto"/>
              </w:rPr>
              <w:t>Net Sales</w:t>
            </w:r>
          </w:p>
        </w:tc>
        <w:tc>
          <w:tcPr>
            <w:tcW w:w="200" w:type="dxa"/>
            <w:vAlign w:val="bottom"/>
          </w:tcPr>
          <w:p>
            <w:pPr>
              <w:spacing w:after="0"/>
              <w:rPr>
                <w:sz w:val="12"/>
                <w:szCs w:val="12"/>
                <w:color w:val="auto"/>
              </w:rPr>
            </w:pPr>
          </w:p>
        </w:tc>
        <w:tc>
          <w:tcPr>
            <w:tcW w:w="40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w w:val="99"/>
              </w:rPr>
              <w:t>Tons</w:t>
            </w:r>
          </w:p>
        </w:tc>
        <w:tc>
          <w:tcPr>
            <w:tcW w:w="14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Net Sales</w:t>
            </w:r>
          </w:p>
        </w:tc>
        <w:tc>
          <w:tcPr>
            <w:tcW w:w="100" w:type="dxa"/>
            <w:vAlign w:val="bottom"/>
          </w:tcPr>
          <w:p>
            <w:pPr>
              <w:spacing w:after="0"/>
              <w:rPr>
                <w:sz w:val="12"/>
                <w:szCs w:val="12"/>
                <w:color w:val="auto"/>
              </w:rPr>
            </w:pPr>
          </w:p>
        </w:tc>
      </w:tr>
      <w:tr>
        <w:trPr>
          <w:trHeight w:val="142"/>
        </w:trPr>
        <w:tc>
          <w:tcPr>
            <w:tcW w:w="73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Borders>
              <w:top w:val="single" w:sz="8" w:color="auto"/>
            </w:tcBorders>
            <w:gridSpan w:val="3"/>
          </w:tcPr>
          <w:p>
            <w:pPr>
              <w:jc w:val="right"/>
              <w:ind w:right="102"/>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Agricultural products: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UAN</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78,526</w:t>
            </w:r>
          </w:p>
        </w:tc>
        <w:tc>
          <w:tcPr>
            <w:tcW w:w="5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421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$129,507</w:t>
            </w: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191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36,794</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AN</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65,150</w:t>
            </w:r>
          </w:p>
        </w:tc>
        <w:tc>
          <w:tcPr>
            <w:tcW w:w="58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57,703</w:t>
            </w:r>
          </w:p>
        </w:tc>
        <w:tc>
          <w:tcPr>
            <w:tcW w:w="6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56,758</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Ammonia</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48,489</w:t>
            </w:r>
          </w:p>
        </w:tc>
        <w:tc>
          <w:tcPr>
            <w:tcW w:w="5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51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26,392</w:t>
            </w: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22,430</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25,164</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19,616</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217,329</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231,599</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135,598</w:t>
            </w:r>
          </w:p>
        </w:tc>
        <w:tc>
          <w:tcPr>
            <w:tcW w:w="100" w:type="dxa"/>
            <w:vAlign w:val="bottom"/>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80" w:right="2760" w:hanging="5672"/>
        <w:spacing w:after="0" w:line="447" w:lineRule="auto"/>
        <w:tabs>
          <w:tab w:leader="none" w:pos="4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phosphate and potassium products purchased and sold through our retail and wholesale distribution centers. 6</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6"/>
          <w:szCs w:val="16"/>
          <w:color w:val="auto"/>
        </w:rPr>
        <w:t>Our Chemical Business establishes long-term relationships with wholesale agricultural distributors and retailers and also sells directly to agricultural end-users through its network of wholesale and retail distribution centers. In addition, our Chemical Business sells at market prices substantially all of the UAN produced at the Pryor Facility pursuant to an agreement with a third-party purchaser. The term of the agreement is through June 2014, but may be terminated earlier by either party pursuant to the terms of the agreement. However, during the downtime at the Pryor Facility, the force majeure provision of this agreement was in effect.</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Industrial Acids and Other Chemical Products</w:t>
      </w:r>
    </w:p>
    <w:p>
      <w:pPr>
        <w:spacing w:after="0" w:line="92" w:lineRule="exact"/>
        <w:rPr>
          <w:sz w:val="20"/>
          <w:szCs w:val="20"/>
          <w:color w:val="auto"/>
        </w:rPr>
      </w:pPr>
    </w:p>
    <w:p>
      <w:pPr>
        <w:jc w:val="both"/>
        <w:ind w:right="140"/>
        <w:spacing w:after="0" w:line="310" w:lineRule="auto"/>
        <w:rPr>
          <w:sz w:val="20"/>
          <w:szCs w:val="20"/>
          <w:color w:val="auto"/>
        </w:rPr>
      </w:pPr>
      <w:r>
        <w:rPr>
          <w:rFonts w:ascii="Times New Roman" w:cs="Times New Roman" w:eastAsia="Times New Roman" w:hAnsi="Times New Roman"/>
          <w:sz w:val="16"/>
          <w:szCs w:val="16"/>
          <w:color w:val="auto"/>
        </w:rPr>
        <w:t>Our Chemical Business manufactures and sells industrial acids and other chemical products primarily to the polyurethane, paper, fibers, fuel additives, emission control, and electronics industries. In addition, our Chemical Business produces and sells blended and regular nitric acid. Our Chemical Business is also a niche market supplier of industrial and high purity ammonia for many specialty applications, including the reduction of air emissions from power plants.</w:t>
      </w:r>
    </w:p>
    <w:p>
      <w:pPr>
        <w:spacing w:after="0" w:line="9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believe the Baytown Facility is one of the largest nitric acid manufacturing units in the U.S., with demonstrated capacity exceeding 1,350 short tons per day. The majority of the Baytown Facility’s production is sold to a customer pursuant to a long-term contract (the “Bayer Agreement”) that provides for a pass-through of certain costs, including the anhydrous ammonia costs, plus a profit. The term of the Bayer Agreement is through June 2014, with certain renewal options.</w:t>
      </w:r>
    </w:p>
    <w:p>
      <w:pPr>
        <w:spacing w:after="0" w:line="13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Our Chemical Business competes based upon service, price, location of production and distribution sites, product quality and performance and provides inventory management as part of the value-added services offered to certain customers.</w:t>
      </w:r>
    </w:p>
    <w:p>
      <w:pPr>
        <w:spacing w:after="0" w:line="1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Mining Products</w:t>
      </w:r>
    </w:p>
    <w:p>
      <w:pPr>
        <w:spacing w:after="0" w:line="9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Our Chemical Business manufactures industrial grade AN and 83% AN solution for the mining industry. Pursuant to a long-term cost-plus supply agreement (the “Orica Agreement”), our Chemical Business sells to Orica International Pte Ltd. a significant annual volume of industrial grade AN produced at the El Dorado Facility. The term of the agreement is through December 2014.</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Major Customer—Chemical Business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net sales to our major customer relating to our products of the Chemical Business:</w:t>
      </w:r>
    </w:p>
    <w:p>
      <w:pPr>
        <w:spacing w:after="0" w:line="21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310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color w:val="auto"/>
              </w:rPr>
              <w:t>2012</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2011</w:t>
            </w:r>
          </w:p>
        </w:tc>
        <w:tc>
          <w:tcPr>
            <w:tcW w:w="62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2"/>
              </w:rPr>
              <w:t>2010</w:t>
            </w:r>
          </w:p>
        </w:tc>
        <w:tc>
          <w:tcPr>
            <w:tcW w:w="200" w:type="dxa"/>
            <w:vAlign w:val="bottom"/>
          </w:tcPr>
          <w:p>
            <w:pPr>
              <w:spacing w:after="0"/>
              <w:rPr>
                <w:sz w:val="14"/>
                <w:szCs w:val="14"/>
                <w:color w:val="auto"/>
              </w:rPr>
            </w:pPr>
          </w:p>
        </w:tc>
      </w:tr>
      <w:tr>
        <w:trPr>
          <w:trHeight w:val="196"/>
        </w:trPr>
        <w:tc>
          <w:tcPr>
            <w:tcW w:w="51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sales to Orica as a percentage of:</w:t>
            </w:r>
          </w:p>
        </w:tc>
        <w:tc>
          <w:tcPr>
            <w:tcW w:w="2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5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sales of the Chemical Business</w:t>
            </w:r>
          </w:p>
        </w:tc>
        <w:tc>
          <w:tcPr>
            <w:tcW w:w="31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14%</w:t>
            </w:r>
          </w:p>
        </w:tc>
        <w:tc>
          <w:tcPr>
            <w:tcW w:w="8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17%</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5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LSB’s consolidated net sales</w:t>
            </w:r>
          </w:p>
        </w:tc>
        <w:tc>
          <w:tcPr>
            <w:tcW w:w="31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r>
    </w:tbl>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Raw Materials—Chemical Business</w:t>
      </w:r>
    </w:p>
    <w:p>
      <w:pPr>
        <w:spacing w:after="0" w:line="92"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The products our Chemical Business manufactures are primarily derived from the following raw material feedstocks: anhydrous ammonia and natural gas. These raw material feedstocks are commodities, subject to price fluctuations.</w:t>
      </w:r>
    </w:p>
    <w:p>
      <w:pPr>
        <w:spacing w:after="0" w:line="12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El Dorado Facility normally purchases approximately 200,000 tons of anhydrous ammonia annually and produces and sells approximately 470,000 tons of nitrogen-based products per year. Although anhydrous ammonia is produced from natural gas, the price does not necessarily follow the spot price of natural gas in the United States. Anhydrous ammonia is an internationally traded commodity and the relative price is set in the world market while natural gas is primarily a nationally traded commodity. The ammonia supply to the El Dorado Facility is transported from the Gulf of Mexico by pipeline. Under an agreement with its principal supplier of anhydrous ammonia, our subsidiary, El Dorado Chemical Company (“EDC”), will purchase a majority of its anhydrous ammonia requirements through December 2015 from this supplier. We believe that we can obtain anhydrous ammonia from other sources in the event of an interruption of service under the above-referenced contract.</w:t>
      </w:r>
    </w:p>
    <w:p>
      <w:pPr>
        <w:spacing w:after="0" w:line="14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Cherokee Facility normally purchases 5 million to 6 million MMBtu of natural gas to produce and sell approximately 300,000 to 370,000 tons of nitrogen-based products per year. Natural gas is a primary raw material for producing anhydrous ammonia, UAN and other products. Periodically, the Cherokee Facility purchases approximately 175,000 tons of anhydrous ammonia to supplement its annual production capacity. Anhydrous ammonia can be delivered to the Cherokee Facility by truck, rail or barge.</w:t>
      </w:r>
    </w:p>
    <w:p>
      <w:pPr>
        <w:spacing w:after="0" w:line="136"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The Pryor Facility normally purchases 5 million to 6 million MMBtu of natural gas to produce and sell approximately 300,000-335,000 tons of nitrogen-based products per year.</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455" w:right="2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The Cherokee and Pryor Facilities’ natural gas feedstock requirements are generally purchased at spot market price. Periodically, we will enter into firm purchase commitments and/or futures/forward contracts to economically hedge the cost of certain of the natural gas requirements. Also see our discussion above concerning an acquisition of working interests in certain natural gas properties as part of our hedging strategy.</w:t>
      </w:r>
    </w:p>
    <w:p>
      <w:pPr>
        <w:spacing w:after="0" w:line="132" w:lineRule="exact"/>
        <w:rPr>
          <w:sz w:val="20"/>
          <w:szCs w:val="20"/>
          <w:color w:val="auto"/>
        </w:rPr>
      </w:pPr>
    </w:p>
    <w:p>
      <w:pPr>
        <w:ind w:right="140"/>
        <w:spacing w:after="0" w:line="339" w:lineRule="auto"/>
        <w:rPr>
          <w:sz w:val="20"/>
          <w:szCs w:val="20"/>
          <w:color w:val="auto"/>
        </w:rPr>
      </w:pPr>
      <w:r>
        <w:rPr>
          <w:rFonts w:ascii="Times New Roman" w:cs="Times New Roman" w:eastAsia="Times New Roman" w:hAnsi="Times New Roman"/>
          <w:sz w:val="16"/>
          <w:szCs w:val="16"/>
          <w:color w:val="auto"/>
        </w:rPr>
        <w:t>The Baytown Facility consumes more than 120,000 tons of purchased anhydrous ammonia per year; however, the majority of the Baytown Facility’s production is sold to a customer pursuant to the Bayer Agreement that provides for a pass-through of certain costs, including the anhydrous ammonia costs, plus a profit.</w:t>
      </w:r>
    </w:p>
    <w:p>
      <w:pPr>
        <w:spacing w:after="0" w:line="74"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Spot anhydrous ammonia and natural gas costs have fluctuated dramatically in recent years. The following table shows, for the periods indicated, the high and low published prices for:</w:t>
      </w:r>
    </w:p>
    <w:p>
      <w:pPr>
        <w:spacing w:after="0" w:line="39" w:lineRule="exact"/>
        <w:rPr>
          <w:sz w:val="20"/>
          <w:szCs w:val="20"/>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ammonia based upon the low Tampa price per metric ton as published by Fertecon and FMB Ammonia reports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gas based upon the daily spot price at the Henry Hub pipeline pricing point.</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Ammonia Prices Per</w:t>
            </w:r>
          </w:p>
        </w:tc>
        <w:tc>
          <w:tcPr>
            <w:tcW w:w="13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color w:val="auto"/>
                <w:w w:val="95"/>
              </w:rPr>
              <w:t>Natural Gas</w:t>
            </w:r>
          </w:p>
        </w:tc>
      </w:tr>
      <w:tr>
        <w:trPr>
          <w:trHeight w:val="161"/>
        </w:trPr>
        <w:tc>
          <w:tcPr>
            <w:tcW w:w="39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Metric Ton</w:t>
            </w: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color w:val="auto"/>
                <w:w w:val="97"/>
              </w:rPr>
              <w:t>Prices Per MMBtu</w:t>
            </w:r>
          </w:p>
        </w:tc>
      </w:tr>
      <w:tr>
        <w:trPr>
          <w:trHeight w:val="142"/>
        </w:trPr>
        <w:tc>
          <w:tcPr>
            <w:tcW w:w="39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480"/>
              <w:spacing w:after="0" w:line="142" w:lineRule="exact"/>
              <w:rPr>
                <w:sz w:val="20"/>
                <w:szCs w:val="20"/>
                <w:color w:val="auto"/>
              </w:rPr>
            </w:pPr>
            <w:r>
              <w:rPr>
                <w:rFonts w:ascii="Times New Roman" w:cs="Times New Roman" w:eastAsia="Times New Roman" w:hAnsi="Times New Roman"/>
                <w:sz w:val="14"/>
                <w:szCs w:val="14"/>
                <w:color w:val="auto"/>
                <w:w w:val="92"/>
              </w:rPr>
              <w:t>High</w:t>
            </w: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4"/>
                <w:szCs w:val="14"/>
                <w:color w:val="auto"/>
                <w:w w:val="93"/>
              </w:rPr>
              <w:t>Low</w:t>
            </w:r>
          </w:p>
        </w:tc>
        <w:tc>
          <w:tcPr>
            <w:tcW w:w="380" w:type="dxa"/>
            <w:vAlign w:val="bottom"/>
          </w:tcPr>
          <w:p>
            <w:pPr>
              <w:spacing w:after="0"/>
              <w:rPr>
                <w:sz w:val="12"/>
                <w:szCs w:val="12"/>
                <w:color w:val="auto"/>
              </w:rPr>
            </w:pPr>
          </w:p>
        </w:tc>
        <w:tc>
          <w:tcPr>
            <w:tcW w:w="4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2"/>
              </w:rPr>
              <w:t>High</w:t>
            </w:r>
          </w:p>
        </w:tc>
        <w:tc>
          <w:tcPr>
            <w:tcW w:w="4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Low</w:t>
            </w:r>
          </w:p>
        </w:tc>
        <w:tc>
          <w:tcPr>
            <w:tcW w:w="100" w:type="dxa"/>
            <w:vAlign w:val="bottom"/>
          </w:tcPr>
          <w:p>
            <w:pPr>
              <w:spacing w:after="0"/>
              <w:rPr>
                <w:sz w:val="12"/>
                <w:szCs w:val="12"/>
                <w:color w:val="auto"/>
              </w:rPr>
            </w:pPr>
          </w:p>
        </w:tc>
      </w:tr>
      <w:tr>
        <w:trPr>
          <w:trHeight w:val="210"/>
        </w:trPr>
        <w:tc>
          <w:tcPr>
            <w:tcW w:w="3900" w:type="dxa"/>
            <w:vAlign w:val="bottom"/>
            <w:tcBorders>
              <w:top w:val="single" w:sz="8" w:color="CCEEFF"/>
            </w:tcBorders>
            <w:shd w:val="clear" w:color="auto" w:fill="CCEEFF"/>
          </w:tcPr>
          <w:p>
            <w:pPr>
              <w:jc w:val="right"/>
              <w:ind w:right="3452"/>
              <w:spacing w:after="0"/>
              <w:rPr>
                <w:sz w:val="20"/>
                <w:szCs w:val="20"/>
                <w:color w:val="auto"/>
              </w:rPr>
            </w:pPr>
            <w:r>
              <w:rPr>
                <w:rFonts w:ascii="Times New Roman" w:cs="Times New Roman" w:eastAsia="Times New Roman" w:hAnsi="Times New Roman"/>
                <w:sz w:val="18"/>
                <w:szCs w:val="18"/>
                <w:color w:val="auto"/>
                <w:w w:val="94"/>
              </w:rPr>
              <w:t>2012</w:t>
            </w:r>
          </w:p>
        </w:tc>
        <w:tc>
          <w:tcPr>
            <w:tcW w:w="3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3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$ 3.77</w:t>
            </w:r>
          </w:p>
        </w:tc>
        <w:tc>
          <w:tcPr>
            <w:tcW w:w="4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$ 1.83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00" w:type="dxa"/>
            <w:vAlign w:val="bottom"/>
          </w:tcPr>
          <w:p>
            <w:pPr>
              <w:jc w:val="right"/>
              <w:ind w:right="3452"/>
              <w:spacing w:after="0"/>
              <w:rPr>
                <w:sz w:val="20"/>
                <w:szCs w:val="20"/>
                <w:color w:val="auto"/>
              </w:rPr>
            </w:pPr>
            <w:r>
              <w:rPr>
                <w:rFonts w:ascii="Times New Roman" w:cs="Times New Roman" w:eastAsia="Times New Roman" w:hAnsi="Times New Roman"/>
                <w:sz w:val="18"/>
                <w:szCs w:val="18"/>
                <w:color w:val="auto"/>
                <w:w w:val="94"/>
              </w:rPr>
              <w:t>2011</w:t>
            </w:r>
          </w:p>
        </w:tc>
        <w:tc>
          <w:tcPr>
            <w:tcW w:w="3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705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475</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$ 4.92</w:t>
            </w:r>
          </w:p>
        </w:tc>
        <w:tc>
          <w:tcPr>
            <w:tcW w:w="820" w:type="dxa"/>
            <w:vAlign w:val="bottom"/>
            <w:gridSpan w:val="2"/>
          </w:tcPr>
          <w:p>
            <w:pPr>
              <w:jc w:val="center"/>
              <w:ind w:left="312"/>
              <w:spacing w:after="0"/>
              <w:rPr>
                <w:sz w:val="20"/>
                <w:szCs w:val="20"/>
                <w:color w:val="auto"/>
              </w:rPr>
            </w:pPr>
            <w:r>
              <w:rPr>
                <w:rFonts w:ascii="Times New Roman" w:cs="Times New Roman" w:eastAsia="Times New Roman" w:hAnsi="Times New Roman"/>
                <w:sz w:val="18"/>
                <w:szCs w:val="18"/>
                <w:color w:val="auto"/>
                <w:w w:val="93"/>
              </w:rPr>
              <w:t>$ 2.80</w:t>
            </w:r>
          </w:p>
        </w:tc>
        <w:tc>
          <w:tcPr>
            <w:tcW w:w="100" w:type="dxa"/>
            <w:vAlign w:val="bottom"/>
          </w:tcPr>
          <w:p>
            <w:pPr>
              <w:spacing w:after="0"/>
              <w:rPr>
                <w:sz w:val="18"/>
                <w:szCs w:val="18"/>
                <w:color w:val="auto"/>
              </w:rPr>
            </w:pPr>
          </w:p>
        </w:tc>
      </w:tr>
      <w:tr>
        <w:trPr>
          <w:trHeight w:val="216"/>
        </w:trPr>
        <w:tc>
          <w:tcPr>
            <w:tcW w:w="3900" w:type="dxa"/>
            <w:vAlign w:val="bottom"/>
            <w:shd w:val="clear" w:color="auto" w:fill="CCEEFF"/>
          </w:tcPr>
          <w:p>
            <w:pPr>
              <w:jc w:val="right"/>
              <w:ind w:right="3452"/>
              <w:spacing w:after="0"/>
              <w:rPr>
                <w:sz w:val="20"/>
                <w:szCs w:val="20"/>
                <w:color w:val="auto"/>
              </w:rPr>
            </w:pPr>
            <w:r>
              <w:rPr>
                <w:rFonts w:ascii="Times New Roman" w:cs="Times New Roman" w:eastAsia="Times New Roman" w:hAnsi="Times New Roman"/>
                <w:sz w:val="18"/>
                <w:szCs w:val="18"/>
                <w:color w:val="auto"/>
                <w:w w:val="94"/>
              </w:rPr>
              <w:t>2010</w:t>
            </w:r>
          </w:p>
        </w:tc>
        <w:tc>
          <w:tcPr>
            <w:tcW w:w="3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300</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$ 7.51</w:t>
            </w:r>
          </w:p>
        </w:tc>
        <w:tc>
          <w:tcPr>
            <w:tcW w:w="820" w:type="dxa"/>
            <w:vAlign w:val="bottom"/>
            <w:gridSpan w:val="2"/>
            <w:shd w:val="clear" w:color="auto" w:fill="CCEEFF"/>
          </w:tcPr>
          <w:p>
            <w:pPr>
              <w:jc w:val="center"/>
              <w:ind w:left="312"/>
              <w:spacing w:after="0"/>
              <w:rPr>
                <w:sz w:val="20"/>
                <w:szCs w:val="20"/>
                <w:color w:val="auto"/>
              </w:rPr>
            </w:pPr>
            <w:r>
              <w:rPr>
                <w:rFonts w:ascii="Times New Roman" w:cs="Times New Roman" w:eastAsia="Times New Roman" w:hAnsi="Times New Roman"/>
                <w:sz w:val="18"/>
                <w:szCs w:val="18"/>
                <w:color w:val="auto"/>
                <w:w w:val="93"/>
              </w:rPr>
              <w:t>$ 3.18</w:t>
            </w:r>
          </w:p>
        </w:tc>
        <w:tc>
          <w:tcPr>
            <w:tcW w:w="10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15, 2013, the published price, as described above, for ammonia was $655 per metric ton and natural gas was $3.30 per MMBtu.</w:t>
      </w:r>
    </w:p>
    <w:p>
      <w:pPr>
        <w:spacing w:after="0" w:line="2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Sales Strategy—Chemical Business</w:t>
      </w:r>
    </w:p>
    <w:p>
      <w:pPr>
        <w:spacing w:after="0" w:line="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Chemical Business has pursued a strategy of developing industrial and mining customers that purchase substantial quantities of products, including contractual obligations to purchase minimum quantities and pricing arrangements that provide for the pass through of raw material and other manufacturing costs. These arrangements help mitigate the volatility risk inherent in the raw material feedstocks and/or the changes in demand for our products. For 2012, approximately 54% of the Chemical Business’ sales were into industrial and mining markets of which approximately 60% of these sales were pursuant to these types of arrangements. Approximately 46% of our 2012 sales were into agricultural markets primarily at the price in effect at time of shipment. Periodically, we enter into firm purchase commitments and/or futures/forward contracts to economically hedge the cost of natural gas for the purpose of securing the profit margin on a certain portion of our firm sales price commitments in our Chemical Business. Also see our discussion above concerning an acquisition of working interests in certain natural gas properties.</w:t>
      </w:r>
    </w:p>
    <w:p>
      <w:pPr>
        <w:spacing w:after="0" w:line="13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spot sales prices of our agricultural products may not have a correlation to the anhydrous ammonia and natural gas feedstock costs but rather reflect market conditions for like and competing nitrogen sources. This lack of correlation can compromise our ability to recover our full cost to produce the product in this market. Additionally, the lack of sufficient non-seasonal sales volume to operate our manufacturing facilities at optimum levels can preclude the Chemical Business from reaching full performance potential. Looking forward, we are pursuing profitable growth of our Chemical Business including the potential to increase the output of our existing production facilities. See further discussion under “Capital Expenditures” of our MD&amp;A contained in this report. Our strategy also calls for increased emphasis on the agricultural sector, while remaining committed to further developing industrial customers who assume the volatility risk associated with the cost of natural gas and ammonia.</w:t>
      </w:r>
    </w:p>
    <w:p>
      <w:pPr>
        <w:spacing w:after="0" w:line="2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Seasonality—Chemical Business</w:t>
      </w:r>
    </w:p>
    <w:p>
      <w:pPr>
        <w:spacing w:after="0" w:line="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believe that the only significant seasonal products that we market are fertilizer and related chemical products sold by our Chemical Business to the agricultural industry. The selling seasons for those products are primarily during the spring and fall planting seasons, which typically extend from March through June and from September through November in the geographical markets in which the majority of our agricultural products are distributed. As a result, our Chemical Business typically increases its inventory of AN and UAN prior to the beginning of each planting season. In addition, the amount and timing of sales to the agricultural markets depend upon weather conditions and other circumstances beyond our control.</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455" w:right="2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Regulatory Matters—Chemical Business</w:t>
      </w:r>
    </w:p>
    <w:p>
      <w:pPr>
        <w:spacing w:after="0" w:line="92"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Our Chemical Business is subject to extensive federal, state and local environmental laws, rules and regulations as discussed under “Environmental Matters” of this Item 1 and various risk factors under Item 1A.</w:t>
      </w:r>
    </w:p>
    <w:p>
      <w:pPr>
        <w:spacing w:after="0" w:line="1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Competition—Chemical Business</w:t>
      </w:r>
    </w:p>
    <w:p>
      <w:pPr>
        <w:spacing w:after="0" w:line="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Chemical Business competes with several chemical companies in our markets, such as Agrium, CF Industries, Coffeyville Resources, Dyno Nobel, Koch, Potash Corporation of Saskatchewan, and Yara International, many of whom have greater financial and other resources than we do. We believe that competition within the markets served by our Chemical Business is primarily based upon service, price, location of production and distribution sites, and product quality and performance.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Climate Control Business</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9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Climate Control Business manufactures and sells a broad range of standard and custom designed geothermal and water source heat pumps and hydronic fan coils as well as large custom air handlers and modular chiller systems, including modular geothermal chillers and simultaneous heating and cooling modules. These products are for use in commercial/institutional and residential HVAC systems. Our products are installed in some of the most recognizable commercial/institutional developments in the U.S., including the Prudential Tower, Rockefeller Plaza, Trump Tower, Time Warner Center and many others. In addition, we have a significant presence in the lodging sector with installations in numerous Hyatt, Marriott, Four Seasons, Starwood, Ritz Carlton and Hilton hotels, among others.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net sales information relating to our products of the Climate Control Business:</w:t>
      </w:r>
    </w:p>
    <w:p>
      <w:pPr>
        <w:spacing w:after="0" w:line="21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2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2"/>
              </w:rPr>
              <w:t>2012</w:t>
            </w:r>
          </w:p>
        </w:tc>
        <w:tc>
          <w:tcPr>
            <w:tcW w:w="6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2011</w:t>
            </w:r>
          </w:p>
        </w:tc>
        <w:tc>
          <w:tcPr>
            <w:tcW w:w="6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2010</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Percentage of net sales of the Climate Control Business:</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Geothermal and water source heat pumps</w:t>
            </w: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61%</w:t>
            </w: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65%</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Hydronic fan coils</w:t>
            </w:r>
          </w:p>
        </w:tc>
        <w:tc>
          <w:tcPr>
            <w:tcW w:w="9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21%</w:t>
            </w: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19%</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HVAC products</w:t>
            </w: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18%</w:t>
            </w: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16%</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100%</w:t>
            </w: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100%</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Percentage of LSB’s consolidated net sales: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Geothermal and water source heat pumps</w:t>
            </w:r>
          </w:p>
        </w:tc>
        <w:tc>
          <w:tcPr>
            <w:tcW w:w="9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22%</w:t>
            </w: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23%</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Hydronic fan coils</w:t>
            </w: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w:t>
            </w: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HVAC products</w:t>
            </w:r>
          </w:p>
        </w:tc>
        <w:tc>
          <w:tcPr>
            <w:tcW w:w="9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0" w:type="dxa"/>
            <w:vAlign w:val="bottom"/>
          </w:tcPr>
          <w:p>
            <w:pPr>
              <w:spacing w:after="0"/>
              <w:rPr>
                <w:sz w:val="19"/>
                <w:szCs w:val="19"/>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35%</w:t>
            </w: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35%</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Market Conditions—Climate Control Business</w:t>
      </w:r>
    </w:p>
    <w:p>
      <w:pPr>
        <w:spacing w:after="0" w:line="9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As discussed above, CMFS has indicated that construction activity for the markets we serve in the commercial/institutional sector are expected to increase in aggregate during 2013 and return to the activity levels experienced in 2011. CMFS has also indicated construction growth in the single-family residential sector for 2013.</w:t>
      </w:r>
    </w:p>
    <w:p>
      <w:pPr>
        <w:spacing w:after="0" w:line="132"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In addition, we believe that tax credits and incentives contained in the American Reinvestment and Recovery Act of 2009, have and could continue to stimulate sales of our geothermal heat pump products, as well as other “green” products.</w:t>
      </w:r>
    </w:p>
    <w:p>
      <w:pPr>
        <w:spacing w:after="0" w:line="1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Geothermal and Water Source Heat Pumps</w:t>
      </w:r>
    </w:p>
    <w:p>
      <w:pPr>
        <w:spacing w:after="0" w:line="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believe our Climate Control Business is a leading provider of geothermal and water source heat pumps to the commercial/institutional construction and renovation markets in the U.S. Water source heat pumps are highly efficient heating and cooling products, which enable individual room climate control through the transfer of heat using a water pipe system connected to a centralized cooling tower or heat injector. Water source heat pumps enjoy a broad range of commercial/institutional applications, particularly in medium to large sized buildings with many small, individually controlled spaces. We believe the market share for commercial/institutional water source heat pumps relative to other types of heating and air conditioning systems should continue to grow due to the relative efficiency and longevity of such systems, as well as the replacement market for those systems.</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00"/>
          </w:cols>
          <w:pgMar w:left="240" w:top="455" w:right="3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also provide geothermal heat pumps in residential and commercial/institutional applications. Geothermal systems, which circulate water or a combination of water and antifreeze through an underground heat exchanger, are considered to be the most energy efficient systems currently available in the market. We believe the energy efficiency and longer life of geothermal systems, as compared with other systems, as well as tax incentives that are available to homeowners and businesses when installing geothermal systems, will increase demand for our geothermal products. Our products are sold to the commercial/institutional markets, as well as single and multi-family residential new construction, renovation and replacements.</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Hydronic Fan Coils</w:t>
      </w:r>
    </w:p>
    <w:p>
      <w:pPr>
        <w:spacing w:after="0" w:line="92"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We believe that our Climate Control Business is a leading provider of hydronic fan coils targeting commercial and institutional markets. Hydronic fan coils use heated or chilled water provided by a centralized chiller and/or boiler, through a water pipe system, to condition the air and allow individual room control. Hydronic fan coil systems are quieter, have longer lives and lower maintenance costs than other comparable systems used where individual room control is required. Important components of our strategy for competing in the commercial/institutional renovation and replacement markets include the breadth of our product line coupled with customization capability provided by a flexible manufacturing process. Hydronic fan coils enjoy a broad range of commercial/institutional applications, particularly in medium to large sized buildings with many small, individually controlled spaces.</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Production and Backlog—Climate Control Business</w:t>
      </w:r>
    </w:p>
    <w:p>
      <w:pPr>
        <w:spacing w:after="0" w:line="17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We manufacture our products in many sizes and configurations, as required by the purchaser, to fit the space and capacity requirements of hotels, motels, schools, hospitals, apartment buildings, office buildings and other commercial/institutional or residential structures. Most customers place their product orders well in advance of required delivery dates.</w:t>
      </w:r>
    </w:p>
    <w:p>
      <w:pPr>
        <w:spacing w:after="0" w:line="132" w:lineRule="exact"/>
        <w:rPr>
          <w:sz w:val="20"/>
          <w:szCs w:val="20"/>
          <w:color w:val="auto"/>
        </w:rPr>
      </w:pPr>
    </w:p>
    <w:p>
      <w:pPr>
        <w:ind w:right="220"/>
        <w:spacing w:after="0" w:line="301" w:lineRule="auto"/>
        <w:rPr>
          <w:sz w:val="20"/>
          <w:szCs w:val="20"/>
          <w:color w:val="auto"/>
        </w:rPr>
      </w:pPr>
      <w:r>
        <w:rPr>
          <w:rFonts w:ascii="Times New Roman" w:cs="Times New Roman" w:eastAsia="Times New Roman" w:hAnsi="Times New Roman"/>
          <w:sz w:val="16"/>
          <w:szCs w:val="16"/>
          <w:color w:val="auto"/>
        </w:rPr>
        <w:t>The backlog of confirmed customer product orders (purchase orders from customers that have been accepted and received credit approval) for our Climate Control Business was approximately $55.5 million and $44.5 million as of December 31, 2012 and 2011, respectively. The backlog of product orders generally does not include amounts relating to shipping and handling charges, service orders or service contract orders. The backlog also excludes contracts for our construction business due to the relative size of individual projects and, in some cases, extended timeframe for completion beyond a twelve-month period.</w:t>
      </w:r>
    </w:p>
    <w:p>
      <w:pPr>
        <w:spacing w:after="0" w:line="103" w:lineRule="exact"/>
        <w:rPr>
          <w:sz w:val="20"/>
          <w:szCs w:val="20"/>
          <w:color w:val="auto"/>
        </w:rPr>
      </w:pPr>
    </w:p>
    <w:p>
      <w:pPr>
        <w:jc w:val="both"/>
        <w:spacing w:after="0" w:line="339" w:lineRule="auto"/>
        <w:rPr>
          <w:sz w:val="20"/>
          <w:szCs w:val="20"/>
          <w:color w:val="auto"/>
        </w:rPr>
      </w:pPr>
      <w:r>
        <w:rPr>
          <w:rFonts w:ascii="Times New Roman" w:cs="Times New Roman" w:eastAsia="Times New Roman" w:hAnsi="Times New Roman"/>
          <w:sz w:val="16"/>
          <w:szCs w:val="16"/>
          <w:color w:val="auto"/>
        </w:rPr>
        <w:t>Historically, we have not experienced significant cancellations relating to our backlog of confirmed customer product orders. We expect to ship substantially all of these orders within the next twelve months; however, it is possible that some of our customers could cancel a portion of our backlog or extend the shipment terms.</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Distribution—Climate Control Business</w:t>
      </w:r>
    </w:p>
    <w:p>
      <w:pPr>
        <w:spacing w:after="0" w:line="92" w:lineRule="exact"/>
        <w:rPr>
          <w:sz w:val="20"/>
          <w:szCs w:val="20"/>
          <w:color w:val="auto"/>
        </w:rPr>
      </w:pPr>
    </w:p>
    <w:p>
      <w:pPr>
        <w:ind w:right="180"/>
        <w:spacing w:after="0" w:line="301" w:lineRule="auto"/>
        <w:rPr>
          <w:sz w:val="20"/>
          <w:szCs w:val="20"/>
          <w:color w:val="auto"/>
        </w:rPr>
      </w:pPr>
      <w:r>
        <w:rPr>
          <w:rFonts w:ascii="Times New Roman" w:cs="Times New Roman" w:eastAsia="Times New Roman" w:hAnsi="Times New Roman"/>
          <w:sz w:val="16"/>
          <w:szCs w:val="16"/>
          <w:color w:val="auto"/>
        </w:rPr>
        <w:t>Our Climate Control Business sells its products primarily to mechanical contractors, original equipment manufacturers (“OEMs”) and distributors. Our sales to mechanical contractors primarily occur through independent manufacturers’ representatives, who also represent complementary product lines not manufactured by us. OEMs generally consist of other air conditioning and heating equipment manufacturers who resell under their own brand name the products purchased from our Climate Control Business. The following table summarizes net sales to OEMs relating to our products of the Climate Control Business:</w:t>
      </w:r>
    </w:p>
    <w:p>
      <w:pPr>
        <w:spacing w:after="0" w:line="14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86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color w:val="auto"/>
              </w:rPr>
              <w:t>2012</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2011</w:t>
            </w:r>
          </w:p>
        </w:tc>
        <w:tc>
          <w:tcPr>
            <w:tcW w:w="62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2"/>
              </w:rPr>
              <w:t>2010</w:t>
            </w:r>
          </w:p>
        </w:tc>
        <w:tc>
          <w:tcPr>
            <w:tcW w:w="200" w:type="dxa"/>
            <w:vAlign w:val="bottom"/>
          </w:tcPr>
          <w:p>
            <w:pPr>
              <w:spacing w:after="0"/>
              <w:rPr>
                <w:sz w:val="14"/>
                <w:szCs w:val="14"/>
                <w:color w:val="auto"/>
              </w:rPr>
            </w:pPr>
          </w:p>
        </w:tc>
      </w:tr>
      <w:tr>
        <w:trPr>
          <w:trHeight w:val="196"/>
        </w:trPr>
        <w:tc>
          <w:tcPr>
            <w:tcW w:w="53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sales to OEMs as a percentage of:</w:t>
            </w:r>
          </w:p>
        </w:tc>
        <w:tc>
          <w:tcPr>
            <w:tcW w:w="19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5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sales of the Climate Control Business</w:t>
            </w:r>
          </w:p>
        </w:tc>
        <w:tc>
          <w:tcPr>
            <w:tcW w:w="28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22%</w:t>
            </w:r>
          </w:p>
        </w:tc>
        <w:tc>
          <w:tcPr>
            <w:tcW w:w="8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21%</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5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LSB’s consolidated net sales</w:t>
            </w:r>
          </w:p>
        </w:tc>
        <w:tc>
          <w:tcPr>
            <w:tcW w:w="28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w:t>
            </w:r>
          </w:p>
        </w:tc>
        <w:tc>
          <w:tcPr>
            <w:tcW w:w="8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r>
    </w:tbl>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Market—Climate Control Business</w:t>
      </w:r>
    </w:p>
    <w:p>
      <w:pPr>
        <w:spacing w:after="0" w:line="9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Climate Control Business market includes commercial/institutional and residential new building construction, renovation of existing buildings and replacement of existing systems. This includes, but is not limited to, custom designed geothermal and water source heat pumps, hydronic fan coils, large custom air handlers, modular chiller systems including geothermal chillers and simultaneous heating and cooling modules in markets such as education, single-family residential, multi-family residential, healthcare, hospitality, retail, and industrial.</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45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Raw Materials and Components—Climate Control Business</w:t>
      </w:r>
    </w:p>
    <w:p>
      <w:pPr>
        <w:spacing w:after="0" w:line="92" w:lineRule="exact"/>
        <w:rPr>
          <w:sz w:val="20"/>
          <w:szCs w:val="20"/>
          <w:color w:val="auto"/>
        </w:rPr>
      </w:pPr>
    </w:p>
    <w:p>
      <w:pPr>
        <w:ind w:right="100"/>
        <w:spacing w:after="0" w:line="296" w:lineRule="auto"/>
        <w:rPr>
          <w:sz w:val="20"/>
          <w:szCs w:val="20"/>
          <w:color w:val="auto"/>
        </w:rPr>
      </w:pPr>
      <w:r>
        <w:rPr>
          <w:rFonts w:ascii="Times New Roman" w:cs="Times New Roman" w:eastAsia="Times New Roman" w:hAnsi="Times New Roman"/>
          <w:sz w:val="16"/>
          <w:szCs w:val="16"/>
          <w:color w:val="auto"/>
        </w:rPr>
        <w:t>Numerous domestic and foreign sources exist for the materials and components used by our Climate Control Business, which include compressors, copper, steel, electric motors, valves and aluminum. Periodically, our Climate Control Business enters into futures contracts for copper. We do not anticipate any difficulties in obtaining necessary materials and components for our Climate Control Business. Although we believe we will be able to pass to our customers the majority of any cost increases in the form of higher prices, the timing of these price increases could lag the increases in the cost of materials and components. While we believe we will have sufficient sources for materials and components, a shortage could impact production of our Climate Control products.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Competition—Climate Control Business</w:t>
      </w:r>
    </w:p>
    <w:p>
      <w:pPr>
        <w:spacing w:after="0" w:line="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Climate Control Business competes with several companies, primarily Carrier, Trane, Nortek, McQuay, and Bosch, some of whom are also our customers. Some of our competitors serve other markets and have greater financial and other resources than we do. We believe our Climate Control Business manufactures a broader line of geothermal and water source heat pump and fan coil products than any other manufacturer in the United States and that we are competitive as to price, service, warranty and product performance.</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Continue to Introduce New Products—Climate Control Business</w:t>
      </w:r>
    </w:p>
    <w:p>
      <w:pPr>
        <w:spacing w:after="0" w:line="92"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color w:val="auto"/>
        </w:rPr>
        <w:t>Based on business plans and key objectives submitted by subsidiaries within our Climate Control Business, we expect to continue to launch new products and product upgrades in an effort to maintain and increase our current market position and to establish a presence in new markets served by the Climate Control Business.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Employees</w:t>
      </w:r>
    </w:p>
    <w:p>
      <w:pPr>
        <w:spacing w:after="0" w:line="92" w:lineRule="exact"/>
        <w:rPr>
          <w:sz w:val="20"/>
          <w:szCs w:val="20"/>
          <w:color w:val="auto"/>
        </w:rPr>
      </w:pPr>
    </w:p>
    <w:p>
      <w:pPr>
        <w:jc w:val="both"/>
        <w:ind w:right="380"/>
        <w:spacing w:after="0" w:line="262" w:lineRule="auto"/>
        <w:rPr>
          <w:sz w:val="20"/>
          <w:szCs w:val="20"/>
          <w:color w:val="auto"/>
        </w:rPr>
      </w:pPr>
      <w:r>
        <w:rPr>
          <w:rFonts w:ascii="Times New Roman" w:cs="Times New Roman" w:eastAsia="Times New Roman" w:hAnsi="Times New Roman"/>
          <w:sz w:val="18"/>
          <w:szCs w:val="18"/>
          <w:color w:val="auto"/>
        </w:rPr>
        <w:t>As of December 31, 2012, we employed 1,881 persons. As of that date, our Chemical Business employed 508 persons, with 149 represented by unions under agreements that expire in July through November of 2013, and our Climate Control Business employed 1,296 persons, none of whom were represented by a union.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Environmental Matters</w:t>
      </w:r>
    </w:p>
    <w:p>
      <w:pPr>
        <w:spacing w:after="0" w:line="92"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6"/>
          <w:szCs w:val="16"/>
          <w:color w:val="auto"/>
        </w:rPr>
        <w:t>Our operations are subject to numerous environmental laws (“Environmental Laws”) and to other federal, state and local laws regarding health and safety matters (“Health Laws”). In particular, the manufacture, production and distribution of products by our Chemical Business are activities which entail environmental risks and impose obligations under the Environmental Laws and the Health Laws, many of which provide for certain performance obligations, substantial fines and criminal sanctions for violations. There can be no assurance that we will not incur material costs or liabilities in complying with such laws or in paying fines or penalties for violation of such laws. The Environmental Laws and Health Laws and enforcement policies thereunder relating to our Chemical Business have in the past resulted, and could in the future result, in compliance expenses, cleanup costs, penalties or other liabilities relating to the handling, manufacture, use, emission, discharge or disposal of effluents at or from our facilities or the use or disposal of certain of its chemical products. Historically, significant expenditures have been incurred by subsidiaries within our Chemical Business in order to comply with the Environmental Laws and Health Laws and are reasonably expected to be incurred in the future. We will also be obligated to manage certain discharge water outlets and monitor groundwater contaminants at our Chemical Business facilities should we discontinue the operations of a facility. We do not operate any natural gas wells where we own an interest and compliance with environmental laws is controlled by others, with our Chemical Business being responsible for its proportionate share of the costs involved.</w:t>
      </w:r>
    </w:p>
    <w:p>
      <w:pPr>
        <w:spacing w:after="0" w:line="331"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In addition, we generally record the estimated fair value of an asset retirement obligation (“ARO”) incurred associated with tangible long-lived assets in the period when there is sufficient information available to estimate the fair value. An ARO associated with long-lived assets is an obligation for which there is a legal obligation to settle under existing or enacted law, statute, written or oral contract or legal construction. AROs, which are initially recorded based on estimated discounted cash flows, are accreted to full value over time.</w:t>
      </w:r>
    </w:p>
    <w:p>
      <w:pPr>
        <w:spacing w:after="0" w:line="13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are obligated to manage certain discharge water outlets and monitor groundwater contaminants at our Chemical Business facilities should we discontinue the operations of a facility. We are also contractually obligated through at least December 2053 to pay a portion of the operating costs of a municipally owned wastewater pipeline currently being constructed, which will serve the El Dorado Facility. Additionally, we have certain facilities in our Chemical Business that contain asbestos insulation around certain piping and heated surfaces, which we plan to maintain or replace, as needed, with non-asbestos insulation through our standard repair and maintenance activities to prevent deterioration. Currently, there is insufficient information to estimate the fair value for most of our AROs. In addition, we currently have no plans to discontinue the use of these facilities and the remaining life of the facilities is indeterminable. As a result, a liability for only a minimal amount relating AROs associated with these facilities has been established. However, we will continue to review these obligations and record a liability when a reasonable estimate of the fair value can be made.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180"/>
        <w:spacing w:after="0" w:line="262" w:lineRule="auto"/>
        <w:rPr>
          <w:sz w:val="20"/>
          <w:szCs w:val="20"/>
          <w:color w:val="auto"/>
        </w:rPr>
      </w:pPr>
      <w:r>
        <w:rPr>
          <w:rFonts w:ascii="Times New Roman" w:cs="Times New Roman" w:eastAsia="Times New Roman" w:hAnsi="Times New Roman"/>
          <w:sz w:val="18"/>
          <w:szCs w:val="18"/>
          <w:color w:val="auto"/>
        </w:rPr>
        <w:t>As discussed under “Liquidity and Capital Resources” of our MD&amp;A, our Chemical Business acquired working interests in certain natural gas properties. As a result of this acquisition, we recognized AROs associated with the obligation to plug and abandon wells when the natural gas reserves in the wells are depleted. At December 31, 2012 and 2011, our accrued liability for AROs was $154,000 and $75,000, respectively.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Discharge Water Matters</w:t>
      </w:r>
    </w:p>
    <w:p>
      <w:pPr>
        <w:spacing w:after="0" w:line="9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Each of our chemical manufacturing facilities generate process wastewater, which may include cooling tower and boiler water quality control streams, contact storm water (rain water inside the facility area which picks up contaminants) and miscellaneous spills and leaks from process equipment. The process water discharge, storm-water runoff and miscellaneous spills and leaks are governed by various permits generally issued by the respective state environmental agencies as authorized by the United States Environmental Protection Agency (“EPA”), subject to oversight by the EPA. These permits limit the type and amount of effluents that can be discharged and controls the method of such discharge. We believe that all of our chemical facilities are in compliance with the respective permits, except as discussed below.</w:t>
      </w:r>
    </w:p>
    <w:p>
      <w:pPr>
        <w:spacing w:after="0" w:line="13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El Dorado Facility is subject to a state National Pollutant Discharge Elimination System (“NPDES”) discharge water permit issued by the Arkansas Department of Environmental Quality (“ADEQ”). The El Dorado Facility is currently operating under a NPDES discharge water permit, which became effective in 2004 (“2004 NPDES permit”). In November 2010, a preliminary draft of a discharge water permit renewal for the El Dorado Facility, which contains more restrictive limits, was issued by the ADEQ.</w:t>
      </w:r>
    </w:p>
    <w:p>
      <w:pPr>
        <w:spacing w:after="0" w:line="136"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6"/>
          <w:szCs w:val="16"/>
          <w:color w:val="auto"/>
        </w:rPr>
        <w:t>EDC believes that the El Dorado Facility has generally demonstrated its ability to comply with applicable ammonia and nitrate permit limits, but has, from time to time, had difficulty demonstrating consistent compliance with the more restrictive dissolved minerals permit levels. As part of the El Dorado Facility’s long-term compliance plan, EDC has pursued a rulemaking and permit modification with the ADEQ as to the discharge requirements relating to its dissolved minerals. The ADEQ approved a rule change, but on August 31, 2011, the EPA formally disapproved the rule change. On October 7, 2011, EDC filed a lawsuit against the EPA in the United States District Court, Western District of Arkansas, case number CV-01059-SOH, El Dorado, Arkansas, appealing the EPA’s decision disapproving the rule change. We do not believe this matter regarding the dissolved minerals will be an issue once the pipeline discussed below is operational.</w:t>
      </w:r>
    </w:p>
    <w:p>
      <w:pPr>
        <w:spacing w:after="0" w:line="11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During 2012, EDC settled an Administrative Complaint issued by the EPA, and thereafter handled by the United States Department of Justice (“DOJ”), relating to certain alleged violations of EDC’s 2004 NPDES permit. Initially the Administrative Complaint sought a penalty of $124,000 for alleged violations through December 31, 2010, but was settled by EDC for $100,000 and the EPA/DOJ indicated that any alleged violations from and after January 1, 2011, would be addressed at a later date. Thereafter, the DOJ advised that some action would be taken for alleged violations occurring after December 31, 2010. As of the date of this report, nothing has been filed by the DOJ and we have not received further communication from the DOJ regarding this matter. Costs (or range of costs) cannot currently be reasonably estimated regarding this matter. Therefore, no liability has been established at December 31, 2012.</w:t>
      </w:r>
    </w:p>
    <w:p>
      <w:pPr>
        <w:spacing w:after="0" w:line="13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City of El Dorado, Arkansas (the “City”) is constructing a pipeline for disposal of wastewater generated by the City and by certain companies in the El Dorado area. EDC and other companies in the El Dorado area have entered into a funding agreement and operating agreement with the City, pursuant to which each party has agreed to contribute to the cost of construction and the annual operating costs of the pipeline for the right to use the pipeline to dispose its wastewater. EDC is participating in the construction of the pipeline that will be owned by the City in order to ensure that EDC will be able to comply with future permit limits. EDC anticipates its capital cost in connection with the construction of the pipeline will be approximately $3.7 million, of which $3.3 million has been capitalized as of December 31, 2012. The City plans to complete the construction of the pipeline by mid-2013. Once the pipeline is completed, EDC’s estimated share of the annual operating costs is to be $100,000 to $150,000. The initial term of the operating agreement is through December 2053. Although construction of the pipeline is nearly complete, a group opposing the City’s construction of the pipeline has sued the Corps of Engineers for issuing the permit to the City to construct and operate the pipeline.</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455" w:right="2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color w:val="auto"/>
        </w:rPr>
        <w:t>In addition, the El Dorado Facility is currently operating under a consent administrative order (“2006 CAO”) that recognizes the presence of nitrate contamination in the shallow groundwater. The 2006 CAO required EDC to continue semi-annual groundwater monitoring, to continue operation of a groundwater recovery system and to submit a human health and ecological risk assessment to the ADEQ relating to the El Dorado Facility. The final remedy for shallow groundwater contamination, should any remediation be required, will be selected pursuant to a new consent administrative order and based upon the risk assessment. The cost of any additional remediation that may be required will be determined based on the results of the investigation and risk assessment, which costs (or range of costs) cannot currently be reasonably estimated. Therefore, no liability has been established at December 31, 2012, in connection with this matter.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Air Matters</w:t>
      </w:r>
    </w:p>
    <w:p>
      <w:pPr>
        <w:spacing w:after="0" w:line="92"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EPA has sent information requests to most, if not all, of the operators of nitric acid plants in the United States, including our El Dorado and Cherokee Facilities and the Baytown Facility operated by our subsidiary, El Dorado Nitric Company (“EDN”), under Section 114 of the Clean Air Act as to construction and modification activities at each of these facilities over a period of years. These information requests were to enable the EPA to determine whether these facilities are in compliance with certain provisions of the Clean Air Act.</w:t>
      </w:r>
    </w:p>
    <w:p>
      <w:pPr>
        <w:spacing w:after="0" w:line="13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After a review by our Chemical Business of these facilities in obtaining information for the EPA pursuant to the EPA’s request, our Chemical Business management believes that certain facilities within our Chemical Business will be required to make capital improvements to emission equipment in order to comply with the requirements of the Clean Air Act. During 2012, our Chemical Business has been in negotiations with the EPA to reach a global settlement in connection with this matter, which settlement offer would require implementation of additional pollution controls to be installed over a period of time in each of our eight affected nitric acid plants to achieve certain proposed emission rates, two of which are already complete. The proposals also offered to include a modest civil penalty but did not provide an amount of any proposed civil penalty. The estimated capital cost to achieve the proposed emission rates is $2 million to $3 million per plant for the remaining six plants and these capital investments are proposed to be made over a period of several years.</w:t>
      </w:r>
    </w:p>
    <w:p>
      <w:pPr>
        <w:spacing w:after="0" w:line="14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DOJ, on behalf of the EPA, has responded in writing to our proposed global settlement offer and advised in its response which of our proposals are acceptable and not acceptable and certain other provisions that the United States would require in a global settlement. The DOJ’s response also provided that they will require, among other things, that we pay an appropriate civil penalty to the United States and participating state parties, with the amount to be determined after the parties have reached agreement on the core components of a consent decree, and that any settlement is contingent upon the incorporation of the settlement terms into a definitive consent decree acceptable to the parties. Therefore a liability of $100,000 for potential civil penalties has been established at December 31, 2012, in connection with this matter. We are currently corresponding with the DOJ in an effort to resolve this matter. If the EPA were successful in establishing that any of our chemical facilities were in violation of the Clean Air Act, the EPA could assess civil penalties of up to $27,500 per day and require the facility to retrofit with the “best available control technology.”</w:t>
      </w:r>
    </w:p>
    <w:p>
      <w:pPr>
        <w:spacing w:after="0" w:line="138"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6"/>
          <w:szCs w:val="16"/>
          <w:color w:val="auto"/>
        </w:rPr>
        <w:t>One of our subsidiaries, Pryor Chemical Company (“PCC”), within our Chemical Business, has been advised that the Oklahoma Department of Environmental Quality (“ODEQ”) is conducting an investigation into whether the Pryor Facility was in compliance with certain rules and regulations of the ODEQ and whether the Pryor Facility’s reports of certain air emissions relating primarily to 2011 were intentionally reported incorrectly to the ODEQ. Pursuant to the request of the ODEQ, PCC has submitted information and a report to the ODEQ as to the reports filed by the Pryor Facility relating to the air emissions in question and has and continues to cooperate with the ODEQ in connection with this investigation. However, on February 20, 2013, investigators with the ODEQ obtained documents from the Pryor Facility in connection with this investigation pursuant to a search warrant and interviewed several employees at the facility. Each of the Company and PCC has received a subpoena, upon the application of the Attorney General of the State of Oklahoma, for documents relating to this matter. As of the date of this report, we are not aware of any recommendations made or to be made by the ODEQ with respect to formal legal action to be taken or recommended as a result of the pending investigation. Therefore, no liability has been established at December 31, 2012 in connection with this matter.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Other Environmental Matters</w:t>
      </w:r>
    </w:p>
    <w:p>
      <w:pPr>
        <w:spacing w:after="0" w:line="92"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color w:val="auto"/>
        </w:rPr>
        <w:t>In 2002, two subsidiaries within our Chemical Business, sold substantially all of their operating assets relating to a Kansas chemical facility (“Hallowell Facility”) but retained ownership of the real property. At December 31, 2002, even though we continued to own the real property, we did not assess our continuing involvement with our former Hallowell Facility to be significant and therefore accounted for the sale as discontinued operations. In connection with this sale, our subsidiary leased the real property to the buyer under a triple net long-term lease agreement. However, our subsidiary retained the obligation to be responsible for, and perform the activities under, a previously executed consent order to investigate the surface and subsurface contamination at the real property and a corrective action strategy based on the investigation. In addition, certain of our subsidiaries agreed to indemnify the buyer of such assets for these environmental matters. Based on the assessment discussed above, we account for transactions associated with the Hallowell Facility as discontinued operations.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The successor (“Chevron”) of a prior owner of the Hallowell Facility has agreed in writing, on a nonbinding basis and within certain other limitations, to pay and has been paying one-half of the costs of the interim measures relating to this matter as approved by the Kansas Department of Environmental Quality, subject to reallocation.</w:t>
      </w:r>
    </w:p>
    <w:p>
      <w:pPr>
        <w:spacing w:after="0" w:line="132" w:lineRule="exact"/>
        <w:rPr>
          <w:sz w:val="20"/>
          <w:szCs w:val="20"/>
          <w:color w:val="auto"/>
        </w:rPr>
      </w:pPr>
    </w:p>
    <w:p>
      <w:pPr>
        <w:jc w:val="both"/>
        <w:ind w:right="480"/>
        <w:spacing w:after="0" w:line="262" w:lineRule="auto"/>
        <w:rPr>
          <w:sz w:val="20"/>
          <w:szCs w:val="20"/>
          <w:color w:val="auto"/>
        </w:rPr>
      </w:pPr>
      <w:r>
        <w:rPr>
          <w:rFonts w:ascii="Times New Roman" w:cs="Times New Roman" w:eastAsia="Times New Roman" w:hAnsi="Times New Roman"/>
          <w:sz w:val="18"/>
          <w:szCs w:val="18"/>
          <w:color w:val="auto"/>
        </w:rPr>
        <w:t>Our subsidiary and Chevron are pursuing with the state of Kansas a course of long-term surface and groundwater monitoring to track the natural decline in contamination. Currently, our subsidiary and Chevron are in the process of performing additional surface and groundwater testing. We have accrued for our allocable portion of costs for the additional testing, monitoring and risk assessments that could be reasonably estimated.</w:t>
      </w:r>
    </w:p>
    <w:p>
      <w:pPr>
        <w:spacing w:after="0" w:line="13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the Kansas Department of Health and Environment (“KDHE”) notified our subsidiary and Chevron that the Hallowell Facility has been referred to the KDHE’s Natural Resources Trustee, who is to consider and recommend restoration, replacement and/or whether to seek compensation. KDHE will consider the recommendations in their evaluation. Currently, it is unknown what damages the KDHE would claim, if any. The ultimate required remediation, if any, is unknown. The nature and extent of a portion of the requirements are not currently defined and the associated costs (or range of costs) are not reasonably estimable.</w:t>
      </w:r>
    </w:p>
    <w:p>
      <w:pPr>
        <w:spacing w:after="0" w:line="139"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At December 31, 2012, our allocable portion of the total estimated liability related to the Hallowell Facility of $173,000 has been established in connection with this matter. The estimated amount is not discounted to its present value. It is reasonably possible that a change in the estimate of our liability could occur in the near term.</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Us and Our Business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Chemical and Climate Control Businesses and their customers are sensitive to adverse economic cycles.</w:t>
      </w:r>
    </w:p>
    <w:p>
      <w:pPr>
        <w:spacing w:after="0" w:line="9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Chemical Business can be affected by cyclical factors such as inflation, global energy policy and costs, global market conditions and economic downturns in specific industries. Certain sales of our Chemical Business are sensitive to the level of activity in the agricultural, mining, automotive and housing industries. A substantial decline in the activity of our Chemical Business has in the past, and could in the future, have a material adverse effect on the results of our Chemical Business and on our liquidity and capital resources. Further, material economic changes that adversely affect our natural gas working interests or lower natural gas prices may require us to write down the carrying value of our natural gas working interests. Therefore, these changes in our Chemical Business could adversely impact our operating results, liquidity and financial condition.</w:t>
      </w:r>
    </w:p>
    <w:p>
      <w:pPr>
        <w:spacing w:after="0" w:line="13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Climate Control Business also can be affected by cyclical factors, such as interest rates, inflation and economic downturns. Our Climate Control Business depends on sales to customers in the construction and renovation industries, which are particularly sensitive to these factors. A decline in the economic activity in the U.S. has in the past, and could in the future, have a material adverse effect on us and our customers in the construction and renovation industries in which our Climate Control Business sells a substantial amount of its products. Such a decline could result in a decrease in revenues and profits, and an increase in bad debts that could have a material adverse effect on our operating results, financial condition and liquidity.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Weather conditions adversely affect our Chemical Business.</w:t>
      </w:r>
    </w:p>
    <w:p>
      <w:pPr>
        <w:spacing w:after="0" w:line="173" w:lineRule="exact"/>
        <w:rPr>
          <w:sz w:val="20"/>
          <w:szCs w:val="20"/>
          <w:color w:val="auto"/>
        </w:rPr>
      </w:pPr>
    </w:p>
    <w:p>
      <w:pPr>
        <w:jc w:val="both"/>
        <w:ind w:right="200"/>
        <w:spacing w:after="0" w:line="258" w:lineRule="auto"/>
        <w:rPr>
          <w:sz w:val="20"/>
          <w:szCs w:val="20"/>
          <w:color w:val="auto"/>
        </w:rPr>
      </w:pPr>
      <w:r>
        <w:rPr>
          <w:rFonts w:ascii="Times New Roman" w:cs="Times New Roman" w:eastAsia="Times New Roman" w:hAnsi="Times New Roman"/>
          <w:sz w:val="18"/>
          <w:szCs w:val="18"/>
          <w:color w:val="auto"/>
        </w:rPr>
        <w:t>The agricultural products produced and sold by our Chemical Business have been in the past, and could be in the future, materially affected by adverse weather conditions (such as excessive rain or drought) in the primary markets for our fertilizer and related agricultural products. If any of these unusual weather events occur during the primary seasons for sales of our agricultural products (March-June and September-November), this could have a material adverse effect on the agricultural sales of our Chemical Business and our financial condition and results of operations.</w:t>
      </w:r>
    </w:p>
    <w:p>
      <w:pPr>
        <w:spacing w:after="0" w:line="134"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18"/>
          <w:szCs w:val="18"/>
          <w:b w:val="1"/>
          <w:bCs w:val="1"/>
          <w:color w:val="auto"/>
        </w:rPr>
        <w:t>Terrorist attacks and other acts of violence or war, and natural disasters (such as hurricanes, pandemic health crisis, etc.), have and could negatively impact U.S. and foreign companies, the financial markets, the industries where we operate, our operations and profitability.</w:t>
      </w:r>
    </w:p>
    <w:p>
      <w:pPr>
        <w:spacing w:after="0" w:line="11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Terrorist attacks and natural disasters (such as hurricanes) have in the past, and can in the future, negatively affect our operations. We cannot predict further terrorist attacks and natural disasters in the U.S. and elsewhere. These attacks or natural disasters have contributed to economic instability in the U.S. and elsewhere, and further acts of terrorism, violence, war or natural disasters could further affect the industries where we operate, our ability to purchase raw materials, our business, results of operations and financial condition. In addition, terrorist attacks and natural disasters may directly impact our physical facilities, especially our chemical facilities, or those of our suppliers or customers and could impact our sales, our production capability and our ability to deliver products to our customers. In the past, hurricanes affecting the Gulf Coast of the U.S. have negatively impacted our operations and those of our customers. The consequences of any terrorist attacks or hostilities or natural disasters are unpredictable, and we may not be able to foresee events that could have an adverse effect on our operations.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8"/>
          <w:szCs w:val="18"/>
          <w:b w:val="1"/>
          <w:bCs w:val="1"/>
          <w:color w:val="auto"/>
        </w:rPr>
        <w:t>Despite continuing investment to upgrade and replace equipment on an ongoing basis, the age of facilities of our Chemical Business increases the risk for unplanned downtime which may be significant.</w:t>
      </w:r>
    </w:p>
    <w:p>
      <w:pPr>
        <w:spacing w:after="0" w:line="118" w:lineRule="exact"/>
        <w:rPr>
          <w:sz w:val="20"/>
          <w:szCs w:val="20"/>
          <w:color w:val="auto"/>
        </w:rPr>
      </w:pPr>
    </w:p>
    <w:p>
      <w:pPr>
        <w:ind w:right="140"/>
        <w:spacing w:after="0" w:line="293" w:lineRule="auto"/>
        <w:rPr>
          <w:sz w:val="20"/>
          <w:szCs w:val="20"/>
          <w:color w:val="auto"/>
        </w:rPr>
      </w:pPr>
      <w:r>
        <w:rPr>
          <w:rFonts w:ascii="Times New Roman" w:cs="Times New Roman" w:eastAsia="Times New Roman" w:hAnsi="Times New Roman"/>
          <w:sz w:val="16"/>
          <w:szCs w:val="16"/>
          <w:color w:val="auto"/>
        </w:rPr>
        <w:t>Our Chemical Business is comprised of operating units of various ages and levels of automated control. While we have continued to make significant annual capital improvements, potential age or control related issues have occurred in the past and may occur in the future, which could cause damage to the equipment and ancillary facilities. The equipment required for the manufacture of our chemical products is specialized, and the time for replacement of such equipment can be lengthy, resulting in extended downtime in the affected unit. Although we utilize various reliability and inspection programs and maintain a significant inventory of spare equipment, which are intended to mitigate the extent of production losses, unplanned outages may still occur. As a result, these unplanned downtime events at our chemical facilities have in the past and could in the future adversely impact our operating results, liquidity and financial condition.</w:t>
      </w:r>
    </w:p>
    <w:p>
      <w:pPr>
        <w:spacing w:after="0" w:line="109" w:lineRule="exact"/>
        <w:rPr>
          <w:sz w:val="20"/>
          <w:szCs w:val="20"/>
          <w:color w:val="auto"/>
        </w:rPr>
      </w:pPr>
    </w:p>
    <w:p>
      <w:pPr>
        <w:ind w:right="700"/>
        <w:spacing w:after="0" w:line="277" w:lineRule="auto"/>
        <w:rPr>
          <w:sz w:val="20"/>
          <w:szCs w:val="20"/>
          <w:color w:val="auto"/>
        </w:rPr>
      </w:pPr>
      <w:r>
        <w:rPr>
          <w:rFonts w:ascii="Times New Roman" w:cs="Times New Roman" w:eastAsia="Times New Roman" w:hAnsi="Times New Roman"/>
          <w:sz w:val="18"/>
          <w:szCs w:val="18"/>
          <w:b w:val="1"/>
          <w:bCs w:val="1"/>
          <w:color w:val="auto"/>
        </w:rPr>
        <w:t>An explosion and equipment failures at certain of our chemical facilities will result in substantial expenditures for repair and/or replacement of damaged equipment.</w:t>
      </w:r>
    </w:p>
    <w:p>
      <w:pPr>
        <w:spacing w:after="0" w:line="11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2012, certain of our chemical facilities sustained substantial damage due to an explosion and equipment failures, which we anticipate will require substantial expenditures by us to repair and/or replace. Although we believe we will be able to recover under our property insurance policy a portion of the cost and expense to repair and/or replace the damaged equipment as a result of those occurrences, the total amount that we will recover under our property insurance is currently unknown. The inability to recover under our property insurance policies a material amount of the cost to repair and/or replace the damaged equipment may have an adverse effect on our liquidity and operating results.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Future legislative or regulatory changes impacting our Chemical Business may result in increased costs and decreased revenues, cash flows and liquidity.</w:t>
      </w:r>
    </w:p>
    <w:p>
      <w:pPr>
        <w:spacing w:after="0" w:line="19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businesses are subject to numerous environmental laws and regulations, primarily relating to our Chemical Business. The manufacture and distribution of chemical products are activities, which entail environmental risks and impose obligations under environmental laws and regulations, many of which provide for substantial fines and potential criminal sanctions for violations. Although we believe we have established processes to monitor, review and manage our businesses to comply with the numerous environmental laws and regulations, our Chemical Business has in the past, and may in the future, be subject to fines, penalties and sanctions for violations and substantial expenditures for cleanup costs and other liabilities relating to the handling, manufacture, use, emission, discharge or disposal of effluents at or from the Chemical Business’ facilities. Further, a number of our Chemical Business’ facilities are dependent on environmental permits to operate, the loss or modification of which could have a material adverse effect on their operations and our financial condition.</w:t>
      </w:r>
    </w:p>
    <w:p>
      <w:pPr>
        <w:spacing w:after="0" w:line="141"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Changes to the production equipment at our chemical facilities as may be required in order to comply with environmental regulations may require substantial capital expenditures.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summary, new or changed laws and regulations could have an adverse effect on our operating results, liquidity and financial condition.</w:t>
      </w:r>
    </w:p>
    <w:p>
      <w:pPr>
        <w:spacing w:after="0" w:line="169"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18"/>
          <w:szCs w:val="18"/>
          <w:b w:val="1"/>
          <w:bCs w:val="1"/>
          <w:color w:val="auto"/>
        </w:rPr>
        <w:t>We may be required to expand our security procedures and install additional security equipment for our Chemical Business in order to comply with current and possible future government regulations, including applicable security regulations.</w:t>
      </w:r>
    </w:p>
    <w:p>
      <w:pPr>
        <w:spacing w:after="0" w:line="11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chemical industry in general, and producers and distributors of anhydrous ammonia and AN specifically, are scrutinized by the government, industry and public on security issues. Under current and proposed regulations, we may be required to incur substantial additional costs relating to security at our chemical facilities and distribution centers, as well as in the transportation of our products. These costs could have a material impact on our financial condition, results of operations, and liquidity. The cost of such regulatory changes, if significant enough, could lead some of our customers to choose alternate products to anhydrous ammonia and AN, which would have a significant impact on our Chemical Business.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 xml:space="preserve">In order to comply with the “Secure Handling of Ammonium Nitrate Act of 2007” as enacted by the United States Congress, the U.S. Department of Homeland Security (“DHS”) has published in the August 3, 2011 </w:t>
      </w:r>
      <w:r>
        <w:rPr>
          <w:rFonts w:ascii="Times New Roman" w:cs="Times New Roman" w:eastAsia="Times New Roman" w:hAnsi="Times New Roman"/>
          <w:sz w:val="18"/>
          <w:szCs w:val="18"/>
          <w:i w:val="1"/>
          <w:iCs w:val="1"/>
          <w:color w:val="auto"/>
        </w:rPr>
        <w:t>Federal Register</w:t>
      </w:r>
      <w:r>
        <w:rPr>
          <w:rFonts w:ascii="Times New Roman" w:cs="Times New Roman" w:eastAsia="Times New Roman" w:hAnsi="Times New Roman"/>
          <w:sz w:val="18"/>
          <w:szCs w:val="18"/>
          <w:color w:val="auto"/>
        </w:rPr>
        <w:t xml:space="preserve"> a Notice of Proposed Rulemaking. This regulation proposes to require sellers, buyers, their agents and transporters of solid AN and certain solid mixtures containing AN to possess a valid registration issued by DHS, keep certain records, report the theft or unexplained loss of regulated materials and certain other new requirements. We and other parties affected by this proposal have submitted appropriate comments to DHS regarding the proposed regulation. Depending on the provisions of the final regulation to be promulgated by DHS and on our ability to pass these costs to our customers, these requirements may have a negative effect on the profitability of our AN business and may result in fewer distributors who are willing to handle the product.</w:t>
      </w:r>
    </w:p>
    <w:p>
      <w:pPr>
        <w:spacing w:after="0" w:line="139"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b w:val="1"/>
          <w:bCs w:val="1"/>
          <w:color w:val="auto"/>
        </w:rPr>
        <w:t>Proposed governmental laws and regulations relating to greenhouse gas emissions may subject certain of our Chemical Business’ facilities to significant new costs and restrictions on their operations.</w:t>
      </w:r>
    </w:p>
    <w:p>
      <w:pPr>
        <w:spacing w:after="0" w:line="11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manufacturing facilities within our Chemical Business use significant amounts of electricity, natural gas and other raw materials necessary for the production of their chemical products that result, or could result, in certain greenhouse gas emissions into the environment. Federal and state courts and administrative agencies, including the EPA, are considering the scope and scale of greenhouse gas emission regulation. Legislation is being considered that would regulate greenhouse gas emissions at some point in the future. The EPA has instituted a mandatory greenhouse gas reporting requirement that began in 2010, which impacts all of our chemical manufacturing sites. Greenhouse gas regulation could increase the price of the electricity and other energy sources purchased by our chemical facilities; increase costs for natural gas and other raw materials (such as anhydrous ammonia); potentially restrict access to or the use of certain raw materials necessary to produce our chemical products; and require us to incur substantial expenditures to retrofit our chemical facilities to comply with the proposed new laws and regulations regulating greenhouse gas emissions, if adopted. Federal, state and local governments may also pass laws mandating the use of alternative energy sources, such as wind power and solar energy, which may increase the cost of energy use in certain of our chemical and other manufacturing operations. As it relates to our Chemical Business’ working interest in natural gas properties, legislative and regulatory proposals for restricting greenhouse gas emissions or otherwise addressing climate change could require our Chemical Business to incur additional operating costs and could adversely affect demand for the natural gas that the operator of these wells intends to sell. While future emission regulations or new laws appear possible, it is too early to predict how these regulations, if and when adopted, will affect our businesses, operations, liquidity or financial results.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There is intense competition in the Climate Control and Chemical industries.</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Substantially all of the markets in which we participate are highly competitive with respect to product quality, price, design innovations, distribution, service, warranties, reliability and efficiency. We compete with a number of companies, domestic and foreign, that have greater financial, marketing and other resources. Competitive factors could require us to reduce prices or increase spending on product development, marketing and sales that would have a material adverse effect on our business, results of operation and financial condition.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substantial portion of our sales is dependent upon a limited number of customers.</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2012, six customers of our Chemical Business accounted for approximately 53% of its net sales and 33% of our consolidated sales, and our Climate Control Business had one customer (including affiliates and their distributors) that accounted for approximately 18% of its net sales and 6% of our consolidated sales. The loss of, or a material reduction in purchase levels by, one or more of these customers could have a material adverse effect on our business and our results of operations, financial condition and liquidity if we are unable to replace a customer on substantially similar terms.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and the lack of availability of raw materials could materially affect our profitability and liquidity.</w:t>
      </w:r>
    </w:p>
    <w:p>
      <w:pPr>
        <w:spacing w:after="0" w:line="17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sales and profits are heavily affected by the costs and availability of primary raw materials. These primary raw materials are subject to considerable price volatility. Historically, when there have been rapid increases in the cost of these primary raw materials, we have sometimes been unable to timely increase our sales prices to cover all of the higher costs incurred. While we periodically enter into futures/forward contracts to economically hedge against price increases in certain of these raw materials, there can be no assurance that we will effectively manage against price fluctuations in those raw materials.</w:t>
      </w:r>
    </w:p>
    <w:p>
      <w:pPr>
        <w:spacing w:after="0" w:line="13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Anhydrous ammonia and natural gas represent the primary raw material feedstocks in the production of most of the products of the Chemical Business. Although our Chemical Business enters into contracts with certain customers that provide for the pass-through of raw material costs, we have a substantial amount of sales that do not provide for the pass-through of raw material costs. In addition, the Climate Control Business depends on raw materials such as copper and steel, which have shown considerable price volatility. As a result, in the future, we may not be able to pass along to all of our customers the full amount of any increases in raw material costs. There can be no assurance that future price fluctuations in our raw materials will not have an adverse effect on our financial condition, liquidity and results of operations.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455" w:right="2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400"/>
        <w:spacing w:after="0" w:line="262" w:lineRule="auto"/>
        <w:rPr>
          <w:sz w:val="20"/>
          <w:szCs w:val="20"/>
          <w:color w:val="auto"/>
        </w:rPr>
      </w:pPr>
      <w:r>
        <w:rPr>
          <w:rFonts w:ascii="Times New Roman" w:cs="Times New Roman" w:eastAsia="Times New Roman" w:hAnsi="Times New Roman"/>
          <w:sz w:val="18"/>
          <w:szCs w:val="18"/>
          <w:color w:val="auto"/>
        </w:rPr>
        <w:t>As stated above, natural gas represents one of the primary raw materials in the production of our Chemical Business’ products, and, as a result, we acquired natural gas working interests as an economic hedge against rising prices for natural gas. It is possible that we may not be able to use our natural gas working interests as an economic hedge under certain limited conditions.</w:t>
      </w:r>
    </w:p>
    <w:p>
      <w:pPr>
        <w:spacing w:after="0" w:line="13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We do not operate our natural gas working interest properties and have no, or very limited, ability to exercise influence over operations of these properties or their associated cost.</w:t>
      </w:r>
    </w:p>
    <w:p>
      <w:pPr>
        <w:spacing w:after="0" w:line="120" w:lineRule="exact"/>
        <w:rPr>
          <w:sz w:val="20"/>
          <w:szCs w:val="20"/>
          <w:color w:val="auto"/>
        </w:rPr>
      </w:pPr>
    </w:p>
    <w:p>
      <w:pPr>
        <w:ind w:right="540"/>
        <w:spacing w:after="0" w:line="262" w:lineRule="auto"/>
        <w:rPr>
          <w:sz w:val="20"/>
          <w:szCs w:val="20"/>
          <w:color w:val="auto"/>
        </w:rPr>
      </w:pPr>
      <w:r>
        <w:rPr>
          <w:rFonts w:ascii="Times New Roman" w:cs="Times New Roman" w:eastAsia="Times New Roman" w:hAnsi="Times New Roman"/>
          <w:sz w:val="18"/>
          <w:szCs w:val="18"/>
          <w:color w:val="auto"/>
        </w:rPr>
        <w:t>Since we source certain of our raw materials and components on a global basis, we may experience long lead times in procuring those raw materials and components purchased overseas, as well as being subject to tariff controls and other international trade barriers, which may increase the uncertainty of raw material and component availability and pricing volatility.</w:t>
      </w:r>
    </w:p>
    <w:p>
      <w:pPr>
        <w:spacing w:after="0" w:line="13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Additionally, we depend on certain vendors to deliver the primary raw materials and other key components that are required in the production of our products. Any disruption in the supply of the primary raw materials and other key components could result in lost production or delayed shipments. We have suspended in the past, and could suspend in the future, production at our chemical facilities due to, among other things, the high cost or lack of availability of such primary raw materials, which could adversely impact our competitiveness in the markets we serve. Accordingly, our financial condition, liquidity and results of operations could be materially affected in the future by the lack of availability of primary raw materials and other key components and increase costs relating to the purchase of raw materials or the production of our natural gas working interests.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increase of imported ammonium nitrate.</w:t>
      </w:r>
    </w:p>
    <w:p>
      <w:pPr>
        <w:spacing w:after="0" w:line="173"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6"/>
          <w:szCs w:val="16"/>
          <w:color w:val="auto"/>
        </w:rPr>
        <w:t>Prior to March 2011, U.S. imports of fertilizer grade AN from Russia were controlled by the terms of an antidumping “Suspension Agreement” under which maximum volumes and minimum prices were set for Russian AN imports. In March 2011, the Russian Federation notified the U.S. Department of Commerce (“Commerce Department”) that it had decided to withdraw from the Suspension Agreement. Accordingly, the Agreement terminated effective May 2, 2011. As of that date, Russian AN imports have been subject to an antidumping duty order (“Russian Order”). The Russian Order, unlike the Suspension Agreement, does not place any volume restrictions on Russian AN imports and does not ensure that Russian prices are tied to the prevailing U.S. market price. Instead, the Russian Order requires that Russian AN be priced “fairly”, as defined by comparisons with Russian home market or third country AN prices or based on Russian production costs. Because Russian producers continue to benefit from natural gas supplied to them at state-set prices that are below market value, and because natural gas is by far the largest material input into the production of AN, depending upon the analysis and methodologies used by the Commerce Department, the price of Russian AN exported to the U.S. may be below prevailing U.S. market prices and below our cost to produce fertilizer grade AN.</w:t>
      </w:r>
    </w:p>
    <w:p>
      <w:pPr>
        <w:spacing w:after="0" w:line="334" w:lineRule="exact"/>
        <w:rPr>
          <w:sz w:val="20"/>
          <w:szCs w:val="20"/>
          <w:color w:val="auto"/>
        </w:rPr>
      </w:pPr>
    </w:p>
    <w:p>
      <w:pPr>
        <w:ind w:right="60"/>
        <w:spacing w:after="0" w:line="301" w:lineRule="auto"/>
        <w:rPr>
          <w:sz w:val="20"/>
          <w:szCs w:val="20"/>
          <w:color w:val="auto"/>
        </w:rPr>
      </w:pPr>
      <w:r>
        <w:rPr>
          <w:rFonts w:ascii="Times New Roman" w:cs="Times New Roman" w:eastAsia="Times New Roman" w:hAnsi="Times New Roman"/>
          <w:sz w:val="16"/>
          <w:szCs w:val="16"/>
          <w:color w:val="auto"/>
        </w:rPr>
        <w:t>Under the Russian Order, every shipment of Russian fertilizer grade AN imported into the U.S. is subject to an antidumping duty cash deposit of approximately 254% of the value of the imports unless and until a review process is completed at the Commerce Department through which a Russian producer or exporter may demonstrate that it is not dumping to that extent and is entitled to a different rate. The Commerce Department is currently considering whether another Russian AN product is covered by the Russian Order. If the product is not covered, we would likely see competition from this product in the AN market of the U.S.</w:t>
      </w:r>
    </w:p>
    <w:p>
      <w:pPr>
        <w:spacing w:after="0" w:line="103"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In 2011 the Commerce Department and the U.S. International Trade Commission also completed a “sunset review” of the Russian Order against AN from Russia to determine whether the Russian Order should remain in effect. These agencies decided that the Russian Order is still needed to address unfair trade in Russian AN, and, as a result, the Russian Order will remain in place for at least an additional five years, until 2016.</w:t>
      </w:r>
    </w:p>
    <w:p>
      <w:pPr>
        <w:spacing w:after="0" w:line="13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There is also an outstanding antidumping duty order against AN from the Ukraine (“Ukrainian Order”), which is currently being reviewed by the same two agencies. This sunset review is scheduled to be completed in mid-2013 and will decide whether the Ukrainian Order will remain in place for another five years beyond 2013. If, as a result of the sunset review, the Ukrainian Order were to be revoked, we would likely face large volumes of unfairly priced Ukrainian AN in the U.S. market, with loss of revenue and market share for our AN business.</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455" w:right="2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For 2012, net sales of fertilizer grade AN accounted for 14% and 9% of our Chemical Business net sales and consolidated net sales, respectively. If the antidumping orders are changed, as discussed above, these changes could result in a substantial increase in the amount of imported AN sold in the U.S. at prices less than the U.S. producers are required to charge in order to cover their cost plus a profit, and could have an adverse effect on our revenues and operating results.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have inadequate insurance.</w:t>
      </w:r>
    </w:p>
    <w:p>
      <w:pPr>
        <w:spacing w:after="0" w:line="17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While we maintain liability, property and business interruption insurance, including certain coverage for environmental contamination, it is subject to coverage limits and policies may exclude coverage for some types of damages (which may include warranty claims). Although there may currently be sources from which such coverage may be obtained, it may not continue to be available to us on commercially reasonable terms or the possible types of liabilities that may be incurred by us may not be covered by our insurance. In addition, our insurance carriers may not be able to meet their obligations under the policies or the dollar amount of the liabilities may exceed our policy limits. Even a partially uninsured claim, if successful and of significant magnitude, could have a material adverse effect on our business, results of operations, financial condition and liquidity.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LSB is a holding company and depends, in large part, on receiving funds from its subsidiaries to fund our indebtedness.</w:t>
      </w:r>
    </w:p>
    <w:p>
      <w:pPr>
        <w:spacing w:after="0" w:line="17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Because LSB is a holding company and operations are conducted through its subsidiaries, including PCC and ThermaClime, LLC (“ThermaClime”) and its subsidiaries, LSB’s ability to meet its obligations depends, in large part, on the operating performance and cash flows of its subsidiaries and the ability of its subsidiaries to make distributions and pay dividends to LSB. Under its loan agreements, ThermaClime and its subsidiaries may only make distributions and pay dividends to LSB under limited circumstances and in limited amounts.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of key personnel could negatively affect our business.</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believe that our performance has been and will continue to be dependent upon the efforts of our principal executive officers. We cannot promise that our principal executive officers will continue to be available. Jack E. Golsen has an employment agreement with us. No other principal executive has an employment agreement with us. The loss of some of our principal executive officers could have a material adverse effect on us. We believe that our future success will depend in large part on our continued ability to attract and retain highly skilled and qualified personnel.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effectively controlled by the Golsen Group.</w:t>
      </w:r>
    </w:p>
    <w:p>
      <w:pPr>
        <w:spacing w:after="0" w:line="17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Jack E. Golsen, our Chairman of the Board and Chief Executive Officer (“CEO”), members of his immediate family, including Barry H. Golsen, our Vice Chairman and President, entities owned by them and trusts for which they possess voting or dispositive power as trustee (collectively, the “Golsen Group”) owned as of February 15, 2013, an aggregate of 3,085,864 shares of our common stock and 1,020,000 shares of our voting preferred stock (1,000,000 of which shares have .875 votes per share, or 875,000 votes), which together votes as a class and represents approximately 17% of the voting power of our issued and outstanding voting securities as of that date. Thus, the Golsen Group may be considered to effectively control us. As a result, the ability of other stockholders to influence our management and policies could be limited.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not paid dividends on our outstanding common stock in many years.</w:t>
      </w:r>
    </w:p>
    <w:p>
      <w:pPr>
        <w:spacing w:after="0" w:line="17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Although we have paid dividends on our outstanding series of preferred stock (two of the three outstanding series of preferred stock are owned by the Golsen Group), we have not paid cash dividends on our outstanding common stock in many years, and we do not currently anticipate paying cash dividends on our outstanding common stock in the near future. However, our Board of Directors has not made a decision whether or not to pay such dividends on our common stock in 2013. In addition, there are certain limitations contained in our loan agreements, which limit our subsidiaries from up streaming funds to LSB that may limit our ability to pay dividends on our outstanding common stock.</w:t>
      </w:r>
    </w:p>
    <w:p>
      <w:pPr>
        <w:spacing w:after="0" w:line="137"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8"/>
          <w:szCs w:val="18"/>
          <w:b w:val="1"/>
          <w:bCs w:val="1"/>
          <w:color w:val="auto"/>
        </w:rPr>
        <w:t>Future issuance or potential issuance of our common stock could adversely affect the price of our common stock, our ability to raise funds in new stock offerings and could dilute the percentage ownership of our common stockholders.</w:t>
      </w:r>
    </w:p>
    <w:p>
      <w:pPr>
        <w:spacing w:after="0" w:line="11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Future sales of substantial amounts of our common stock or equity-related securities in the public market, or the issuance of a substantial amount of our common stock as the result of conversion of our outstanding convertible preferred stocks, or the perception that such sales or conversions could occur, could adversely affect prevailing trading prices of our common stock and could dilute the value of common stock held by our existing stockholders. No prediction can be made as to the effect, if any, that future sales of, or conversions of our outstanding preferred stocks into, shares of common stock or the availability of shares of common stock for future sale will have on the trading price of our common stock. Such future sales or conversions could also significantly reduce the percentage ownership of our common stockholders.</w:t>
      </w:r>
    </w:p>
    <w:p>
      <w:pPr>
        <w:spacing w:after="0" w:line="1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80"/>
          </w:cols>
          <w:pgMar w:left="240" w:top="455" w:right="27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a variety of factors that could discourage other parties from attempting to acquire us.</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provides for a staggered Board of Directors and, except in limited circumstances, a two-thirds vote of outstanding voting shares to approve a merger, consolidation or sale of all, or substantially all, of our assets. In addition, we have entered into severance agreements with our executive officers and some of the executive officers of certain subsidiaries that provide, among other things, that if, within a specified period of time after the occurrence of a change in control of LSB, these officers are terminated, other than for cause, or the officer terminates his employment for good reason, we must pay such officer an amount equal to 2.9 times the officer’s average annual gross salary for the last five years preceding the change in control.</w:t>
      </w:r>
    </w:p>
    <w:p>
      <w:pPr>
        <w:spacing w:after="0" w:line="139"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We have authorized and unissued (including shares held in treasury) 52,589,102 shares of common stock and 4,230,000 shares of preferred stock as of December 31, 2012. These unissued shares could be used by our management to make it more difficult, and thereby discourage an attempt to acquire control of us.</w:t>
      </w:r>
    </w:p>
    <w:p>
      <w:pPr>
        <w:spacing w:after="0" w:line="132" w:lineRule="exact"/>
        <w:rPr>
          <w:sz w:val="20"/>
          <w:szCs w:val="20"/>
          <w:color w:val="auto"/>
        </w:rPr>
      </w:pPr>
    </w:p>
    <w:p>
      <w:pPr>
        <w:ind w:right="600"/>
        <w:spacing w:after="0" w:line="275" w:lineRule="auto"/>
        <w:rPr>
          <w:sz w:val="20"/>
          <w:szCs w:val="20"/>
          <w:color w:val="auto"/>
        </w:rPr>
      </w:pPr>
      <w:r>
        <w:rPr>
          <w:rFonts w:ascii="Times New Roman" w:cs="Times New Roman" w:eastAsia="Times New Roman" w:hAnsi="Times New Roman"/>
          <w:sz w:val="18"/>
          <w:szCs w:val="18"/>
          <w:color w:val="auto"/>
        </w:rPr>
        <w:t>We have adopted a preferred share purchase plan, which is designed to protect us against certain creeping acquisitions, open market purchases and certain mergers and other combinations with acquiring companies.</w:t>
      </w:r>
    </w:p>
    <w:p>
      <w:pPr>
        <w:spacing w:after="0" w:line="120"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The foregoing provisions and agreements are designed to discourage a third party tender offer, proxy contest, or other attempts to acquire control of us and could have the effect of making it more difficult to remove incumbent management.</w:t>
      </w:r>
    </w:p>
    <w:p>
      <w:pPr>
        <w:spacing w:after="0" w:line="120"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Delaware has adopted an anti-takeover law which, among other things, will delay for three years business combinations with acquirers of 15% or more of the outstanding voting stock of publicly-held companies (such as us), unless;</w:t>
      </w:r>
    </w:p>
    <w:p>
      <w:pPr>
        <w:spacing w:after="0" w:line="39" w:lineRule="exact"/>
        <w:rPr>
          <w:sz w:val="20"/>
          <w:szCs w:val="20"/>
          <w:color w:val="auto"/>
        </w:rPr>
      </w:pPr>
    </w:p>
    <w:p>
      <w:pPr>
        <w:ind w:left="900" w:right="160" w:hanging="325"/>
        <w:spacing w:after="0" w:line="275"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the Board of Directors of the corporation approved the business combination that results in the stockholder becoming an invested stockholder;</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acquirer owned at least 85% of the outstanding voting stock of such company prior to commencement of the transaction;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two-thirds of the stockholders, other than the acquirer, vote to approve the business combination after approval thereof by the Board of Directors; or</w:t>
      </w:r>
    </w:p>
    <w:p>
      <w:pPr>
        <w:spacing w:after="0" w:line="113" w:lineRule="exact"/>
        <w:rPr>
          <w:rFonts w:ascii="Times New Roman" w:cs="Times New Roman" w:eastAsia="Times New Roman" w:hAnsi="Times New Roman"/>
          <w:sz w:val="16"/>
          <w:szCs w:val="16"/>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corporation amend its articles of incorporation or by-laws electing not to be governed by this provision.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1B. UNRESOLVED STAFF COMMENTS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PROPERTIES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Chemical Business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Chemical Business primarily conducts manufacturing operations in facilities located:</w:t>
      </w:r>
    </w:p>
    <w:p>
      <w:pPr>
        <w:spacing w:after="0" w:line="90" w:lineRule="exact"/>
        <w:rPr>
          <w:sz w:val="20"/>
          <w:szCs w:val="20"/>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150 acres of a 1,400 acre tract of land in El Dorado, Arkansas,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160 acres of a 1,300 acre tract of land in Cherokee, Alabama,</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47 acres of a 160 acre tract of land within an industrial park in Pryor, Oklahoma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property within Bayer’s manufacturing complex in Baytown, Texas.</w:t>
      </w:r>
    </w:p>
    <w:p>
      <w:pPr>
        <w:spacing w:after="0" w:line="171" w:lineRule="exact"/>
        <w:rPr>
          <w:sz w:val="20"/>
          <w:szCs w:val="20"/>
          <w:color w:val="auto"/>
        </w:rPr>
      </w:pPr>
    </w:p>
    <w:p>
      <w:pPr>
        <w:jc w:val="both"/>
        <w:ind w:right="460"/>
        <w:spacing w:after="0" w:line="262" w:lineRule="auto"/>
        <w:rPr>
          <w:sz w:val="20"/>
          <w:szCs w:val="20"/>
          <w:color w:val="auto"/>
        </w:rPr>
      </w:pPr>
      <w:r>
        <w:rPr>
          <w:rFonts w:ascii="Times New Roman" w:cs="Times New Roman" w:eastAsia="Times New Roman" w:hAnsi="Times New Roman"/>
          <w:sz w:val="18"/>
          <w:szCs w:val="18"/>
          <w:color w:val="auto"/>
        </w:rPr>
        <w:t>We own all of these manufacturing facilities except the Baytown Facility. Except for certain assets that are owned by EDN for use in the production process within the Baytown Facility, the Baytown Facility is owned by Bayer. EDN operates and maintains the Baytown Facility pursuant to the Bayer Agreement. Certain real property and equipment located at the El Dorado and Cherokee Facilities are being used to secure a $68.4 million term loan.</w:t>
      </w:r>
    </w:p>
    <w:p>
      <w:pPr>
        <w:spacing w:after="0" w:line="132"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EDC also distributes its agricultural products through 17 wholesale and retail distribution centers, with 15 of the centers located in Texas (12 of which we own and 3 of which we lease); 1 center located in Tennessee (owned); and 1 center located in Missouri (owned).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45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properties utilized by our Chemical Business are suitable and adequate to meet the current needs of that business.</w:t>
      </w:r>
    </w:p>
    <w:p>
      <w:pPr>
        <w:spacing w:after="0" w:line="17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For 2012, the following was our percentage of utilization based on continuous operation, which is adjusted for downtime for planned major maintenance activities (“Turnarounds”).</w:t>
      </w:r>
    </w:p>
    <w:p>
      <w:pPr>
        <w:spacing w:after="0" w:line="15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3580" w:type="dxa"/>
            <w:vAlign w:val="bottom"/>
            <w:gridSpan w:val="3"/>
          </w:tcPr>
          <w:p>
            <w:pPr>
              <w:jc w:val="center"/>
              <w:ind w:left="2317"/>
              <w:spacing w:after="0"/>
              <w:rPr>
                <w:sz w:val="20"/>
                <w:szCs w:val="20"/>
                <w:color w:val="auto"/>
              </w:rPr>
            </w:pPr>
            <w:r>
              <w:rPr>
                <w:rFonts w:ascii="Times New Roman" w:cs="Times New Roman" w:eastAsia="Times New Roman" w:hAnsi="Times New Roman"/>
                <w:sz w:val="14"/>
                <w:szCs w:val="14"/>
                <w:color w:val="auto"/>
                <w:w w:val="96"/>
              </w:rPr>
              <w:t>Percentage of</w:t>
            </w:r>
          </w:p>
        </w:tc>
      </w:tr>
      <w:tr>
        <w:trPr>
          <w:trHeight w:val="161"/>
        </w:trPr>
        <w:tc>
          <w:tcPr>
            <w:tcW w:w="4180" w:type="dxa"/>
            <w:vAlign w:val="bottom"/>
            <w:tcBorders>
              <w:bottom w:val="single" w:sz="8" w:color="CCEEFF"/>
            </w:tcBorders>
          </w:tcPr>
          <w:p>
            <w:pPr>
              <w:spacing w:after="0"/>
              <w:rPr>
                <w:sz w:val="14"/>
                <w:szCs w:val="14"/>
                <w:color w:val="auto"/>
              </w:rPr>
            </w:pPr>
          </w:p>
        </w:tc>
        <w:tc>
          <w:tcPr>
            <w:tcW w:w="26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Capacity</w:t>
            </w:r>
          </w:p>
        </w:tc>
        <w:tc>
          <w:tcPr>
            <w:tcW w:w="200" w:type="dxa"/>
            <w:vAlign w:val="bottom"/>
            <w:tcBorders>
              <w:bottom w:val="single" w:sz="8" w:color="CCEEFF"/>
            </w:tcBorders>
          </w:tcPr>
          <w:p>
            <w:pPr>
              <w:spacing w:after="0"/>
              <w:rPr>
                <w:sz w:val="14"/>
                <w:szCs w:val="14"/>
                <w:color w:val="auto"/>
              </w:rPr>
            </w:pPr>
          </w:p>
        </w:tc>
      </w:tr>
      <w:tr>
        <w:trPr>
          <w:trHeight w:val="21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 Dorado Facility (1)</w:t>
            </w:r>
          </w:p>
        </w:tc>
        <w:tc>
          <w:tcPr>
            <w:tcW w:w="2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Cherokee Facility (2)</w:t>
            </w:r>
          </w:p>
        </w:tc>
        <w:tc>
          <w:tcPr>
            <w:tcW w:w="3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Pryor Facility (3)</w:t>
            </w:r>
          </w:p>
        </w:tc>
        <w:tc>
          <w:tcPr>
            <w:tcW w:w="3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Baytown Facility</w:t>
            </w:r>
          </w:p>
        </w:tc>
        <w:tc>
          <w:tcPr>
            <w:tcW w:w="3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84%</w:t>
            </w:r>
          </w:p>
        </w:tc>
      </w:tr>
    </w:tbl>
    <w:p>
      <w:pPr>
        <w:spacing w:after="0" w:line="176" w:lineRule="exact"/>
        <w:rPr>
          <w:sz w:val="20"/>
          <w:szCs w:val="20"/>
          <w:color w:val="auto"/>
        </w:rPr>
      </w:pPr>
    </w:p>
    <w:p>
      <w:pPr>
        <w:ind w:left="460" w:right="300" w:hanging="452"/>
        <w:spacing w:after="0" w:line="257"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capacity for the El Dorado Facility relates to its nitric acid capacity, which total capacity was reduced during 2012 as the result of the explosion of a nitric acid plant. The El Dorado Facility has capacity to produce other nitrogen products in excess of its nitric acid capacity.</w:t>
      </w:r>
    </w:p>
    <w:p>
      <w:pPr>
        <w:spacing w:after="0" w:line="1" w:lineRule="exact"/>
        <w:rPr>
          <w:rFonts w:ascii="Times New Roman" w:cs="Times New Roman" w:eastAsia="Times New Roman" w:hAnsi="Times New Roman"/>
          <w:sz w:val="18"/>
          <w:szCs w:val="18"/>
          <w:color w:val="auto"/>
        </w:rPr>
      </w:pPr>
    </w:p>
    <w:p>
      <w:pPr>
        <w:ind w:left="460" w:right="40" w:hanging="452"/>
        <w:spacing w:after="0" w:line="250"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capacity for the Cherokee Facility relates to its ammonia production capacity. The Cherokee Facility is able to purchase anhydrous ammonia by truck, rail or barge to supplement its ammonia production capacity. The lower percentage of utilization compared to 2011 is the direct result of unplanned downtime during 2012.</w:t>
      </w:r>
    </w:p>
    <w:p>
      <w:pPr>
        <w:spacing w:after="0" w:line="1" w:lineRule="exact"/>
        <w:rPr>
          <w:rFonts w:ascii="Times New Roman" w:cs="Times New Roman" w:eastAsia="Times New Roman" w:hAnsi="Times New Roman"/>
          <w:sz w:val="18"/>
          <w:szCs w:val="18"/>
          <w:color w:val="auto"/>
        </w:rPr>
      </w:pPr>
    </w:p>
    <w:p>
      <w:pPr>
        <w:ind w:left="460" w:right="80" w:hanging="452"/>
        <w:spacing w:after="0" w:line="255"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capacity for the Pryor Facility relates to current operating ammonia production capacity. The Pryor Facility has additional operational capacity for nitric acid and AN solution in excess of its current ammonia capacity. The lower percentage of utilization compared to 2011 is the direct result of unplanned downtime during 2012.</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Climate Control Business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Climate Control Business conducts its operations in seven facilities, all located in the greater Oklahoma City, Oklahoma area, totaling approximately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million square feet including the following:</w:t>
      </w:r>
    </w:p>
    <w:p>
      <w:pPr>
        <w:spacing w:after="0" w:line="7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Climate Control Business manufactures most of its geothermal and water source heat pump products in facilities totaling approximately 440,000 square feet. We own these facilities, with a portion being subject to a mortgage. For 2012, we utilized approximately 57% of the production capacity of this manufacturing facility, based primarily on two ten-hour shifts per day and a four-day workweek. We also utilize approximately 126,000 square feet of an owned facility for a distribution center.</w:t>
      </w:r>
    </w:p>
    <w:p>
      <w:pPr>
        <w:spacing w:after="0" w:line="136"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Our Climate Control Business conducts its fan coil manufacturing operation in facilities totaling approximately 230,000 square feet. We own a majority of these facilities, subject to a mortgage. For 2012, our fan coil manufacturing operation utilized approximately 50% of the production capacity, based primarily on one ten-hour shift per day and a four-day workweek.</w:t>
      </w:r>
    </w:p>
    <w:p>
      <w:pPr>
        <w:spacing w:after="0" w:line="132" w:lineRule="exact"/>
        <w:rPr>
          <w:sz w:val="20"/>
          <w:szCs w:val="20"/>
          <w:color w:val="auto"/>
        </w:rPr>
      </w:pPr>
    </w:p>
    <w:p>
      <w:pPr>
        <w:jc w:val="both"/>
        <w:ind w:right="220"/>
        <w:spacing w:after="0" w:line="262" w:lineRule="auto"/>
        <w:rPr>
          <w:sz w:val="20"/>
          <w:szCs w:val="20"/>
          <w:color w:val="auto"/>
        </w:rPr>
      </w:pPr>
      <w:r>
        <w:rPr>
          <w:rFonts w:ascii="Times New Roman" w:cs="Times New Roman" w:eastAsia="Times New Roman" w:hAnsi="Times New Roman"/>
          <w:sz w:val="18"/>
          <w:szCs w:val="18"/>
          <w:color w:val="auto"/>
        </w:rPr>
        <w:t>Our Climate Control Business conducts its large air handler manufacturing operation in an owned facility consisting of approximately 120,000 square feet. For 2012, we utilized approximately 89% of the production capacity of this manufacturing facility, based primarily on one eight-hour shift on a five-day workweek and a partial second shift in selected areas.</w:t>
      </w:r>
    </w:p>
    <w:p>
      <w:pPr>
        <w:spacing w:after="0" w:line="132" w:lineRule="exact"/>
        <w:rPr>
          <w:sz w:val="20"/>
          <w:szCs w:val="20"/>
          <w:color w:val="auto"/>
        </w:rPr>
      </w:pPr>
    </w:p>
    <w:p>
      <w:pPr>
        <w:jc w:val="both"/>
        <w:ind w:right="240"/>
        <w:spacing w:after="0" w:line="262" w:lineRule="auto"/>
        <w:rPr>
          <w:sz w:val="20"/>
          <w:szCs w:val="20"/>
          <w:color w:val="auto"/>
        </w:rPr>
      </w:pPr>
      <w:r>
        <w:rPr>
          <w:rFonts w:ascii="Times New Roman" w:cs="Times New Roman" w:eastAsia="Times New Roman" w:hAnsi="Times New Roman"/>
          <w:sz w:val="18"/>
          <w:szCs w:val="18"/>
          <w:color w:val="auto"/>
        </w:rPr>
        <w:t>Our Climate Control Business conducts its modular chiller manufacturing operation in an area consisting of approximately 70,000 square feet within an owned facility. For 2012, we utilized approximately 25% of the production capacity of this manufacturing facility, based primarily on one ten-hour shift on a four-day workweek.</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properties utilized by our Climate Control Business are suitable to meet the current needs of that business.</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LEGAL PROCEEDINGS</w:t>
      </w:r>
    </w:p>
    <w:p>
      <w:pPr>
        <w:spacing w:after="0" w:line="90"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Environmental </w:t>
      </w:r>
      <w:r>
        <w:rPr>
          <w:rFonts w:ascii="Times New Roman" w:cs="Times New Roman" w:eastAsia="Times New Roman" w:hAnsi="Times New Roman"/>
          <w:sz w:val="18"/>
          <w:szCs w:val="18"/>
          <w:color w:val="auto"/>
        </w:rPr>
        <w:t>See “Business-Environmental Matters” for a discussion as to:</w:t>
      </w:r>
    </w:p>
    <w:p>
      <w:pPr>
        <w:spacing w:after="0" w:line="92"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environmental matters relating to water and air issues in our Chemical Business, including, without limitation, the following:</w:t>
      </w:r>
    </w:p>
    <w:p>
      <w:pPr>
        <w:spacing w:after="0" w:line="90" w:lineRule="exact"/>
        <w:rPr>
          <w:rFonts w:ascii="Times New Roman" w:cs="Times New Roman" w:eastAsia="Times New Roman" w:hAnsi="Times New Roman"/>
          <w:sz w:val="18"/>
          <w:szCs w:val="18"/>
          <w:color w:val="auto"/>
        </w:rPr>
      </w:pPr>
    </w:p>
    <w:p>
      <w:pPr>
        <w:ind w:left="1920" w:right="100" w:hanging="318"/>
        <w:spacing w:after="0" w:line="262" w:lineRule="auto"/>
        <w:tabs>
          <w:tab w:leader="none" w:pos="192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7, 2011, EDC filed a lawsuit in the U.S. District Court, Western District of Arkansas, against the EPA in connection with the EPA’s disapproval of a rule change previously approved by the ADEQ to reduce the more restrictive dissolved mineral level requirements placed in EDC’s NPDES permit.</w:t>
      </w:r>
    </w:p>
    <w:p>
      <w:pPr>
        <w:spacing w:after="0" w:line="51" w:lineRule="exact"/>
        <w:rPr>
          <w:rFonts w:ascii="Times New Roman" w:cs="Times New Roman" w:eastAsia="Times New Roman" w:hAnsi="Times New Roman"/>
          <w:sz w:val="18"/>
          <w:szCs w:val="18"/>
          <w:color w:val="auto"/>
        </w:rPr>
      </w:pPr>
    </w:p>
    <w:p>
      <w:pPr>
        <w:ind w:left="1920" w:hanging="318"/>
        <w:spacing w:after="0" w:line="258" w:lineRule="auto"/>
        <w:tabs>
          <w:tab w:leader="none" w:pos="192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penalty assessed against EDC for certain alleged violations of the El Dorado Facility’s water discharge permit for alleged violations through December 31, 2010 was settled for $100,000, with any alleged violation for periods after December 31, 2010 to be addressed at a later date. As of the date of this report, we are not aware of any legal action taken by the government in connection with alleged violations after December 31, 2010.</w:t>
      </w:r>
    </w:p>
    <w:p>
      <w:pPr>
        <w:spacing w:after="0" w:line="55" w:lineRule="exact"/>
        <w:rPr>
          <w:rFonts w:ascii="Times New Roman" w:cs="Times New Roman" w:eastAsia="Times New Roman" w:hAnsi="Times New Roman"/>
          <w:sz w:val="18"/>
          <w:szCs w:val="18"/>
          <w:color w:val="auto"/>
        </w:rPr>
      </w:pPr>
    </w:p>
    <w:p>
      <w:pPr>
        <w:ind w:left="1920" w:hanging="318"/>
        <w:spacing w:after="0" w:line="288" w:lineRule="auto"/>
        <w:tabs>
          <w:tab w:leader="none" w:pos="1920" w:val="left"/>
        </w:tabs>
        <w:numPr>
          <w:ilvl w:val="2"/>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EPA has sent information requests to most, if not all, of the operators of nitric acid plants in the United States, including our El Dorado and Cherokee Facilities and the Baytown Facility to determine compliance with the construction and maintenance of these plants over the years under the Clean Air Act. If it is determined that the equipment in any of our nitric acid plants are not meeting the requirements of the Clean Air Act, our Chemical Business could be subject to penalties in an amount not to exceed $27,500 per day as to each plant not in compliance and be required to retrofit each facility with the “best available control technology.” Our Chemical Business and the EPA have provided to each other a proposed settlement offer in connection with this matter, and we are negotiating with the EPA to attempt to settle this matter. The settlement offer would require implementation of additional pollution controls to be installed over a period of time in each of our eight affected nitric acid plants to achieve certain proposed emission rates, two of which are already complete. The estimated capital cost to achieve the proposed emission rates is $2 million to $3 million per plant for the remaining six plants and these capital investments are proposed to be made over a period of several years. The EPA’s settlement offer did not provide an amount of any proposed civil penalty, but did acknowledge that the EPA will require a civil penalty.</w:t>
      </w:r>
    </w:p>
    <w:p>
      <w:pPr>
        <w:spacing w:after="0" w:line="250" w:lineRule="exact"/>
        <w:rPr>
          <w:rFonts w:ascii="Times New Roman" w:cs="Times New Roman" w:eastAsia="Times New Roman" w:hAnsi="Times New Roman"/>
          <w:sz w:val="16"/>
          <w:szCs w:val="16"/>
          <w:color w:val="auto"/>
        </w:rPr>
      </w:pPr>
    </w:p>
    <w:p>
      <w:pPr>
        <w:ind w:left="1920" w:right="40" w:hanging="318"/>
        <w:spacing w:after="0" w:line="253" w:lineRule="auto"/>
        <w:tabs>
          <w:tab w:leader="none" w:pos="192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of our subsidiaries, PCC, within our Chemical Business, has been advised that the ODEQ is conducting an investigation into whether the Pryor Facility was in compliance with certain rules and regulations of the ODEQ and whether the Pryor Facility’s reports of certain air emissions relating primarily to 2011 were intentionally reported incorrectly to the ODEQ. Pursuant to the request of the ODEQ, PCC has submitted information and a report to the ODEQ as to the reports filed by the Pryor Facility relating to the air emissions in question and has and continues to cooperate with the ODEQ in connection with this investigation. However, on February 20, 2013, investigators with the ODEQ obtained documents from the Pryor Facility in connection with this investigation pursuant to a search warrant and interviewed several employees at the facility. Each of the Company and PCC has received a subpoena, upon the application of the Attorney General of the State of Oklahoma, for documents relating to this matter. As of the date of this report, we are not aware of any recommendations made or to be made by the ODEQ with respect to formal legal action to be taken or recommended as a result of the pending investigation.</w:t>
      </w:r>
    </w:p>
    <w:p>
      <w:pPr>
        <w:spacing w:after="0" w:line="59"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environmental remediation matters at our former Hallowell Facility.</w:t>
      </w:r>
    </w:p>
    <w:p>
      <w:pPr>
        <w:spacing w:after="0" w:line="2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Pryor Chemical Company</w:t>
      </w:r>
    </w:p>
    <w:p>
      <w:pPr>
        <w:spacing w:after="0" w:line="90" w:lineRule="exact"/>
        <w:rPr>
          <w:sz w:val="20"/>
          <w:szCs w:val="20"/>
          <w:color w:val="auto"/>
        </w:rPr>
      </w:pPr>
    </w:p>
    <w:p>
      <w:pPr>
        <w:ind w:right="40"/>
        <w:spacing w:after="0" w:line="296" w:lineRule="auto"/>
        <w:rPr>
          <w:sz w:val="20"/>
          <w:szCs w:val="20"/>
          <w:color w:val="auto"/>
        </w:rPr>
      </w:pPr>
      <w:r>
        <w:rPr>
          <w:rFonts w:ascii="Times New Roman" w:cs="Times New Roman" w:eastAsia="Times New Roman" w:hAnsi="Times New Roman"/>
          <w:sz w:val="16"/>
          <w:szCs w:val="16"/>
          <w:color w:val="auto"/>
        </w:rPr>
        <w:t>PCC has filed lawsuits against certain vendors of PCC related to work performed at the Pryor Facility. The claims allege certain damages resulting from improperly performed work by the vendors and for lost profits and other costs as the result of downtime at the Pryor Facility. During 2012, one of the vendors reached a settlement with PCC. As a result, we recognized a gain of $2,303,000 from this settlement, which amount is included in other income. The remaining amount of lawsuit claims for damages and lost profits is not substantial and the probability, amount and timing of the ultimate recovery are uncertain. As a result, any recovery from litigation or settlement of these claims is a gain contingency and will be recognized if, and when, realized or realizable and earned.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Claims and Legal Actions</w:t>
      </w:r>
    </w:p>
    <w:p>
      <w:pPr>
        <w:spacing w:after="0" w:line="9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are also involved in various other claims and legal actions including claims for damages resulting from water leaks related to our Climate Control products and other product liability occurrences. Most of the product liability claims are covered by our general liability insurance, which generally includes a deductible of $250,000 per claim. For any claims or legal actions that we have assessed the likelihood of our liability as probable, we have recognized our estimated liability up to the applicable deductible. At December 31, 2012, our accrued general liability insurance claims were $628,000 and are included in accrued and other liabilities. It is possible that the actual development of claims could be different from our estimates but, after consultation with legal counsel, if those general liability insurance claims for which we have not recognized a liability were determined adversely to us, it would not have a material effect on our business, financial condition or results of operations.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MINE SAFETY DISCLOSURES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380"/>
          </w:cols>
          <w:pgMar w:left="240" w:top="455" w:right="279" w:bottom="1440" w:gutter="0" w:footer="0" w:header="0"/>
        </w:sectPr>
      </w:pP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80"/>
          </w:cols>
          <w:pgMar w:left="240" w:top="455" w:right="279" w:bottom="1440" w:gutter="0" w:footer="0" w:header="0"/>
          <w:type w:val="continuous"/>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EXECUTIVE OFFICERS OF THE REGISTRANT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officers serve one-year terms, renewable on an annual basis by the Board of Directors. Information regarding LSB’s executive officers is as follows:</w:t>
      </w:r>
    </w:p>
    <w:p>
      <w:pPr>
        <w:spacing w:after="0" w:line="8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Jack E. Golsen </w:t>
      </w:r>
      <w:r>
        <w:rPr>
          <w:rFonts w:ascii="Times New Roman" w:cs="Times New Roman" w:eastAsia="Times New Roman" w:hAnsi="Times New Roman"/>
          <w:sz w:val="18"/>
          <w:szCs w:val="18"/>
          <w:color w:val="auto"/>
        </w:rPr>
        <w:t>(1)—Chairman of the Board and Chief Executive Officer. Mr. Golsen, age 84, first became a director in 1969. His term will expire in 2013.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Golsen, founder of LSB, is our Chairman of the Board of Directors and Chief Executive Officer and has served in those capacities since our inception in 1969. Mr. Golsen served as our President from 1969 until 2004. During 1996, he was inducted into the Oklahoma Commerce and Industry Hall of Honor as one of Oklahoma’s leading industrialists. Mr. Golsen has a Bachelor of Science degree from the University of New Mexico. Mr. Golsen is a Trustee of Oklahoma City University and has served on its Finance Committee for many years. During his career, he acquired or started the companies which formed the Company. He has served on the boards of insurance companies, several banks and was Board Chairman of Equity Bank for Savings N.A. which was formerly owned by the Company. In 1972, he was recognized nationally as the person who prevented a widespread collapse of the Wall Street investment banking industry. Refer to “The Second Crash” by Charles Ellis, and six additional books about the Wall Street crisis.</w:t>
      </w:r>
    </w:p>
    <w:p>
      <w:pPr>
        <w:spacing w:after="0" w:line="138"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Barry H. Golsen, J.D. </w:t>
      </w:r>
      <w:r>
        <w:rPr>
          <w:rFonts w:ascii="Times New Roman" w:cs="Times New Roman" w:eastAsia="Times New Roman" w:hAnsi="Times New Roman"/>
          <w:sz w:val="18"/>
          <w:szCs w:val="18"/>
          <w:color w:val="auto"/>
        </w:rPr>
        <w:t>(1)—Vice Chairman of the Board, President, Chief Operating Officer, and President of the Climate Control Business. Mr. Golsen, age 62,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became a director in 1981. His term will expire in 2015. Mr. Golsen was elected President of LSB in 2004. Mr. Golsen has served as our Vice Chairman of the Board of Directors since August 1994. Mr. Golsen has served in several capacities with various LSB subsidiary companies and has been the President of our Climate Control Business for more than ten years. Mr. Golsen served as a director of the Oklahoma branch of the Federal Reserve Bank. Mr. Golsen has both his undergraduate and law degrees from the University of Oklahoma.</w:t>
      </w:r>
    </w:p>
    <w:p>
      <w:pPr>
        <w:spacing w:after="0" w:line="134"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8"/>
          <w:szCs w:val="18"/>
          <w:b w:val="1"/>
          <w:bCs w:val="1"/>
          <w:color w:val="auto"/>
        </w:rPr>
        <w:t>David R. Goss</w:t>
      </w:r>
      <w:r>
        <w:rPr>
          <w:rFonts w:ascii="Times New Roman" w:cs="Times New Roman" w:eastAsia="Times New Roman" w:hAnsi="Times New Roman"/>
          <w:sz w:val="18"/>
          <w:szCs w:val="18"/>
          <w:color w:val="auto"/>
        </w:rPr>
        <w:t>—Executive Vice President of Operations and Director. Mr. Goss, age 72, first became a director in 1971. His term will expire in 2015. Mr. Goss,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certified public accountant, is our Executive Vice President of Operations and has served in substantially the same capacity for more than ten years. He has served as a member of the executive management team since our inception in 1969. Mr. Goss is a graduate of Rutgers University.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Tony M. Shelby</w:t>
      </w:r>
      <w:r>
        <w:rPr>
          <w:rFonts w:ascii="Times New Roman" w:cs="Times New Roman" w:eastAsia="Times New Roman" w:hAnsi="Times New Roman"/>
          <w:sz w:val="18"/>
          <w:szCs w:val="18"/>
          <w:color w:val="auto"/>
        </w:rPr>
        <w:t>—Executive Vice President of Finance and Director. Mr. Shelby, age 71, first became a director in 1971. His term will expire in 2014.</w:t>
      </w:r>
    </w:p>
    <w:p>
      <w:pPr>
        <w:spacing w:after="0" w:line="23"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Mr. Shelby, a certified public accountant, is our Executive Vice President of Finance and Chief Financial Officer, a position he has held for more than ten years. Mr. Shelby has served as a member of the LSB executive management team since our inception in 1969. Prior to becoming our Executive Vice President of Finance and Chief Financial Officer, he served as Chief Financial Officer of a subsidiary of LSB and was with the accounting firm of Arthur Young &amp; Co., a predecessor to Ernst &amp; Young LLP. Mr. Shelby is a graduate of Oklahoma City University.</w:t>
      </w:r>
    </w:p>
    <w:p>
      <w:pPr>
        <w:spacing w:after="0" w:line="136"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Steven J. Golsen </w:t>
      </w:r>
      <w:r>
        <w:rPr>
          <w:rFonts w:ascii="Times New Roman" w:cs="Times New Roman" w:eastAsia="Times New Roman" w:hAnsi="Times New Roman"/>
          <w:sz w:val="18"/>
          <w:szCs w:val="18"/>
          <w:color w:val="auto"/>
        </w:rPr>
        <w:t>(1)—Chief Operating Officer of the Climate Control Business and Director. Mr. Golsen, age 60, first became a director in 2011. His term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expire in 2014. Mr. Golsen is our Chief Operating Officer of our Climate Control Business. Mr. Golsen has served as the Chief Operating Officer of our Machine Tool Business and Climate Control Business for more than ten years. Mr. Golsen has been employed by the Company since 1976. Mr. Golsen attended the University of New Mexico and University of Oklahoma.</w:t>
      </w:r>
    </w:p>
    <w:p>
      <w:pPr>
        <w:spacing w:after="0" w:line="13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b w:val="1"/>
          <w:bCs w:val="1"/>
          <w:color w:val="auto"/>
        </w:rPr>
        <w:t>Jim D. Jones</w:t>
      </w:r>
      <w:r>
        <w:rPr>
          <w:rFonts w:ascii="Times New Roman" w:cs="Times New Roman" w:eastAsia="Times New Roman" w:hAnsi="Times New Roman"/>
          <w:sz w:val="18"/>
          <w:szCs w:val="18"/>
          <w:color w:val="auto"/>
        </w:rPr>
        <w:t>—Senior Vice President and Treasurer. Mr. Jones, age 70, has been Senior Vice President and Treasurer since July 2003, and has served as an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LSB since April 1977. Mr. Jones is a certified public accountant and was with the accounting firm of Arthur Young &amp; Co., a predecessor to Ernst &amp; Young LLP. Mr. Jones is a graduate of the University of Central Oklahoma.</w:t>
      </w:r>
    </w:p>
    <w:p>
      <w:pPr>
        <w:spacing w:after="0" w:line="127"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6"/>
          <w:szCs w:val="16"/>
          <w:b w:val="1"/>
          <w:bCs w:val="1"/>
          <w:color w:val="auto"/>
        </w:rPr>
        <w:t xml:space="preserve">David M. Shear </w:t>
      </w:r>
      <w:r>
        <w:rPr>
          <w:rFonts w:ascii="Times New Roman" w:cs="Times New Roman" w:eastAsia="Times New Roman" w:hAnsi="Times New Roman"/>
          <w:sz w:val="16"/>
          <w:szCs w:val="16"/>
          <w:color w:val="auto"/>
        </w:rPr>
        <w:t>(1)—Senior Vice President and General Counsel. Mr. Shear, age 53, has been Senior Vice President and General Counsel since July 2004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General Counsel and Secretary since 1990. Mr. Shear attended Brandeis University, graduating cum laude in 1981. At Brandeis University, Mr. Shear was the founding Editor-In-Chief of Chronos, the first journal of undergraduate scholarly articles. Mr. Shear attended the Boston University School of Law, where he was a contributing Editor of the Annual Review of Banking Law. Mr. Shear acted as a staff attorney at the Bureau of Competition with the Federal Trade Commission from 1985 to 1986. From 1986 through 1989, Mr. Shear was an associate in the Boston law firm of Weiss, Angoff, Coltin, Koski and Wolf.</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Michael D. Tepper</w:t>
      </w:r>
      <w:r>
        <w:rPr>
          <w:rFonts w:ascii="Times New Roman" w:cs="Times New Roman" w:eastAsia="Times New Roman" w:hAnsi="Times New Roman"/>
          <w:sz w:val="16"/>
          <w:szCs w:val="16"/>
          <w:color w:val="auto"/>
        </w:rPr>
        <w:t>—Senior Vice President of International Operations. Mr. Tepper, age 74, has served in substantially the same capacity for more than ten years.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Tepper is a graduate of the Wharton School of the University of Pennsylvania.</w:t>
      </w:r>
    </w:p>
    <w:p>
      <w:pPr>
        <w:spacing w:after="0" w:line="157"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8"/>
          <w:szCs w:val="18"/>
          <w:b w:val="1"/>
          <w:bCs w:val="1"/>
          <w:color w:val="auto"/>
        </w:rPr>
        <w:t>Michael G. Adams</w:t>
      </w:r>
      <w:r>
        <w:rPr>
          <w:rFonts w:ascii="Times New Roman" w:cs="Times New Roman" w:eastAsia="Times New Roman" w:hAnsi="Times New Roman"/>
          <w:sz w:val="18"/>
          <w:szCs w:val="18"/>
          <w:color w:val="auto"/>
        </w:rPr>
        <w:t>—Vice President and Corporate Controller. Mr. Adams, age 63, has been Vice President and Corporate Controller since 2008 and has served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an officer of LSB since March 1990. Mr. Adams is a certified public accountant and was with the accounting firm of Arthur Young &amp; Co., a predecessor to Ernst &amp; Young LLP. Mr. Adams is a graduate of the University of Oklahoma.</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b w:val="1"/>
          <w:bCs w:val="1"/>
          <w:color w:val="auto"/>
        </w:rPr>
        <w:t>Harold L. Rieker Jr.—</w:t>
      </w:r>
      <w:r>
        <w:rPr>
          <w:rFonts w:ascii="Times New Roman" w:cs="Times New Roman" w:eastAsia="Times New Roman" w:hAnsi="Times New Roman"/>
          <w:sz w:val="18"/>
          <w:szCs w:val="18"/>
          <w:color w:val="auto"/>
        </w:rPr>
        <w:t>Vice President and Principal Accounting Officer. Mr. Rieker, age 52, has been Vice President and Principal Accounting Officer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2008 and has served as an officer of LSB since March 2006. Mr. Rieker is a certified public accountant and was with the accounting firm of Grant Thornton LLP. Mr. Rieker is a graduate of the University of Central Oklahoma.</w:t>
      </w:r>
    </w:p>
    <w:p>
      <w:pPr>
        <w:spacing w:after="0" w:line="48" w:lineRule="exact"/>
        <w:rPr>
          <w:sz w:val="20"/>
          <w:szCs w:val="20"/>
          <w:color w:val="auto"/>
        </w:rPr>
      </w:pPr>
    </w:p>
    <w:p>
      <w:pPr>
        <w:ind w:left="460" w:right="760" w:hanging="452"/>
        <w:spacing w:after="0" w:line="275"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Barry H. Golsen and Steven J. Golsen are the sons of Jack E. Golsen and David M. Shear is married to the niece of Jack E. Golsen. The niece of Mr. Golsen serves as Vice President and Managing Counsel of our Company.</w:t>
      </w:r>
    </w:p>
    <w:p>
      <w:pPr>
        <w:spacing w:after="0" w:line="1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60"/>
          </w:cols>
          <w:pgMar w:left="240" w:top="455" w:right="29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PART II</w:t>
      </w:r>
    </w:p>
    <w:p>
      <w:pPr>
        <w:spacing w:after="0" w:line="25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b w:val="1"/>
          <w:bCs w:val="1"/>
          <w:u w:val="single" w:color="auto"/>
          <w:color w:val="auto"/>
        </w:rPr>
        <w:t>ITEM 5. MARKET FOR REGISTRANT’S COMMON EQUITY, RELATED STOCKHOLDER MATTERS AND ISSUER PURCHASES OF EQUITY SECURITIES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Market Information</w:t>
      </w:r>
    </w:p>
    <w:p>
      <w:pPr>
        <w:spacing w:after="0" w:line="92"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Our common stock is trading on the New York Stock Exchange under the symbol “LXU”. The following table shows, for the periods indicated, the high and low sales prices.</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50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Year Ended December 31,</w:t>
            </w:r>
          </w:p>
        </w:tc>
        <w:tc>
          <w:tcPr>
            <w:tcW w:w="3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Quarter</w:t>
            </w:r>
          </w:p>
        </w:tc>
        <w:tc>
          <w:tcPr>
            <w:tcW w:w="6740" w:type="dxa"/>
            <w:vAlign w:val="bottom"/>
            <w:vMerge w:val="restart"/>
          </w:tcPr>
          <w:p>
            <w:pPr>
              <w:spacing w:after="0"/>
              <w:rPr>
                <w:sz w:val="12"/>
                <w:szCs w:val="12"/>
                <w:color w:val="auto"/>
              </w:rPr>
            </w:pPr>
          </w:p>
        </w:tc>
        <w:tc>
          <w:tcPr>
            <w:tcW w:w="8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2011</w:t>
            </w: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tcBorders>
              <w:bottom w:val="single" w:sz="8" w:color="auto"/>
            </w:tcBorders>
            <w:vMerge w:val="continue"/>
          </w:tcPr>
          <w:p>
            <w:pPr>
              <w:spacing w:after="0"/>
              <w:rPr>
                <w:sz w:val="12"/>
                <w:szCs w:val="12"/>
                <w:color w:val="auto"/>
              </w:rPr>
            </w:pPr>
          </w:p>
        </w:tc>
        <w:tc>
          <w:tcPr>
            <w:tcW w:w="6740" w:type="dxa"/>
            <w:vAlign w:val="bottom"/>
            <w:vMerge w:val="continue"/>
          </w:tcPr>
          <w:p>
            <w:pPr>
              <w:spacing w:after="0"/>
              <w:rPr>
                <w:sz w:val="12"/>
                <w:szCs w:val="12"/>
                <w:color w:val="auto"/>
              </w:rPr>
            </w:pPr>
          </w:p>
        </w:tc>
        <w:tc>
          <w:tcPr>
            <w:tcW w:w="82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w w:val="94"/>
              </w:rPr>
              <w:t>High</w:t>
            </w:r>
          </w:p>
        </w:tc>
        <w:tc>
          <w:tcPr>
            <w:tcW w:w="60" w:type="dxa"/>
            <w:vAlign w:val="bottom"/>
          </w:tcPr>
          <w:p>
            <w:pPr>
              <w:spacing w:after="0"/>
              <w:rPr>
                <w:sz w:val="12"/>
                <w:szCs w:val="12"/>
                <w:color w:val="auto"/>
              </w:rPr>
            </w:pPr>
          </w:p>
        </w:tc>
        <w:tc>
          <w:tcPr>
            <w:tcW w:w="5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8"/>
              </w:rPr>
              <w:t>Low</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w w:val="94"/>
              </w:rPr>
              <w:t>High</w:t>
            </w:r>
          </w:p>
        </w:tc>
        <w:tc>
          <w:tcPr>
            <w:tcW w:w="320" w:type="dxa"/>
            <w:vAlign w:val="bottom"/>
          </w:tcPr>
          <w:p>
            <w:pPr>
              <w:spacing w:after="0"/>
              <w:rPr>
                <w:sz w:val="12"/>
                <w:szCs w:val="12"/>
                <w:color w:val="auto"/>
              </w:rPr>
            </w:pPr>
          </w:p>
        </w:tc>
        <w:tc>
          <w:tcPr>
            <w:tcW w:w="5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8"/>
              </w:rPr>
              <w:t>Low</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2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First</w:t>
            </w:r>
          </w:p>
        </w:tc>
        <w:tc>
          <w:tcPr>
            <w:tcW w:w="5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$42.28</w:t>
            </w:r>
          </w:p>
        </w:tc>
        <w:tc>
          <w:tcPr>
            <w:tcW w:w="3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$28.79</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$40.31</w:t>
            </w:r>
          </w:p>
        </w:tc>
        <w:tc>
          <w:tcPr>
            <w:tcW w:w="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$23.65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$39.95</w:t>
            </w:r>
          </w:p>
        </w:tc>
        <w:tc>
          <w:tcPr>
            <w:tcW w:w="320" w:type="dxa"/>
            <w:vAlign w:val="bottom"/>
          </w:tcPr>
          <w:p>
            <w:pPr>
              <w:spacing w:after="0"/>
              <w:rPr>
                <w:sz w:val="18"/>
                <w:szCs w:val="18"/>
                <w:color w:val="auto"/>
              </w:rPr>
            </w:pPr>
          </w:p>
        </w:tc>
        <w:tc>
          <w:tcPr>
            <w:tcW w:w="7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$24.85</w:t>
            </w:r>
          </w:p>
        </w:tc>
        <w:tc>
          <w:tcPr>
            <w:tcW w:w="700" w:type="dxa"/>
            <w:vAlign w:val="bottom"/>
            <w:gridSpan w:val="2"/>
          </w:tcPr>
          <w:p>
            <w:pPr>
              <w:jc w:val="center"/>
              <w:ind w:left="112"/>
              <w:spacing w:after="0"/>
              <w:rPr>
                <w:sz w:val="20"/>
                <w:szCs w:val="20"/>
                <w:color w:val="auto"/>
              </w:rPr>
            </w:pPr>
            <w:r>
              <w:rPr>
                <w:rFonts w:ascii="Times New Roman" w:cs="Times New Roman" w:eastAsia="Times New Roman" w:hAnsi="Times New Roman"/>
                <w:sz w:val="18"/>
                <w:szCs w:val="18"/>
                <w:color w:val="auto"/>
              </w:rPr>
              <w:t>$49.21</w:t>
            </w:r>
          </w:p>
        </w:tc>
        <w:tc>
          <w:tcPr>
            <w:tcW w:w="60" w:type="dxa"/>
            <w:vAlign w:val="bottom"/>
          </w:tcPr>
          <w:p>
            <w:pPr>
              <w:spacing w:after="0"/>
              <w:rPr>
                <w:sz w:val="18"/>
                <w:szCs w:val="18"/>
                <w:color w:val="auto"/>
              </w:rPr>
            </w:pPr>
          </w:p>
        </w:tc>
        <w:tc>
          <w:tcPr>
            <w:tcW w:w="820" w:type="dxa"/>
            <w:vAlign w:val="bottom"/>
            <w:gridSpan w:val="2"/>
          </w:tcPr>
          <w:p>
            <w:pPr>
              <w:jc w:val="center"/>
              <w:ind w:left="237"/>
              <w:spacing w:after="0"/>
              <w:rPr>
                <w:sz w:val="20"/>
                <w:szCs w:val="20"/>
                <w:color w:val="auto"/>
              </w:rPr>
            </w:pPr>
            <w:r>
              <w:rPr>
                <w:rFonts w:ascii="Times New Roman" w:cs="Times New Roman" w:eastAsia="Times New Roman" w:hAnsi="Times New Roman"/>
                <w:sz w:val="18"/>
                <w:szCs w:val="18"/>
                <w:color w:val="auto"/>
              </w:rPr>
              <w:t>$35.35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$44.29</w:t>
            </w:r>
          </w:p>
        </w:tc>
        <w:tc>
          <w:tcPr>
            <w:tcW w:w="3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$29.89</w:t>
            </w:r>
          </w:p>
        </w:tc>
        <w:tc>
          <w:tcPr>
            <w:tcW w:w="700" w:type="dxa"/>
            <w:vAlign w:val="bottom"/>
            <w:gridSpan w:val="2"/>
            <w:shd w:val="clear" w:color="auto" w:fill="CCEEFF"/>
          </w:tcPr>
          <w:p>
            <w:pPr>
              <w:jc w:val="center"/>
              <w:ind w:left="112"/>
              <w:spacing w:after="0"/>
              <w:rPr>
                <w:sz w:val="20"/>
                <w:szCs w:val="20"/>
                <w:color w:val="auto"/>
              </w:rPr>
            </w:pPr>
            <w:r>
              <w:rPr>
                <w:rFonts w:ascii="Times New Roman" w:cs="Times New Roman" w:eastAsia="Times New Roman" w:hAnsi="Times New Roman"/>
                <w:sz w:val="18"/>
                <w:szCs w:val="18"/>
                <w:color w:val="auto"/>
              </w:rPr>
              <w:t>$46.88</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left="237"/>
              <w:spacing w:after="0"/>
              <w:rPr>
                <w:sz w:val="20"/>
                <w:szCs w:val="20"/>
                <w:color w:val="auto"/>
              </w:rPr>
            </w:pPr>
            <w:r>
              <w:rPr>
                <w:rFonts w:ascii="Times New Roman" w:cs="Times New Roman" w:eastAsia="Times New Roman" w:hAnsi="Times New Roman"/>
                <w:sz w:val="18"/>
                <w:szCs w:val="18"/>
                <w:color w:val="auto"/>
              </w:rPr>
              <w:t>$28.41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Fourth</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$45.00</w:t>
            </w:r>
          </w:p>
        </w:tc>
        <w:tc>
          <w:tcPr>
            <w:tcW w:w="320" w:type="dxa"/>
            <w:vAlign w:val="bottom"/>
          </w:tcPr>
          <w:p>
            <w:pPr>
              <w:spacing w:after="0"/>
              <w:rPr>
                <w:sz w:val="19"/>
                <w:szCs w:val="19"/>
                <w:color w:val="auto"/>
              </w:rPr>
            </w:pPr>
          </w:p>
        </w:tc>
        <w:tc>
          <w:tcPr>
            <w:tcW w:w="7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$30.48</w:t>
            </w:r>
          </w:p>
        </w:tc>
        <w:tc>
          <w:tcPr>
            <w:tcW w:w="700" w:type="dxa"/>
            <w:vAlign w:val="bottom"/>
            <w:gridSpan w:val="2"/>
          </w:tcPr>
          <w:p>
            <w:pPr>
              <w:jc w:val="center"/>
              <w:ind w:left="112"/>
              <w:spacing w:after="0"/>
              <w:rPr>
                <w:sz w:val="20"/>
                <w:szCs w:val="20"/>
                <w:color w:val="auto"/>
              </w:rPr>
            </w:pPr>
            <w:r>
              <w:rPr>
                <w:rFonts w:ascii="Times New Roman" w:cs="Times New Roman" w:eastAsia="Times New Roman" w:hAnsi="Times New Roman"/>
                <w:sz w:val="18"/>
                <w:szCs w:val="18"/>
                <w:color w:val="auto"/>
              </w:rPr>
              <w:t>$40.61</w:t>
            </w:r>
          </w:p>
        </w:tc>
        <w:tc>
          <w:tcPr>
            <w:tcW w:w="60" w:type="dxa"/>
            <w:vAlign w:val="bottom"/>
          </w:tcPr>
          <w:p>
            <w:pPr>
              <w:spacing w:after="0"/>
              <w:rPr>
                <w:sz w:val="19"/>
                <w:szCs w:val="19"/>
                <w:color w:val="auto"/>
              </w:rPr>
            </w:pPr>
          </w:p>
        </w:tc>
        <w:tc>
          <w:tcPr>
            <w:tcW w:w="820" w:type="dxa"/>
            <w:vAlign w:val="bottom"/>
            <w:gridSpan w:val="2"/>
          </w:tcPr>
          <w:p>
            <w:pPr>
              <w:jc w:val="center"/>
              <w:ind w:left="237"/>
              <w:spacing w:after="0"/>
              <w:rPr>
                <w:sz w:val="20"/>
                <w:szCs w:val="20"/>
                <w:color w:val="auto"/>
              </w:rPr>
            </w:pPr>
            <w:r>
              <w:rPr>
                <w:rFonts w:ascii="Times New Roman" w:cs="Times New Roman" w:eastAsia="Times New Roman" w:hAnsi="Times New Roman"/>
                <w:sz w:val="18"/>
                <w:szCs w:val="18"/>
                <w:color w:val="auto"/>
              </w:rPr>
              <w:t>$24.85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Stockholders</w:t>
      </w:r>
    </w:p>
    <w:p>
      <w:pPr>
        <w:spacing w:after="0" w:line="92"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As of February 15, 2013, we had 517 record holders of our common stock. This number does not include investors whose ownership is recorded in the name of their brokerage company.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Dividends</w:t>
      </w:r>
    </w:p>
    <w:p>
      <w:pPr>
        <w:spacing w:after="0" w:line="92"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We have not paid cash dividends in our outstanding shares of common stock during the two most recent fiscal years but have paid cash dividends on our outstanding series of convertible preferred stock during this period. See discussion concerning dividends and restrictions in payment of dividends below under “Liquidity and Capital Resources—Dividends” of the MD&amp;A contained in this report.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Equity Compensation Plans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discussions relating to our equity compensation plans under Item 12 of Part III contained in this report.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Sale of Unregistered Securities</w:t>
      </w:r>
    </w:p>
    <w:p>
      <w:pPr>
        <w:spacing w:after="0" w:line="92"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There were no unregistered sales of equity securities in 2012 that have not been previously reported in a Quarterly Report on Form 10-Q or Current Report on Form 8-K.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Purchases of Equity Securities by the Issuer and Affiliated Purchasers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December 2012, there were no purchases of equity securities by the Company and affiliated purchasers.</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60"/>
          </w:cols>
          <w:pgMar w:left="240" w:top="455" w:right="29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Preferred Share Rights Plan</w:t>
      </w:r>
    </w:p>
    <w:p>
      <w:pPr>
        <w:spacing w:after="0" w:line="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have adopted a preferred share rights plan to protect us against certain creeping acquisitions, open market purchases and certain mergers and other combinations with acquiring companies. The rights plan will impact a potential acquirer unless the acquirer negotiates with our Board of Directors and the Board of Directors approves the transaction. Pursuant to the rights plan, one preferred share purchase right (a “Right”) is attached to each currently outstanding or subsequently issued share of our common stock. Prior to becoming exercisable, the Rights trade together with our common stock. In general, if a person or group acquires or announces a tender or exchange offer for 15% or more of our common stock (except for the Golsen Group and certain other limited excluded persons), then the Rights become exercisable. Each Right entitles the holder (other than the person or group that triggers the Rights being exercisable) to purchase from us one one-hundredth of a share of Series 4 Junior Participating Preferred Stock, no par value (the “Preferred Stock”), at an exercise price of $47.75 per one one-hundredth of a share, subject to adjustment. If a person or group acquires 15% or more of our common stock, each Right will entitle the holder (other than the person or group that triggered the Rights being exercisable) to purchase shares of our common stock (or, in certain circumstances, cash or other securities) having a market value of twice the exercise price of a Right at such time. Under certain circumstances, each Right will entitle the holder (other than the person or group that triggered the Rights being exercisable) to purchase the common stock of the acquirer having a market value of twice the exercise price of a Right at such time. In addition, under certain circumstances, our Board of Directors may exchange each Right (other than those held by the acquirer) for one share of our common stock, subject to adjustment. Our Board of Directors may redeem the Rights at a price of $0.01 per Right generally at any time before 10 days after the Rights become exercisable. Our Board of Directors may exchange all or part of the Rights (except to the person or group that triggered the Rights being exercisable) for our common stock at an exchange ratio of one common share per Right until the person triggering the Right becomes the beneficial owner of 50% or more of our common stock.</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6. SELECTED FINANCIAL DATA (1)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10"/>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4"/>
              </w:rPr>
              <w:t>Year ended December 31,</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2010</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80" w:type="dxa"/>
            <w:vAlign w:val="bottom"/>
            <w:gridSpan w:val="12"/>
          </w:tcPr>
          <w:p>
            <w:pPr>
              <w:jc w:val="center"/>
              <w:ind w:right="120"/>
              <w:spacing w:after="0" w:line="142" w:lineRule="exact"/>
              <w:rPr>
                <w:sz w:val="20"/>
                <w:szCs w:val="20"/>
                <w:color w:val="auto"/>
              </w:rPr>
            </w:pPr>
            <w:r>
              <w:rPr>
                <w:rFonts w:ascii="Times New Roman" w:cs="Times New Roman" w:eastAsia="Times New Roman" w:hAnsi="Times New Roman"/>
                <w:sz w:val="14"/>
                <w:szCs w:val="14"/>
                <w:color w:val="auto"/>
                <w:w w:val="96"/>
              </w:rPr>
              <w:t>(Dollars In Thousands, Except Per Share Data)</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Selected Statement of Income Data:</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759,031</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805,256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5"/>
              </w:rPr>
              <w:t>609,905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531,838</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748,967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6,658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7,427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Provisions for income taxes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8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15,024</w:t>
            </w:r>
          </w:p>
        </w:tc>
        <w:tc>
          <w:tcPr>
            <w:tcW w:w="2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58,786</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83,984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29,715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8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21,584</w:t>
            </w:r>
          </w:p>
        </w:tc>
        <w:tc>
          <w:tcPr>
            <w:tcW w:w="2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income applicable to common stock</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58,304</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83,537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29,269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Income (loss) per common share applicable to common stock:</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u w:val="single" w:color="auto"/>
                <w:color w:val="auto"/>
              </w:rPr>
              <w:t>62</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u w:val="single" w:color="auto"/>
                <w:color w:val="auto"/>
              </w:rPr>
              <w:t>81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u w:val="single" w:color="auto"/>
                <w:color w:val="auto"/>
              </w:rPr>
              <w:t>39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u w:val="single" w:color="auto"/>
                <w:color w:val="auto"/>
              </w:rPr>
              <w:t>01</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u w:val="single" w:color="auto"/>
                <w:color w:val="auto"/>
              </w:rPr>
              <w:t>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8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130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8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0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8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130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8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2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Selected Balance Sheet Data:</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576,612</w:t>
            </w:r>
          </w:p>
        </w:tc>
        <w:tc>
          <w:tcPr>
            <w:tcW w:w="12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502,009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5"/>
              </w:rPr>
              <w:t>387,981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338,633</w:t>
            </w:r>
          </w:p>
        </w:tc>
        <w:tc>
          <w:tcPr>
            <w:tcW w:w="2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335,767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8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101,801</w:t>
            </w:r>
          </w:p>
        </w:tc>
        <w:tc>
          <w:tcPr>
            <w:tcW w:w="2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105,160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354,497</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293,270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5"/>
              </w:rPr>
              <w:t>179,370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150,607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130,044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Selected other data: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w:t>
        <w:tab/>
        <w:t>See discussions included in Item 7 of Part II of this report.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7. MANAGEMENT’S DISCUSSION AND ANALYSIS OF FINANCIAL CONDITION AND RESULTS OF OPERATIONS</w:t>
      </w:r>
    </w:p>
    <w:p>
      <w:pPr>
        <w:spacing w:after="0" w:line="17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(“MD&amp;A”) should be read in conjunction with a review of the other Items included in this Form 10-K and our December 31, 2012 Consolidated Financial Statements included elsewhere in this report. Certain statements contained in this MD&amp;A may be deemed to be forward-looking statements. See “Special Note Regarding Forward-Looking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LSB is a manufacturing and marketing company operating through our subsidiaries. LSB and its wholly-owned subsidiaries own the following core businesses:</w:t>
      </w:r>
    </w:p>
    <w:p>
      <w:pPr>
        <w:spacing w:after="0" w:line="113" w:lineRule="exact"/>
        <w:rPr>
          <w:sz w:val="20"/>
          <w:szCs w:val="20"/>
          <w:color w:val="auto"/>
        </w:rPr>
      </w:pPr>
    </w:p>
    <w:p>
      <w:pPr>
        <w:ind w:left="900" w:hanging="325"/>
        <w:spacing w:after="0" w:line="255"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Chemical Business manufactures and sells nitrogen-based chemical products produced from four facilities located in El Dorado, Arkansas; Cherokee, Alabama; Pryor, Oklahoma; and Baytown, Texas for the agricultural, industrial and mining markets. Our products include high purity and commercial grade anhydrous ammonia for industrial and agricultural applications, industrial and fertilizer grade AN, UAN, sulfuric acids, nitric acids in various concentrations, nitrogen solutions, DEF and various other products. Also see discussion below under “Liquidity and Capital Resources— Capital Expenditures” concerning an acquisition of working interests in certain natural gas properties. For 2012, approximately 63% of our consolidated net sales relates to the Chemical Business.</w:t>
      </w:r>
    </w:p>
    <w:p>
      <w:pPr>
        <w:spacing w:after="0" w:line="58" w:lineRule="exact"/>
        <w:rPr>
          <w:rFonts w:ascii="Times New Roman" w:cs="Times New Roman" w:eastAsia="Times New Roman" w:hAnsi="Times New Roman"/>
          <w:sz w:val="18"/>
          <w:szCs w:val="18"/>
          <w:color w:val="auto"/>
        </w:rPr>
      </w:pPr>
    </w:p>
    <w:p>
      <w:pPr>
        <w:ind w:left="900" w:right="20" w:hanging="325"/>
        <w:spacing w:after="0" w:line="258"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Control Business manufactures and sells a broad range of HVAC products in the niche markets we serve consisting of geothermal and water source heat pumps, hydronic fan coils, large custom air handlers, modular geothermal and other chillers and other related products used to control the environment in commercial/institutional and residential new building construction, renovation of existing buildings and replacement of existing systems. For 2012, approximately 35% of our consolidated net sales relates to the Climate Control Business.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Downtime at Certain Chemical Facilities and Certain Capital Expenditures</w:t>
      </w:r>
    </w:p>
    <w:p>
      <w:pPr>
        <w:spacing w:after="0" w:line="9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During 2012, our Chemical Business encountered a number of significant issues including an explosion in one of our nitric acid plants at the El Dorado Facility in May, a pipe rupture at the Cherokee Facility in November that damaged the ammonia plant and mechanical issues at the Pryor Facility all resulting in lost production and significant adverse effect on 2012 sales, operating income and cash flow.</w:t>
      </w:r>
    </w:p>
    <w:p>
      <w:pPr>
        <w:spacing w:after="0" w:line="132" w:lineRule="exact"/>
        <w:rPr>
          <w:sz w:val="20"/>
          <w:szCs w:val="20"/>
          <w:color w:val="auto"/>
        </w:rPr>
      </w:pPr>
    </w:p>
    <w:p>
      <w:pPr>
        <w:ind w:right="620"/>
        <w:spacing w:after="0" w:line="275" w:lineRule="auto"/>
        <w:rPr>
          <w:sz w:val="20"/>
          <w:szCs w:val="20"/>
          <w:color w:val="auto"/>
        </w:rPr>
      </w:pPr>
      <w:r>
        <w:rPr>
          <w:rFonts w:ascii="Times New Roman" w:cs="Times New Roman" w:eastAsia="Times New Roman" w:hAnsi="Times New Roman"/>
          <w:sz w:val="18"/>
          <w:szCs w:val="18"/>
          <w:color w:val="auto"/>
        </w:rPr>
        <w:t>For 2012, we estimate the cumulative negative effect on operating income from these incidents and issues to be approximately $83 million, including lost absorption and gross profit margins.</w:t>
      </w:r>
    </w:p>
    <w:p>
      <w:pPr>
        <w:spacing w:after="0" w:line="12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Until the facilities are returned to normal production, operating income at these facilities will continue to be lower in 2013 than otherwise would be expected. We estimate that the monthly negative effect on operating income will approximate $1 million to $2 million at the El Dorado Facility until the new 65% strength nitric acid plant and the 98% concentrated nitric acid plant are constructed and begin production during the first half of 2015. The estimated combined cost for these new nitric acid plants is up to approximately $120 million. In addition, we estimate that the monthly negative effect on operating income will approximate $8 million to $9 million at the Cherokee Facility until the repairs of the ammonia plant are completed and production resumes, which production is currently scheduled to begin in May 2013. Also we estimate the monthly adverse effect on the Pryor Facility’s operating income in 2013 prior to the restart of the ammonia plant in March 2013 was approximately $8 million.</w:t>
      </w:r>
    </w:p>
    <w:p>
      <w:pPr>
        <w:spacing w:after="0" w:line="14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Although the events are unrelated to each other, the severity and frequency of the events at our Pryor, Cherokee, and El Dorado Facilities caused us to undergo a thorough reexamination of our process safety management (“PSM”), reliability and mechanical integrity programs. As a result, we have recently undertaken a concerted program to attempt to improve the reliability and mechanical integrity of our chemical plant facilities. A key component of the improvement program is the implementation of enhanced PSM programs to supplement existing PSM programs. The improvement program includes engaging outside experts and consultants who specialize in risk management, reliability, mechanical integrity and PSM. We are also recruiting and hiring additional corporate and plant engineering and operational personnel, and accelerating acquisition of additional spare parts to supplement our existing spare parts program. We estimate to incur expenses of approximately $1.0 million associated with these programs. The program also includes the installation of additional automation and additional plant equipment protections. Also see discussion concerning planned capital expenditures associated with these programs under “Liquidity and Capital Resources – Capital Expenditures”.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color w:val="auto"/>
        </w:rPr>
        <w:t>As a result of certain of the events discussed above, we filed insurance claims to recover a portion of the costs incurred and lost profits. See further discussion relating to the downtime of certain chemical facilities and our property and business interruption insurance claims and recovery below under “Downtime at Certain Chemical Facilities-2012.”</w:t>
      </w:r>
    </w:p>
    <w:p>
      <w:pPr>
        <w:spacing w:after="0" w:line="13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are also planning to construct an ammonia plant at the El Dorado Facility at an estimated cost ranging from $250 million to $300 million. If constructed, the ammonia plant will produce all of this facility’s ammonia feedstock requirements replacing the ammonia currently being purchased at a cost disadvantage compared to ammonia produced from natural gas. The final decision to construct the ammonia plant is subject to approval of our Board of Directors, and a number of business considerations, including, but not limited to, obtaining the required permits and adequate third-party financing. An independent engineering firm has been engaged to assist in the preliminary engineering and cost evaluation leading to our final decision. See further discussion relating to capital expenditures and related financing under “Liquidity and Capital Resources.”</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Economic Conditions</w:t>
      </w:r>
    </w:p>
    <w:p>
      <w:pPr>
        <w:spacing w:after="0" w:line="9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Since our two core business segments serve several diverse markets, we consider fundamentals for each market individually as we evaluate economic conditions. From a macro standpoint, we believe the U.S. economy is poised for modest growth, based upon certain economic reports, including the Conference Board Composite Index of Leading Indicators.</w:t>
      </w:r>
    </w:p>
    <w:p>
      <w:pPr>
        <w:spacing w:after="0" w:line="13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6"/>
          <w:szCs w:val="16"/>
          <w:color w:val="auto"/>
        </w:rPr>
        <w:t>Chemical Business—Our Chemical Business’ primary markets are agricultural, industrial and mining. During 2012, approximately 46% of sales were into agricultural markets to customers that purchase at spot market and/or futures market prices. During 2012, our sales volumes to agricultural customers decreased 17% while sales dollars decreased 6% compared to 2011. This decrease in sales is primarily the result of the planned and unplanned downtime at certain of our chemical facilities as discussed above partially offset by higher sales prices. In normal circumstances, our agricultural sales volumes and prices depend upon the supply of and the demand for fertilizer, which in turn depends on the market fundamentals for crops including corn, wheat, cotton and forage. The current outlook for 2013 according to most market indicators, including reports in Green Markets, Fertilizer Week and the USDA’s World Agricultural Supply and Demand Estimates, points to positive supply and demand fundamentals for the types of nitrogen fertilizer products we produce and sell. However, it is possible that the fertilizer outlook could change if there are unanticipated changes in commodity prices, fertilizer imports, domestic fertilizer production capacity, acres planted of crops requiring fertilizer, or unfavorable weather conditions. We use natural gas to produce anhydrous ammonia, which ammonia is also used to produce UAN. Agricultural customer demand for ammonia and UAN was strong during 2012. Selling prices for ammonia were generally higher while selling prices for UAN were slightly less compared to 2011 and the cost for natural gas used to produce these products was generally lower. As a result, gross margins per ton increased for these two products. We produce agricultural grade AN from purchased ammonia, which cost is significantly higher compared to previous years and significantly higher than producing it from natural gas, resulting in a cost disadvantage compared to nitrogen fertilizers that can be produced from natural gas.</w:t>
      </w:r>
    </w:p>
    <w:p>
      <w:pPr>
        <w:spacing w:after="0" w:line="331" w:lineRule="exact"/>
        <w:rPr>
          <w:sz w:val="20"/>
          <w:szCs w:val="20"/>
          <w:color w:val="auto"/>
        </w:rPr>
      </w:pPr>
    </w:p>
    <w:p>
      <w:pPr>
        <w:ind w:right="120"/>
        <w:spacing w:after="0" w:line="291" w:lineRule="auto"/>
        <w:rPr>
          <w:sz w:val="20"/>
          <w:szCs w:val="20"/>
          <w:color w:val="auto"/>
        </w:rPr>
      </w:pPr>
      <w:r>
        <w:rPr>
          <w:rFonts w:ascii="Times New Roman" w:cs="Times New Roman" w:eastAsia="Times New Roman" w:hAnsi="Times New Roman"/>
          <w:sz w:val="16"/>
          <w:szCs w:val="16"/>
          <w:color w:val="auto"/>
        </w:rPr>
        <w:t>Approximately 54% of our Chemical Business’ sales were into industrial and mining markets of which approximately 60% of these sales are to customers that have contractual obligations to purchase a minimum quantity and allow us to recover our cost plus a profit, irrespective of the volume of product sold. During 2012, our sales volumes to industrial customers decreased 5% and sales volumes to mining customers decreased 24%, as compared to 2011. Sales dollars during 2012 increased slightly to industrial customers and sales dollars to mining customers decreased 19% as compared to 2011. The slight increase in industrial sales was due to our ability to pass through higher cost ammonia with our contractual pricing. Mining sales were lower due, in part, to the unplanned downtime at our El Dorado and Cherokee Facilities as discussed below under “Downtime at Certain Chemical Facilities—2012” and due to lower customer demand, which we believe is due to higher coal inventories and natural gas being a more attractive alternative feedstock than coal for utility companies.</w:t>
      </w:r>
    </w:p>
    <w:p>
      <w:pPr>
        <w:spacing w:after="0" w:line="11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Climate Control Business—Sales for 2012 were 5% lower than the same period in 2011, including an 11% decrease in geothermal and water source heat pump sales partially offset by a 3% increase in hydronic fan coil and a 10% increase in other HVAC sales. From a market sector perspective, the sales decline is due to a 21% decrease in residential product sales and a slight decrease in sales of commercial/institutional products although sales of our custom air handlers increased. The decline in product sales generally reflects the continued softness in the markets we serve, customers placing orders later in the project construction process, and delays between the date of order intake and the date of delivery. For 2012, order levels of our products decreased slightly primarily due to lower order levels of our residential products (down 21%), partially offset by an increase in order levels of our commercial/institutional products (up 6%). The latest information available from Construction Forecasting Service provided by McGraw-Hill (“CMFS”) indicates that construction activity for the markets we serve in the commercial/institutional sector are expected to increase in aggregate during 2013 and return to the activity levels experienced in 2011. CMFS has also indicated construction growth in the single-family residential sector for 2013.</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455" w:right="2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2012 Results</w:t>
      </w:r>
    </w:p>
    <w:p>
      <w:pPr>
        <w:spacing w:after="0" w:line="92"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Our consolidated net sales for 2012 were $759.0 million, a decrease of $46.2 million compared to 2011. The sales decrease included a decrease of $34.0 million in our Chemical Business and a decrease of $15.4 million in our Climate Control Business.</w:t>
      </w:r>
    </w:p>
    <w:p>
      <w:pPr>
        <w:spacing w:after="0" w:line="120"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auto"/>
        </w:rPr>
        <w:t>Our consolidated operating income was $95.7 million for 2012, a decrease of $40.8 million compared to 2011. The decrease in operating income included a decrease of $34.4 million in our Chemical Business and a decrease of $6.9 million in our Climate Control Business. In addition, our general corporate expense and other business operations net expenses decreased $0.5 million.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resulting effective income tax rate for 2012 and 2011 was approximately 36% for both periods.</w:t>
      </w:r>
    </w:p>
    <w:p>
      <w:pPr>
        <w:spacing w:after="0" w:line="2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Chemical Business</w:t>
      </w:r>
    </w:p>
    <w:p>
      <w:pPr>
        <w:spacing w:after="0" w:line="92"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color w:val="auto"/>
        </w:rPr>
        <w:t>Our Chemical Business operates four chemical facilities. The Cherokee and Pryor Facilities produce anhydrous ammonia and nitrogen products from natural gas delivered by pipeline but can also receive supplemental anhydrous ammonia by other modes of delivery. The El Dorado and Baytown Facilities produce nitrogen products from anhydrous ammonia delivered by pipeline.</w:t>
      </w:r>
    </w:p>
    <w:p>
      <w:pPr>
        <w:spacing w:after="0" w:line="13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Chemical Business sales for 2012 were $477.8 million, a decrease of $34.0 million compared to 2011, which includes a $14.3 million decrease in agricultural products sales, a $0.7 million increase in industrial acids and other products sales, and a $21.9 million decrease in mining products sales. In addition, during the fourth quarter of 2012, our Chemical Business recognized a minimal amount of net sales of natural gas as the result of the acquisition of working interests in certain natural gas properties as discussed below under “Liquidity and Capital Resources – Capital Expenditures”.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percentage change in sales (volume and dollars) for 2012 compared to 2011 is as follows (excluding natural gas):</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98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color w:val="auto"/>
              </w:rPr>
              <w:t>Percentage Change of</w:t>
            </w:r>
          </w:p>
        </w:tc>
      </w:tr>
      <w:tr>
        <w:trPr>
          <w:trHeight w:val="161"/>
        </w:trPr>
        <w:tc>
          <w:tcPr>
            <w:tcW w:w="6700" w:type="dxa"/>
            <w:vAlign w:val="bottom"/>
          </w:tcPr>
          <w:p>
            <w:pPr>
              <w:spacing w:after="0"/>
              <w:rPr>
                <w:sz w:val="14"/>
                <w:szCs w:val="14"/>
                <w:color w:val="auto"/>
              </w:rPr>
            </w:pPr>
          </w:p>
        </w:tc>
        <w:tc>
          <w:tcPr>
            <w:tcW w:w="122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color w:val="auto"/>
                <w:w w:val="92"/>
              </w:rPr>
              <w:t>Tons</w:t>
            </w: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Dollars</w:t>
            </w:r>
          </w:p>
        </w:tc>
      </w:tr>
      <w:tr>
        <w:trPr>
          <w:trHeight w:val="196"/>
        </w:trPr>
        <w:tc>
          <w:tcPr>
            <w:tcW w:w="67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Chemical products:</w:t>
            </w:r>
          </w:p>
        </w:tc>
        <w:tc>
          <w:tcPr>
            <w:tcW w:w="3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r>
      <w:tr>
        <w:trPr>
          <w:trHeight w:val="216"/>
        </w:trPr>
        <w:tc>
          <w:tcPr>
            <w:tcW w:w="6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Agricultural</w:t>
            </w:r>
          </w:p>
        </w:tc>
        <w:tc>
          <w:tcPr>
            <w:tcW w:w="12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(17)%</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6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Industrial acids and other</w:t>
            </w:r>
          </w:p>
        </w:tc>
        <w:tc>
          <w:tcPr>
            <w:tcW w:w="12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(5)%</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Mining</w:t>
            </w:r>
          </w:p>
        </w:tc>
        <w:tc>
          <w:tcPr>
            <w:tcW w:w="12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(24)%</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67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weighted-average change</w:t>
            </w:r>
          </w:p>
        </w:tc>
        <w:tc>
          <w:tcPr>
            <w:tcW w:w="12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(13)%</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r>
    </w:tbl>
    <w:p>
      <w:pPr>
        <w:spacing w:after="0" w:line="148" w:lineRule="exact"/>
        <w:rPr>
          <w:sz w:val="20"/>
          <w:szCs w:val="20"/>
          <w:color w:val="auto"/>
        </w:rPr>
      </w:pPr>
    </w:p>
    <w:p>
      <w:pPr>
        <w:ind w:right="140"/>
        <w:spacing w:after="0" w:line="301" w:lineRule="auto"/>
        <w:rPr>
          <w:sz w:val="20"/>
          <w:szCs w:val="20"/>
          <w:color w:val="auto"/>
        </w:rPr>
      </w:pPr>
      <w:r>
        <w:rPr>
          <w:rFonts w:ascii="Times New Roman" w:cs="Times New Roman" w:eastAsia="Times New Roman" w:hAnsi="Times New Roman"/>
          <w:sz w:val="16"/>
          <w:szCs w:val="16"/>
          <w:color w:val="auto"/>
        </w:rPr>
        <w:t>Our agricultural sales dollars decreased primarily due to decreased sales volumes for UAN, which despite strong customer demand were lower due to reduced production as a result of downtime at our Cherokee and Pryor Facilities. This decrease was partially offset by increased ammonia sales as the Pryor Facility was able produce and sell ammonia during a portion of the downtime. Due to strong market demand for crop nutrients and strong grain commodity prices, our agricultural grade AN and other products sold at our El Dorado Facility and distribution centers increased, which also helped to offset the loss of UAN sales.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industrial acids and other sales in tons was primarily due to the unplanned downtime at the El Dorado Facility.</w:t>
      </w:r>
    </w:p>
    <w:p>
      <w:pPr>
        <w:spacing w:after="0" w:line="171"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The decrease in mining sales dollars was primarily due to the unplanned downtime at our El Dorado and Cherokee Facilities and to the reduction in customer demand due to the low cost of natural gas providing an alternative feedstock to coal for utility companies.</w:t>
      </w:r>
    </w:p>
    <w:p>
      <w:pPr>
        <w:spacing w:after="0" w:line="120"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The Chemical Business’ operating income for 2012 was $82.1 million or $34.4 million lower than 2011. The decrease in operating income is due, in part, to costs associated with the downtime and ongoing issues at certain of its facilities as discussed below under “Downtime at Certain Chemical Facilities—2012”.</w:t>
      </w:r>
    </w:p>
    <w:p>
      <w:pPr>
        <w:spacing w:after="0" w:line="120" w:lineRule="exact"/>
        <w:rPr>
          <w:sz w:val="20"/>
          <w:szCs w:val="20"/>
          <w:color w:val="auto"/>
        </w:rPr>
      </w:pPr>
    </w:p>
    <w:p>
      <w:pPr>
        <w:ind w:right="220"/>
        <w:spacing w:after="0" w:line="301" w:lineRule="auto"/>
        <w:rPr>
          <w:sz w:val="20"/>
          <w:szCs w:val="20"/>
          <w:color w:val="auto"/>
        </w:rPr>
      </w:pPr>
      <w:r>
        <w:rPr>
          <w:rFonts w:ascii="Times New Roman" w:cs="Times New Roman" w:eastAsia="Times New Roman" w:hAnsi="Times New Roman"/>
          <w:sz w:val="16"/>
          <w:szCs w:val="16"/>
          <w:color w:val="auto"/>
        </w:rPr>
        <w:t>Our primary raw material feedstocks (anhydrous ammonia and natural gas) are commodities subject to significant price fluctuations. Generally, we purchase at prices in effect at the time of delivery; however, periodically, we enter into contracts to purchase natural gas for anticipated production needs, which contract prices will vary from the spot market prices. Also see our discussion below under “Liquidity and Capital Resources – Capital Expenditures” concerning an acquisition of working interests in certain natural gas properties. During 2012, the average prices for those commodities compared to 2011 were as follows:</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455" w:right="2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4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2"/>
              </w:rPr>
              <w:t>2012</w:t>
            </w:r>
          </w:p>
        </w:tc>
        <w:tc>
          <w:tcPr>
            <w:tcW w:w="920" w:type="dxa"/>
            <w:vAlign w:val="bottom"/>
            <w:gridSpan w:val="2"/>
          </w:tcPr>
          <w:p>
            <w:pPr>
              <w:jc w:val="center"/>
              <w:ind w:left="432"/>
              <w:spacing w:after="0"/>
              <w:rPr>
                <w:sz w:val="20"/>
                <w:szCs w:val="20"/>
                <w:color w:val="auto"/>
              </w:rPr>
            </w:pPr>
            <w:r>
              <w:rPr>
                <w:rFonts w:ascii="Times New Roman" w:cs="Times New Roman" w:eastAsia="Times New Roman" w:hAnsi="Times New Roman"/>
                <w:sz w:val="14"/>
                <w:szCs w:val="14"/>
                <w:color w:val="auto"/>
                <w:w w:val="92"/>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Natural gas average price per MMBtu based upon Henry Hub pipeline pricing point</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3"/>
              </w:rPr>
              <w:t>$</w:t>
            </w:r>
            <w:r>
              <w:rPr>
                <w:rFonts w:ascii="Times New Roman" w:cs="Times New Roman" w:eastAsia="Times New Roman" w:hAnsi="Times New Roman"/>
                <w:sz w:val="18"/>
                <w:szCs w:val="18"/>
                <w:color w:val="auto"/>
                <w:w w:val="93"/>
              </w:rPr>
              <w:t>2.75</w:t>
            </w:r>
          </w:p>
        </w:tc>
        <w:tc>
          <w:tcPr>
            <w:tcW w:w="5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3.99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Ammonia average price based upon low Tampa price per metric ton</w:t>
            </w:r>
          </w:p>
        </w:tc>
        <w:tc>
          <w:tcPr>
            <w:tcW w:w="4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$ 600</w:t>
            </w:r>
          </w:p>
        </w:tc>
        <w:tc>
          <w:tcPr>
            <w:tcW w:w="52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$ 574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8"/>
          <w:szCs w:val="18"/>
          <w:color w:val="auto"/>
        </w:rPr>
        <w:t>Most of our Chemical Business sales in the industrial and mining markets were pursuant to sales contracts and/or pricing arrangements on terms that include the cost of raw material feedstock as a pass through component in the sales price. Our Chemical Business sales in the agricultural markets primarily were at the spot market price in effect at the time of sale or at a negotiated future price.</w:t>
      </w:r>
    </w:p>
    <w:p>
      <w:pPr>
        <w:spacing w:after="0" w:line="132" w:lineRule="exact"/>
        <w:rPr>
          <w:sz w:val="20"/>
          <w:szCs w:val="20"/>
          <w:color w:val="auto"/>
        </w:rPr>
      </w:pPr>
    </w:p>
    <w:p>
      <w:pPr>
        <w:ind w:right="420"/>
        <w:spacing w:after="0" w:line="262" w:lineRule="auto"/>
        <w:rPr>
          <w:sz w:val="20"/>
          <w:szCs w:val="20"/>
          <w:color w:val="auto"/>
        </w:rPr>
      </w:pPr>
      <w:r>
        <w:rPr>
          <w:rFonts w:ascii="Times New Roman" w:cs="Times New Roman" w:eastAsia="Times New Roman" w:hAnsi="Times New Roman"/>
          <w:sz w:val="18"/>
          <w:szCs w:val="18"/>
          <w:color w:val="auto"/>
        </w:rPr>
        <w:t>We believe the El Dorado Facility’s nitric acid production capacity will be lower than prior periods, by approximately 20%, until the first half of 2015 while awaiting the construction of the new 65% strength nitric acid plant. The lower production will result in lower sales volumes at the El Dorado Facility. See discussion as to recovery and claims under our insurance policies below under “Downtime at Certain Chemical Facilities – 2012”.</w:t>
      </w:r>
    </w:p>
    <w:p>
      <w:pPr>
        <w:spacing w:after="0" w:line="13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 previously reported, in May 2012, we received permits to operate the two smaller ammonia plants at the Pryor Facility. These plants have begun limited operation. In addition during August 2012, El Dorado Chemical Company (“EDC”) entered into an amendment to EDC’s anhydrous ammonia purchase agreement with Koch Nitrogen International Sàrl (“Koch”). Under the amendment, Koch agrees to supply certain of EDC’s requirements of anhydrous ammonia at the El Dorado Facility through December 31, 2015. We have also filed for permits with the ADEQ for the new 65% strength nitric acid plant, the new 98% concentrated nitric acid plant, and to construct the possible new ammonia plant.</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Climate Control Business</w:t>
      </w:r>
    </w:p>
    <w:p>
      <w:pPr>
        <w:spacing w:after="0" w:line="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Climate Control sales for 2012 were $266.2 million, or approximately $15.4 million lower than 2011, and included a $21.1 million decrease in geothermal and water source heat pump sales, partially offset by a $1.4 million increase in hydronic fan coil sales and a $4.3 million increase in other HVAC sales. From a market sector perspective, the net decline included a $12.6 million decrease in residential product sales and a $2.8 million decrease in commercial/institutional product sales. We believe the decline in residential product sales is due to low consumer confidence, which coupled with low natural gas prices and the slowdown in the single-family residential sectors we serve (high end housing), caused a contraction in new construction as well as retrofits. The slight decline in the commercial/institutional sector of our business was related to timing of shipments considering the order levels for our commercial/institutional products increased 6% compared to 2011 resulting in a growth in our backlog.</w:t>
      </w:r>
    </w:p>
    <w:p>
      <w:pPr>
        <w:spacing w:after="0" w:line="141"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We continue to follow economic indicators and have attempted to assess the impact on the commercial/institutional and residential construction sectors that we serve, including, but not limited to, new construction and/or renovation of facilities in the following sectors:</w:t>
      </w:r>
    </w:p>
    <w:p>
      <w:pPr>
        <w:spacing w:after="0" w:line="39" w:lineRule="exact"/>
        <w:rPr>
          <w:sz w:val="20"/>
          <w:szCs w:val="20"/>
          <w:color w:val="auto"/>
        </w:rPr>
      </w:pPr>
    </w:p>
    <w:p>
      <w:pPr>
        <w:ind w:left="1480" w:hanging="446"/>
        <w:spacing w:after="0"/>
        <w:tabs>
          <w:tab w:leader="none" w:pos="1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Education</w:t>
      </w:r>
    </w:p>
    <w:p>
      <w:pPr>
        <w:spacing w:after="0" w:line="9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Single-Family Residential</w:t>
      </w:r>
    </w:p>
    <w:p>
      <w:pPr>
        <w:spacing w:after="0" w:line="9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Multi-Family Residential</w:t>
      </w:r>
    </w:p>
    <w:p>
      <w:pPr>
        <w:spacing w:after="0" w:line="9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w:t>
      </w:r>
    </w:p>
    <w:p>
      <w:pPr>
        <w:spacing w:after="0" w:line="9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Hospitality</w:t>
      </w:r>
    </w:p>
    <w:p>
      <w:pPr>
        <w:spacing w:after="0" w:line="9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w:t>
      </w:r>
    </w:p>
    <w:p>
      <w:pPr>
        <w:spacing w:after="0" w:line="9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w:t>
      </w:r>
    </w:p>
    <w:p>
      <w:pPr>
        <w:spacing w:after="0" w:line="90"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During 2012, approximately 82% of our Climate Control Business’ sales were to the commercial/institutional and multi-family construction markets, and the remaining 18% were sales of geothermal heat pumps (“GHPs”) to the single-family residential market.</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455" w:right="2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The following table shows information relating to our product order intake level, net sales and backlog of confirmed customer product orders of our Climate Control Business: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6"/>
          </w:tcPr>
          <w:p>
            <w:pPr>
              <w:ind w:left="120"/>
              <w:spacing w:after="0"/>
              <w:rPr>
                <w:sz w:val="20"/>
                <w:szCs w:val="20"/>
                <w:color w:val="auto"/>
              </w:rPr>
            </w:pPr>
            <w:r>
              <w:rPr>
                <w:rFonts w:ascii="Times New Roman" w:cs="Times New Roman" w:eastAsia="Times New Roman" w:hAnsi="Times New Roman"/>
                <w:sz w:val="14"/>
                <w:szCs w:val="14"/>
                <w:color w:val="auto"/>
              </w:rPr>
              <w:t>New Orders (1)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color w:val="auto"/>
                <w:w w:val="97"/>
              </w:rPr>
              <w:t>Net Sales</w:t>
            </w:r>
          </w:p>
        </w:tc>
        <w:tc>
          <w:tcPr>
            <w:tcW w:w="140" w:type="dxa"/>
            <w:vAlign w:val="bottom"/>
          </w:tcPr>
          <w:p>
            <w:pPr>
              <w:spacing w:after="0"/>
              <w:rPr>
                <w:sz w:val="14"/>
                <w:szCs w:val="14"/>
                <w:color w:val="auto"/>
              </w:rPr>
            </w:pPr>
          </w:p>
        </w:tc>
        <w:tc>
          <w:tcPr>
            <w:tcW w:w="1300" w:type="dxa"/>
            <w:vAlign w:val="bottom"/>
            <w:gridSpan w:val="5"/>
          </w:tcPr>
          <w:p>
            <w:pPr>
              <w:ind w:left="80"/>
              <w:spacing w:after="0"/>
              <w:rPr>
                <w:sz w:val="20"/>
                <w:szCs w:val="20"/>
                <w:color w:val="auto"/>
              </w:rPr>
            </w:pPr>
            <w:r>
              <w:rPr>
                <w:rFonts w:ascii="Times New Roman" w:cs="Times New Roman" w:eastAsia="Times New Roman" w:hAnsi="Times New Roman"/>
                <w:sz w:val="14"/>
                <w:szCs w:val="14"/>
                <w:color w:val="auto"/>
              </w:rPr>
              <w:t>Ending Backlog (1)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8"/>
              <w:spacing w:after="0" w:line="142" w:lineRule="exact"/>
              <w:rPr>
                <w:sz w:val="20"/>
                <w:szCs w:val="20"/>
                <w:color w:val="auto"/>
              </w:rPr>
            </w:pPr>
            <w:r>
              <w:rPr>
                <w:rFonts w:ascii="Times New Roman" w:cs="Times New Roman" w:eastAsia="Times New Roman" w:hAnsi="Times New Roman"/>
                <w:sz w:val="14"/>
                <w:szCs w:val="14"/>
                <w:color w:val="auto"/>
                <w:w w:val="92"/>
              </w:rPr>
              <w:t>2012</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color w:val="auto"/>
                <w:w w:val="99"/>
              </w:rPr>
              <w:t>2011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w w:val="99"/>
              </w:rPr>
              <w:t>2012</w:t>
            </w:r>
          </w:p>
        </w:tc>
        <w:tc>
          <w:tcPr>
            <w:tcW w:w="1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color w:val="auto"/>
                <w:w w:val="92"/>
              </w:rPr>
              <w:t>2011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2012</w:t>
            </w: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color w:val="auto"/>
                <w:w w:val="92"/>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5"/>
          </w:tcPr>
          <w:p>
            <w:pPr>
              <w:jc w:val="center"/>
              <w:spacing w:after="0" w:line="142" w:lineRule="exact"/>
              <w:rPr>
                <w:sz w:val="20"/>
                <w:szCs w:val="20"/>
                <w:color w:val="auto"/>
              </w:rPr>
            </w:pPr>
            <w:r>
              <w:rPr>
                <w:rFonts w:ascii="Times New Roman" w:cs="Times New Roman" w:eastAsia="Times New Roman" w:hAnsi="Times New Roman"/>
                <w:sz w:val="14"/>
                <w:szCs w:val="14"/>
                <w:color w:val="auto"/>
                <w:w w:val="94"/>
              </w:rPr>
              <w:t>(In Millions)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3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63.6</w:t>
            </w:r>
          </w:p>
        </w:tc>
        <w:tc>
          <w:tcPr>
            <w:tcW w:w="580" w:type="dxa"/>
            <w:vAlign w:val="bottom"/>
            <w:gridSpan w:val="2"/>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7"/>
              </w:rPr>
              <w:t>$ 47.4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77.2</w:t>
            </w:r>
          </w:p>
        </w:tc>
        <w:tc>
          <w:tcPr>
            <w:tcW w:w="5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7"/>
              </w:rPr>
              <w:t>$ 50.2</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71.8</w:t>
            </w:r>
          </w:p>
        </w:tc>
        <w:tc>
          <w:tcPr>
            <w:tcW w:w="580" w:type="dxa"/>
            <w:vAlign w:val="bottom"/>
            <w:gridSpan w:val="2"/>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7"/>
              </w:rPr>
              <w:t>$ 51.3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69.0</w:t>
            </w:r>
          </w:p>
        </w:tc>
        <w:tc>
          <w:tcPr>
            <w:tcW w:w="5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7"/>
              </w:rPr>
              <w:t>$ 55.5</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Year</w:t>
            </w:r>
          </w:p>
        </w:tc>
        <w:tc>
          <w:tcPr>
            <w:tcW w:w="3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3"/>
              </w:rPr>
              <w:t>262.2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262.4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3"/>
              </w:rPr>
              <w:t>266.2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3"/>
              </w:rPr>
              <w:t>281.6</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right="40" w:hanging="452"/>
        <w:spacing w:after="0" w:line="254"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order level consists of confirmed purchase orders from customers that have been accepted and received credit approval. Our backlog consists of confirmed customer orders for product to be shipped at a future date. Historically, we have not experienced significant cancellations relating to our backlog of confirmed customer product orders, and we expect to ship substantially all of these orders within the next twelve months; however, it is possible that some of our customers could cancel a portion of our backlog or extend the shipment terms. Product orders and backlog, as reported, generally do not include amounts relating to shipping and handling charges, service orders or service contract orders. In addition, product orders and backlog, as reported, exclude contracts related to our construction business due to the relative size of individual projects and, in some cases, extended timeframe for completion beyond a twelve-month period.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January 2013, our new orders received were approximately $25 million and our backlog was approximately $61 million at January 31, 2013.</w:t>
      </w:r>
    </w:p>
    <w:p>
      <w:pPr>
        <w:spacing w:after="0" w:line="17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Our GHPs use a form of renewable energy and, under certain conditions, we believe can reduce energy costs up to 80% compared to some conventional HVAC systems. Tax legislation continues to provide incentives for customers purchasing products using forms of renewable energy. Homeowners who install GHPs are eligible for a 30% tax credit. Businesses that install GHPs are eligible for a 10% tax credit and five-year accelerated depreciation on the balance of the system cost. Under currently enacted legislation, these tax credits for homeowners and tax credits and accelerated depreciation for business owners are effective through December 31, 2016. During 2013, businesses also have the option of electing 50% bonus depreciation on qualifying equipment, such as GHPs, that are placed in service during the year.</w:t>
      </w:r>
    </w:p>
    <w:p>
      <w:pPr>
        <w:spacing w:after="0" w:line="13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expect the Climate Control Business to experience moderate sales growth in the short-term compared to 2012. Although a significant part of the Climate Control Business’ sales are products that are used for renovation and replacement application, sales increases in the medium-term and long-term are expected to be primarily driven by growth in new construction, as well as the introduction of new products. We continue to increase our sales and marketing efforts for all of our Climate Control products in an effort to increase our share of the existing market for our products as well as expand the market for and application of our products, including GHPs.</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Downtime at Certain Chemical Facilities – 2012</w:t>
      </w:r>
    </w:p>
    <w:p>
      <w:pPr>
        <w:spacing w:after="0" w:line="92"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Pryor Facility – Beginning in early January 2012 through early February 2012, a planned project was performed at the Pryor Facility, during which time the facility was not producing ammonia or UAN. From late February 2012 through early July 2012, the Pryor Facility did not produce UAN due to a damaged stainless steel liner within the urea reactor. The replacement of the liner was completed in early July and production of UAN resumed. In addition, during the third quarter and continuing into the fourth quarter of 2012, the Pryor Facility experienced problems with its primary ammonia plant significantly reducing production. In November, production was stopped at the primary ammonia plant to perform unplanned maintenance on a compressor. During this downtime, we also replaced the ammonia converter and restarted the ammonia plant in March 2013. As a result, the Pryor Facility had limited production of ammonia and no production of UAN from late November 2012 until March 2013. We estimate the adverse effect on operating income of the downtime associated with the compressor and replacing the ammonia convertor was approximately $2.0 million per week.</w:t>
      </w:r>
    </w:p>
    <w:p>
      <w:pPr>
        <w:spacing w:after="0" w:line="138" w:lineRule="exact"/>
        <w:rPr>
          <w:sz w:val="20"/>
          <w:szCs w:val="20"/>
          <w:color w:val="auto"/>
        </w:rPr>
      </w:pPr>
    </w:p>
    <w:p>
      <w:pPr>
        <w:ind w:right="580"/>
        <w:spacing w:after="0" w:line="275" w:lineRule="auto"/>
        <w:rPr>
          <w:sz w:val="20"/>
          <w:szCs w:val="20"/>
          <w:color w:val="auto"/>
        </w:rPr>
      </w:pPr>
      <w:r>
        <w:rPr>
          <w:rFonts w:ascii="Times New Roman" w:cs="Times New Roman" w:eastAsia="Times New Roman" w:hAnsi="Times New Roman"/>
          <w:sz w:val="18"/>
          <w:szCs w:val="18"/>
          <w:color w:val="auto"/>
        </w:rPr>
        <w:t>For 2012, we believe the cumulative adverse impact to operating income due to the planned and unplanned downtime and reduced production at the Pryor Facility was an estimated $50 million including lost absorption and gross profit.</w:t>
      </w:r>
    </w:p>
    <w:p>
      <w:pPr>
        <w:spacing w:after="0" w:line="12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a result of the damaged stainless steel liner, a notice of insurance claims for property damage and business interruption has been filed with the insurance carrier. Our insurance policy provided, for the policy period covering this claim, for repair or replacement cost coverage relating to property damage with a $1.0 million deductible and provided for business interruption coverage for certain lost profits and extra expense with a 30-day waiting period. After an initial investigation was performed by an insurance adjuster, we received a reservation of rights letter stating that some insurance policy exclusions could apply resulting in a full or partial denial as to our claims for property damage and/or business interruption. A recovery, if any, from our insurance coverage has not been recognized since, for financial reporting purposes, it is not probable and reasonably estimable and/or it is considered a gain contingency, which will be recognized if, and when, realized or realizable and earned.</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45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El Dorado Facility—On May 15, 2012, the El Dorado Facility suffered significant damage when a reactor in its 98% strength nitric acid plant (“DSN plant”) exploded. As a result, the DSN plant was severely damaged and several other plants and infrastructure within the El Dorado Facility sustained various degrees of damage. We have decided that the DSN plant, which supplied approximately 20% of the nitric acid produced at this facility, is not being repaired but is being replaced with a new 65% strength nitric acid plant and a 98% concentrated nitric acid plant. The engineering and design process is in progress for both new nitric acid plants and certain equipment has been ordered. The project to construct these new plants is currently expected to be completed during the first half of 2015 (also see discussion under “Capital Expenditures” and “Aggregate Contractual Obligations” of this Item 7). Of the three other remaining nitric acid plants, which account for approximately 80% of the nitric acid production capacity at the facility in various concentrations from 56% to 61%, one was restarted in June, another nitric acid plant was restarted in July and the remaining nitric acid plant was restarted in August. The sulfuric acid plant also sustained significant damage and was restarted in November. The high and low density AN prill plants are fully operational but production was restricted due in part, to the limited nitric acid feedstock available as a result of this event.</w:t>
      </w:r>
    </w:p>
    <w:p>
      <w:pPr>
        <w:spacing w:after="0" w:line="141"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For 2012, we believe the cumulative adverse impact to operating income for the unplanned downtime at the El Dorado Facility was approximately $20 million including lost absorption and gross profit margins.</w:t>
      </w:r>
    </w:p>
    <w:p>
      <w:pPr>
        <w:spacing w:after="0" w:line="12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a result of this event, a notice of insurance claims for property damage and business interruption was filed with the insurance carriers but the total amounts have not been determined. Our insurance policy provides, for the policy period covering this claim, for repair or replacement cost coverage relating to property damage with a $1.0 million deductible and provides for business interruption coverage for certain lost profits and extra expense with a 30-day waiting period. The engineering firm representing our insurance carriers has determined that the DSN plant was not destroyed by the explosion and was repairable. However we have concluded that due to the extensive damage, the DSN plant should not be repaired but should be replaced with a new 65% strength nitric acid plant and a separate nitric acid concentrator plant. The total amount of insurance recoveries relating to this event will be dependent on an estimate of the costs and the length of time to repair the damaged DSN plant as if it would have been repaired, which amount has not yet been determined. Based upon our assessment that it was probable that the amount of coverage for property damages would exceed our property loss deductible, the net book value of the damaged property and other recoverable costs incurred through December 31, 2012, we did not recognize a loss relating to property damage from this explosion but we recorded an insurance claim receivable relating to this event primarily consisting of the disposal of the net book value of damaged property and certain repairs and clean-up costs incurred (“recoverable costs”).</w:t>
      </w:r>
    </w:p>
    <w:p>
      <w:pPr>
        <w:spacing w:after="0" w:line="139"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6"/>
          <w:szCs w:val="16"/>
          <w:color w:val="auto"/>
        </w:rPr>
        <w:t>During 2012, our insurance carriers approved unallocated payments totaling $40 million (of which $20 million was paid in 2012 and $20 million was paid in January 2013). Of the $20 million received in 2012, approximately $11.4 million was classified as cash flows from investing activities and the remaining $8.6 million was classified as cash flows from operating activities. We received correspondence associated with the $20 million received in January 2013, which stated that our insurance carriers are still investigating the circumstances surrounding this event (including the cause of this event, scope of our losses and support for our claim) under a reservation of rights. For financial reporting purposes, we allocated $28.6 million to our property insurance claim and $11.4 million to our business interruption claim primarily based on the claims information provided to our insurance carriers in relation to our requests for insurance proceeds.</w:t>
      </w:r>
    </w:p>
    <w:p>
      <w:pPr>
        <w:spacing w:after="0" w:line="111"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The $28.6 million allocated to the property insurance claim was applied against the recoverable costs totaling $21.7 million. The insurance recovery in excess of the recoverable costs of $6.9 million was not recognized since it is considered a gain contingency, which will be recognized if, and when, realized or realizable and earned.</w:t>
      </w:r>
    </w:p>
    <w:p>
      <w:pPr>
        <w:spacing w:after="0" w:line="1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insurance recovery of $11.4 million allocated to the business interruption claim was applied against recoverable costs (primarily relating to purchased product sold to our customers while certain of our nitric and sulfuric acid plants were being repaired) totaling $7.3 million as a reduction to cost of sales. The insurance recovery in excess of recoverable costs of $4.1 million was not recognized since a portion of this amount relates to recoverable costs, which we were unable to conclude that it was at least probable (for financial reporting purposes) that these costs would be approved and a portion of this amount relates to lost profits, which is considered a gain contingency. The unrecognized portion of this recovery, and any additional recoveries, will be recognized if, and when, realized or realizable and earned.</w:t>
      </w:r>
    </w:p>
    <w:p>
      <w:pPr>
        <w:spacing w:after="0" w:line="139"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As of December 31, 2012, the balance of the insurance claim receivable relating to this event was $9.0 million, which consists of the approved payments due from our insurance carriers and allocated to our insurance claim as discussed above.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45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Cherokee Facility—On November 13, 2012, a pipe ruptured within the Cherokee Facility causing damage primarily to the heat exchanger portion of its ammonia plant. No serious injuries or environmental impact resulted from the pipe rupture. As a result of the damage, the Cherokee Facility can only produce, on a limited basis, nitric acid and AN solution from purchased ammonia until the repairs are completed. Currently, we expect the Cherokee Facility to be in full production during May 2013.</w:t>
      </w:r>
    </w:p>
    <w:p>
      <w:pPr>
        <w:spacing w:after="0" w:line="136"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For 2012, we believe the cumulative adverse impact to operating income for the unplanned downtime at the Cherokee Facility was approximately $13 million including lost absorption and gross profit margins.</w:t>
      </w:r>
    </w:p>
    <w:p>
      <w:pPr>
        <w:spacing w:after="0" w:line="12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 notice of insurance claims for property damage and business interruption was filed with the insurance carriers but the total amounts have not been determined but are expected to be substantial. Our insurance policy provides, for the policy period covering this claim, for repair or replacement cost coverage relating to property damage with a $2.5 million deductible and provides for business interruption coverage for certain lost profits and extra expense with a 30-day waiting period.</w:t>
      </w:r>
    </w:p>
    <w:p>
      <w:pPr>
        <w:spacing w:after="0" w:line="136"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Because our assessment that it was probable that the amount of coverage for property damages would exceed our property loss deductible, the net book value of the damaged property and other recoverable costs incurred through December 31, 2012, we did not recognize a loss relating to property damage from this pipe rupture but we recorded an insurance claim receivable relating to this event consisting of the recoverable costs.</w:t>
      </w:r>
    </w:p>
    <w:p>
      <w:pPr>
        <w:spacing w:after="0" w:line="132"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In addition, a recovery for certain lost profits from our business interruption coverage has not been recognized since it is considered a gain contingency, which will be recognized if, and when, realized or realizable and earned.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2012, the balance of the insurance claim receivable relating to this event was $1.1 million consisting of recoverable costs.</w:t>
      </w:r>
    </w:p>
    <w:p>
      <w:pPr>
        <w:spacing w:after="0" w:line="17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It is possible that the actual development of the insurance claims discussed above could be different from our current allocations and estimates. Due to the increase in the total value of property, plant and equipment (“PP&amp;E”) and the insurance claims discussed above relating to our Chemical Business, our insurance premiums have increased and could increase in 2013.</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our cash and cash equivalents, short-term investments, total interest bearing debt and stockholders’ equity:</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00" w:type="dxa"/>
            <w:vAlign w:val="bottom"/>
          </w:tcPr>
          <w:p>
            <w:pPr>
              <w:spacing w:after="0"/>
              <w:rPr>
                <w:sz w:val="13"/>
                <w:szCs w:val="13"/>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1660" w:type="dxa"/>
            <w:vAlign w:val="bottom"/>
            <w:gridSpan w:val="4"/>
          </w:tcPr>
          <w:p>
            <w:pPr>
              <w:ind w:left="7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2012</w:t>
            </w:r>
          </w:p>
        </w:tc>
        <w:tc>
          <w:tcPr>
            <w:tcW w:w="7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(In Millions)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9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 (1)</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9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r>
              <w:rPr>
                <w:rFonts w:ascii="Times New Roman" w:cs="Times New Roman" w:eastAsia="Times New Roman" w:hAnsi="Times New Roman"/>
                <w:sz w:val="18"/>
                <w:szCs w:val="18"/>
                <w:u w:val="single" w:color="auto"/>
                <w:color w:val="auto"/>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Secured Term Loan</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9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 including current portion</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9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76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right="260" w:hanging="452"/>
        <w:spacing w:after="0" w:line="275"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investments consisted of certificates of deposit with an original maturity of 13 weeks. All of these investments were held by financial institutions within the United States and none of these investments were in excess of the federally insured limits.</w:t>
      </w:r>
    </w:p>
    <w:p>
      <w:pPr>
        <w:spacing w:after="0" w:line="120"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At December 31, 2012, our cash and cash equivalents totaled $98.0 million and our $50 million revolving credit facility (the “Working Capital Revolver Loan”) was undrawn and available to fund operations, if needed, subject to the amount of our eligible collateral and outstanding letters of credit.</w:t>
      </w:r>
    </w:p>
    <w:p>
      <w:pPr>
        <w:spacing w:after="0" w:line="12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For 2013, we expect our primary cash needs will be to fund our operations, capital expenditures, and general obligations. We expect to fund these cash needs from our working capital, internally generated cash flows, third-party financing and insurance proceeds. See additional discussions below under “Capital Expenditures” and “Loan Agreements-Terms and Conditions.” Our internally generated cash flows and liquidity could be affected by possible declines in sales volumes resulting from the uncertainty relative to the current economic conditions and changes in the production efficiency of our facilities. In addition, our cash flows and liquidity has been and will continue to be affected by the timing of these insurance proceeds.</w:t>
      </w:r>
    </w:p>
    <w:p>
      <w:pPr>
        <w:spacing w:after="0" w:line="1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60"/>
          </w:cols>
          <w:pgMar w:left="240" w:top="455" w:right="29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310" w:lineRule="auto"/>
        <w:rPr>
          <w:sz w:val="20"/>
          <w:szCs w:val="20"/>
          <w:color w:val="auto"/>
        </w:rPr>
      </w:pPr>
      <w:r>
        <w:rPr>
          <w:rFonts w:ascii="Times New Roman" w:cs="Times New Roman" w:eastAsia="Times New Roman" w:hAnsi="Times New Roman"/>
          <w:sz w:val="16"/>
          <w:szCs w:val="16"/>
          <w:color w:val="auto"/>
        </w:rPr>
        <w:t>Also as discussed below under “Loan Agreements-Terms and Conditions,” the term loan facility (the “Secured Term Loan”) requires quarterly principal payments of approximately $0.9 million, plus interest and a final balloon payment of $56.3 million due on March 29, 2016. At December 31, 2012, the weighted-average interest rate was approximately 3.92%. The Secured Term Loan is secured by the real property and equipment located at our El Dorado and Cherokee Facilities.</w:t>
      </w:r>
    </w:p>
    <w:p>
      <w:pPr>
        <w:spacing w:after="0" w:line="97"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Certain subsidiaries are subject to numerous covenants under the Secured Term Loan including, but not limited to, limitation on the incurrence of certain additional indebtedness and liens, limitations on mergers, acquisitions, dissolution and sale of assets, and limitations on declaration of dividends and distributions to us, all with certain exceptions.</w:t>
      </w:r>
    </w:p>
    <w:p>
      <w:pPr>
        <w:spacing w:after="0" w:line="1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discussed below under “Loan Agreements-Terms and Conditions”, since the Working Capital Revolver Loan was scheduled to mature on April 13, 2012, our wholly-owned subsidiary, ThermaClime, LLC (“ThermaClime”) and its subsidiaries and the lender entered into an amendment to the Working Capital Revolver Loan, dated April 4, 2012, that continues to provide for advances based on specified percentages of eligible accounts receivable and inventories for ThermaClime, and its subsidiaries. As amended, the Working Capital Revolver Loan matures on March 29, 2016, but could be extended to April 13, 2017 under certain conditions. As of December 31, 2012, amounts available for borrowing under the Working Capital Revolver Loan were approximately $48.4 million based on eligible collateral less outstanding letters of credit.</w:t>
      </w:r>
    </w:p>
    <w:p>
      <w:pPr>
        <w:spacing w:after="0" w:line="13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financial covenants of the Working Capital Revolver Loan and the Secured Term Loan are discussed below under “Loan Agreements—Terms and Conditions”. The Borrowers’ ability to maintain borrowing availability under the Working Capital Revolver Loan depends on their ability to comply with the terms and conditions of the loan agreements and their ability to generate cash flow from operations. The Borrowers are restricted under their credit agreements as to the funds they may transfer to LSB and its subsidiaries that are not parties to the loan agreement. This limitation does not prohibit payment to LSB of amounts due under a Services Agreement, Management Agreement and a Tax Sharing Agreement with ThermaClime. Based upon our current projections, we believe our working capital is adequate to fund operations for the near term.</w:t>
      </w:r>
    </w:p>
    <w:p>
      <w:pPr>
        <w:spacing w:after="0" w:line="139"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auto"/>
        </w:rPr>
        <w:t xml:space="preserve">In November 2012, we filed a universal shelf registration statement on Form S-3, with the Securities and Exchange Commission (“SEC”). The shelf registration statement provides that we could offer and sell up to $200 million of our securities consisting of equity (common and preferred), debt (senior and subordinated), warrants and units, or a combination thereof. The shelf registration statement expires in November 2015 unless we decide to file a post effective amendment. </w:t>
      </w:r>
      <w:r>
        <w:rPr>
          <w:rFonts w:ascii="Times New Roman" w:cs="Times New Roman" w:eastAsia="Times New Roman" w:hAnsi="Times New Roman"/>
          <w:sz w:val="16"/>
          <w:szCs w:val="16"/>
          <w:b w:val="1"/>
          <w:bCs w:val="1"/>
          <w:color w:val="auto"/>
        </w:rPr>
        <w:t>This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disclosure shall not constitute an offer to sell or the solicitation of an offer to buy, nor shall there be any sale of these securities in any state in which such offer, solicitation or sale would be unlawful prior to registration or qualification under the securities laws of any such state.</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9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recognize and pay federal income taxes at regular corporate tax rates. With few exceptions, the 2009-2011 years remain open for all purposes of examination by the U.S. Internal Revenue Service (“IRS”) and other major tax jurisdictions. We are under examination by the IRS for the tax years 2008-2010. As of December 31, 2012, the IRS has proposed certain adjustments, which we are protesting. We anticipate that the adjustments, if any, will not result in a material change to our financial position. We had approximately $2.3 million accrued for various uncertain tax liabilities at December 31, 2012.</w:t>
      </w:r>
    </w:p>
    <w:p>
      <w:pPr>
        <w:spacing w:after="0" w:line="136"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In connection with the American Taxpayer Relief Act of 2012 that was signed into law in January 2013, we expect to record a one-time benefit of approximately $0.5 million related to the retroactive tax relief for certain tax provisions that expired in 2012. Because the legislation was signed into law after December 31, 2012, the retroactive effects of the law will be reflected in the first quarter of 2013.</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Capital Expenditures-2012</w:t>
      </w:r>
    </w:p>
    <w:p>
      <w:pPr>
        <w:spacing w:after="0" w:line="17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Cash used for capital expenditures during 2012 was $92.6 million, including $84.4 million for the benefit of our Chemical Business and $5.1 million for the benefit of our Climate Control Business. The Chemical Business capital expenditures relate primarily to expenditures to replace or rebuild damaged PP&amp;E discussed above under “Downtime at Certain Chemical Facilities – 2012 and certain capital projects discussed below under “Committed and Planned Capital Expenditures” but also includes approximately $6.0 million associated with maintaining compliance with environmental laws, regulations and guidelines. The capital expenditures were funded primarily from working capital and insurance proceeds. Also see discussion concerning cash used for the acquisition of working interest in natural gas properties below. Due to the increase in the amount of capital expenditures incurred and committed, our depreciation, depletion and amortization expense has increased and is expected to continue to increase in 2013.</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Acquisition of Working Interest in Certain Natural Gas Properties</w:t>
      </w:r>
    </w:p>
    <w:p>
      <w:pPr>
        <w:spacing w:after="0" w:line="90"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6"/>
          <w:szCs w:val="16"/>
          <w:color w:val="auto"/>
        </w:rPr>
        <w:t>On October 31, 2012, Zena Energy LLC (“Zena”), a subsidiary within our Chemical Business, acquired working interests (“Working Interests”) in certain natural gas properties located in Wyoming County, Pennsylvania, within the Marcellus Shale. Our Chemical Business acquired from Clearwater Enterprises, LLC an average working interest of 9.7% (7.7% net revenue interest) in 14 proved, developed producing natural gas wells, 7 proved, developed non-producing natural gas wells and 36 proved undeveloped future drilling locations identified on the leasehold. Currently, our Chemical Business annually purchases 10 million to</w:t>
      </w:r>
    </w:p>
    <w:p>
      <w:pPr>
        <w:spacing w:after="0" w:line="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12 million MMBtu of natural gas as a feedstock for the production of anhydrous ammonia. Management considers this acquisition as an economic hedge against a potential rise in natural gas prices in the future for a portion of our future natural gas production requirements. This acquisition was accounted for in accordance with ASC 805 – Business Combinations. The purchase price was approximately $50 million. Subsequently, we financed $35 million in February 2013 associated with this acquisition, and used our working capital to fund the remaining balance. We report the Working Interests as part of the Chemical Business reportable segment. See discussion below under “Committed and Planned Capital Expenditures” for additional planned capital expenditures relating to our natural gas properties.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Committed and Planned Capital Expenditures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56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Committed</w:t>
            </w: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5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gridSpan w:val="2"/>
          </w:tcPr>
          <w:p>
            <w:pPr>
              <w:jc w:val="center"/>
              <w:ind w:left="2"/>
              <w:spacing w:after="0" w:line="125" w:lineRule="exact"/>
              <w:rPr>
                <w:sz w:val="20"/>
                <w:szCs w:val="20"/>
                <w:color w:val="auto"/>
              </w:rPr>
            </w:pPr>
            <w:r>
              <w:rPr>
                <w:rFonts w:ascii="Times New Roman" w:cs="Times New Roman" w:eastAsia="Times New Roman" w:hAnsi="Times New Roman"/>
                <w:sz w:val="14"/>
                <w:szCs w:val="14"/>
                <w:b w:val="1"/>
                <w:bCs w:val="1"/>
                <w:color w:val="auto"/>
                <w:w w:val="96"/>
              </w:rPr>
              <w:t>2014 and</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562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2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Borders>
              <w:bottom w:val="single" w:sz="8" w:color="auto"/>
            </w:tcBorders>
            <w:gridSpan w:val="2"/>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w w:val="96"/>
              </w:rPr>
              <w:t>thereafter</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center"/>
              <w:ind w:left="146"/>
              <w:spacing w:after="0"/>
              <w:rPr>
                <w:sz w:val="20"/>
                <w:szCs w:val="20"/>
                <w:color w:val="auto"/>
              </w:rPr>
            </w:pPr>
            <w:r>
              <w:rPr>
                <w:rFonts w:ascii="Times New Roman" w:cs="Times New Roman" w:eastAsia="Times New Roman" w:hAnsi="Times New Roman"/>
                <w:sz w:val="14"/>
                <w:szCs w:val="14"/>
                <w:b w:val="1"/>
                <w:bCs w:val="1"/>
                <w:color w:val="auto"/>
                <w:w w:val="97"/>
              </w:rPr>
              <w:t>Planned</w:t>
            </w:r>
          </w:p>
        </w:tc>
        <w:tc>
          <w:tcPr>
            <w:tcW w:w="2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3"/>
          </w:tcPr>
          <w:p>
            <w:pPr>
              <w:jc w:val="right"/>
              <w:ind w:right="86"/>
              <w:spacing w:after="0" w:line="142" w:lineRule="exact"/>
              <w:rPr>
                <w:sz w:val="20"/>
                <w:szCs w:val="20"/>
                <w:color w:val="auto"/>
              </w:rPr>
            </w:pPr>
            <w:r>
              <w:rPr>
                <w:rFonts w:ascii="Times New Roman" w:cs="Times New Roman" w:eastAsia="Times New Roman" w:hAnsi="Times New Roman"/>
                <w:sz w:val="14"/>
                <w:szCs w:val="14"/>
                <w:color w:val="auto"/>
                <w:w w:val="97"/>
              </w:rPr>
              <w:t>(In Millions)</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Chemical</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$130</w:t>
            </w: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$140</w:t>
            </w:r>
          </w:p>
        </w:tc>
        <w:tc>
          <w:tcPr>
            <w:tcW w:w="11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 $50</w:t>
            </w:r>
          </w:p>
        </w:tc>
        <w:tc>
          <w:tcPr>
            <w:tcW w:w="13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$390 - $410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Climate Control</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tcPr>
          <w:p>
            <w:pPr>
              <w:spacing w:after="0"/>
              <w:rPr>
                <w:sz w:val="18"/>
                <w:szCs w:val="18"/>
                <w:color w:val="auto"/>
              </w:rPr>
            </w:pPr>
          </w:p>
        </w:tc>
        <w:tc>
          <w:tcPr>
            <w:tcW w:w="680" w:type="dxa"/>
            <w:vAlign w:val="bottom"/>
            <w:gridSpan w:val="2"/>
          </w:tcPr>
          <w:p>
            <w:pPr>
              <w:jc w:val="center"/>
              <w:ind w:left="22"/>
              <w:spacing w:after="0"/>
              <w:rPr>
                <w:sz w:val="20"/>
                <w:szCs w:val="20"/>
                <w:color w:val="auto"/>
              </w:rPr>
            </w:pPr>
            <w:r>
              <w:rPr>
                <w:rFonts w:ascii="Times New Roman" w:cs="Times New Roman" w:eastAsia="Times New Roman" w:hAnsi="Times New Roman"/>
                <w:sz w:val="18"/>
                <w:szCs w:val="18"/>
                <w:color w:val="auto"/>
              </w:rPr>
              <w:t>— - —</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100" w:type="dxa"/>
            <w:vAlign w:val="bottom"/>
            <w:gridSpan w:val="3"/>
          </w:tcPr>
          <w:p>
            <w:pPr>
              <w:jc w:val="right"/>
              <w:ind w:right="92"/>
              <w:spacing w:after="0"/>
              <w:rPr>
                <w:sz w:val="20"/>
                <w:szCs w:val="20"/>
                <w:color w:val="auto"/>
              </w:rPr>
            </w:pPr>
            <w:r>
              <w:rPr>
                <w:rFonts w:ascii="Times New Roman" w:cs="Times New Roman" w:eastAsia="Times New Roman" w:hAnsi="Times New Roman"/>
                <w:sz w:val="18"/>
                <w:szCs w:val="18"/>
                <w:color w:val="auto"/>
              </w:rPr>
              <w:t>7 -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shd w:val="clear" w:color="auto" w:fill="CCEEFF"/>
          </w:tcPr>
          <w:p>
            <w:pPr>
              <w:jc w:val="center"/>
              <w:ind w:right="72"/>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132</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145</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42</w:t>
            </w: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53</w:t>
            </w:r>
          </w:p>
        </w:tc>
        <w:tc>
          <w:tcPr>
            <w:tcW w:w="3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405</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430</w:t>
            </w:r>
          </w:p>
        </w:tc>
        <w:tc>
          <w:tcPr>
            <w:tcW w:w="4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579</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committed capital expenditures are the capital projects that have been approved by management as of December 31, 2012 and include projects which are already in progress, projects supported by cost benefit analysis, or projects necessary to replace damaged assets. The additional planned capital expenditures are subject to economic conditions and continued review by management and may increase or decrease as new information is obtained or circumstances change. Total capital expenditures include all committed capital expenditures as well as expenditures that have been brought to the attention of management for approval through our budget and forecasting process.</w:t>
      </w:r>
    </w:p>
    <w:p>
      <w:pPr>
        <w:spacing w:after="0" w:line="13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At December 31, 2012, we had committed capital expenditures as indicated in the table above. The committed expenditures include $110 million—$120 million for a new 65% strength nitric acid plant and concentrator at the El Dorado Facility to replace the lost production from the DSN plant explosion, $25 million—$30 million relating to the proposed ammonia production plant at the El Dorado Facility discussed below under “Possible Ammonia Plant”, and $10 million—$15 million for other expansion opportunities and increased capacities in our facilities. We plan to fund the committed capital expenditures from working capital, internal cash flows, third-party financing and insurance proceeds.</w:t>
      </w:r>
    </w:p>
    <w:p>
      <w:pPr>
        <w:spacing w:after="0" w:line="139" w:lineRule="exact"/>
        <w:rPr>
          <w:sz w:val="20"/>
          <w:szCs w:val="20"/>
          <w:color w:val="auto"/>
        </w:rPr>
      </w:pPr>
    </w:p>
    <w:p>
      <w:pPr>
        <w:ind w:right="120"/>
        <w:spacing w:after="0" w:line="293" w:lineRule="auto"/>
        <w:rPr>
          <w:sz w:val="20"/>
          <w:szCs w:val="20"/>
          <w:color w:val="auto"/>
        </w:rPr>
      </w:pPr>
      <w:r>
        <w:rPr>
          <w:rFonts w:ascii="Times New Roman" w:cs="Times New Roman" w:eastAsia="Times New Roman" w:hAnsi="Times New Roman"/>
          <w:sz w:val="16"/>
          <w:szCs w:val="16"/>
          <w:color w:val="auto"/>
        </w:rPr>
        <w:t>At December 31, 2012, we also had additional planned capital expenditures as indicated in the table above. The additional planned capital expenditures for the Chemical Business include $225 million—$270 million for the proposed ammonia production plant at our El Dorado Facility, $40 million—$50 million in additional capital expenditures to improve reliability, mechanical integrity, and safety at our Chemical facilities, and $25 million—$30 million in additional capital expenditures to fully develop acquired natural gas leaseholds during the next three years as discussed below above “Acquisition of Working Interest in Certain Natural Gas Properties.” We anticipate funding a substantial portion of the additional planned capital expenditures through third-party financing with the balance funded from our internal cash flows. These expenditures are subject to obtaining third-party financing, with terms satisfactory to us.</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455"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committed and planned capital expenditures include $13 million—$20 million associated with environmental laws, regulations and guidelines.</w:t>
      </w:r>
    </w:p>
    <w:p>
      <w:pPr>
        <w:spacing w:after="0" w:line="171"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We plan to fund the total capital expenditures from working capital, internal cash flows, third party financing, and insurance proceeds. Also see discussion above under “Overview – Downtime at Certain Chemical Facilities – 2012”.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Possible Ammonia Plant</w:t>
      </w:r>
    </w:p>
    <w:p>
      <w:pPr>
        <w:spacing w:after="0" w:line="90" w:lineRule="exact"/>
        <w:rPr>
          <w:sz w:val="20"/>
          <w:szCs w:val="20"/>
          <w:color w:val="auto"/>
        </w:rPr>
      </w:pPr>
    </w:p>
    <w:p>
      <w:pPr>
        <w:ind w:right="60"/>
        <w:spacing w:after="0" w:line="293" w:lineRule="auto"/>
        <w:rPr>
          <w:sz w:val="20"/>
          <w:szCs w:val="20"/>
          <w:color w:val="auto"/>
        </w:rPr>
      </w:pPr>
      <w:r>
        <w:rPr>
          <w:rFonts w:ascii="Times New Roman" w:cs="Times New Roman" w:eastAsia="Times New Roman" w:hAnsi="Times New Roman"/>
          <w:sz w:val="16"/>
          <w:szCs w:val="16"/>
          <w:color w:val="auto"/>
        </w:rPr>
        <w:t>Our El Dorado Facility produces nitric acids in various concentrations and agricultural and industrial grade AN from purchased ammonia, which is currently at a cost disadvantage compared to products directly produced from natural gas. We believe this cost disadvantage will continue to be significant for the medium and long-term. Therefore we are planning the addition of an anhydrous ammonia production plant at the El Dorado Facility, which if constructed is estimated to cost in the range of $250 million-$300 million and would require an estimated 24-36 months to complete. The final decision to construct the ammonia plant is subject to approval of our Board of Directors, and a number of business considerations including, but not limited to, obtaining the required permits and adequate financing. An independent engineering firm has been engaged to assist in the preliminary engineering and cost evaluation leading to our final decision.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Wastewater Pipeline</w:t>
      </w:r>
    </w:p>
    <w:p>
      <w:pPr>
        <w:spacing w:after="0" w:line="9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El Dorado Facility generates process wastewater, which is subject to a wastewater discharge permit issued by the ADEQ, which permit is generally renewed every five years. The City of El Dorado, Arkansas (the “City”) is constructing a pipeline for disposal of wastewater generated by the City and by certain companies in the El Dorado area. EDC and other companies in the El Dorado area have entered into a funding agreement and operating agreement with the City, pursuant to which each party has agreed to contribute to the cost of construction and the annual operating costs of the pipeline for the right to use the pipeline to dispose its wastewater. EDC is participating in the construction of the pipeline that will be owned by the City in order to ensure that EDC will be able to comply with future permit limits. EDC anticipates its capital cost in connection with the construction of the pipeline will be approximately $3.7 million, of which $3.3 million has been capitalized as of December 31, 2012. The City plans to complete the construction of the pipeline by mid-2013. Once the pipeline is completed, EDC’s estimated share of the annual operating costs is to be $100,000 to $150,000. The initial term of the operating agreement is through December 2053. Although construction of the pipeline is nearly complete, a group opposing the City’s construction of the pipeline has sued the Corps of Engineers for issuing the permit to the City.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Information Request from EPA</w:t>
      </w:r>
    </w:p>
    <w:p>
      <w:pPr>
        <w:spacing w:after="0" w:line="90" w:lineRule="exact"/>
        <w:rPr>
          <w:sz w:val="20"/>
          <w:szCs w:val="20"/>
          <w:color w:val="auto"/>
        </w:rPr>
      </w:pPr>
    </w:p>
    <w:p>
      <w:pPr>
        <w:jc w:val="both"/>
        <w:ind w:right="40"/>
        <w:spacing w:after="0" w:line="287" w:lineRule="auto"/>
        <w:rPr>
          <w:sz w:val="20"/>
          <w:szCs w:val="20"/>
          <w:color w:val="auto"/>
        </w:rPr>
      </w:pPr>
      <w:r>
        <w:rPr>
          <w:rFonts w:ascii="Times New Roman" w:cs="Times New Roman" w:eastAsia="Times New Roman" w:hAnsi="Times New Roman"/>
          <w:sz w:val="16"/>
          <w:szCs w:val="16"/>
          <w:color w:val="auto"/>
        </w:rPr>
        <w:t>As discussed above under “Environmental Matters” of Part I of this report, the EPA has sent information requests to most, if not all, of the operators of nitric acid plants in the United States, including our El Dorado and Cherokee Facilities and the Baytown Facility operated by our subsidiary, El Dorado Nitric Company and its subsidiaries (“EDN”), under Section 114 of the Clean Air Act as to construction and modification activities at each of these facilities over a period of years.</w:t>
      </w:r>
    </w:p>
    <w:p>
      <w:pPr>
        <w:spacing w:after="0" w:line="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These information requests were to enable the EPA to determine whether these facilities are in compliance with certain provisions of the Clean Air Act. If it is determined that the equipment at any of our chemical facilities does not meet or, has not met, the requirements of the Clean Air Act, our Chemical Business could be subject to penalties in an amount not to exceed $27,500 per day as to each facility not in compliance and be required to retrofit each facility with the “best available control technology.”</w:t>
      </w:r>
    </w:p>
    <w:p>
      <w:pPr>
        <w:spacing w:after="0" w:line="13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After a review by our Chemical Business of these facilities in obtaining information for the EPA pursuant to the EPA’s request, our Chemical Business management believes that certain facilities within our Chemical Business will be required to make capital improvements to emission equipment in order to comply with the requirements of the Clean Air Act. During 2012, our Chemical Business has been in negotiations with the EPA to reach a global settlement in connection with this matter, which settlement offer would require implementation of additional pollution controls to be installed over a period of time in each of our eight affected nitric acid plants to achieve certain proposed emission rates, two of which are already complete. The proposals also offered to include a modest civil penalty but did not provide an amount of any proposed civil penalty. The estimated capital cost to achieve the proposed emission rates is $2 million to $3 million per plant for the remaining six plants and these capital investments are proposed to be made over a period of several years.</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455" w:right="2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Advanced Manufacturing Energy Credits</w:t>
      </w:r>
    </w:p>
    <w:p>
      <w:pPr>
        <w:spacing w:after="0" w:line="90" w:lineRule="exact"/>
        <w:rPr>
          <w:sz w:val="20"/>
          <w:szCs w:val="20"/>
          <w:color w:val="auto"/>
        </w:rPr>
      </w:pPr>
    </w:p>
    <w:p>
      <w:pPr>
        <w:ind w:right="40"/>
        <w:spacing w:after="0" w:line="296" w:lineRule="auto"/>
        <w:rPr>
          <w:sz w:val="20"/>
          <w:szCs w:val="20"/>
          <w:color w:val="auto"/>
        </w:rPr>
      </w:pPr>
      <w:r>
        <w:rPr>
          <w:rFonts w:ascii="Times New Roman" w:cs="Times New Roman" w:eastAsia="Times New Roman" w:hAnsi="Times New Roman"/>
          <w:sz w:val="16"/>
          <w:szCs w:val="16"/>
          <w:color w:val="auto"/>
        </w:rPr>
        <w:t>On January 8, 2010, two subsidiaries within the Climate Control Business were awarded Internal Revenue Code §48C tax credits (also referred to as “Advanced Manufacturing Energy Credits”) of approximately $9.6 million. The award was based on anticipated capital expenditures made from February 2009 through June 2014 for machinery that will be used to produce geothermal heat pumps and green modular chillers. As these subsidiaries invest in the qualifying machinery, we will be entitled to an income tax credit equal to 30% of the machinery cost, up to the total credit amount awarded. As of December 31, 2012, we utilized $1.0 million of §48C tax credits and we anticipate utilizing approximately $0.3 million of these tax credits to partially offset our federal income tax liability for 2012.</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Estimated Plant Turnaround Costs – 2013</w:t>
      </w:r>
    </w:p>
    <w:p>
      <w:pPr>
        <w:spacing w:after="0" w:line="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Chemical Business expenses the maintenance, repairs and minor renewal costs relating to Turnarounds as they are incurred and are classified as cost of sales. Based on our current plan for Turnarounds during 2013, we estimate that we will incur approximately $4.2 million to $5.2 million of these Turnaround costs. These costs do not include the costs relating to lost absorption or reduced margins due to the associated plants being shut down. We plan to fund these expenditures from our available working capital. However, it is possible that the actual costs could be significantly different from our estimates.</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Expenses Associated with Environmental Regulatory Compliance</w:t>
      </w:r>
    </w:p>
    <w:p>
      <w:pPr>
        <w:spacing w:after="0" w:line="92"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6"/>
          <w:szCs w:val="16"/>
          <w:color w:val="auto"/>
        </w:rPr>
        <w:t>Our Chemical Business is subject to specific federal and state environmental compliance laws, regulations and guidelines. As a result, our Chemical Business incurred expenses of $4.6 million in 2012 in connection with environmental regulatory issues. For 2013, we expect to incur expenses ranging from $4.5 million to $5.5 million in connection with environmental regulatory issues. However, it is possible that the actual costs could be significantly different than our estimates.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Authorization to Repurchase Stock</w:t>
      </w:r>
    </w:p>
    <w:p>
      <w:pPr>
        <w:spacing w:after="0" w:line="92"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As previously reported, our Board of Directors enacted a stock repurchase authorization for an unstipulated number of shares for an indefinite period. The stock repurchase authorization will remain in effect until such time as our Board of Directors decides to end it. If we should repurchase stock, we currently intend to fund any repurchases from our available working capital; however, our plan could change in the near term.</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9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LSB is a holding company and, accordingly, its ability to pay cash dividends on its preferred stock and common stock depends in large part on its ability to obtain funds from its subsidiaries. The ability of ThermaClime (which owns a substantial portion of the companies comprising the Climate Control Business and Chemical Business) and its wholly-owned subsidiaries to pay dividends and to make distributions to LSB is restricted by certain covenants contained in the Working Capital Revolver Loan, as amended, and the Secured Term Loan agreements. Under the terms of these agreements, ThermaClime cannot transfer funds to LSB in the form of cash dividends or other distributions or advances, except for the following (so long as no default or event of default has occurred, is continuing or would result therefrom in certain cases):</w:t>
      </w:r>
    </w:p>
    <w:p>
      <w:pPr>
        <w:spacing w:after="0" w:line="58" w:lineRule="exact"/>
        <w:rPr>
          <w:sz w:val="20"/>
          <w:szCs w:val="20"/>
          <w:color w:val="auto"/>
        </w:rPr>
      </w:pPr>
    </w:p>
    <w:p>
      <w:pPr>
        <w:ind w:left="900" w:right="740" w:hanging="325"/>
        <w:spacing w:after="0" w:line="275"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to LSB entered into subsequent to April 4, 2012, provided the aggregate amount of such loans do not exceed $5.0 million at any time outstanding;</w:t>
      </w:r>
    </w:p>
    <w:p>
      <w:pPr>
        <w:spacing w:after="0" w:line="38" w:lineRule="exact"/>
        <w:rPr>
          <w:rFonts w:ascii="Times New Roman" w:cs="Times New Roman" w:eastAsia="Times New Roman" w:hAnsi="Times New Roman"/>
          <w:sz w:val="18"/>
          <w:szCs w:val="18"/>
          <w:color w:val="auto"/>
        </w:rPr>
      </w:pPr>
    </w:p>
    <w:p>
      <w:pPr>
        <w:ind w:left="900" w:hanging="325"/>
        <w:spacing w:after="0" w:line="275"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not to exceed $7.5 million annually under a certain management agreement between LSB and ThermaClime, provided certain conditions are met;</w:t>
      </w:r>
    </w:p>
    <w:p>
      <w:pPr>
        <w:spacing w:after="0" w:line="38" w:lineRule="exact"/>
        <w:rPr>
          <w:rFonts w:ascii="Times New Roman" w:cs="Times New Roman" w:eastAsia="Times New Roman" w:hAnsi="Times New Roman"/>
          <w:sz w:val="18"/>
          <w:szCs w:val="18"/>
          <w:color w:val="auto"/>
        </w:rPr>
      </w:pPr>
    </w:p>
    <w:p>
      <w:pPr>
        <w:ind w:left="900" w:right="200" w:hanging="325"/>
        <w:spacing w:after="0" w:line="275"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repayment of costs and expenses incurred by LSB that are directly allocable to ThermaClime or its subsidiaries for LSB’s provision of services under certain services agreement;</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income taxes that ThermaClime would be required to pay if they were not consolidated with LSB; and</w:t>
      </w:r>
    </w:p>
    <w:p>
      <w:pPr>
        <w:spacing w:after="0" w:line="90" w:lineRule="exact"/>
        <w:rPr>
          <w:rFonts w:ascii="Times New Roman" w:cs="Times New Roman" w:eastAsia="Times New Roman" w:hAnsi="Times New Roman"/>
          <w:sz w:val="18"/>
          <w:szCs w:val="18"/>
          <w:color w:val="auto"/>
        </w:rPr>
      </w:pPr>
    </w:p>
    <w:p>
      <w:pPr>
        <w:jc w:val="both"/>
        <w:ind w:left="900" w:right="480" w:hanging="325"/>
        <w:spacing w:after="0" w:line="26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not to exceed fifty percent (50%) of ThermaClime’s consolidated net income during each fiscal year determined in accordance with generally accepted accounting principles plus income taxes paid to LSB during such fiscal year within the previous bullet above, provided that certain other conditions are met.</w:t>
      </w:r>
    </w:p>
    <w:p>
      <w:pPr>
        <w:spacing w:after="0" w:line="132"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Holders of our common stock and preferred stocks are entitled to receive dividends only when and if declared by our Board of Directors. We have not paid cash dividends on our outstanding common stock in many years, and we do not currently anticipate paying cash dividends on our outstanding common stock in the near future. However, our Board of Directors has not made a decision whether or not to pay such dividends on our common stock in 2013</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455" w:right="2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quarter of 2012, dividends totaling $300,000 were declared and paid on our outstanding preferred stock using funds from our working capital.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share of preferred stock is entitled to receive an annual dividend, only when declared by our Board of Directors, payable as follows:</w:t>
      </w:r>
    </w:p>
    <w:p>
      <w:pPr>
        <w:spacing w:after="0" w:line="78" w:lineRule="exact"/>
        <w:rPr>
          <w:sz w:val="20"/>
          <w:szCs w:val="20"/>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$0.06 per share on our outstanding non-redeemable Series D Preferred for an aggregate dividend of $60,000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$12.00 per share on our outstanding non-redeemable Series B Preferred for an aggregate dividend of $240,000.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17, 2013, our Board of Directors declared the following dividends:</w:t>
      </w:r>
    </w:p>
    <w:p>
      <w:pPr>
        <w:spacing w:after="0" w:line="90" w:lineRule="exact"/>
        <w:rPr>
          <w:sz w:val="20"/>
          <w:szCs w:val="20"/>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$0.06 per share on our outstanding non-redeemable Series D Preferred for an aggregate dividend of $60,000, payable on March 29, 2013;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$12.00 per share on our outstanding non-redeemable Series B Preferred for an aggregate dividend of $240,000, payable on March 29, 2013.</w:t>
      </w:r>
    </w:p>
    <w:p>
      <w:pPr>
        <w:spacing w:after="0" w:line="171"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All shares of the Series D Preferred and Series B Preferred are owned by the Golsen Group. There are no optional or mandatory redemption rights with respect to the Series B Preferred or Series D Preferred.</w:t>
      </w:r>
    </w:p>
    <w:p>
      <w:pPr>
        <w:spacing w:after="0" w:line="1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Compliance with Long—Term Debt Covenants</w:t>
      </w:r>
    </w:p>
    <w:p>
      <w:pPr>
        <w:spacing w:after="0" w:line="92" w:lineRule="exact"/>
        <w:rPr>
          <w:sz w:val="20"/>
          <w:szCs w:val="20"/>
          <w:color w:val="auto"/>
        </w:rPr>
      </w:pPr>
    </w:p>
    <w:p>
      <w:pPr>
        <w:ind w:right="400"/>
        <w:spacing w:after="0" w:line="262" w:lineRule="auto"/>
        <w:rPr>
          <w:sz w:val="20"/>
          <w:szCs w:val="20"/>
          <w:color w:val="auto"/>
        </w:rPr>
      </w:pPr>
      <w:r>
        <w:rPr>
          <w:rFonts w:ascii="Times New Roman" w:cs="Times New Roman" w:eastAsia="Times New Roman" w:hAnsi="Times New Roman"/>
          <w:sz w:val="18"/>
          <w:szCs w:val="18"/>
          <w:color w:val="auto"/>
        </w:rPr>
        <w:t>As discussed below under “Loan Agreements—Terms and Conditions”, the Secured Term Loan and Working Capital Revolver Loan, as amended, of ThermaClime and its subsidiaries require, among other things, that ThermaClime meet certain financial covenants. Currently, ThermaClime’s forecast is that ThermaClime will be able to meet all financial covenant requirements for 2013.</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Loan Agreements—Terms and Conditions</w:t>
      </w:r>
    </w:p>
    <w:p>
      <w:pPr>
        <w:spacing w:after="0" w:line="9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Amendment to Working Capital Revolver Loan </w:t>
      </w:r>
      <w:r>
        <w:rPr>
          <w:rFonts w:ascii="Times New Roman" w:cs="Times New Roman" w:eastAsia="Times New Roman" w:hAnsi="Times New Roman"/>
          <w:sz w:val="18"/>
          <w:szCs w:val="18"/>
          <w:color w:val="auto"/>
        </w:rPr>
        <w:t>– Since the Working Capital Revolver Loan was scheduled to mature on April 13, 2012, ThermaClime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its subsidiaries (collectively, the “Borrowers”) and the lender entered into an amendment to the Working Capital Revolver Loan, dated April 4, 2012, that continues to provide for advances based on specified percentages of eligible accounts receivable and inventories for ThermaClime and its subsidiaries. As amended, the Working Capital Revolver Loan matures on March 29, 2016, but could be extended to April 13, 2017 under certain conditions. The Working Capital Revolver Loan, as amended, accrues interest at a base rate (generally equivalent to the prime rate) plus .50% if borrowing availability is greater than $25 million, otherwise plus .75% or, at our option, accrues interest at LIBOR plus 1.50% if borrowing availability is greater than $25 million, otherwise plus 1.75%. The interest rate at December 31, 2012 was 3.75% based on LIBOR. Interest continues to be paid monthly, if applicable.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amended, the Working Capital Revolver Loan provides for up to $15 million of letters of credit. All letters of credit outstanding reduce availability under 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Working Capital Revolver Loan. As of December 31, 2012, amounts available for borrowing under the Working Capital Revolver Loan were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$48.4 million. Under the Working Capital Revolver Loan, as amended, the lender also requires the Borrowers to pay a letter of credit fee equal to 1% per annum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 the undrawn amount of all outstanding letters of credit, an unused line fee equal to .25% per annum for the excess amount available under the Working Capital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Revolver Loan not drawn and various other audit, appraisal and valuation charges.</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lender has the ability to, upon an event of default, as defined, terminate the Working Capital Revolver Loan and make the balance outstanding, if any, due and payable in full. The Working Capital Revolver Loan is secured by the assets of all the ThermaClime entities other than EDN, but excluding the assets securing the Secured Term Loan, certain production equipment and facilities utilized by the Climate Control Business, and certain distribution-related assets of EDC. In addition, EDN is neither a borrower under, nor guarantor of, the Working Capital Revolver Loan. At December 31, 2012, the carrying value of the pledged assets was approximately $232 million.</w:t>
      </w:r>
    </w:p>
    <w:p>
      <w:pPr>
        <w:spacing w:after="0" w:line="13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Working Capital Revolver Loan requires ThermaClime to meet a minimum fixed charge coverage ratio of not less than 1.10 to 1. This requirement is to be measured on a fiscal year-end basis and as defined in the agreement. As of December 31, 2012 and as defined in the agreement, the fixed charge coverage ratio was 8.08 to 1. The Working Capital Revolver Loan contains covenants that, among other things, limit the Borrowers’ (which does not include LSB) ability, without consent of the lender and with certain exceptions, to:</w:t>
      </w:r>
    </w:p>
    <w:p>
      <w:pPr>
        <w:spacing w:after="0" w:line="55" w:lineRule="exact"/>
        <w:rPr>
          <w:sz w:val="20"/>
          <w:szCs w:val="20"/>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restricted payments or loans to affiliates who are not Borrowers,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consolidations or other forms of recapitalization, or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assets.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Pursuant to certain agreements with the lender, all collections on accounts receivable are no longer made through a bank account in the name of the lender or their agent. As a result and compared to previous periods, this change has reduced the amount of cash flow activity associated with the Working Capital Revolver Loan, which is also reported as cash flows from continuing financing activities.</w:t>
      </w:r>
    </w:p>
    <w:p>
      <w:pPr>
        <w:spacing w:after="0" w:line="130"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Secured Term Loan </w:t>
      </w:r>
      <w:r>
        <w:rPr>
          <w:rFonts w:ascii="Times New Roman" w:cs="Times New Roman" w:eastAsia="Times New Roman" w:hAnsi="Times New Roman"/>
          <w:sz w:val="18"/>
          <w:szCs w:val="18"/>
          <w:color w:val="auto"/>
        </w:rPr>
        <w:t>– At December 31, 2012, the Secured Term Loan’s outstanding balance was $68.4 million. The Secured Term Loan requires quarterly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principal payments of approximately $0.9 million, plus interest and a final balloon payment of $56.3 million due on March 29, 2016. At December 31, 2012, the stated interest rate on the Secured Term Loan includes a variable interest rate of 3.31% on the principal amount of $45.6 million (the variable interest rate is based on three-month LIBOR plus 300 basis points, which rate is adjusted quarterly) and a fixed interest rate of 5.15% on the principal amount of $22.8 million. At December 31, 2012, the resulting weighted-average interest rate was approximately 3.92%.</w:t>
      </w:r>
    </w:p>
    <w:p>
      <w:pPr>
        <w:spacing w:after="0" w:line="136"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The Secured Term Loan is secured by the real property and equipment located at our El Dorado and Cherokee Facilities. The carrying value of the pledged assets is approximately $103 million at December 31, 2012.</w:t>
      </w:r>
    </w:p>
    <w:p>
      <w:pPr>
        <w:spacing w:after="0" w:line="12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Secured Term Loan borrowers are subject to numerous covenants under the agreement including, but not limited to, limitation on the incurrence of certain additional indebtedness and liens; limitations on mergers, acquisitions, dissolution and sale of assets; and limitations on declaration of dividends and distributions to LSB, all with certain exceptions. At December 31, 2012, the carrying value of the restricted net assets (including pledged assets) of ThermaClime and its subsidiaries was approximately $122 million. As defined in the agreement, the Secured Term Loan borrowers are also subject to a minimum fixed charge coverage ratio of not less than 1.10 to 1 and a maximum leverage ratio of not greater than 4.50 to 1. Both of these requirements are measured quarterly on a trailing twelve-month basis. As of December 31, 2012 and as defined in the agreement, Secured Term Loan borrowers’ fixed charge coverage ratio was 1.35 to 1 and the leverage ratio was 0.90 to 1.</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maturity date of the Secured Term Loan can be accelerated by the lender upon the occurrence of a continuing event of default, as defined.</w:t>
      </w:r>
    </w:p>
    <w:p>
      <w:pPr>
        <w:spacing w:after="0" w:line="171"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A prepayment premium equal to 1.0% of the principal amount prepaid is due to the lenders should the borrowers elect to prepay on or prior to March 29, 2014, however, this premium is eliminated thereafter.</w:t>
      </w:r>
    </w:p>
    <w:p>
      <w:pPr>
        <w:spacing w:after="0" w:line="118"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—On February 1, 2013, Zena, a subsidiary within our Chemical Business, entered into a loan with a lender in the original principal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 of $35 million. This loan follows the acquisition by Zena of Working Interests as discussed above under “Acquisition of Working Interests in Certain Natural Gas Properties.” The proceeds of the loan effectively finance $35 million of the approximately $50 million purchase price of the Working Interests paid previously out of LSB’s working capital. The proceeds of the loan will be used for general working capital purposes. The loan is for a term of three years. Interest is payable monthly based on a five-year amortization at a defined LIBOR rate plus 300 basis points (but not below 3.00% per annum), resulting in a borrowing rate of approximately 3.30% at February 1, 2013. The loan is secured by the Working Interests and related properties and proceeds.</w:t>
      </w:r>
    </w:p>
    <w:p>
      <w:pPr>
        <w:spacing w:after="0" w:line="139" w:lineRule="exact"/>
        <w:rPr>
          <w:sz w:val="20"/>
          <w:szCs w:val="20"/>
          <w:color w:val="auto"/>
        </w:rPr>
      </w:pPr>
    </w:p>
    <w:p>
      <w:pPr>
        <w:ind w:right="10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Cross-Default Provisions </w:t>
      </w:r>
      <w:r>
        <w:rPr>
          <w:rFonts w:ascii="Times New Roman" w:cs="Times New Roman" w:eastAsia="Times New Roman" w:hAnsi="Times New Roman"/>
          <w:sz w:val="18"/>
          <w:szCs w:val="18"/>
          <w:color w:val="auto"/>
        </w:rPr>
        <w:t>- The Working Capital Revolver Loan agreement and the Secured Term Loan contain cross-default provisions. If ThermaClime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fails to meet the financial covenants of either of these agreements, the lenders may declare an event of default.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Seasonality</w:t>
      </w:r>
    </w:p>
    <w:p>
      <w:pPr>
        <w:spacing w:after="0" w:line="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believe that our only significant seasonal products are fertilizer and related chemical products sold by our Chemical Business to the agricultural industry. The selling seasons for those products are primarily during the spring and fall planting seasons, which typically extend from March through June and from September through November in the geographical markets in which the majority of our agricultural products are distributed. As a result, our Chemical Business increases its inventory of agricultural products prior to the beginning of each planting season. In addition, the amount and timing of sales to the agricultural markets depend upon weather conditions and other circumstances beyond our control.</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455" w:right="2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Related Party Transactions</w:t>
      </w:r>
    </w:p>
    <w:p>
      <w:pPr>
        <w:spacing w:after="0" w:line="9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Golsen Group—See discussion above under “Liquidity and Capital Resources-Dividends” and discussion under “Related Party Transactions-Transactions with Landmark” of Item 13 of Part III of this report.</w:t>
      </w:r>
    </w:p>
    <w:p>
      <w:pPr>
        <w:spacing w:after="0" w:line="10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80"/>
          </w:cols>
          <w:pgMar w:left="240" w:top="455" w:right="47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92"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The following Results of Operations should be read in conjunction with our consolidated financial statements for the years ended December 31, 2012, 2011, and 2010 and accompanying notes and the discussions above under “Overview” and “Liquidity and Capital Resources.”</w:t>
      </w:r>
    </w:p>
    <w:p>
      <w:pPr>
        <w:spacing w:after="0" w:line="12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present the following information about our results of operations for our two core business segments: the Chemical Business and the Climate Control Business. The business operation classified as “Other” primarily sells industrial machinery and related components to machine tool dealers and end users. Net sales by business segment include net sales to unaffiliated customers as reported in the consolidated financial statements. Intersegment net sales are not significant. Gross profit by business segment represents net sales less cost of sales. In addition, our chief operating decision makers use operating income by business segment for purposes of making decisions that include resource allocations and performance evaluations. Operating income by business segment represents gross profit by business segment less selling, general and administrative expense (“SG&amp;A”) incurred by each business segment plus other income and other expense earned/incurred by each business segment before general corporate expenses and other business operations, net. General corporate expenses and other business operations, net consist of unallocated portions of gross profit, SG&amp;A, other income and other expense.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contains certain information about our continuing operations in different business segments for each of the three years ended December 31:</w:t>
      </w:r>
    </w:p>
    <w:p>
      <w:pPr>
        <w:spacing w:after="0" w:line="23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color w:val="auto"/>
              </w:rPr>
              <w:t>2012</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color w:val="auto"/>
              </w:rPr>
              <w:t>2011</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w w:val="93"/>
              </w:rPr>
              <w:t>(In Thousands)</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Chemical</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477,813</w:t>
            </w:r>
          </w:p>
        </w:tc>
        <w:tc>
          <w:tcPr>
            <w:tcW w:w="300" w:type="dxa"/>
            <w:vAlign w:val="bottom"/>
          </w:tcPr>
          <w:p>
            <w:pPr>
              <w:spacing w:after="0"/>
              <w:rPr>
                <w:sz w:val="18"/>
                <w:szCs w:val="18"/>
                <w:color w:val="auto"/>
              </w:rPr>
            </w:pPr>
          </w:p>
        </w:tc>
        <w:tc>
          <w:tcPr>
            <w:tcW w:w="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511,854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5"/>
              </w:rPr>
              <w:t>351,086</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Climate Control</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266,171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281,565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250,521</w:t>
            </w:r>
          </w:p>
        </w:tc>
        <w:tc>
          <w:tcPr>
            <w:tcW w:w="0" w:type="dxa"/>
            <w:vAlign w:val="bottom"/>
          </w:tcPr>
          <w:p>
            <w:pPr>
              <w:spacing w:after="0"/>
              <w:rPr>
                <w:sz w:val="1"/>
                <w:szCs w:val="1"/>
                <w:color w:val="auto"/>
              </w:rPr>
            </w:pPr>
          </w:p>
        </w:tc>
      </w:tr>
      <w:tr>
        <w:trPr>
          <w:trHeight w:val="223"/>
        </w:trPr>
        <w:tc>
          <w:tcPr>
            <w:tcW w:w="5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759,031</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805,256</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609,905</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6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Chemical</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97,692</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130,687</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49,295</w:t>
            </w:r>
          </w:p>
        </w:tc>
        <w:tc>
          <w:tcPr>
            <w:tcW w:w="0" w:type="dxa"/>
            <w:vAlign w:val="bottom"/>
          </w:tcPr>
          <w:p>
            <w:pPr>
              <w:spacing w:after="0"/>
              <w:rPr>
                <w:sz w:val="1"/>
                <w:szCs w:val="1"/>
                <w:color w:val="auto"/>
              </w:rPr>
            </w:pPr>
          </w:p>
        </w:tc>
      </w:tr>
      <w:tr>
        <w:trPr>
          <w:trHeight w:val="216"/>
        </w:trPr>
        <w:tc>
          <w:tcPr>
            <w:tcW w:w="5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Climate Control</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80,981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88,178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86,364</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2,966</w:t>
            </w:r>
          </w:p>
        </w:tc>
        <w:tc>
          <w:tcPr>
            <w:tcW w:w="0" w:type="dxa"/>
            <w:vAlign w:val="bottom"/>
          </w:tcPr>
          <w:p>
            <w:pPr>
              <w:spacing w:after="0"/>
              <w:rPr>
                <w:sz w:val="1"/>
                <w:szCs w:val="1"/>
                <w:color w:val="auto"/>
              </w:rPr>
            </w:pPr>
          </w:p>
        </w:tc>
      </w:tr>
      <w:tr>
        <w:trPr>
          <w:trHeight w:val="223"/>
        </w:trPr>
        <w:tc>
          <w:tcPr>
            <w:tcW w:w="5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183,736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223,018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138,625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Chemical</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82,101</w:t>
            </w:r>
          </w:p>
        </w:tc>
        <w:tc>
          <w:tcPr>
            <w:tcW w:w="300" w:type="dxa"/>
            <w:vAlign w:val="bottom"/>
          </w:tcPr>
          <w:p>
            <w:pPr>
              <w:spacing w:after="0"/>
              <w:rPr>
                <w:sz w:val="18"/>
                <w:szCs w:val="18"/>
                <w:color w:val="auto"/>
              </w:rPr>
            </w:pPr>
          </w:p>
        </w:tc>
        <w:tc>
          <w:tcPr>
            <w:tcW w:w="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116,503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31,948</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Climate Control</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35,338</w:t>
            </w:r>
          </w:p>
        </w:tc>
        <w:tc>
          <w:tcPr>
            <w:tcW w:w="0" w:type="dxa"/>
            <w:vAlign w:val="bottom"/>
          </w:tcPr>
          <w:p>
            <w:pPr>
              <w:spacing w:after="0"/>
              <w:rPr>
                <w:sz w:val="1"/>
                <w:szCs w:val="1"/>
                <w:color w:val="auto"/>
              </w:rPr>
            </w:pPr>
          </w:p>
        </w:tc>
      </w:tr>
      <w:tr>
        <w:trPr>
          <w:trHeight w:val="223"/>
        </w:trPr>
        <w:tc>
          <w:tcPr>
            <w:tcW w:w="5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General corporate expense and other business operations, net</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(12,280)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(12,819)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(11,361)</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95,655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136,443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7,427</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Losses on extinguishment of debt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Non-operating expense (income), net: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Chemical</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5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Climate Control</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Corporate and other business operations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Provisions for income taxes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19,787</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earnings of affiliate—Climate Control</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(681)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(1,003)</w:t>
            </w:r>
          </w:p>
        </w:tc>
        <w:tc>
          <w:tcPr>
            <w:tcW w:w="0" w:type="dxa"/>
            <w:vAlign w:val="bottom"/>
          </w:tcPr>
          <w:p>
            <w:pPr>
              <w:spacing w:after="0"/>
              <w:rPr>
                <w:sz w:val="1"/>
                <w:szCs w:val="1"/>
                <w:color w:val="auto"/>
              </w:rPr>
            </w:pPr>
          </w:p>
        </w:tc>
      </w:tr>
      <w:tr>
        <w:trPr>
          <w:trHeight w:val="222"/>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58,786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83,984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ind w:left="4700"/>
              <w:spacing w:after="0"/>
              <w:rPr>
                <w:sz w:val="20"/>
                <w:szCs w:val="20"/>
                <w:color w:val="auto"/>
              </w:rPr>
            </w:pPr>
            <w:r>
              <w:rPr>
                <w:rFonts w:ascii="Times New Roman" w:cs="Times New Roman" w:eastAsia="Times New Roman" w:hAnsi="Times New Roman"/>
                <w:sz w:val="18"/>
                <w:szCs w:val="18"/>
                <w:color w:val="auto"/>
              </w:rPr>
              <w:t>41</w:t>
            </w: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5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5" w:right="3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Year Ended December 31, 2012 Compared to Year Ended December 31, 2011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Chemical Business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contains certain information about our net sales, gross profit and operating income in our Chemical segment for 2012 and 2011:</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3"/>
              </w:rPr>
              <w:t>Percentage</w:t>
            </w:r>
          </w:p>
        </w:tc>
        <w:tc>
          <w:tcPr>
            <w:tcW w:w="0" w:type="dxa"/>
            <w:vAlign w:val="bottom"/>
          </w:tcPr>
          <w:p>
            <w:pPr>
              <w:spacing w:after="0"/>
              <w:rPr>
                <w:sz w:val="1"/>
                <w:szCs w:val="1"/>
                <w:color w:val="auto"/>
              </w:rPr>
            </w:pPr>
          </w:p>
        </w:tc>
      </w:tr>
      <w:tr>
        <w:trPr>
          <w:trHeight w:val="165"/>
        </w:trPr>
        <w:tc>
          <w:tcPr>
            <w:tcW w:w="4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2012</w:t>
            </w:r>
          </w:p>
        </w:tc>
        <w:tc>
          <w:tcPr>
            <w:tcW w:w="220" w:type="dxa"/>
            <w:vAlign w:val="bottom"/>
          </w:tcPr>
          <w:p>
            <w:pPr>
              <w:spacing w:after="0"/>
              <w:rPr>
                <w:sz w:val="14"/>
                <w:szCs w:val="14"/>
                <w:color w:val="auto"/>
              </w:rPr>
            </w:pPr>
          </w:p>
        </w:tc>
        <w:tc>
          <w:tcPr>
            <w:tcW w:w="1040" w:type="dxa"/>
            <w:vAlign w:val="bottom"/>
            <w:gridSpan w:val="2"/>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2011</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67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(Dollars In Thousands)</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Agricultural products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217,329</w:t>
            </w:r>
          </w:p>
        </w:tc>
        <w:tc>
          <w:tcPr>
            <w:tcW w:w="14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$231,599</w:t>
            </w:r>
          </w:p>
        </w:tc>
        <w:tc>
          <w:tcPr>
            <w:tcW w:w="1460" w:type="dxa"/>
            <w:vAlign w:val="bottom"/>
            <w:gridSpan w:val="3"/>
          </w:tcPr>
          <w:p>
            <w:pPr>
              <w:jc w:val="right"/>
              <w:ind w:right="518"/>
              <w:spacing w:after="0"/>
              <w:rPr>
                <w:sz w:val="20"/>
                <w:szCs w:val="20"/>
                <w:color w:val="auto"/>
              </w:rPr>
            </w:pPr>
            <w:r>
              <w:rPr>
                <w:rFonts w:ascii="Times New Roman" w:cs="Times New Roman" w:eastAsia="Times New Roman" w:hAnsi="Times New Roman"/>
                <w:sz w:val="18"/>
                <w:szCs w:val="18"/>
                <w:color w:val="auto"/>
              </w:rPr>
              <w:t>$ (14,270)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Industrial acids and other chemical products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162,498</w:t>
            </w:r>
          </w:p>
        </w:tc>
        <w:tc>
          <w:tcPr>
            <w:tcW w:w="14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161,776</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6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4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Mining products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96,538</w:t>
            </w:r>
          </w:p>
        </w:tc>
        <w:tc>
          <w:tcPr>
            <w:tcW w:w="14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118,479</w:t>
            </w:r>
          </w:p>
        </w:tc>
        <w:tc>
          <w:tcPr>
            <w:tcW w:w="1460" w:type="dxa"/>
            <w:vAlign w:val="bottom"/>
            <w:gridSpan w:val="3"/>
          </w:tcPr>
          <w:p>
            <w:pPr>
              <w:jc w:val="right"/>
              <w:ind w:right="518"/>
              <w:spacing w:after="0"/>
              <w:rPr>
                <w:sz w:val="20"/>
                <w:szCs w:val="20"/>
                <w:color w:val="auto"/>
              </w:rPr>
            </w:pPr>
            <w:r>
              <w:rPr>
                <w:rFonts w:ascii="Times New Roman" w:cs="Times New Roman" w:eastAsia="Times New Roman" w:hAnsi="Times New Roman"/>
                <w:sz w:val="18"/>
                <w:szCs w:val="18"/>
                <w:color w:val="auto"/>
              </w:rPr>
              <w:t>(21,941)</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Natural gas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1,448</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6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3"/>
        </w:trPr>
        <w:tc>
          <w:tcPr>
            <w:tcW w:w="46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Chemical</w:t>
            </w:r>
          </w:p>
        </w:tc>
        <w:tc>
          <w:tcPr>
            <w:tcW w:w="1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477,813</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$ 511,854</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9"/>
              </w:rPr>
              <w:t>$</w:t>
            </w:r>
            <w:r>
              <w:rPr>
                <w:rFonts w:ascii="Times New Roman" w:cs="Times New Roman" w:eastAsia="Times New Roman" w:hAnsi="Times New Roman"/>
                <w:sz w:val="18"/>
                <w:szCs w:val="18"/>
                <w:color w:val="auto"/>
                <w:w w:val="89"/>
              </w:rPr>
              <w:t xml:space="preserve"> (34,041</w:t>
            </w:r>
          </w:p>
        </w:tc>
        <w:tc>
          <w:tcPr>
            <w:tcW w:w="660" w:type="dxa"/>
            <w:vAlign w:val="bottom"/>
          </w:tcPr>
          <w:p>
            <w:pPr>
              <w:jc w:val="right"/>
              <w:ind w:right="51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profit—Chemical</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97,692</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130,687</w:t>
            </w:r>
          </w:p>
        </w:tc>
        <w:tc>
          <w:tcPr>
            <w:tcW w:w="1460" w:type="dxa"/>
            <w:vAlign w:val="bottom"/>
            <w:gridSpan w:val="3"/>
            <w:shd w:val="clear" w:color="auto" w:fill="CCEEFF"/>
          </w:tcPr>
          <w:p>
            <w:pPr>
              <w:jc w:val="right"/>
              <w:ind w:right="518"/>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(32,995)</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Gross profit percentage—Chemical (1)</w:t>
            </w: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20.4%</w:t>
            </w:r>
          </w:p>
        </w:tc>
        <w:tc>
          <w:tcPr>
            <w:tcW w:w="36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25.5%</w:t>
            </w:r>
          </w:p>
        </w:tc>
        <w:tc>
          <w:tcPr>
            <w:tcW w:w="160" w:type="dxa"/>
            <w:vAlign w:val="bottom"/>
          </w:tcPr>
          <w:p>
            <w:pPr>
              <w:spacing w:after="0"/>
              <w:rPr>
                <w:sz w:val="18"/>
                <w:szCs w:val="18"/>
                <w:color w:val="auto"/>
              </w:rPr>
            </w:pPr>
          </w:p>
        </w:tc>
        <w:tc>
          <w:tcPr>
            <w:tcW w:w="130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(5.1)%</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income—Chemical</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82,101</w:t>
            </w:r>
          </w:p>
        </w:tc>
        <w:tc>
          <w:tcPr>
            <w:tcW w:w="14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$ 116,503</w:t>
            </w:r>
          </w:p>
        </w:tc>
        <w:tc>
          <w:tcPr>
            <w:tcW w:w="1460" w:type="dxa"/>
            <w:vAlign w:val="bottom"/>
            <w:gridSpan w:val="3"/>
            <w:shd w:val="clear" w:color="auto" w:fill="CCEEFF"/>
          </w:tcPr>
          <w:p>
            <w:pPr>
              <w:jc w:val="right"/>
              <w:ind w:right="518"/>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(34,402)</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w:t>
        <w:tab/>
        <w:t>As a percentage of net sales</w:t>
      </w:r>
    </w:p>
    <w:p>
      <w:pPr>
        <w:spacing w:after="0" w:line="2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Sales—Chemical</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Chemical Business reported a sales decrease for 2012 as a result of the following:</w:t>
      </w:r>
    </w:p>
    <w:p>
      <w:pPr>
        <w:spacing w:after="0" w:line="90" w:lineRule="exact"/>
        <w:rPr>
          <w:sz w:val="20"/>
          <w:szCs w:val="20"/>
          <w:color w:val="auto"/>
        </w:rPr>
      </w:pPr>
    </w:p>
    <w:p>
      <w:pPr>
        <w:ind w:left="900" w:hanging="325"/>
        <w:spacing w:after="0" w:line="256"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Agricultural products sales—Agricultural products sales decreased $14.3 million, or 6%, primarily due to decreased sales volumes for UAN, which despite strong customer demand were lower due to reduced production as a result of downtime at our Cherokee and Pryor Facilities. This decrease was partially offset by increased ammonia sales as the Pryor Facility was able to produce and sell ammonia during a portion of the downtime. Due to strong market demand for crop nutrients and strong grain commodity prices, our agricultural grade AN and other products sold at our El Dorado Facility and distribution centers increased, which also helped to offset the loss of UAN sales.</w:t>
      </w:r>
    </w:p>
    <w:p>
      <w:pPr>
        <w:spacing w:after="0" w:line="57" w:lineRule="exact"/>
        <w:rPr>
          <w:rFonts w:ascii="Times New Roman" w:cs="Times New Roman" w:eastAsia="Times New Roman" w:hAnsi="Times New Roman"/>
          <w:sz w:val="18"/>
          <w:szCs w:val="18"/>
          <w:color w:val="auto"/>
        </w:rPr>
      </w:pPr>
    </w:p>
    <w:p>
      <w:pPr>
        <w:ind w:left="900" w:right="240" w:hanging="325"/>
        <w:spacing w:after="0" w:line="275"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acids and other chemical products sales—Industrial acids and other products sales increased slightly primarily as the result of increased raw material costs including ammonia passed through pursuant to the terms of our contractual pricing contracts with customers.</w:t>
      </w:r>
    </w:p>
    <w:p>
      <w:pPr>
        <w:spacing w:after="0" w:line="38" w:lineRule="exact"/>
        <w:rPr>
          <w:rFonts w:ascii="Times New Roman" w:cs="Times New Roman" w:eastAsia="Times New Roman" w:hAnsi="Times New Roman"/>
          <w:sz w:val="18"/>
          <w:szCs w:val="18"/>
          <w:color w:val="auto"/>
        </w:rPr>
      </w:pPr>
    </w:p>
    <w:p>
      <w:pPr>
        <w:ind w:left="900" w:right="180" w:hanging="325"/>
        <w:spacing w:after="0" w:line="26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Mining products sales—Mining products sales decreased $21.9 million, or 19% primarily due to lower volumes as the result of the unplanned downtime at the El Dorado and Cherokee Facilities and the lower customer demand due to the current low cost of natural gas as an alternative fuel for utility companies and the current higher coal supply carried over from the warm winter in North America.</w:t>
      </w:r>
    </w:p>
    <w:p>
      <w:pPr>
        <w:spacing w:after="0" w:line="51" w:lineRule="exact"/>
        <w:rPr>
          <w:rFonts w:ascii="Times New Roman" w:cs="Times New Roman" w:eastAsia="Times New Roman" w:hAnsi="Times New Roman"/>
          <w:sz w:val="18"/>
          <w:szCs w:val="18"/>
          <w:color w:val="auto"/>
        </w:rPr>
      </w:pPr>
    </w:p>
    <w:p>
      <w:pPr>
        <w:ind w:left="900" w:right="320" w:hanging="325"/>
        <w:spacing w:after="0" w:line="275"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see our discussion above under “Liquidity and Capital Resources – Capital Expenditures” concerning an acquisition of working interests in certain natural gas properties.</w:t>
      </w:r>
    </w:p>
    <w:p>
      <w:pPr>
        <w:spacing w:after="0" w:line="1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Gross Profit—Chemical</w:t>
      </w:r>
    </w:p>
    <w:p>
      <w:pPr>
        <w:spacing w:after="0" w:line="92" w:lineRule="exact"/>
        <w:rPr>
          <w:sz w:val="20"/>
          <w:szCs w:val="20"/>
          <w:color w:val="auto"/>
        </w:rPr>
      </w:pPr>
    </w:p>
    <w:p>
      <w:pPr>
        <w:ind w:right="140"/>
        <w:spacing w:after="0" w:line="339" w:lineRule="auto"/>
        <w:rPr>
          <w:sz w:val="20"/>
          <w:szCs w:val="20"/>
          <w:color w:val="auto"/>
        </w:rPr>
      </w:pPr>
      <w:r>
        <w:rPr>
          <w:rFonts w:ascii="Times New Roman" w:cs="Times New Roman" w:eastAsia="Times New Roman" w:hAnsi="Times New Roman"/>
          <w:sz w:val="16"/>
          <w:szCs w:val="16"/>
          <w:color w:val="auto"/>
        </w:rPr>
        <w:t>The decrease in gross profit of $33.0 million is primarily attributable to costs totaling $32.0 million due to the planned and unplanned downtime at our facilities during 2012, which includes unabsorbed fixed overhead costs, losses incurred on firm sales commitments, maintenance and repair costs, and other expenses.</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Operating Income—Chemical</w:t>
      </w:r>
    </w:p>
    <w:p>
      <w:pPr>
        <w:spacing w:after="0" w:line="92"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In spite of very strong agricultural supply and demand fundamentals, operating income declined $34.4 million primarily due to the decrease in gross profit as discussed above.</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380"/>
          </w:cols>
          <w:pgMar w:left="240" w:top="455" w:right="27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Climate Control Business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contains certain information about our net sales, gross profit and operating income in our Climate Control segment for 2012 and 2011:</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3"/>
              </w:rPr>
              <w:t>Percentage</w:t>
            </w:r>
          </w:p>
        </w:tc>
        <w:tc>
          <w:tcPr>
            <w:tcW w:w="0" w:type="dxa"/>
            <w:vAlign w:val="bottom"/>
          </w:tcPr>
          <w:p>
            <w:pPr>
              <w:spacing w:after="0"/>
              <w:rPr>
                <w:sz w:val="1"/>
                <w:szCs w:val="1"/>
                <w:color w:val="auto"/>
              </w:rPr>
            </w:pPr>
          </w:p>
        </w:tc>
      </w:tr>
      <w:tr>
        <w:trPr>
          <w:trHeight w:val="165"/>
        </w:trPr>
        <w:tc>
          <w:tcPr>
            <w:tcW w:w="5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2012</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2011</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678"/>
              <w:spacing w:after="0"/>
              <w:rPr>
                <w:sz w:val="20"/>
                <w:szCs w:val="20"/>
                <w:color w:val="auto"/>
              </w:rPr>
            </w:pPr>
            <w:r>
              <w:rPr>
                <w:rFonts w:ascii="Times New Roman" w:cs="Times New Roman" w:eastAsia="Times New Roman" w:hAnsi="Times New Roman"/>
                <w:sz w:val="14"/>
                <w:szCs w:val="14"/>
                <w:b w:val="1"/>
                <w:bCs w:val="1"/>
                <w:color w:val="auto"/>
                <w:w w:val="91"/>
              </w:rPr>
              <w:t>Change</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4"/>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(Dollars In Thousands)</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Geothermal and water source heat pumps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5"/>
              </w:rPr>
              <w:t>162,697</w:t>
            </w:r>
          </w:p>
        </w:tc>
        <w:tc>
          <w:tcPr>
            <w:tcW w:w="2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5"/>
              </w:rPr>
              <w:t>183,789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518"/>
              <w:spacing w:after="0"/>
              <w:rPr>
                <w:sz w:val="20"/>
                <w:szCs w:val="20"/>
                <w:color w:val="auto"/>
              </w:rPr>
            </w:pPr>
            <w:r>
              <w:rPr>
                <w:rFonts w:ascii="Times New Roman" w:cs="Times New Roman" w:eastAsia="Times New Roman" w:hAnsi="Times New Roman"/>
                <w:sz w:val="18"/>
                <w:szCs w:val="18"/>
                <w:color w:val="auto"/>
                <w:w w:val="94"/>
              </w:rPr>
              <w:t>(21,092)</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Hydronic fan coils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55,812</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54,379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6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5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HVAC products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47,662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43,397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4,265</w:t>
            </w:r>
          </w:p>
        </w:tc>
        <w:tc>
          <w:tcPr>
            <w:tcW w:w="6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Climate Control</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266,171</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5"/>
              </w:rPr>
              <w:t>281,565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200" w:type="dxa"/>
            <w:vAlign w:val="bottom"/>
            <w:gridSpan w:val="2"/>
            <w:shd w:val="clear" w:color="auto" w:fill="CCEEFF"/>
          </w:tcPr>
          <w:p>
            <w:pPr>
              <w:jc w:val="right"/>
              <w:ind w:right="518"/>
              <w:spacing w:after="0"/>
              <w:rPr>
                <w:sz w:val="20"/>
                <w:szCs w:val="20"/>
                <w:color w:val="auto"/>
              </w:rPr>
            </w:pPr>
            <w:r>
              <w:rPr>
                <w:rFonts w:ascii="Times New Roman" w:cs="Times New Roman" w:eastAsia="Times New Roman" w:hAnsi="Times New Roman"/>
                <w:sz w:val="18"/>
                <w:szCs w:val="18"/>
                <w:color w:val="auto"/>
                <w:w w:val="94"/>
              </w:rPr>
              <w:t>(15,394)</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Gross profit—Climate Control</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line="20" w:lineRule="exact"/>
              <w:rPr>
                <w:sz w:val="1"/>
                <w:szCs w:val="1"/>
                <w:color w:val="auto"/>
              </w:rPr>
            </w:pPr>
          </w:p>
        </w:tc>
      </w:tr>
      <w:tr>
        <w:trPr>
          <w:trHeight w:val="210"/>
        </w:trPr>
        <w:tc>
          <w:tcPr>
            <w:tcW w:w="57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80,981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88,178</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(7,197</w:t>
            </w:r>
          </w:p>
        </w:tc>
        <w:tc>
          <w:tcPr>
            <w:tcW w:w="660" w:type="dxa"/>
            <w:vAlign w:val="bottom"/>
          </w:tcPr>
          <w:p>
            <w:pPr>
              <w:jc w:val="right"/>
              <w:ind w:right="51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percentage—Climate Control (1)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(0.9)%</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income—Climate Control</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line="20" w:lineRule="exact"/>
              <w:rPr>
                <w:sz w:val="1"/>
                <w:szCs w:val="1"/>
                <w:color w:val="auto"/>
              </w:rPr>
            </w:pPr>
          </w:p>
        </w:tc>
      </w:tr>
      <w:tr>
        <w:trPr>
          <w:trHeight w:val="210"/>
        </w:trPr>
        <w:tc>
          <w:tcPr>
            <w:tcW w:w="576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25,834</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32,759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(6,925</w:t>
            </w:r>
          </w:p>
        </w:tc>
        <w:tc>
          <w:tcPr>
            <w:tcW w:w="660" w:type="dxa"/>
            <w:vAlign w:val="bottom"/>
          </w:tcPr>
          <w:p>
            <w:pPr>
              <w:jc w:val="right"/>
              <w:ind w:right="51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w:t>
        <w:tab/>
        <w:t>As a percentage of net sales</w:t>
      </w:r>
    </w:p>
    <w:p>
      <w:pPr>
        <w:spacing w:after="0" w:line="2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Sales – Climate Control</w:t>
      </w:r>
    </w:p>
    <w:p>
      <w:pPr>
        <w:spacing w:after="0" w:line="92" w:lineRule="exact"/>
        <w:rPr>
          <w:sz w:val="20"/>
          <w:szCs w:val="20"/>
          <w:color w:val="auto"/>
        </w:rPr>
      </w:pPr>
    </w:p>
    <w:p>
      <w:pPr>
        <w:ind w:left="440" w:right="40" w:hanging="324"/>
        <w:spacing w:after="0" w:line="256" w:lineRule="auto"/>
        <w:tabs>
          <w:tab w:leader="none" w:pos="4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of our geothermal and water source heat pump products decreased primarily as a result of a 21% decline in sales of our residential products, primarily due to the softness in the sector of the single-family residential construction market we serve. Sales of our commercial/institutional products also declined by 7% primarily due to the lower beginning backlog and lower order levels in the first part of the year, although order levels increased overall throughout the balance of 2012. During 2012, we continued to maintain a market share leadership position of approximately 40%, based on preliminary market data supplied by the Air-Conditioning, Heating and Refrigeration Institute (“AHRI”).</w:t>
      </w:r>
    </w:p>
    <w:p>
      <w:pPr>
        <w:spacing w:after="0" w:line="57" w:lineRule="exact"/>
        <w:rPr>
          <w:rFonts w:ascii="Times New Roman" w:cs="Times New Roman" w:eastAsia="Times New Roman" w:hAnsi="Times New Roman"/>
          <w:sz w:val="18"/>
          <w:szCs w:val="18"/>
          <w:color w:val="auto"/>
        </w:rPr>
      </w:pPr>
    </w:p>
    <w:p>
      <w:pPr>
        <w:ind w:left="440" w:right="220" w:hanging="324"/>
        <w:spacing w:after="0" w:line="334" w:lineRule="auto"/>
        <w:tabs>
          <w:tab w:leader="none" w:pos="4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sales of our hydronic fan coils increased primarily due to increases in the number of units sold, the average unit selling price and in the sale of parts. During 2012, we continued to have a market share leadership position of approximately 30% based on preliminary market data supplied by the AHRI.</w:t>
      </w:r>
    </w:p>
    <w:p>
      <w:pPr>
        <w:spacing w:after="0" w:line="1" w:lineRule="exact"/>
        <w:rPr>
          <w:rFonts w:ascii="Times New Roman" w:cs="Times New Roman" w:eastAsia="Times New Roman" w:hAnsi="Times New Roman"/>
          <w:sz w:val="16"/>
          <w:szCs w:val="16"/>
          <w:color w:val="auto"/>
        </w:rPr>
      </w:pPr>
    </w:p>
    <w:p>
      <w:pPr>
        <w:ind w:left="440" w:hanging="324"/>
        <w:spacing w:after="0"/>
        <w:tabs>
          <w:tab w:leader="none" w:pos="4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of our other HVAC products in 2012 were 10% above the 2011 results and related to increased sales of our large custom air handlers.</w:t>
      </w:r>
    </w:p>
    <w:p>
      <w:pPr>
        <w:spacing w:after="0" w:line="2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Gross Profit—Climate Control</w:t>
      </w:r>
    </w:p>
    <w:p>
      <w:pPr>
        <w:spacing w:after="0" w:line="9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The decrease in gross profit in our Climate Control Business was primarily the result of the lower sales volume as discussed above. The gross profit percentage decline of 0.9% was primarily due to product mix, including a higher content of commercial products with lower gross margins than our residential products, and overhead absorption related to the lower sales volume.</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Operating Income—Climate Control</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income decreased primarily as the result of the decrease in gross profit discussed above.</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360"/>
          </w:cols>
          <w:pgMar w:left="240" w:top="455" w:right="29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w:t>
      </w:r>
    </w:p>
    <w:p>
      <w:pPr>
        <w:spacing w:after="0" w:line="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business operation classified as “Other” primarily sells industrial machinery and related components to machine tool dealers and end users. General corporate expenses and other business operations, net consist of unallocated portions of gross profit, SG&amp;A, other income and other expense. The following table contains certain information about our net sales and gross profit classified as “Other” and general corporate expenses and other business operations, net, for 2012 and 2011:</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3"/>
              </w:rPr>
              <w:t>Percentage</w:t>
            </w:r>
          </w:p>
        </w:tc>
        <w:tc>
          <w:tcPr>
            <w:tcW w:w="0" w:type="dxa"/>
            <w:vAlign w:val="bottom"/>
          </w:tcPr>
          <w:p>
            <w:pPr>
              <w:spacing w:after="0"/>
              <w:rPr>
                <w:sz w:val="1"/>
                <w:szCs w:val="1"/>
                <w:color w:val="auto"/>
              </w:rPr>
            </w:pPr>
          </w:p>
        </w:tc>
      </w:tr>
      <w:tr>
        <w:trPr>
          <w:trHeight w:val="165"/>
        </w:trPr>
        <w:tc>
          <w:tcPr>
            <w:tcW w:w="5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2012</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2011</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3"/>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9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4"/>
          </w:tcPr>
          <w:p>
            <w:pPr>
              <w:jc w:val="right"/>
              <w:ind w:right="98"/>
              <w:spacing w:after="0" w:line="142" w:lineRule="exact"/>
              <w:rPr>
                <w:sz w:val="20"/>
                <w:szCs w:val="20"/>
                <w:color w:val="auto"/>
              </w:rPr>
            </w:pPr>
            <w:r>
              <w:rPr>
                <w:rFonts w:ascii="Times New Roman" w:cs="Times New Roman" w:eastAsia="Times New Roman" w:hAnsi="Times New Roman"/>
                <w:sz w:val="14"/>
                <w:szCs w:val="14"/>
                <w:color w:val="auto"/>
                <w:w w:val="98"/>
              </w:rPr>
              <w:t>(Dollars In Thousands)</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sales—Other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15,047</w:t>
            </w:r>
          </w:p>
        </w:tc>
        <w:tc>
          <w:tcPr>
            <w:tcW w:w="180" w:type="dxa"/>
            <w:vAlign w:val="bottom"/>
            <w:gridSpan w:val="2"/>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11,837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w w:val="93"/>
              </w:rPr>
              <w:t>3,210</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Gross profit—Other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line="20" w:lineRule="exact"/>
              <w:rPr>
                <w:sz w:val="1"/>
                <w:szCs w:val="1"/>
                <w:color w:val="auto"/>
              </w:rPr>
            </w:pPr>
          </w:p>
        </w:tc>
      </w:tr>
      <w:tr>
        <w:trPr>
          <w:trHeight w:val="210"/>
        </w:trPr>
        <w:tc>
          <w:tcPr>
            <w:tcW w:w="592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4,153</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66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percentage—Other (1)</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35.1%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(1.5)%</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General corporate expense and other business operations, net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line="20" w:lineRule="exact"/>
              <w:rPr>
                <w:sz w:val="1"/>
                <w:szCs w:val="1"/>
                <w:color w:val="auto"/>
              </w:rPr>
            </w:pPr>
          </w:p>
        </w:tc>
      </w:tr>
      <w:tr>
        <w:trPr>
          <w:trHeight w:val="210"/>
        </w:trPr>
        <w:tc>
          <w:tcPr>
            <w:tcW w:w="59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(12,280</w:t>
            </w:r>
          </w:p>
        </w:tc>
        <w:tc>
          <w:tcPr>
            <w:tcW w:w="18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w w:val="73"/>
              </w:rPr>
              <w:t>)</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(12,819</w:t>
            </w:r>
          </w:p>
        </w:tc>
        <w:tc>
          <w:tcPr>
            <w:tcW w:w="4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66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w:t>
        <w:tab/>
        <w:t>As a percentage of net sales</w:t>
      </w:r>
    </w:p>
    <w:p>
      <w:pPr>
        <w:spacing w:after="0" w:line="2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Sales—Other</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net sales classified as “Other” relates primarily to the improvement in demand for industrial machinery.</w:t>
      </w:r>
    </w:p>
    <w:p>
      <w:pPr>
        <w:spacing w:after="0" w:line="2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Gross Profit—Other</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gross profit classified as “Other” is due primarily to the increase in sales as discussed above.</w:t>
      </w:r>
    </w:p>
    <w:p>
      <w:pPr>
        <w:spacing w:after="0" w:line="2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General Corporate Expense and Other Business Operations, Net</w:t>
      </w:r>
    </w:p>
    <w:p>
      <w:pPr>
        <w:spacing w:after="0" w:line="9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The decrease in general corporate expense and other business operations, net, primarily relates to the increase in sales as discussed above and expenses incurred only in 2011 associated with the induced conversion of 5.5% convertible debentures and the modification of the Secured Term Loan partially offset by an increase in personnel costs.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Provision For Income Taxes</w:t>
      </w:r>
    </w:p>
    <w:p>
      <w:pPr>
        <w:spacing w:after="0" w:line="92"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The provision for income taxes for 2012 was $33.6 million compared to $46.2 million for 2011. The resulting effective tax rate for 2012 and 2011 was 36% for both periods. See additional discussion relating to income taxes above under “Liquidity and Capital Resources – Income Taxes.”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455" w:right="2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Year Ended December 31, 2011 Compared to Year Ended December 31, 2010</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Chemical Business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contains certain information about our net sales, gross profit and operating income in our Chemical segment for 2011 and 2010:</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0" w:type="dxa"/>
            <w:vAlign w:val="bottom"/>
          </w:tcPr>
          <w:p>
            <w:pPr>
              <w:spacing w:after="0"/>
              <w:rPr>
                <w:sz w:val="1"/>
                <w:szCs w:val="1"/>
                <w:color w:val="auto"/>
              </w:rPr>
            </w:pPr>
          </w:p>
        </w:tc>
      </w:tr>
      <w:tr>
        <w:trPr>
          <w:trHeight w:val="165"/>
        </w:trPr>
        <w:tc>
          <w:tcPr>
            <w:tcW w:w="5800" w:type="dxa"/>
            <w:vAlign w:val="bottom"/>
          </w:tcPr>
          <w:p>
            <w:pPr>
              <w:spacing w:after="0"/>
              <w:rPr>
                <w:sz w:val="14"/>
                <w:szCs w:val="14"/>
                <w:color w:val="auto"/>
              </w:rPr>
            </w:pPr>
          </w:p>
        </w:tc>
        <w:tc>
          <w:tcPr>
            <w:tcW w:w="6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2011</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2010</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8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4"/>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(Dollars In Thousands)</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Agricultural products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$231,599</w:t>
            </w:r>
          </w:p>
        </w:tc>
        <w:tc>
          <w:tcPr>
            <w:tcW w:w="2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135,598</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96,001</w:t>
            </w:r>
          </w:p>
        </w:tc>
        <w:tc>
          <w:tcPr>
            <w:tcW w:w="6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Industrial acids and other chemical products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161,776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126,846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34,930</w:t>
            </w: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23"/>
        </w:trPr>
        <w:tc>
          <w:tcPr>
            <w:tcW w:w="5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Mining products</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118,479</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88,642</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29,837</w:t>
            </w:r>
          </w:p>
        </w:tc>
        <w:tc>
          <w:tcPr>
            <w:tcW w:w="6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Chemical</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$ 511,854</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351,086</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160,768</w:t>
            </w: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Gross profit—Chemical</w:t>
            </w: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165.1%</w:t>
            </w:r>
          </w:p>
        </w:tc>
        <w:tc>
          <w:tcPr>
            <w:tcW w:w="0" w:type="dxa"/>
            <w:vAlign w:val="bottom"/>
          </w:tcPr>
          <w:p>
            <w:pPr>
              <w:spacing w:after="0" w:line="20" w:lineRule="exact"/>
              <w:rPr>
                <w:sz w:val="1"/>
                <w:szCs w:val="1"/>
                <w:color w:val="auto"/>
              </w:rPr>
            </w:pPr>
          </w:p>
        </w:tc>
      </w:tr>
      <w:tr>
        <w:trPr>
          <w:trHeight w:val="210"/>
        </w:trPr>
        <w:tc>
          <w:tcPr>
            <w:tcW w:w="5800" w:type="dxa"/>
            <w:vAlign w:val="bottom"/>
            <w:vMerge w:val="continue"/>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130,687</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49,295</w:t>
            </w:r>
          </w:p>
        </w:tc>
        <w:tc>
          <w:tcPr>
            <w:tcW w:w="6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81,392</w:t>
            </w:r>
          </w:p>
        </w:tc>
        <w:tc>
          <w:tcPr>
            <w:tcW w:w="6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percentage—Chemical (1)</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11.5%</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income—Chemical</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264.7%</w:t>
            </w:r>
          </w:p>
        </w:tc>
        <w:tc>
          <w:tcPr>
            <w:tcW w:w="0" w:type="dxa"/>
            <w:vAlign w:val="bottom"/>
          </w:tcPr>
          <w:p>
            <w:pPr>
              <w:spacing w:after="0" w:line="20" w:lineRule="exact"/>
              <w:rPr>
                <w:sz w:val="1"/>
                <w:szCs w:val="1"/>
                <w:color w:val="auto"/>
              </w:rPr>
            </w:pPr>
          </w:p>
        </w:tc>
      </w:tr>
      <w:tr>
        <w:trPr>
          <w:trHeight w:val="210"/>
        </w:trPr>
        <w:tc>
          <w:tcPr>
            <w:tcW w:w="5800" w:type="dxa"/>
            <w:vAlign w:val="bottom"/>
            <w:vMerge w:val="continue"/>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$ 116,503</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31,948</w:t>
            </w:r>
          </w:p>
        </w:tc>
        <w:tc>
          <w:tcPr>
            <w:tcW w:w="6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84,555</w:t>
            </w:r>
          </w:p>
        </w:tc>
        <w:tc>
          <w:tcPr>
            <w:tcW w:w="6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w:t>
        <w:tab/>
        <w:t>As a percentage of net sales</w:t>
      </w:r>
    </w:p>
    <w:p>
      <w:pPr>
        <w:spacing w:after="0" w:line="2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Sales—Chemical</w:t>
      </w:r>
    </w:p>
    <w:p>
      <w:pPr>
        <w:spacing w:after="0" w:line="92"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For 2011, overall sales prices for the Chemical Business increased 30% and the volume of tons sold increased 14%, compared with 2010, generally as a result of the following:</w:t>
      </w:r>
    </w:p>
    <w:p>
      <w:pPr>
        <w:spacing w:after="0" w:line="39" w:lineRule="exact"/>
        <w:rPr>
          <w:sz w:val="20"/>
          <w:szCs w:val="20"/>
          <w:color w:val="auto"/>
        </w:rPr>
      </w:pPr>
    </w:p>
    <w:p>
      <w:pPr>
        <w:jc w:val="both"/>
        <w:ind w:left="900" w:hanging="325"/>
        <w:spacing w:after="0" w:line="258"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Agricultural products sales—Agricultural products sales increased $96.0 million, or 71%, primarily due to increased sales volumes and selling prices for UAN and ammonia, partially offset by lower sales of agricultural grade AN. As the result of the Pryor Facility beginning sustained production in the fourth quarter of 2010, tons of agricultural products sold from this facility increased, including 189,000 tons of UAN. In addition, the increase in UAN sales was driven by an increase in market demand for crop nutrients and strong grain commodity prices.</w:t>
      </w:r>
    </w:p>
    <w:p>
      <w:pPr>
        <w:spacing w:after="0" w:line="55" w:lineRule="exact"/>
        <w:rPr>
          <w:rFonts w:ascii="Times New Roman" w:cs="Times New Roman" w:eastAsia="Times New Roman" w:hAnsi="Times New Roman"/>
          <w:sz w:val="18"/>
          <w:szCs w:val="18"/>
          <w:color w:val="auto"/>
        </w:rPr>
      </w:pPr>
    </w:p>
    <w:p>
      <w:pPr>
        <w:ind w:left="900" w:right="120" w:hanging="325"/>
        <w:spacing w:after="0" w:line="26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acids and other chemical products sales—Industrial acids and other products sales increased $34.9 million, or 28%, primarily due to improved economic conditions, new customers and increased selling prices resulting from the pass through of higher raw material costs pursuant to the terms of sales agreements with certain customers.</w:t>
      </w:r>
    </w:p>
    <w:p>
      <w:pPr>
        <w:spacing w:after="0" w:line="51" w:lineRule="exact"/>
        <w:rPr>
          <w:rFonts w:ascii="Times New Roman" w:cs="Times New Roman" w:eastAsia="Times New Roman" w:hAnsi="Times New Roman"/>
          <w:sz w:val="18"/>
          <w:szCs w:val="18"/>
          <w:color w:val="auto"/>
        </w:rPr>
      </w:pPr>
    </w:p>
    <w:p>
      <w:pPr>
        <w:ind w:left="900" w:right="40" w:hanging="325"/>
        <w:spacing w:after="0" w:line="296" w:lineRule="auto"/>
        <w:tabs>
          <w:tab w:leader="none" w:pos="9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Mining products sales—Mining products sales increased $29.8 million, or 34% and volumes increased 11%. Sales prices were driven higher by a general increase in raw material and other costs, which we are able to pass through to certain customers pursuant to the terms of supply agreements. Our industrial grade AN is primarily sold to one customer pursuant to a multi-year supply contract in which the customer agrees to purchase, and we agree to reserve certain minimum volumes. The customer took less than the minimum quantity of product as defined in the contract. Pursuant to the terms of the contract, the customer was invoiced for both product taken and for the reserved plant production capacity that was not utilized.</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Gross Profit—Chemical</w:t>
      </w:r>
    </w:p>
    <w:p>
      <w:pPr>
        <w:spacing w:after="0" w:line="92" w:lineRule="exact"/>
        <w:rPr>
          <w:sz w:val="20"/>
          <w:szCs w:val="20"/>
          <w:color w:val="auto"/>
        </w:rPr>
      </w:pPr>
    </w:p>
    <w:p>
      <w:pPr>
        <w:jc w:val="both"/>
        <w:ind w:right="380"/>
        <w:spacing w:after="0" w:line="262" w:lineRule="auto"/>
        <w:rPr>
          <w:sz w:val="20"/>
          <w:szCs w:val="20"/>
          <w:color w:val="auto"/>
        </w:rPr>
      </w:pPr>
      <w:r>
        <w:rPr>
          <w:rFonts w:ascii="Times New Roman" w:cs="Times New Roman" w:eastAsia="Times New Roman" w:hAnsi="Times New Roman"/>
          <w:sz w:val="18"/>
          <w:szCs w:val="18"/>
          <w:color w:val="auto"/>
        </w:rPr>
        <w:t>The increase in gross profit of $81.4 million is a result of the increased sales volume in all three product lines, accompanied by higher margins on UAN and ammonia due to higher average selling prices relative to production costs. In addition, we recognized an $8.6 million business interruption recovery in 2011, which was recorded as a reduction to cost of sales.</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Operating Income—Chemical</w:t>
      </w:r>
    </w:p>
    <w:p>
      <w:pPr>
        <w:spacing w:after="0" w:line="92" w:lineRule="exact"/>
        <w:rPr>
          <w:sz w:val="20"/>
          <w:szCs w:val="20"/>
          <w:color w:val="auto"/>
        </w:rPr>
      </w:pPr>
    </w:p>
    <w:p>
      <w:pPr>
        <w:ind w:right="80"/>
        <w:spacing w:after="0" w:line="301" w:lineRule="auto"/>
        <w:rPr>
          <w:sz w:val="20"/>
          <w:szCs w:val="20"/>
          <w:color w:val="auto"/>
        </w:rPr>
      </w:pPr>
      <w:r>
        <w:rPr>
          <w:rFonts w:ascii="Times New Roman" w:cs="Times New Roman" w:eastAsia="Times New Roman" w:hAnsi="Times New Roman"/>
          <w:sz w:val="16"/>
          <w:szCs w:val="16"/>
          <w:color w:val="auto"/>
        </w:rPr>
        <w:t>In addition to the increase in gross profit of $81.4 million discussed above, our Chemical Business’ operating income includes operating and other expenses associated with the Pryor Facility of approximately $2.8 million for 2011 compared to $13.6 million for 2010. Due to limited and intermittent production at the Pryor Facility during 2010, costs identifiable with production were classified as cost of sales and the remaining operational expenses were primarily classified as SG&amp;A. This increase in operating income was partially offset by gains totaling $7.3 million from property insurance recoveries received in 2010.</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380"/>
          </w:cols>
          <w:pgMar w:left="240" w:top="455" w:right="27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Climate Control Business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contains certain information about our net sales, gross profit and operating income in our Climate Control segment for 2011 and 2010:</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3"/>
              </w:rPr>
              <w:t>Percentage</w:t>
            </w:r>
          </w:p>
        </w:tc>
        <w:tc>
          <w:tcPr>
            <w:tcW w:w="0" w:type="dxa"/>
            <w:vAlign w:val="bottom"/>
          </w:tcPr>
          <w:p>
            <w:pPr>
              <w:spacing w:after="0"/>
              <w:rPr>
                <w:sz w:val="1"/>
                <w:szCs w:val="1"/>
                <w:color w:val="auto"/>
              </w:rPr>
            </w:pPr>
          </w:p>
        </w:tc>
      </w:tr>
      <w:tr>
        <w:trPr>
          <w:trHeight w:val="165"/>
        </w:trPr>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2010</w:t>
            </w:r>
          </w:p>
        </w:tc>
        <w:tc>
          <w:tcPr>
            <w:tcW w:w="660" w:type="dxa"/>
            <w:vAlign w:val="bottom"/>
          </w:tcPr>
          <w:p>
            <w:pPr>
              <w:spacing w:after="0"/>
              <w:rPr>
                <w:sz w:val="14"/>
                <w:szCs w:val="14"/>
                <w:color w:val="auto"/>
              </w:rPr>
            </w:pPr>
          </w:p>
        </w:tc>
        <w:tc>
          <w:tcPr>
            <w:tcW w:w="1320" w:type="dxa"/>
            <w:vAlign w:val="bottom"/>
            <w:gridSpan w:val="3"/>
          </w:tcPr>
          <w:p>
            <w:pPr>
              <w:jc w:val="right"/>
              <w:ind w:right="71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4"/>
          </w:tcPr>
          <w:p>
            <w:pPr>
              <w:jc w:val="right"/>
              <w:ind w:right="420"/>
              <w:spacing w:after="0" w:line="142" w:lineRule="exact"/>
              <w:rPr>
                <w:sz w:val="20"/>
                <w:szCs w:val="20"/>
                <w:color w:val="auto"/>
              </w:rPr>
            </w:pPr>
            <w:r>
              <w:rPr>
                <w:rFonts w:ascii="Times New Roman" w:cs="Times New Roman" w:eastAsia="Times New Roman" w:hAnsi="Times New Roman"/>
                <w:sz w:val="14"/>
                <w:szCs w:val="14"/>
                <w:color w:val="auto"/>
              </w:rPr>
              <w:t>(Dollars In Thousands)</w:t>
            </w: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Geothermal and water source heat pumps</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5"/>
              </w:rPr>
              <w:t>183,789</w:t>
            </w:r>
          </w:p>
        </w:tc>
        <w:tc>
          <w:tcPr>
            <w:tcW w:w="2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w w:val="95"/>
              </w:rPr>
              <w:t>171,561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12,228</w:t>
            </w:r>
          </w:p>
        </w:tc>
        <w:tc>
          <w:tcPr>
            <w:tcW w:w="7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Hydronic fan coils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54,379</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37,923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16,456</w:t>
            </w:r>
          </w:p>
        </w:tc>
        <w:tc>
          <w:tcPr>
            <w:tcW w:w="7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16"/>
        </w:trPr>
        <w:tc>
          <w:tcPr>
            <w:tcW w:w="5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HVAC products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41,037</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7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Climate Control</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281,565</w:t>
            </w: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2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w w:val="95"/>
              </w:rPr>
              <w:t>250,521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31,044</w:t>
            </w:r>
          </w:p>
        </w:tc>
        <w:tc>
          <w:tcPr>
            <w:tcW w:w="7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Gross profit—Climate Control</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line="20" w:lineRule="exact"/>
              <w:rPr>
                <w:sz w:val="1"/>
                <w:szCs w:val="1"/>
                <w:color w:val="auto"/>
              </w:rPr>
            </w:pPr>
          </w:p>
        </w:tc>
      </w:tr>
      <w:tr>
        <w:trPr>
          <w:trHeight w:val="210"/>
        </w:trPr>
        <w:tc>
          <w:tcPr>
            <w:tcW w:w="56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88,178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86,364</w:t>
            </w: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7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percentage—Climate Control (1)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38"/>
              <w:spacing w:after="0"/>
              <w:rPr>
                <w:sz w:val="20"/>
                <w:szCs w:val="20"/>
                <w:color w:val="auto"/>
              </w:rPr>
            </w:pPr>
            <w:r>
              <w:rPr>
                <w:rFonts w:ascii="Times New Roman" w:cs="Times New Roman" w:eastAsia="Times New Roman" w:hAnsi="Times New Roman"/>
                <w:sz w:val="18"/>
                <w:szCs w:val="18"/>
                <w:color w:val="auto"/>
              </w:rPr>
              <w:t>(3.2)%</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income—Climate Control</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line="20" w:lineRule="exact"/>
              <w:rPr>
                <w:sz w:val="1"/>
                <w:szCs w:val="1"/>
                <w:color w:val="auto"/>
              </w:rPr>
            </w:pPr>
          </w:p>
        </w:tc>
      </w:tr>
      <w:tr>
        <w:trPr>
          <w:trHeight w:val="210"/>
        </w:trPr>
        <w:tc>
          <w:tcPr>
            <w:tcW w:w="562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32,759</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35,338</w:t>
            </w: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(2,579</w:t>
            </w:r>
          </w:p>
        </w:tc>
        <w:tc>
          <w:tcPr>
            <w:tcW w:w="740" w:type="dxa"/>
            <w:vAlign w:val="bottom"/>
          </w:tcPr>
          <w:p>
            <w:pPr>
              <w:jc w:val="right"/>
              <w:ind w:right="59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w:t>
        <w:tab/>
        <w:t>As a percentage of net sales</w:t>
      </w:r>
    </w:p>
    <w:p>
      <w:pPr>
        <w:spacing w:after="0" w:line="2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Sales – Climate Control</w:t>
      </w:r>
    </w:p>
    <w:p>
      <w:pPr>
        <w:spacing w:after="0" w:line="92" w:lineRule="exact"/>
        <w:rPr>
          <w:sz w:val="20"/>
          <w:szCs w:val="20"/>
          <w:color w:val="auto"/>
        </w:rPr>
      </w:pPr>
    </w:p>
    <w:p>
      <w:pPr>
        <w:ind w:left="440" w:hanging="324"/>
        <w:spacing w:after="0" w:line="256" w:lineRule="auto"/>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of our geothermal and water source heat pump products increased primarily as a result of a 15% improvement in sales of our commercial products generally related to increases in the education, hospitality, multi-family, and healthcare market sectors. Offsetting this increase was a 7% decline in sales of our residential products, primarily due to the softness in the single-family residential construction market. During 2011, we continued to maintain a market share leadership position of approximately 41%, based on preliminary market data supplied by the Air-Conditioning, Heating and Refrigeration Institute (“AHRI”);</w:t>
      </w:r>
    </w:p>
    <w:p>
      <w:pPr>
        <w:spacing w:after="0" w:line="57" w:lineRule="exact"/>
        <w:rPr>
          <w:rFonts w:ascii="Times New Roman" w:cs="Times New Roman" w:eastAsia="Times New Roman" w:hAnsi="Times New Roman"/>
          <w:sz w:val="18"/>
          <w:szCs w:val="18"/>
          <w:color w:val="auto"/>
        </w:rPr>
      </w:pPr>
    </w:p>
    <w:p>
      <w:pPr>
        <w:jc w:val="both"/>
        <w:ind w:left="440" w:right="320" w:hanging="324"/>
        <w:spacing w:after="0" w:line="262" w:lineRule="auto"/>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of our hydronic fan coils increased primarily due to an 18% increase in the number of units sold due to increased construction and renovation activities in the markets we serve and a 21% increase in the average unit sales price due to change in product mix. During 2011, we continued to have a market share leadership position of approximately 30% based on preliminary market data supplied by the AHRI;</w:t>
      </w:r>
    </w:p>
    <w:p>
      <w:pPr>
        <w:spacing w:after="0" w:line="51"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of our other HVAC products increased primarily as the result of an increase in the sales of our modular chillers and construction services.</w:t>
      </w:r>
    </w:p>
    <w:p>
      <w:pPr>
        <w:spacing w:after="0" w:line="2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Gross Profit – Climate Control</w:t>
      </w:r>
    </w:p>
    <w:p>
      <w:pPr>
        <w:spacing w:after="0" w:line="92"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The increase in gross profit in our Climate Control Business was primarily the result of higher sales volume as discussed above. The gross profit percentage decline of 3.2% was primarily due to higher raw material and component costs and product mix, including a higher content of commercial products with lower gross margins than our residential products.</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Operating Income – Climate Control</w:t>
      </w:r>
    </w:p>
    <w:p>
      <w:pPr>
        <w:spacing w:after="0" w:line="92" w:lineRule="exact"/>
        <w:rPr>
          <w:sz w:val="20"/>
          <w:szCs w:val="20"/>
          <w:color w:val="auto"/>
        </w:rPr>
      </w:pPr>
    </w:p>
    <w:p>
      <w:pPr>
        <w:ind w:right="80"/>
        <w:spacing w:after="0" w:line="301" w:lineRule="auto"/>
        <w:rPr>
          <w:sz w:val="20"/>
          <w:szCs w:val="20"/>
          <w:color w:val="auto"/>
        </w:rPr>
      </w:pPr>
      <w:r>
        <w:rPr>
          <w:rFonts w:ascii="Times New Roman" w:cs="Times New Roman" w:eastAsia="Times New Roman" w:hAnsi="Times New Roman"/>
          <w:sz w:val="16"/>
          <w:szCs w:val="16"/>
          <w:color w:val="auto"/>
        </w:rPr>
        <w:t>Although our gross profit increased, operating income decreased primarily as the result of an increase in expenses discussed below due, in part, to the increase in sales volume as well as changes in our customer/product mix. Specifically, warranty expenses increased by $2.1 million (which were also impacted by extending our warranty coverage period for certain products effective during 2010), employee health insurance costs increased by $0.9 million primarily due to higher actual spending and an increase in the number of employees, freight expenses increased by $0.9 million, and commissions of $0.8 million.</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00"/>
          </w:cols>
          <w:pgMar w:left="240" w:top="455" w:right="2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w:t>
      </w:r>
    </w:p>
    <w:p>
      <w:pPr>
        <w:spacing w:after="0" w:line="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business operation classified as “Other” primarily sells industrial machinery and related components to machine tool dealers and end users. General corporate expenses and other business operations, net consist of unallocated portions of gross profit, SG&amp;A, other income and other expense. The following table contains certain information about our net sales and gross profit classified as “Other” and general corporate expenses and other business operations, net, for 2011 and 2010:</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0" w:type="dxa"/>
            <w:vAlign w:val="bottom"/>
          </w:tcPr>
          <w:p>
            <w:pPr>
              <w:spacing w:after="0"/>
              <w:rPr>
                <w:sz w:val="1"/>
                <w:szCs w:val="1"/>
                <w:color w:val="auto"/>
              </w:rPr>
            </w:pPr>
          </w:p>
        </w:tc>
      </w:tr>
      <w:tr>
        <w:trPr>
          <w:trHeight w:val="165"/>
        </w:trPr>
        <w:tc>
          <w:tcPr>
            <w:tcW w:w="5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2011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2010</w:t>
            </w:r>
          </w:p>
        </w:tc>
        <w:tc>
          <w:tcPr>
            <w:tcW w:w="620" w:type="dxa"/>
            <w:vAlign w:val="bottom"/>
          </w:tcPr>
          <w:p>
            <w:pPr>
              <w:spacing w:after="0"/>
              <w:rPr>
                <w:sz w:val="14"/>
                <w:szCs w:val="14"/>
                <w:color w:val="auto"/>
              </w:rPr>
            </w:pPr>
          </w:p>
        </w:tc>
        <w:tc>
          <w:tcPr>
            <w:tcW w:w="1220" w:type="dxa"/>
            <w:vAlign w:val="bottom"/>
            <w:gridSpan w:val="2"/>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4"/>
          </w:tcPr>
          <w:p>
            <w:pPr>
              <w:jc w:val="right"/>
              <w:ind w:right="278"/>
              <w:spacing w:after="0" w:line="142" w:lineRule="exact"/>
              <w:rPr>
                <w:sz w:val="20"/>
                <w:szCs w:val="20"/>
                <w:color w:val="auto"/>
              </w:rPr>
            </w:pPr>
            <w:r>
              <w:rPr>
                <w:rFonts w:ascii="Times New Roman" w:cs="Times New Roman" w:eastAsia="Times New Roman" w:hAnsi="Times New Roman"/>
                <w:sz w:val="14"/>
                <w:szCs w:val="14"/>
                <w:color w:val="auto"/>
              </w:rPr>
              <w:t>(Dollars In Thousands)</w:t>
            </w:r>
          </w:p>
        </w:tc>
        <w:tc>
          <w:tcPr>
            <w:tcW w:w="56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sales—Other</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11,837</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538"/>
              <w:spacing w:after="0"/>
              <w:rPr>
                <w:sz w:val="20"/>
                <w:szCs w:val="20"/>
                <w:color w:val="auto"/>
              </w:rPr>
            </w:pPr>
            <w:r>
              <w:rPr>
                <w:rFonts w:ascii="Times New Roman" w:cs="Times New Roman" w:eastAsia="Times New Roman" w:hAnsi="Times New Roman"/>
                <w:sz w:val="18"/>
                <w:szCs w:val="18"/>
                <w:color w:val="auto"/>
              </w:rPr>
              <w:t>8,298</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$ 3,539</w:t>
            </w:r>
          </w:p>
        </w:tc>
        <w:tc>
          <w:tcPr>
            <w:tcW w:w="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Gross profit—Other</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line="20" w:lineRule="exact"/>
              <w:rPr>
                <w:sz w:val="1"/>
                <w:szCs w:val="1"/>
                <w:color w:val="auto"/>
              </w:rPr>
            </w:pPr>
          </w:p>
        </w:tc>
      </w:tr>
      <w:tr>
        <w:trPr>
          <w:trHeight w:val="210"/>
        </w:trPr>
        <w:tc>
          <w:tcPr>
            <w:tcW w:w="59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62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$ 1,187</w:t>
            </w:r>
          </w:p>
        </w:tc>
        <w:tc>
          <w:tcPr>
            <w:tcW w:w="6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percentage—Other (1)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98"/>
              <w:spacing w:after="0"/>
              <w:rPr>
                <w:sz w:val="20"/>
                <w:szCs w:val="20"/>
                <w:color w:val="auto"/>
              </w:rPr>
            </w:pPr>
            <w:r>
              <w:rPr>
                <w:rFonts w:ascii="Times New Roman" w:cs="Times New Roman" w:eastAsia="Times New Roman" w:hAnsi="Times New Roman"/>
                <w:sz w:val="18"/>
                <w:szCs w:val="18"/>
                <w:color w:val="auto"/>
              </w:rPr>
              <w:t>35.7%</w:t>
            </w:r>
          </w:p>
        </w:tc>
        <w:tc>
          <w:tcPr>
            <w:tcW w:w="1220" w:type="dxa"/>
            <w:vAlign w:val="bottom"/>
            <w:gridSpan w:val="2"/>
            <w:shd w:val="clear" w:color="auto" w:fill="CCEEFF"/>
          </w:tcPr>
          <w:p>
            <w:pPr>
              <w:jc w:val="right"/>
              <w:ind w:right="378"/>
              <w:spacing w:after="0"/>
              <w:rPr>
                <w:sz w:val="20"/>
                <w:szCs w:val="20"/>
                <w:color w:val="auto"/>
              </w:rPr>
            </w:pPr>
            <w:r>
              <w:rPr>
                <w:rFonts w:ascii="Times New Roman" w:cs="Times New Roman" w:eastAsia="Times New Roman" w:hAnsi="Times New Roman"/>
                <w:sz w:val="18"/>
                <w:szCs w:val="18"/>
                <w:color w:val="auto"/>
              </w:rPr>
              <w:t>(0.6)%</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General corporate expense and other business operations, net</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line="20" w:lineRule="exact"/>
              <w:rPr>
                <w:sz w:val="1"/>
                <w:szCs w:val="1"/>
                <w:color w:val="auto"/>
              </w:rPr>
            </w:pPr>
          </w:p>
        </w:tc>
      </w:tr>
      <w:tr>
        <w:trPr>
          <w:trHeight w:val="210"/>
        </w:trPr>
        <w:tc>
          <w:tcPr>
            <w:tcW w:w="59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(12,819</w:t>
            </w:r>
          </w:p>
        </w:tc>
        <w:tc>
          <w:tcPr>
            <w:tcW w:w="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(11,361</w:t>
            </w:r>
          </w:p>
        </w:tc>
        <w:tc>
          <w:tcPr>
            <w:tcW w:w="620" w:type="dxa"/>
            <w:vAlign w:val="bottom"/>
          </w:tcPr>
          <w:p>
            <w:pPr>
              <w:jc w:val="right"/>
              <w:ind w:right="478"/>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(1,458</w:t>
            </w:r>
          </w:p>
        </w:tc>
        <w:tc>
          <w:tcPr>
            <w:tcW w:w="660" w:type="dxa"/>
            <w:vAlign w:val="bottom"/>
          </w:tcPr>
          <w:p>
            <w:pPr>
              <w:jc w:val="right"/>
              <w:ind w:right="51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w:t>
        <w:tab/>
        <w:t>As a percentage of net sales</w:t>
      </w:r>
    </w:p>
    <w:p>
      <w:pPr>
        <w:spacing w:after="0" w:line="2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Sales—Other</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net sales classified as “Other” relates primarily to the improvement in demand for industrial machinery.</w:t>
      </w:r>
    </w:p>
    <w:p>
      <w:pPr>
        <w:spacing w:after="0" w:line="2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Gross Profit—Other</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gross profit classified as “Other” is due primarily to the increase in sales as discussed above.</w:t>
      </w:r>
    </w:p>
    <w:p>
      <w:pPr>
        <w:spacing w:after="0" w:line="2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General Corporate Expense and Other Business Operations, Net</w:t>
      </w:r>
    </w:p>
    <w:p>
      <w:pPr>
        <w:spacing w:after="0" w:line="92"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8"/>
          <w:szCs w:val="18"/>
          <w:color w:val="auto"/>
        </w:rPr>
        <w:t>The increase in general corporate expense and other business operations, net, primarily relates to expenses associated with the induced conversion of 5.5% convertible debentures and the modification of the Secured Term Loan during 2011.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Provision For Income Taxes</w:t>
      </w:r>
    </w:p>
    <w:p>
      <w:pPr>
        <w:spacing w:after="0" w:line="9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The provision for income taxes for 2011 was $46.2 million compared to $19.8 million for 2010. The resulting effective tax rate for 2011 was 36% compared to 40% for 2010. As previously reported, during 2010, we determined that certain nondeductible expenses had not been properly identified relating to the 2007-2009 provisions for income taxes. As a result, we recorded an additional income tax provision of approximately $800,000 for 2010.</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Flow From Continuing Operating Activities—2012</w:t>
      </w:r>
    </w:p>
    <w:p>
      <w:pPr>
        <w:spacing w:after="0" w:line="92"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auto"/>
        </w:rPr>
        <w:t>Historically, our primary cash needs have been for operating expenses, working capital and capital expenditures. We have financed our cash requirements primarily through internally generated cash flow, secured asset financing and the sale of assets. See additional discussions concerning cash flow relating to our Chemical and Climate Control Businesses under “Overview” and “Liquidity and Capital Resources” of this MD&amp;A.</w:t>
      </w:r>
    </w:p>
    <w:p>
      <w:pPr>
        <w:spacing w:after="0" w:line="13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For 2012, net cash provided by continuing operating activities was $99.5 million primarily as the result of net income of $58.6 million plus an adjustment of $21.0 million for depreciation, depletion and amortization in addition to a net change in prepaid and accrued income taxes of $11.0 million due, in part, to the recognition of income taxes for 2012 partially offset by payments made to taxing authorities and to a net decrease in accounts receivable of $7.9 million primarily relating to the Chemical Business due, in part, to the decrease in sales as the result of the downtime of certain facilities as discussed above under “Overview— Downtime at Certain Chemical Facilities—2012.”</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Flow from Continuing Investing Activities—2012</w:t>
      </w:r>
    </w:p>
    <w:p>
      <w:pPr>
        <w:spacing w:after="0" w:line="92" w:lineRule="exact"/>
        <w:rPr>
          <w:sz w:val="20"/>
          <w:szCs w:val="20"/>
          <w:color w:val="auto"/>
        </w:rPr>
      </w:pPr>
    </w:p>
    <w:p>
      <w:pPr>
        <w:ind w:right="40"/>
        <w:spacing w:after="0" w:line="301" w:lineRule="auto"/>
        <w:rPr>
          <w:sz w:val="20"/>
          <w:szCs w:val="20"/>
          <w:color w:val="auto"/>
        </w:rPr>
      </w:pPr>
      <w:r>
        <w:rPr>
          <w:rFonts w:ascii="Times New Roman" w:cs="Times New Roman" w:eastAsia="Times New Roman" w:hAnsi="Times New Roman"/>
          <w:sz w:val="16"/>
          <w:szCs w:val="16"/>
          <w:color w:val="auto"/>
        </w:rPr>
        <w:t>Net cash used by continuing investing activities for 2012 was $121.7 million that consisted primarily of $92.6 million for capital expenditures of which $84.4 million and $5.1 million are for the benefit of our Chemical and Climate Control Businesses, respectively, and approximately $50.2 million for the acquisition of working interests in natural gas properties as discussed above under “Liquidity and Capital Resources – Capital Expenditures” partially offset by $11.4 million of proceeds received from property insurance recovery associated with PP&amp;E and $10.0 million of net proceeds from short-term investments.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00"/>
          </w:cols>
          <w:pgMar w:left="240" w:top="455" w:right="2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Flow from Continuing Financing Activities—2012</w:t>
      </w:r>
    </w:p>
    <w:p>
      <w:pPr>
        <w:spacing w:after="0" w:line="92"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Net cash used by continuing financing activities was $4.5 million that primarily consisted of payments on long-term debt and loans (and related costs) of $9.0 million partially offset by $3.6 million of net proceeds from short-term financing.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requires management to make estimates and assumptions that affect the reported amount of assets, liabilities, revenues and expenses, and disclosures of contingencies. For each of the last three years ended December 31, 2012, 2011, and 2010, we did not experience a material change in accounting estimates. However, it is reasonably possible that the estimates and assumptions utilized as of December 31, 2012 could change in the near term. In addition, the more critical areas of financial reporting impacted by management’s judgment, estimates and assumptions include the following:</w:t>
      </w:r>
    </w:p>
    <w:p>
      <w:pPr>
        <w:spacing w:after="0" w:line="53" w:lineRule="exact"/>
        <w:rPr>
          <w:sz w:val="20"/>
          <w:szCs w:val="20"/>
          <w:color w:val="auto"/>
        </w:rPr>
      </w:pPr>
    </w:p>
    <w:p>
      <w:pPr>
        <w:ind w:right="16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Business Combinations </w:t>
      </w:r>
      <w:r>
        <w:rPr>
          <w:rFonts w:ascii="Times New Roman" w:cs="Times New Roman" w:eastAsia="Times New Roman" w:hAnsi="Times New Roman"/>
          <w:sz w:val="18"/>
          <w:szCs w:val="18"/>
          <w:color w:val="auto"/>
        </w:rPr>
        <w:t>– We account for an acquired business using the acquisition method of accounting, which requires that the assets acquired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assumed be recorded at the date of acquisition at their respective fair values. If applicable, any excess of the purchase price over the estimated fair values of the net assets acquired is recorded as goodwill. Acquisition-related costs are recognized separately from the business combination and are expensed as incurred.</w:t>
      </w:r>
    </w:p>
    <w:p>
      <w:pPr>
        <w:spacing w:after="0" w:line="133"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Accounts Receivable and Credit Risk </w:t>
      </w:r>
      <w:r>
        <w:rPr>
          <w:rFonts w:ascii="Times New Roman" w:cs="Times New Roman" w:eastAsia="Times New Roman" w:hAnsi="Times New Roman"/>
          <w:sz w:val="18"/>
          <w:szCs w:val="18"/>
          <w:color w:val="auto"/>
        </w:rPr>
        <w:t>– Our accounts receivable are stated at net realizable value. This value includes an appropriate allowance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estimated uncollectible accounts to reflect any loss anticipated on accounts receivable balances. Our estimate is based on historical experience and periodic assessment of outstanding accounts receivable, particularly those accounts that are past due (based upon the terms of the sale). Our periodic assessment of our accounts receivable is based on our best estimate of amounts that are not recoverable. In addition, our sales to contractors and independent sales representatives are generally subject to a mechanic’s lien or bond protection in the Climate Control Business. Sales to other customers are generally unsecured. Credit is extended to customers based on an evaluation of the customer’s financial condition and other factors. Concentrations of credit risk with respect to trade receivables are monitored and this risk is reduced due to the large number of customers comprising our customer bases and their dispersion across many different industries and geographic areas (primarily as it relates to the Climate Control Business) and payment terms of 15 days or less relating to most of our significant customers in the Chemical Business. Twelve customers (including their affiliates), primarily relating to the Chemical Business, account for approximately 36% of our total net receivables at December 31, 2012. We do not believe this concentration in these twelve customers represents a significant credit risk due to the financial stability of these customers. At December 31, 2012 and 2011, our allowance for doubtful accounts of $636,000 and $955,000, respectively, were netted against our accounts receivable. For 2012, 2011, and 2010, our provision for (recovery of) losses on accounts receivable was $(214,000), $347,000, and $145,000, respectively.</w:t>
      </w:r>
    </w:p>
    <w:p>
      <w:pPr>
        <w:spacing w:after="0" w:line="146"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Inventories </w:t>
      </w:r>
      <w:r>
        <w:rPr>
          <w:rFonts w:ascii="Times New Roman" w:cs="Times New Roman" w:eastAsia="Times New Roman" w:hAnsi="Times New Roman"/>
          <w:sz w:val="18"/>
          <w:szCs w:val="18"/>
          <w:color w:val="auto"/>
        </w:rPr>
        <w:t>– Inventories are stated at the lower of cost (determined using the first-in, first-out (“FIFO”) basis) or market (net realizable value). Finished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goods and work-in-process inventories include material, labor, and manufacturing overhead costs. Additionally, we review inventories and record inventory reserves for slow-moving inventory items. At December 31, 2012 and 2011, the carrying value of certain nitrogen-based inventories produced by our Chemical Business was reduced to market because cost exceeded the net realizable value by $975,000 and $16,000, respectively. In addition, the carrying value of certain slow-moving inventory items (Climate Control products) was reduced to market because cost exceeded the net realizable value by $1,818,000 and $1,767,000 at December 31, 2012 and 2011, respectively. For 2012, 2011, and 2010, our provision for losses on inventory was $1,140,000, $590,000, and $184,000, respectively.</w:t>
      </w:r>
    </w:p>
    <w:p>
      <w:pPr>
        <w:spacing w:after="0" w:line="135" w:lineRule="exact"/>
        <w:rPr>
          <w:sz w:val="20"/>
          <w:szCs w:val="20"/>
          <w:color w:val="auto"/>
        </w:rPr>
      </w:pPr>
    </w:p>
    <w:p>
      <w:pPr>
        <w:ind w:right="100" w:firstLine="456"/>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Precious Metals </w:t>
      </w:r>
      <w:r>
        <w:rPr>
          <w:rFonts w:ascii="Times New Roman" w:cs="Times New Roman" w:eastAsia="Times New Roman" w:hAnsi="Times New Roman"/>
          <w:sz w:val="18"/>
          <w:szCs w:val="18"/>
          <w:color w:val="auto"/>
        </w:rPr>
        <w:t>– Precious metals are used as a catalyst in the Chemical Business manufacturing process. Precious metals are carried at cost, with cost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being determined using the FIFO basis. As of December 31, 2012 and 2011, precious metals were $13.5 million and $17.8 million, respectively, and are included in supplies, prepaid items and other in the consolidated balance sheets. Because some of the catalyst consumed in the production process cannot be readily recovered and the amount and timing of recoveries are not predictable, we follow the practice of expensing precious metals as they are consumed. Occasionally, during major maintenance or capital projects, we may be able to perform procedures to recover precious metals (previously expensed) which have accumulated over time within the manufacturing equipment. Recoveries of precious metals are recognized at historical FIFO costs. When we accumulate precious metals in excess of our production requirements, we may sell a portion of the excess metals. For 2012, 2011, and 2010, the amounts expensed for precious metals, net of recoveries and gains, were approximately $7.4 million, $1.9 million and $5.2 million, respectively. These precious metals expenses, net, are included in cost of sales.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455"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Depreciation, Depletion, Amortization and Impairment of Long-Lived Assets </w:t>
      </w:r>
      <w:r>
        <w:rPr>
          <w:rFonts w:ascii="Times New Roman" w:cs="Times New Roman" w:eastAsia="Times New Roman" w:hAnsi="Times New Roman"/>
          <w:sz w:val="18"/>
          <w:szCs w:val="18"/>
          <w:color w:val="auto"/>
        </w:rPr>
        <w:t>– For financial reporting purposes, depreciation of the costs of PP&amp;E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computed using the straight-line method over the estimated useful lives of the assets. Depreciation, depletion and amortization (“DD&amp;A”) of the costs of producing natural gas properties are computed using the units of production method primarily on a field-by-field basis using proved or proved developed reserves, as applicable, as estimated by our independent consulting petroleum engineer. No provision for depreciation is made on construction in progress or capital spare parts until such time as the relevant assets are put into service. No provision for DD&amp;A is made on nonproducing leasehold costs and exploratory wells in progress until such time as the relevant assets relate to proven reserves.</w:t>
      </w:r>
    </w:p>
    <w:p>
      <w:pPr>
        <w:spacing w:after="0" w:line="14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natural gas reserves are based on estimates and assumptions, which affect our DD&amp;A calculations. Our independent consulting petroleum engineer, with our assistance, prepares estimates of natural gas reserves based on available relevant data and information. For DD&amp;A purposes, and as required by the guidelines and definitions established by the SEC, the reserve estimates are based on average natural gas prices during the previous 12-month period, determined as an unweighted arithmetic average of the first-day-of-the-month price for each month.</w:t>
      </w:r>
    </w:p>
    <w:p>
      <w:pPr>
        <w:spacing w:after="0" w:line="136" w:lineRule="exact"/>
        <w:rPr>
          <w:sz w:val="20"/>
          <w:szCs w:val="20"/>
          <w:color w:val="auto"/>
        </w:rPr>
      </w:pPr>
    </w:p>
    <w:p>
      <w:pPr>
        <w:ind w:right="180"/>
        <w:spacing w:after="0" w:line="293" w:lineRule="auto"/>
        <w:rPr>
          <w:sz w:val="20"/>
          <w:szCs w:val="20"/>
          <w:color w:val="auto"/>
        </w:rPr>
      </w:pPr>
      <w:r>
        <w:rPr>
          <w:rFonts w:ascii="Times New Roman" w:cs="Times New Roman" w:eastAsia="Times New Roman" w:hAnsi="Times New Roman"/>
          <w:sz w:val="16"/>
          <w:szCs w:val="16"/>
          <w:color w:val="auto"/>
        </w:rPr>
        <w:t>Long-lived assets are reviewed for impairment whenever events or changes in circumstances indicate that the carrying amount of an asset (asset group) may not be recoverable. An impairment loss would be recognized when the carrying amount of an asset (asset group) exceeds the estimated undiscounted future cash flows expected to result from the use of the asset (asset group) and its eventual disposition. If assets to be held and used are considered to be impaired, the impairment to be recognized is the amount by which the carrying amounts of the assets exceed the fair values of the assets as measured by the present value of future net cash flows expected to be generated by the assets or their appraised value. As it relates to natural gas properties, proven natural gas properties are reviewed for impairment on a field-by-field basis and nonproducing leasehold costs are reviewed for impairment on a property-by-property basis.</w:t>
      </w:r>
    </w:p>
    <w:p>
      <w:pPr>
        <w:spacing w:after="0" w:line="111" w:lineRule="exact"/>
        <w:rPr>
          <w:sz w:val="20"/>
          <w:szCs w:val="20"/>
          <w:color w:val="auto"/>
        </w:rPr>
      </w:pPr>
    </w:p>
    <w:p>
      <w:pPr>
        <w:ind w:right="160"/>
        <w:spacing w:after="0" w:line="339" w:lineRule="auto"/>
        <w:rPr>
          <w:sz w:val="20"/>
          <w:szCs w:val="20"/>
          <w:color w:val="auto"/>
        </w:rPr>
      </w:pPr>
      <w:r>
        <w:rPr>
          <w:rFonts w:ascii="Times New Roman" w:cs="Times New Roman" w:eastAsia="Times New Roman" w:hAnsi="Times New Roman"/>
          <w:sz w:val="16"/>
          <w:szCs w:val="16"/>
          <w:color w:val="auto"/>
        </w:rPr>
        <w:t>At December 31, 2012 and 2011, our accumulated DD&amp;A of PP&amp;E was $143.3 million and $161.6 million, respectively. For 2012, 2011, and 2010, our DD&amp;A of PP&amp;E was $20.7 million, $18.8 million, and $17.3 million, respectively. No impairments of long-lived assets were incurred in 2012, 2011 or 2010.</w:t>
      </w:r>
    </w:p>
    <w:p>
      <w:pPr>
        <w:spacing w:after="0" w:line="72"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b w:val="1"/>
          <w:bCs w:val="1"/>
          <w:color w:val="auto"/>
        </w:rPr>
        <w:t>Accrued Insurance Liabilities—</w:t>
      </w:r>
      <w:r>
        <w:rPr>
          <w:rFonts w:ascii="Times New Roman" w:cs="Times New Roman" w:eastAsia="Times New Roman" w:hAnsi="Times New Roman"/>
          <w:sz w:val="18"/>
          <w:szCs w:val="18"/>
          <w:color w:val="auto"/>
        </w:rPr>
        <w:t>We are self-insured up to certain limits for group health, workers’ compensation and general liability claims. Above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limits, we have commercial stop-loss insurance coverage for our contractual exposure on group health claims and statutory limits under workers’ compensation obligations. We also carry umbrella insurance of $100 million for most general liability and auto liability risks. We have a separate $50 million insurance policy covering pollution liability at our Chemical Business facilities. Additional pollution liability coverage for our other facilities is provided in our general liability and umbrella policies. As it relates to our natural gas properties within our Chemical Business that we do not operate but only own a working interest, insurance policies are maintained by the operator, which we are responsible for our proportionate share of the costs involved. Our accrued self-insurance liabilities are based on estimates of claims, which include the reported incurred claims amounts plus the reserves established by our insurance adjustors and/or estimates provided by attorneys handling the claims, if any, up to the amount of our self-insurance limits. In addition, our accrued insurance liabilities include estimates of incurred, but not reported, claims based on historical claims experience. The determination of such claims and the appropriateness of the related liability is periodically reviewed and revised, if needed. Changes in these estimated liabilities are charged to operations. Potential legal fees and other directly related costs associated with insurance claims are not accrued but rather are expensed as incurred. At December 31, 2012 and 2011, our accrued group health and workers’ compensation insurance claims were $2,175,000 and $2,535,000, respectively, and our accrued general liability insurance claims were $628,000 and $739,000 respectively. These accrued insurance claims are included in accrued and other liabilities. It is reasonably possible that the actual development of claims could be different than our estimates.</w:t>
      </w:r>
    </w:p>
    <w:p>
      <w:pPr>
        <w:spacing w:after="0" w:line="145" w:lineRule="exact"/>
        <w:rPr>
          <w:sz w:val="20"/>
          <w:szCs w:val="20"/>
          <w:color w:val="auto"/>
        </w:rPr>
      </w:pPr>
    </w:p>
    <w:p>
      <w:pPr>
        <w:ind w:right="16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Accrued Warranty Costs </w:t>
      </w:r>
      <w:r>
        <w:rPr>
          <w:rFonts w:ascii="Times New Roman" w:cs="Times New Roman" w:eastAsia="Times New Roman" w:hAnsi="Times New Roman"/>
          <w:sz w:val="18"/>
          <w:szCs w:val="18"/>
          <w:color w:val="auto"/>
        </w:rPr>
        <w:t>– Our Climate Control Business sells equipment that has an expected life, under normal circumstances and use, which extends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 several years. As such, we provide warranties after equipment shipment/start up covering defects in materials and workmanship.</w:t>
      </w:r>
    </w:p>
    <w:p>
      <w:pPr>
        <w:spacing w:after="0" w:line="11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accounting policy and methodology for warranty arrangements is to measure and recognize the expense and liability for such warranty obligations at the time of sale using a percentage of sales and cost per unit of equipment, based upon our historical and estimated future warranty costs. We also recognize the additional warranty expense and liability to cover atypical costs associated with a specific product, or component thereof, or project installation, when such costs are probable and reasonably estimable. It is reasonably possible that our estimated accrued warranty costs could change in the near term.</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Generally for commercial/institutional products, the base warranty coverage for most of the manufactured equipment in the Climate Control Business is limited to eighteen months from the date of shipment or twelve months from the date of start up, whichever is shorter, and to ninety days for spare parts. For residential products, the base warranty coverage for manufactured equipment in the Climate Control Business is limited to ten years from the date of shipment for material and to five years from the date of shipment for labor associated with the repair. The warranty provides that most equipment is required to be returned to the factory or an authorized representative and the warranty is limited to the repair and replacement of the defective product, with a maximum warranty of the refund of the purchase price. Furthermore, companies within the Climate Control Business generally disclaim and exclude warranties related to merchantability or fitness for any particular purpose and disclaim and exclude any liability for consequential or incidental damages. In some cases, the customer may purchase or a specific product may be sold with an extended warranty. The above discussion is generally applicable to such extended warranties, but variations do occur depending upon specific contractual obligations, certain system components, and local laws.</w:t>
      </w:r>
    </w:p>
    <w:p>
      <w:pPr>
        <w:spacing w:after="0" w:line="143"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auto"/>
        </w:rPr>
        <w:t>At December 31, 2012 and 2011, our accrued product warranty obligations were $6.2 million and $5.4 million, respectively and are included in current and noncurrent accrued and other liabilities in the consolidated balance sheets. For 2012, 2011, and 2010, our warranty expense was $6.7 million, $6.5 million, and $4.5 million, respectively.</w:t>
      </w:r>
    </w:p>
    <w:p>
      <w:pPr>
        <w:spacing w:after="0" w:line="130"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Executive Benefit Agreements </w:t>
      </w:r>
      <w:r>
        <w:rPr>
          <w:rFonts w:ascii="Times New Roman" w:cs="Times New Roman" w:eastAsia="Times New Roman" w:hAnsi="Times New Roman"/>
          <w:sz w:val="18"/>
          <w:szCs w:val="18"/>
          <w:color w:val="auto"/>
        </w:rPr>
        <w:t>– We have entered into benefit agreements with certain key executives. Costs associated with these individual benefit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are accrued based on the estimated remaining service period when such benefits become probable they will be paid. Total costs accrued equal the present value of specified payments to be made after benefits become payable. In 1992, we entered into individual benefit agreements with certain key executives (“1992 Agreements”) that provide for annual benefit payments for life (in addition to salary). The liability for these benefits under the 1992 Agreements is $1.4 million and $1.3 million as of December 31, 2012 and 2011, respectively, and is included in current and noncurrent accrued and other liabilities in the consolidated balance sheets.</w:t>
      </w:r>
    </w:p>
    <w:p>
      <w:pPr>
        <w:spacing w:after="0" w:line="141" w:lineRule="exact"/>
        <w:rPr>
          <w:sz w:val="20"/>
          <w:szCs w:val="20"/>
          <w:color w:val="auto"/>
        </w:rPr>
      </w:pPr>
    </w:p>
    <w:p>
      <w:pPr>
        <w:jc w:val="both"/>
        <w:ind w:right="160"/>
        <w:spacing w:after="0" w:line="301" w:lineRule="auto"/>
        <w:rPr>
          <w:sz w:val="20"/>
          <w:szCs w:val="20"/>
          <w:color w:val="auto"/>
        </w:rPr>
      </w:pPr>
      <w:r>
        <w:rPr>
          <w:rFonts w:ascii="Times New Roman" w:cs="Times New Roman" w:eastAsia="Times New Roman" w:hAnsi="Times New Roman"/>
          <w:sz w:val="16"/>
          <w:szCs w:val="16"/>
          <w:color w:val="auto"/>
        </w:rPr>
        <w:t>In 1981, we entered into individual death benefit agreements with certain key executives. In addition, as part of the 1992 Agreements, should the executive die prior to attaining the age of 65, we will pay the beneficiary named in the agreement in 120 equal monthly installments aggregating to an amount specified in the agreement. In 2005, we entered into a death benefit agreement with our CEO. As of December 31, 2012 and 2011, the liability for death benefits is $4.2 million and $4.0 million, respectively, which is included in current and noncurrent accrued and noncurrent liabilities in the consolidated balance sheets.</w:t>
      </w:r>
    </w:p>
    <w:p>
      <w:pPr>
        <w:spacing w:after="0" w:line="101" w:lineRule="exact"/>
        <w:rPr>
          <w:sz w:val="20"/>
          <w:szCs w:val="20"/>
          <w:color w:val="auto"/>
        </w:rPr>
      </w:pPr>
    </w:p>
    <w:p>
      <w:pPr>
        <w:ind w:right="180" w:firstLine="456"/>
        <w:spacing w:after="0" w:line="297" w:lineRule="auto"/>
        <w:rPr>
          <w:sz w:val="20"/>
          <w:szCs w:val="20"/>
          <w:color w:val="auto"/>
        </w:rPr>
      </w:pPr>
      <w:r>
        <w:rPr>
          <w:rFonts w:ascii="Times New Roman" w:cs="Times New Roman" w:eastAsia="Times New Roman" w:hAnsi="Times New Roman"/>
          <w:sz w:val="16"/>
          <w:szCs w:val="16"/>
          <w:b w:val="1"/>
          <w:bCs w:val="1"/>
          <w:color w:val="auto"/>
        </w:rPr>
        <w:t xml:space="preserve">Income Taxes </w:t>
      </w:r>
      <w:r>
        <w:rPr>
          <w:rFonts w:ascii="Times New Roman" w:cs="Times New Roman" w:eastAsia="Times New Roman" w:hAnsi="Times New Roman"/>
          <w:sz w:val="16"/>
          <w:szCs w:val="16"/>
          <w:color w:val="auto"/>
        </w:rPr>
        <w:t>– We recognize deferred tax assets and liabilities for the expected future tax consequences attributable to net operating loss carryforwards,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tax credit carryforwards, and differences between the financial statement carrying amounts and the tax basis of our assets and liabilities. We establish valuation allowances if we believe it is more-likely-than-not that some or all of deferred tax assets will not be realized.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0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we do not recognize a tax benefit unless we conclude that it is more-likely-than-not that the benefit will be sustained on audit by the taxing authority based solely on the technical merits of the associated tax position. If the recognition threshold is met, we recognize a tax benefit measured at the largest amount of the tax benefit that, in our judgment, is greater than 50% likely to be realized. We record interest related to unrecognized tax positions in interest expense and penalties in operating other expense.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reduce income tax expense for investment tax credits in the year the credit arises and is earned.</w:t>
      </w:r>
    </w:p>
    <w:p>
      <w:pPr>
        <w:spacing w:after="0" w:line="169" w:lineRule="exact"/>
        <w:rPr>
          <w:sz w:val="20"/>
          <w:szCs w:val="20"/>
          <w:color w:val="auto"/>
        </w:rPr>
      </w:pPr>
    </w:p>
    <w:p>
      <w:pPr>
        <w:ind w:right="40" w:firstLine="456"/>
        <w:spacing w:after="0" w:line="289" w:lineRule="auto"/>
        <w:rPr>
          <w:sz w:val="20"/>
          <w:szCs w:val="20"/>
          <w:color w:val="auto"/>
        </w:rPr>
      </w:pPr>
      <w:r>
        <w:rPr>
          <w:rFonts w:ascii="Times New Roman" w:cs="Times New Roman" w:eastAsia="Times New Roman" w:hAnsi="Times New Roman"/>
          <w:sz w:val="16"/>
          <w:szCs w:val="16"/>
          <w:b w:val="1"/>
          <w:bCs w:val="1"/>
          <w:color w:val="auto"/>
        </w:rPr>
        <w:t xml:space="preserve">Contingencies </w:t>
      </w:r>
      <w:r>
        <w:rPr>
          <w:rFonts w:ascii="Times New Roman" w:cs="Times New Roman" w:eastAsia="Times New Roman" w:hAnsi="Times New Roman"/>
          <w:sz w:val="16"/>
          <w:szCs w:val="16"/>
          <w:color w:val="auto"/>
        </w:rPr>
        <w:t>– Certain conditions may exist which may result in a loss, but which will only be resolved when future events occur. We and our legal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counsel assess such contingent liabilities, and such assessment inherently involves an exercise of judgment. If the assessment of a contingency indicates that it is probable that a loss has been incurred, we would accrue for such contingent losses when such losses can be reasonably estimated. If the assessment indicates that a potentially material loss contingency is not probable but reasonably possible, or is probable but cannot be estimated, the nature of the contingent liability, together with an estimate of the range of possible loss if determinable and material, would be disclosed. Estimates of potential legal fees and other directly related costs associated with contingencies are not accrued but rather are expensed as incurred. Loss contingency liabilities are included in current and noncurrent accrued and other liabilities and are based on current estimates that may be revised in the near term. In addition, we recognize contingent gains when such gains are realized or realizable and earned. We are a party to various litigation and other contingencies, the ultimate outcome of which is not presently known. Should the ultimate outcome of these contingencies be adverse, such outcome could create an event of default under ThermaClime’s Working Capital Revolver Loan and the Secured Term Loan and could adversely impact our liquidity, capital resources and results of operations.</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Regulatory Compliance </w:t>
      </w:r>
      <w:r>
        <w:rPr>
          <w:rFonts w:ascii="Times New Roman" w:cs="Times New Roman" w:eastAsia="Times New Roman" w:hAnsi="Times New Roman"/>
          <w:sz w:val="18"/>
          <w:szCs w:val="18"/>
          <w:color w:val="auto"/>
        </w:rPr>
        <w:t>– Our Chemical Business is subject to specific federal and state regulatory compliance laws and guidelines. We have developed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policies and procedures related to regulatory compliance. We must continually monitor whether we have maintained compliance with such laws and regulations and the operating implications, if any, and amount of penalties, fines and assessments that may result from noncompliance. We will also be obligated to manage certain discharge water outlets and monitor groundwater contaminants at our Chemical Business facilities should we discontinue the operations of a facility. At December 31, 2012, liabilities totaling $273,000 have been accrued relating to an estimated civil penalty associated with the Clean Air Act involving certain nitric acid plants within our chemical facilities and to remediation and surface and groundwater monitoring costs associated with our former Kansas facility. This liability is included in current accrued and other liabilities and is based on current estimates that may be revised in the near term.</w:t>
      </w:r>
    </w:p>
    <w:p>
      <w:pPr>
        <w:spacing w:after="0" w:line="13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Assets Retirement Obligations </w:t>
      </w:r>
      <w:r>
        <w:rPr>
          <w:rFonts w:ascii="Times New Roman" w:cs="Times New Roman" w:eastAsia="Times New Roman" w:hAnsi="Times New Roman"/>
          <w:sz w:val="18"/>
          <w:szCs w:val="18"/>
          <w:color w:val="auto"/>
        </w:rPr>
        <w:t>– In general, we record the estimated fair value of an asset retirement obligation (“ARO”) associated with tangible long-lived assets in the period it is incurred and when there is sufficient information available to estimate the fair value. An ARO associated with long-lived assets is an obligation for which there is a legal obligation to settle under existing or enacted law, statute, written or oral contract or legal construction. AROs, which are initially recorded based on estimated discounted cash flows, are accreted to full value over time through charges to cost of sales. In addition, we capitalize the corresponding asset retirement cost as PP&amp;E, which cost is depreciated or depleted over the related asset’s respective useful life. We do not have any assets restricted for the purpose of settling our AROs.</w:t>
      </w:r>
    </w:p>
    <w:p>
      <w:pPr>
        <w:spacing w:after="0" w:line="14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Currently, we have an obligation to plug and abandon a waste water injection well at one of our Chemical Business facilities when the permit expires. We are also contractually obligated through at least December 2053 to pay a portion of the operating costs of a municipally owned wastewater pipeline currently being constructed, which will serve the El Dorado Facility. Additionally, we have certain facilities in our Chemical Business that contain asbestos insulation around certain piping and heated surfaces, which we plan to maintain or replace, as needed, with non-asbestos insulation through our standard repair and maintenance activities to prevent deterioration. Currently, there is insufficient information to estimate the fair value for most of our AROs. In addition, we currently have no plans to discontinue the use of these facilities and the remaining life of the facilities is indeterminable. As a result, a liability for only a minimal amount relating to AROs associated with these facilities has been established. However, we will continue to review these obligations and record a liability when a reasonable estimate of the fair value can be made.</w:t>
      </w:r>
    </w:p>
    <w:p>
      <w:pPr>
        <w:spacing w:after="0" w:line="138" w:lineRule="exact"/>
        <w:rPr>
          <w:sz w:val="20"/>
          <w:szCs w:val="20"/>
          <w:color w:val="auto"/>
        </w:rPr>
      </w:pPr>
    </w:p>
    <w:p>
      <w:pPr>
        <w:jc w:val="both"/>
        <w:ind w:right="340"/>
        <w:spacing w:after="0" w:line="262" w:lineRule="auto"/>
        <w:rPr>
          <w:sz w:val="20"/>
          <w:szCs w:val="20"/>
          <w:color w:val="auto"/>
        </w:rPr>
      </w:pPr>
      <w:r>
        <w:rPr>
          <w:rFonts w:ascii="Times New Roman" w:cs="Times New Roman" w:eastAsia="Times New Roman" w:hAnsi="Times New Roman"/>
          <w:sz w:val="18"/>
          <w:szCs w:val="18"/>
          <w:color w:val="auto"/>
        </w:rPr>
        <w:t>As discussed above under “Liquidity and Capital Resources – Capital Expenditures”, our Chemical Business acquired working interests in certain natural gas properties. As a result of this acquisition, we recognized AROs associated with the obligation to plug and abandon wells when the natural gas reserves in the wells are depleted. At December 31, 2012 and 2011, our accrued liability for AROs was $154,000 and $75,000, respectively.</w:t>
      </w:r>
    </w:p>
    <w:p>
      <w:pPr>
        <w:spacing w:after="0" w:line="130"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 We recognize revenue for substantially all of our operations at the time title to the goods transfers to the buyer and there remain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significant future performance obligations by us. Revenue relating to construction contracts is recognized using the percentage-of-completion method based primarily on contract costs incurred to date compared with total estimated contract costs. Changes to total estimated contract costs or losses, if any, are recognized in the period in which they are determined. Sales of warranty contracts are recognized as revenue ratably over the life of the contract. See discussion above under “Accrued Warranty Costs” for our accounting policy for recognizing warranty expense.</w:t>
      </w:r>
    </w:p>
    <w:p>
      <w:pPr>
        <w:spacing w:after="0" w:line="134" w:lineRule="exact"/>
        <w:rPr>
          <w:sz w:val="20"/>
          <w:szCs w:val="20"/>
          <w:color w:val="auto"/>
        </w:rPr>
      </w:pPr>
    </w:p>
    <w:p>
      <w:pPr>
        <w:ind w:right="80" w:firstLine="456"/>
        <w:spacing w:after="0" w:line="312" w:lineRule="auto"/>
        <w:rPr>
          <w:sz w:val="20"/>
          <w:szCs w:val="20"/>
          <w:color w:val="auto"/>
        </w:rPr>
      </w:pPr>
      <w:r>
        <w:rPr>
          <w:rFonts w:ascii="Times New Roman" w:cs="Times New Roman" w:eastAsia="Times New Roman" w:hAnsi="Times New Roman"/>
          <w:sz w:val="16"/>
          <w:szCs w:val="16"/>
          <w:b w:val="1"/>
          <w:bCs w:val="1"/>
          <w:color w:val="auto"/>
        </w:rPr>
        <w:t xml:space="preserve">Recognition of Insurance Recoveries </w:t>
      </w:r>
      <w:r>
        <w:rPr>
          <w:rFonts w:ascii="Times New Roman" w:cs="Times New Roman" w:eastAsia="Times New Roman" w:hAnsi="Times New Roman"/>
          <w:sz w:val="16"/>
          <w:szCs w:val="16"/>
          <w:color w:val="auto"/>
        </w:rPr>
        <w:t>– If an insurance claim relates to a recovery of our losses, we recognize the recovery when it is probable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reasonably estimable. If our insurance claim relates to a contingent gain, we recognize the recovery when it is realized or realizable and earned. At December 31, 2012, the balance of the insurance claim receivable was $10.1 million as discussed above under “Overview – Downtime at Certain Chemical Facilities – 2012”.</w:t>
      </w:r>
    </w:p>
    <w:p>
      <w:pPr>
        <w:spacing w:after="0" w:line="95"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Management’s judgment and estimates in the above areas are based on information available from internal and external resources at that time. Actual results could differ materially from these estimates and judgments, as additional information becomes known.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Performance and Payment Bonds</w:t>
      </w:r>
    </w:p>
    <w:p>
      <w:pPr>
        <w:spacing w:after="0" w:line="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are contingently liable to sureties in respect of insurance bonds issued by the sureties in connection with certain contracts entered into by subsidiaries in the normal course of business. These insurance bonds primarily represent guarantees of future performance of our subsidiaries. As of December 31, 2012, we have agreed to indemnify the sureties for payments, up to $12.7 million, made by them in respect of such bonds. All of these insurance bonds are expected to expire or be renewed in 2013.</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Off-Balance Sheet Arrangements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off-balance sheet arrangements as defined in Item 303(a)(4)(ii) of Regulation S-K under the Securities Exchange Act of 1934.</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45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Aggregate Contractual Obligations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aggregate contractual obligations as of December 31, 2012 are summarized in the following table (1) (2):</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Contractual Obligations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10"/>
          </w:tcPr>
          <w:p>
            <w:pPr>
              <w:ind w:left="60"/>
              <w:spacing w:after="0"/>
              <w:rPr>
                <w:sz w:val="20"/>
                <w:szCs w:val="20"/>
                <w:color w:val="auto"/>
              </w:rPr>
            </w:pPr>
            <w:r>
              <w:rPr>
                <w:rFonts w:ascii="Times New Roman" w:cs="Times New Roman" w:eastAsia="Times New Roman" w:hAnsi="Times New Roman"/>
                <w:sz w:val="14"/>
                <w:szCs w:val="14"/>
                <w:color w:val="auto"/>
                <w:w w:val="99"/>
              </w:rPr>
              <w:t>Payments Due in the Year Ending December 31,</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0" w:type="dxa"/>
            <w:vAlign w:val="bottom"/>
          </w:tcPr>
          <w:p>
            <w:pPr>
              <w:spacing w:after="0"/>
              <w:rPr>
                <w:sz w:val="1"/>
                <w:szCs w:val="1"/>
                <w:color w:val="auto"/>
              </w:rPr>
            </w:pPr>
          </w:p>
        </w:tc>
      </w:tr>
      <w:tr>
        <w:trPr>
          <w:trHeight w:val="136"/>
        </w:trPr>
        <w:tc>
          <w:tcPr>
            <w:tcW w:w="53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13"/>
              <w:spacing w:after="0" w:line="129" w:lineRule="exact"/>
              <w:rPr>
                <w:sz w:val="20"/>
                <w:szCs w:val="20"/>
                <w:color w:val="auto"/>
              </w:rPr>
            </w:pPr>
            <w:r>
              <w:rPr>
                <w:rFonts w:ascii="Times New Roman" w:cs="Times New Roman" w:eastAsia="Times New Roman" w:hAnsi="Times New Roman"/>
                <w:sz w:val="14"/>
                <w:szCs w:val="14"/>
                <w:color w:val="auto"/>
              </w:rPr>
              <w:t>2013</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ind w:right="73"/>
              <w:spacing w:after="0" w:line="129" w:lineRule="exact"/>
              <w:rPr>
                <w:sz w:val="20"/>
                <w:szCs w:val="20"/>
                <w:color w:val="auto"/>
              </w:rPr>
            </w:pPr>
            <w:r>
              <w:rPr>
                <w:rFonts w:ascii="Times New Roman" w:cs="Times New Roman" w:eastAsia="Times New Roman" w:hAnsi="Times New Roman"/>
                <w:sz w:val="14"/>
                <w:szCs w:val="14"/>
                <w:color w:val="auto"/>
              </w:rPr>
              <w:t>2014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ind w:right="73"/>
              <w:spacing w:after="0" w:line="129" w:lineRule="exact"/>
              <w:rPr>
                <w:sz w:val="20"/>
                <w:szCs w:val="20"/>
                <w:color w:val="auto"/>
              </w:rPr>
            </w:pPr>
            <w:r>
              <w:rPr>
                <w:rFonts w:ascii="Times New Roman" w:cs="Times New Roman" w:eastAsia="Times New Roman" w:hAnsi="Times New Roman"/>
                <w:sz w:val="14"/>
                <w:szCs w:val="14"/>
                <w:color w:val="auto"/>
              </w:rPr>
              <w:t>2015</w:t>
            </w:r>
          </w:p>
        </w:tc>
        <w:tc>
          <w:tcPr>
            <w:tcW w:w="140" w:type="dxa"/>
            <w:vAlign w:val="bottom"/>
          </w:tcPr>
          <w:p>
            <w:pPr>
              <w:spacing w:after="0"/>
              <w:rPr>
                <w:sz w:val="11"/>
                <w:szCs w:val="11"/>
                <w:color w:val="auto"/>
              </w:rPr>
            </w:pPr>
          </w:p>
        </w:tc>
        <w:tc>
          <w:tcPr>
            <w:tcW w:w="740" w:type="dxa"/>
            <w:vAlign w:val="bottom"/>
            <w:gridSpan w:val="2"/>
          </w:tcPr>
          <w:p>
            <w:pPr>
              <w:jc w:val="right"/>
              <w:ind w:right="72"/>
              <w:spacing w:after="0" w:line="129" w:lineRule="exact"/>
              <w:rPr>
                <w:sz w:val="20"/>
                <w:szCs w:val="20"/>
                <w:color w:val="auto"/>
              </w:rPr>
            </w:pPr>
            <w:r>
              <w:rPr>
                <w:rFonts w:ascii="Times New Roman" w:cs="Times New Roman" w:eastAsia="Times New Roman" w:hAnsi="Times New Roman"/>
                <w:sz w:val="14"/>
                <w:szCs w:val="14"/>
                <w:color w:val="auto"/>
              </w:rPr>
              <w:t>2016</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2017</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3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4"/>
          </w:tcPr>
          <w:p>
            <w:pPr>
              <w:ind w:left="40"/>
              <w:spacing w:after="0" w:line="149" w:lineRule="exact"/>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Secured Term Loan</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68,438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3,750</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$57,188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Capital leases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624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72,441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624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payments on long-term debt (3)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8,882</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2,491</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637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contracts (4)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512</w:t>
            </w: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expenditures (5)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77,668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70,668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Nitric acid plants project (6)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120,000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74,000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46,000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Wastewater pipeline project (7)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1,698</w:t>
            </w: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Firm purchase commitments and futures/forward contracts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obligations—carbon credits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contractual manufacturing, profit sharing and other obligations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4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Other contractual obligations included in noncurrent accrued and other</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liabilities (8)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w:t>
            </w: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w:t>
            </w: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311,192</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164,896</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62,708</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10,489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60,527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1,107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11,465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right="200" w:hanging="452"/>
        <w:spacing w:after="0" w:line="257" w:lineRule="auto"/>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does not include amounts relating to future purchases of anhydrous ammonia by EDC pursuant to a supply agreement through December 2015. The terms of this supply agreement do not include minimum volumes or take-or-pay provisions.</w:t>
      </w:r>
    </w:p>
    <w:p>
      <w:pPr>
        <w:spacing w:after="0" w:line="1" w:lineRule="exact"/>
        <w:rPr>
          <w:rFonts w:ascii="Times New Roman" w:cs="Times New Roman" w:eastAsia="Times New Roman" w:hAnsi="Times New Roman"/>
          <w:sz w:val="18"/>
          <w:szCs w:val="18"/>
          <w:color w:val="auto"/>
        </w:rPr>
      </w:pPr>
    </w:p>
    <w:p>
      <w:pPr>
        <w:ind w:left="460" w:right="460" w:hanging="452"/>
        <w:spacing w:after="0" w:line="250" w:lineRule="auto"/>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does not include our estimated accrued warranty costs of $6.2 million at December 31, 2012 as discussed above under “Critical Accounting Policies and Estimates”.</w:t>
      </w:r>
    </w:p>
    <w:p>
      <w:pPr>
        <w:ind w:left="460" w:hanging="452"/>
        <w:spacing w:after="0"/>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interest payments relating to variable interest rate debt are based on interest rates at December 31, 2012.</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future cash flows are based on the estimated fair value of these contracts at December 31, 2012.</w:t>
      </w:r>
    </w:p>
    <w:p>
      <w:pPr>
        <w:spacing w:after="0" w:line="9" w:lineRule="exact"/>
        <w:rPr>
          <w:rFonts w:ascii="Times New Roman" w:cs="Times New Roman" w:eastAsia="Times New Roman" w:hAnsi="Times New Roman"/>
          <w:sz w:val="18"/>
          <w:szCs w:val="18"/>
          <w:color w:val="auto"/>
        </w:rPr>
      </w:pPr>
    </w:p>
    <w:p>
      <w:pPr>
        <w:ind w:left="460" w:right="280" w:hanging="452"/>
        <w:spacing w:after="0" w:line="250" w:lineRule="auto"/>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include only the estimated committed amounts (high end of range) at December 31, 2012 but exclude amounts relating to the nitric acid plants and wastewater pipeline projects.</w:t>
      </w:r>
    </w:p>
    <w:p>
      <w:pPr>
        <w:ind w:left="460" w:hanging="452"/>
        <w:spacing w:after="0"/>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are based on estimates (high end of range) at December 31, 2012.</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cash flows include capital expenditures and operating costs based on estimates at December 31, 2012.</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cash flows relating to executive and death benefits are based on estimates at December 31, 2012.</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455"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4300"/>
        <w:spacing w:after="0" w:line="345" w:lineRule="auto"/>
        <w:rPr>
          <w:sz w:val="20"/>
          <w:szCs w:val="20"/>
          <w:color w:val="auto"/>
        </w:rPr>
      </w:pPr>
      <w:r>
        <w:rPr>
          <w:rFonts w:ascii="Times New Roman" w:cs="Times New Roman" w:eastAsia="Times New Roman" w:hAnsi="Times New Roman"/>
          <w:sz w:val="18"/>
          <w:szCs w:val="18"/>
          <w:b w:val="1"/>
          <w:bCs w:val="1"/>
          <w:u w:val="single" w:color="auto"/>
          <w:color w:val="auto"/>
        </w:rPr>
        <w:t>ITEM 7A. QUANTITATIVE AND QUALITATIVE DISCLOSURES ABOUT MARKET RISK General</w:t>
      </w:r>
    </w:p>
    <w:p>
      <w:pPr>
        <w:spacing w:after="0" w:line="1"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Our results of operations and operating cash flows are impacted by changes in market prices of copper, steel, anhydrous ammonia and natural gas, changes in market currency exchange rates, and changes in market interest rates.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 Sales Commitments Risk</w:t>
      </w:r>
    </w:p>
    <w:p>
      <w:pPr>
        <w:spacing w:after="0" w:line="92"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Periodically, our Chemical and Climate Control Businesses enter into forward firm sales commitments for products to be delivered in future periods. As a result, we could be exposed to embedded losses should our product costs exceed the firm sales prices. At December 31, 2012, we had embedded losses totaling $0.2 million associated with sales commitments with firm sales prices relating to our Chemical Business.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Commodity Price Risk</w:t>
      </w:r>
    </w:p>
    <w:p>
      <w:pPr>
        <w:spacing w:after="0" w:line="9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Our Chemical Business buys substantial quantities of anhydrous ammonia and natural gas as feedstocks generally at market prices and our Climate Control Business buys substantial quantities of copper and steel for use in manufacturing processes. As part of our raw material price risk management, periodically, our Chemical Business enters into firm purchase commitments and/or futures/forward contracts for anhydrous ammonia and natural gas and our Climate Control Business enters into futures contracts for copper. Our Chemical Business has also acquired working interests in natural gas properties to serve as an economic hedge against potential higher natural gas prices for a portion of our future natural gas requirements.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2012, we had no outstanding contracts to purchase natural gas or futures/forward contracts for anhydrous ammonia and natural gas.</w:t>
      </w:r>
    </w:p>
    <w:p>
      <w:pPr>
        <w:spacing w:after="0" w:line="171" w:lineRule="exact"/>
        <w:rPr>
          <w:sz w:val="20"/>
          <w:szCs w:val="20"/>
          <w:color w:val="auto"/>
        </w:rPr>
      </w:pPr>
    </w:p>
    <w:p>
      <w:pPr>
        <w:spacing w:after="0" w:line="339" w:lineRule="auto"/>
        <w:rPr>
          <w:sz w:val="20"/>
          <w:szCs w:val="20"/>
          <w:color w:val="auto"/>
        </w:rPr>
      </w:pPr>
      <w:r>
        <w:rPr>
          <w:rFonts w:ascii="Times New Roman" w:cs="Times New Roman" w:eastAsia="Times New Roman" w:hAnsi="Times New Roman"/>
          <w:sz w:val="16"/>
          <w:szCs w:val="16"/>
          <w:color w:val="auto"/>
        </w:rPr>
        <w:t>At December 31, 2012, our futures/forward copper contracts were for 625,000 pounds of copper through May 2013 at a weighted-average cost of $3.53 per pound ($2.2 million) and a weighted-average market value of $3.66 per pound ($2.3 million), which contracts are generally accounted for on a mark-to-market basis.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 Rate Risk</w:t>
      </w:r>
    </w:p>
    <w:p>
      <w:pPr>
        <w:spacing w:after="0" w:line="92"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Our interest rate risk exposure results from our debt portfolio that is impacted by short-term rates, primarily variable-rate borrowings from commercial banks, and long-term rates, primarily fixed-rate notes, some of which prohibit prepayment or require a substantial premium payment with the prepayment.</w:t>
      </w:r>
    </w:p>
    <w:p>
      <w:pPr>
        <w:spacing w:after="0" w:line="12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part of our interest rate risk management, we periodically purchase and/or enter into various interest rate contracts. At December 31, 2012, we have an interest rate swap, which sets a fixed three-month LIBOR of 3.23% on a declining balance (from $23.8 million to $18.8 million) for the period beginning April 2012 through March 2016. This contract is a free-standing derivative and is accounted for on a mark-to-market basis. At December 31, 2012, the fair value of these contracts (unrealized loss) was $1.9 million.</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455"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339" w:lineRule="auto"/>
        <w:rPr>
          <w:sz w:val="20"/>
          <w:szCs w:val="20"/>
          <w:color w:val="auto"/>
        </w:rPr>
      </w:pPr>
      <w:r>
        <w:rPr>
          <w:rFonts w:ascii="Times New Roman" w:cs="Times New Roman" w:eastAsia="Times New Roman" w:hAnsi="Times New Roman"/>
          <w:sz w:val="16"/>
          <w:szCs w:val="16"/>
          <w:color w:val="auto"/>
        </w:rPr>
        <w:t>The following table presents principal amounts and related weighted-average interest rates by maturity date for our interest rate sensitive debt agreements and the estimated future cash flows and related estimated weighted-average receive rate for our interest rate sensitive interest rate swaps as of December 31, 2012:</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jc w:val="center"/>
              <w:ind w:right="355"/>
              <w:spacing w:after="0"/>
              <w:rPr>
                <w:sz w:val="20"/>
                <w:szCs w:val="20"/>
                <w:color w:val="auto"/>
              </w:rPr>
            </w:pPr>
            <w:r>
              <w:rPr>
                <w:rFonts w:ascii="Times New Roman" w:cs="Times New Roman" w:eastAsia="Times New Roman" w:hAnsi="Times New Roman"/>
                <w:sz w:val="14"/>
                <w:szCs w:val="14"/>
                <w:b w:val="1"/>
                <w:bCs w:val="1"/>
                <w:color w:val="auto"/>
                <w:w w:val="96"/>
              </w:rPr>
              <w:t>Years ending December 31,</w:t>
            </w:r>
          </w:p>
        </w:tc>
        <w:tc>
          <w:tcPr>
            <w:tcW w:w="5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2013</w:t>
            </w:r>
          </w:p>
        </w:tc>
        <w:tc>
          <w:tcPr>
            <w:tcW w:w="200" w:type="dxa"/>
            <w:vAlign w:val="bottom"/>
          </w:tcPr>
          <w:p>
            <w:pPr>
              <w:spacing w:after="0"/>
              <w:rPr>
                <w:sz w:val="12"/>
                <w:szCs w:val="12"/>
                <w:color w:val="auto"/>
              </w:rPr>
            </w:pPr>
          </w:p>
        </w:tc>
        <w:tc>
          <w:tcPr>
            <w:tcW w:w="660" w:type="dxa"/>
            <w:vAlign w:val="bottom"/>
          </w:tcPr>
          <w:p>
            <w:pPr>
              <w:jc w:val="right"/>
              <w:ind w:right="298"/>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2014</w:t>
            </w:r>
          </w:p>
        </w:tc>
        <w:tc>
          <w:tcPr>
            <w:tcW w:w="200" w:type="dxa"/>
            <w:vAlign w:val="bottom"/>
          </w:tcPr>
          <w:p>
            <w:pPr>
              <w:spacing w:after="0"/>
              <w:rPr>
                <w:sz w:val="12"/>
                <w:szCs w:val="12"/>
                <w:color w:val="auto"/>
              </w:rPr>
            </w:pPr>
          </w:p>
        </w:tc>
        <w:tc>
          <w:tcPr>
            <w:tcW w:w="660" w:type="dxa"/>
            <w:vAlign w:val="bottom"/>
          </w:tcPr>
          <w:p>
            <w:pPr>
              <w:jc w:val="center"/>
              <w:ind w:right="275"/>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2015</w:t>
            </w:r>
          </w:p>
        </w:tc>
        <w:tc>
          <w:tcPr>
            <w:tcW w:w="200" w:type="dxa"/>
            <w:vAlign w:val="bottom"/>
          </w:tcPr>
          <w:p>
            <w:pPr>
              <w:spacing w:after="0"/>
              <w:rPr>
                <w:sz w:val="12"/>
                <w:szCs w:val="12"/>
                <w:color w:val="auto"/>
              </w:rPr>
            </w:pPr>
          </w:p>
        </w:tc>
        <w:tc>
          <w:tcPr>
            <w:tcW w:w="740" w:type="dxa"/>
            <w:vAlign w:val="bottom"/>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gridSpan w:val="4"/>
          </w:tcPr>
          <w:p>
            <w:pPr>
              <w:jc w:val="center"/>
              <w:ind w:left="218"/>
              <w:spacing w:after="0" w:line="142" w:lineRule="exact"/>
              <w:rPr>
                <w:sz w:val="20"/>
                <w:szCs w:val="20"/>
                <w:color w:val="auto"/>
              </w:rPr>
            </w:pPr>
            <w:r>
              <w:rPr>
                <w:rFonts w:ascii="Times New Roman" w:cs="Times New Roman" w:eastAsia="Times New Roman" w:hAnsi="Times New Roman"/>
                <w:sz w:val="14"/>
                <w:szCs w:val="14"/>
                <w:color w:val="auto"/>
                <w:w w:val="96"/>
              </w:rPr>
              <w:t>(Dollars In Thousands)</w:t>
            </w:r>
          </w:p>
        </w:tc>
        <w:tc>
          <w:tcPr>
            <w:tcW w:w="7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Expected maturities of long-term debt (1):</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Variable interest rate debt (2)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w w:val="93"/>
              </w:rPr>
              <w:t>3,750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78"/>
              <w:spacing w:after="0"/>
              <w:rPr>
                <w:sz w:val="20"/>
                <w:szCs w:val="20"/>
                <w:color w:val="auto"/>
              </w:rPr>
            </w:pPr>
            <w:r>
              <w:rPr>
                <w:rFonts w:ascii="Times New Roman" w:cs="Times New Roman" w:eastAsia="Times New Roman" w:hAnsi="Times New Roman"/>
                <w:sz w:val="18"/>
                <w:szCs w:val="18"/>
                <w:color w:val="auto"/>
                <w:w w:val="93"/>
              </w:rPr>
              <w:t>3,750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w w:val="93"/>
              </w:rPr>
              <w:t>3,750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w w:val="92"/>
              </w:rPr>
              <w:t>57,188</w:t>
            </w: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68,438</w:t>
            </w:r>
          </w:p>
        </w:tc>
        <w:tc>
          <w:tcPr>
            <w:tcW w:w="0" w:type="dxa"/>
            <w:vAlign w:val="bottom"/>
          </w:tcPr>
          <w:p>
            <w:pPr>
              <w:spacing w:after="0"/>
              <w:rPr>
                <w:sz w:val="1"/>
                <w:szCs w:val="1"/>
                <w:color w:val="auto"/>
              </w:rPr>
            </w:pPr>
          </w:p>
        </w:tc>
      </w:tr>
      <w:tr>
        <w:trPr>
          <w:trHeight w:val="96"/>
        </w:trPr>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Weighted-average interest rate</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3.92%</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3.92%</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3.92%</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3.92%</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322"/>
        </w:trPr>
        <w:tc>
          <w:tcPr>
            <w:tcW w:w="5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Fixed interest rate debt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w w:val="93"/>
              </w:rPr>
              <w:t>1,048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78"/>
              <w:spacing w:after="0"/>
              <w:rPr>
                <w:sz w:val="20"/>
                <w:szCs w:val="20"/>
                <w:color w:val="auto"/>
              </w:rPr>
            </w:pPr>
            <w:r>
              <w:rPr>
                <w:rFonts w:ascii="Times New Roman" w:cs="Times New Roman" w:eastAsia="Times New Roman" w:hAnsi="Times New Roman"/>
                <w:sz w:val="18"/>
                <w:szCs w:val="18"/>
                <w:color w:val="auto"/>
              </w:rPr>
              <w:t>799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818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517</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$ 197</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624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4,003</w:t>
            </w:r>
          </w:p>
        </w:tc>
        <w:tc>
          <w:tcPr>
            <w:tcW w:w="0" w:type="dxa"/>
            <w:vAlign w:val="bottom"/>
          </w:tcPr>
          <w:p>
            <w:pPr>
              <w:spacing w:after="0"/>
              <w:rPr>
                <w:sz w:val="1"/>
                <w:szCs w:val="1"/>
                <w:color w:val="auto"/>
              </w:rPr>
            </w:pPr>
          </w:p>
        </w:tc>
      </w:tr>
      <w:tr>
        <w:trPr>
          <w:trHeight w:val="110"/>
        </w:trPr>
        <w:tc>
          <w:tcPr>
            <w:tcW w:w="5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Weighted-average interest rate</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6.87%</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6.90%</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6.89%</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6.87%</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323"/>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Estimated future cash flows of interest rate swaps (3):</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Variable to Fixed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657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594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512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111</w:t>
            </w:r>
          </w:p>
        </w:tc>
        <w:tc>
          <w:tcPr>
            <w:tcW w:w="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1,874</w:t>
            </w:r>
          </w:p>
        </w:tc>
        <w:tc>
          <w:tcPr>
            <w:tcW w:w="0" w:type="dxa"/>
            <w:vAlign w:val="bottom"/>
          </w:tcPr>
          <w:p>
            <w:pPr>
              <w:spacing w:after="0"/>
              <w:rPr>
                <w:sz w:val="1"/>
                <w:szCs w:val="1"/>
                <w:color w:val="auto"/>
              </w:rPr>
            </w:pPr>
          </w:p>
        </w:tc>
      </w:tr>
      <w:tr>
        <w:trPr>
          <w:trHeight w:val="322"/>
        </w:trPr>
        <w:tc>
          <w:tcPr>
            <w:tcW w:w="53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Weighted-average pay rate</w:t>
            </w:r>
          </w:p>
        </w:tc>
        <w:tc>
          <w:tcPr>
            <w:tcW w:w="100" w:type="dxa"/>
            <w:vAlign w:val="bottom"/>
          </w:tcPr>
          <w:p>
            <w:pPr>
              <w:spacing w:after="0"/>
              <w:rPr>
                <w:sz w:val="24"/>
                <w:szCs w:val="24"/>
                <w:color w:val="auto"/>
              </w:rPr>
            </w:pPr>
          </w:p>
        </w:tc>
        <w:tc>
          <w:tcPr>
            <w:tcW w:w="6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3.23%</w:t>
            </w:r>
          </w:p>
        </w:tc>
        <w:tc>
          <w:tcPr>
            <w:tcW w:w="200" w:type="dxa"/>
            <w:vAlign w:val="bottom"/>
          </w:tcPr>
          <w:p>
            <w:pPr>
              <w:spacing w:after="0"/>
              <w:rPr>
                <w:sz w:val="24"/>
                <w:szCs w:val="24"/>
                <w:color w:val="auto"/>
              </w:rPr>
            </w:pPr>
          </w:p>
        </w:tc>
        <w:tc>
          <w:tcPr>
            <w:tcW w:w="6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3.23%</w:t>
            </w:r>
          </w:p>
        </w:tc>
        <w:tc>
          <w:tcPr>
            <w:tcW w:w="200" w:type="dxa"/>
            <w:vAlign w:val="bottom"/>
          </w:tcPr>
          <w:p>
            <w:pPr>
              <w:spacing w:after="0"/>
              <w:rPr>
                <w:sz w:val="24"/>
                <w:szCs w:val="24"/>
                <w:color w:val="auto"/>
              </w:rPr>
            </w:pP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3.23%</w:t>
            </w:r>
          </w:p>
        </w:tc>
        <w:tc>
          <w:tcPr>
            <w:tcW w:w="200" w:type="dxa"/>
            <w:vAlign w:val="bottom"/>
          </w:tcPr>
          <w:p>
            <w:pPr>
              <w:spacing w:after="0"/>
              <w:rPr>
                <w:sz w:val="24"/>
                <w:szCs w:val="24"/>
                <w:color w:val="auto"/>
              </w:rPr>
            </w:pPr>
          </w:p>
        </w:tc>
        <w:tc>
          <w:tcPr>
            <w:tcW w:w="7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3.23%</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110"/>
        </w:trPr>
        <w:tc>
          <w:tcPr>
            <w:tcW w:w="5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Weighted-average receive rate</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0.32%</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0.43%</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0.65%</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0.89%</w:t>
            </w:r>
          </w:p>
        </w:tc>
        <w:tc>
          <w:tcPr>
            <w:tcW w:w="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0.49%</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right="800" w:hanging="452"/>
        <w:spacing w:after="0" w:line="257"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variable and fixed interest rate debt balances and weighted-average interest rate are based on the aggregate amount of debt outstanding as of December 31, 2012.</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Secured Term Loan that includes a fixed interest rate of 5.15% on the principal amount of $22.8 million at December 31, 2012.</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estimated future cash flows and related weighted-average receive rate are based on the estimated fair value of these contracts as of December 31, 2012.</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455" w:right="2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The following table presents our purchase commitments under firm purchase commitments and futures/forward contracts and related weighted-average contract costs by contract terms as of December 31, 2012: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0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0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0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62"/>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2013</w:t>
            </w:r>
          </w:p>
        </w:tc>
        <w:tc>
          <w:tcPr>
            <w:tcW w:w="18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2014   2015   2016   2017</w:t>
            </w:r>
          </w:p>
        </w:tc>
        <w:tc>
          <w:tcPr>
            <w:tcW w:w="92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Thereafter</w:t>
            </w:r>
          </w:p>
        </w:tc>
        <w:tc>
          <w:tcPr>
            <w:tcW w:w="200" w:type="dxa"/>
            <w:vAlign w:val="bottom"/>
          </w:tcPr>
          <w:p>
            <w:pPr>
              <w:spacing w:after="0"/>
              <w:rPr>
                <w:sz w:val="12"/>
                <w:szCs w:val="12"/>
                <w:color w:val="auto"/>
              </w:rPr>
            </w:pPr>
          </w:p>
        </w:tc>
        <w:tc>
          <w:tcPr>
            <w:tcW w:w="5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42"/>
        </w:trPr>
        <w:tc>
          <w:tcPr>
            <w:tcW w:w="50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780" w:type="dxa"/>
            <w:vAlign w:val="bottom"/>
            <w:tcBorders>
              <w:top w:val="single" w:sz="8" w:color="auto"/>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color w:val="auto"/>
              </w:rPr>
              <w:t>(Dollars In Thousands, Except For Per Pound)</w:t>
            </w:r>
          </w:p>
        </w:tc>
        <w:tc>
          <w:tcPr>
            <w:tcW w:w="2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Firm purchase commitments and futures/forward contracts: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Copper:</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cost of contract</w:t>
            </w:r>
          </w:p>
        </w:tc>
        <w:tc>
          <w:tcPr>
            <w:tcW w:w="2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w w:val="93"/>
              </w:rPr>
              <w:t>2,209</w:t>
            </w:r>
          </w:p>
        </w:tc>
        <w:tc>
          <w:tcPr>
            <w:tcW w:w="1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2,209</w:t>
            </w:r>
          </w:p>
        </w:tc>
        <w:tc>
          <w:tcPr>
            <w:tcW w:w="100" w:type="dxa"/>
            <w:vAlign w:val="bottom"/>
            <w:shd w:val="clear" w:color="auto" w:fill="CCEEFF"/>
          </w:tcPr>
          <w:p>
            <w:pPr>
              <w:spacing w:after="0"/>
              <w:rPr>
                <w:sz w:val="18"/>
                <w:szCs w:val="18"/>
                <w:color w:val="auto"/>
              </w:rPr>
            </w:pPr>
          </w:p>
        </w:tc>
      </w:tr>
      <w:tr>
        <w:trPr>
          <w:trHeight w:val="322"/>
        </w:trPr>
        <w:tc>
          <w:tcPr>
            <w:tcW w:w="50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Weighted-average cost per pound</w:t>
            </w:r>
          </w:p>
        </w:tc>
        <w:tc>
          <w:tcPr>
            <w:tcW w:w="2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3.53</w:t>
            </w:r>
          </w:p>
        </w:tc>
        <w:tc>
          <w:tcPr>
            <w:tcW w:w="1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24"/>
                <w:szCs w:val="24"/>
                <w:color w:val="auto"/>
              </w:rPr>
            </w:pPr>
          </w:p>
        </w:tc>
      </w:tr>
      <w:tr>
        <w:trPr>
          <w:trHeight w:val="365"/>
        </w:trPr>
        <w:tc>
          <w:tcPr>
            <w:tcW w:w="5080" w:type="dxa"/>
            <w:vAlign w:val="bottom"/>
          </w:tcPr>
          <w:p>
            <w:pPr>
              <w:spacing w:after="0"/>
              <w:rPr>
                <w:sz w:val="24"/>
                <w:szCs w:val="24"/>
                <w:color w:val="auto"/>
              </w:rPr>
            </w:pPr>
          </w:p>
        </w:tc>
        <w:tc>
          <w:tcPr>
            <w:tcW w:w="2240" w:type="dxa"/>
            <w:vAlign w:val="bottom"/>
          </w:tcPr>
          <w:p>
            <w:pPr>
              <w:jc w:val="right"/>
              <w:ind w:right="1432"/>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At December 31, 2012 and 2011, we did not have any financial instruments with fair values significantly different from their carrying amounts. These financial instruments include our long-term debt agreements, which valuations are classified as Level 3 and are based on valuation techniques that require inputs that are both unobservable and significant to the overall fair value measurement. The fair value measurement of our long-term debt agreements are valued using a discounted cash flow model that calculates the present value of future cash flows pursuant to the terms of the debt agreements and applies estimated current market interest rates. The estimated current market interest rates are based primarily on interest rates currently being offered on borrowings of similar amounts and terms. In addition, no valuation input adjustments were considered necessary relating to nonperformance risk for the debt agreements. The fair value of financial instruments is not indicative of the overall fair value of our assets and liabilities since financial instruments do not include all assets, including intangibles, and all liabilities.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8. FINANCIAL STATEMENTS AND SUPPLEMENTARY DATA</w:t>
      </w:r>
    </w:p>
    <w:p>
      <w:pPr>
        <w:spacing w:after="0" w:line="9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We have included the financial statements and supplementary financial information required by this item immediately following Part IV of this report and hereby incorporate by reference the relevant portions of those statements and information into this Item 8.</w:t>
      </w:r>
    </w:p>
    <w:p>
      <w:pPr>
        <w:spacing w:after="0" w:line="199" w:lineRule="exact"/>
        <w:rPr>
          <w:sz w:val="20"/>
          <w:szCs w:val="20"/>
          <w:color w:val="auto"/>
        </w:rPr>
      </w:pPr>
    </w:p>
    <w:p>
      <w:pPr>
        <w:ind w:right="1380"/>
        <w:spacing w:after="0" w:line="371"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9A. CONTROLS AND PROCEDURES</w:t>
      </w:r>
    </w:p>
    <w:p>
      <w:pPr>
        <w:spacing w:after="0" w:line="9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 of the end of the period covered by this report, we carried out an evaluation, with the participation of our Principal Executive Officer and Principal Financial Officer, of the effectiveness of the design and operation of our disclosure controls and procedures (as defined in Rule 13a-15 under the Securities Exchange Act of 1934). Based upon that evaluation, our Principal Executive Officer and our Principal Financial Officer have concluded that our disclosure controls and procedures were effective. There were no changes to our internal control over financial reporting during the quarter ended December 31, 2012 that have materially affected, or are reasonably likely to materially affect, our internal control over financial reporting.</w:t>
      </w:r>
    </w:p>
    <w:p>
      <w:pPr>
        <w:spacing w:after="0" w:line="2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7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effective internal control over financial reporting. Our internal control system was designed to provide reasonable assurance to our management and Board of Directors regarding the preparation and fair presentation of published financial statements.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36" w:lineRule="exact"/>
        <w:rPr>
          <w:sz w:val="20"/>
          <w:szCs w:val="20"/>
          <w:color w:val="auto"/>
        </w:rPr>
      </w:pPr>
    </w:p>
    <w:p>
      <w:pPr>
        <w:ind w:right="440"/>
        <w:spacing w:after="0" w:line="262" w:lineRule="auto"/>
        <w:rPr>
          <w:sz w:val="20"/>
          <w:szCs w:val="20"/>
          <w:color w:val="auto"/>
        </w:rPr>
      </w:pPr>
      <w:r>
        <w:rPr>
          <w:rFonts w:ascii="Times New Roman" w:cs="Times New Roman" w:eastAsia="Times New Roman" w:hAnsi="Times New Roman"/>
          <w:sz w:val="18"/>
          <w:szCs w:val="18"/>
          <w:color w:val="auto"/>
        </w:rPr>
        <w:t>Our management assessed the effectiveness of our internal control over financial reporting as of December 31, 2012. In making this assessment, it used the criteria set forth by the Committee of Sponsoring Organizations of the Treadway Commission in Internal Control—Integrated Framework. Based on our assessment, we believe that, as of December 31, 2012, our internal control over financial reporting is effective based on those criteria.</w:t>
      </w:r>
    </w:p>
    <w:p>
      <w:pPr>
        <w:spacing w:after="0" w:line="132"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Our independent registered public accounting firm has issued an attestation report on our internal control over financial reporting. This report appears on the following page.</w:t>
      </w:r>
    </w:p>
    <w:p>
      <w:pPr>
        <w:spacing w:after="0" w:line="1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340"/>
          </w:cols>
          <w:pgMar w:left="240" w:top="455" w:right="31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620" w:firstLine="3648"/>
        <w:spacing w:after="0" w:line="438" w:lineRule="auto"/>
        <w:rPr>
          <w:sz w:val="20"/>
          <w:szCs w:val="20"/>
          <w:color w:val="auto"/>
        </w:rPr>
      </w:pPr>
      <w:r>
        <w:rPr>
          <w:rFonts w:ascii="Times New Roman" w:cs="Times New Roman" w:eastAsia="Times New Roman" w:hAnsi="Times New Roman"/>
          <w:sz w:val="18"/>
          <w:szCs w:val="18"/>
          <w:color w:val="auto"/>
        </w:rPr>
        <w:t>Report of Independent Registered Public Accounting Firm The Board of Directors and Stockholders of LSB Industries, Inc.</w:t>
      </w:r>
    </w:p>
    <w:p>
      <w:pPr>
        <w:spacing w:after="0" w:line="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have audited LSB Industries, Inc.’s internal control over financial reporting as of December 31, 2012 based on criteria established in Internal Control-Integrated Framework issued by the Committee of Sponsoring Organizations of the Treadway Commission (the COSO criteria). LSB Industries,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3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2"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In our opinion, LSB Industries, Inc. maintained, in all material respects, effective internal control over financial reporting as of December 31, 2012, based on the COSO criteria</w:t>
      </w:r>
      <w:r>
        <w:rPr>
          <w:rFonts w:ascii="Times New Roman" w:cs="Times New Roman" w:eastAsia="Times New Roman" w:hAnsi="Times New Roman"/>
          <w:sz w:val="18"/>
          <w:szCs w:val="18"/>
          <w:b w:val="1"/>
          <w:bCs w:val="1"/>
          <w:color w:val="auto"/>
        </w:rPr>
        <w:t>.</w:t>
      </w:r>
    </w:p>
    <w:p>
      <w:pPr>
        <w:spacing w:after="0" w:line="120" w:lineRule="exact"/>
        <w:rPr>
          <w:sz w:val="20"/>
          <w:szCs w:val="20"/>
          <w:color w:val="auto"/>
        </w:rPr>
      </w:pPr>
    </w:p>
    <w:p>
      <w:pPr>
        <w:jc w:val="both"/>
        <w:ind w:right="200"/>
        <w:spacing w:after="0" w:line="310"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the consolidated balance sheets of LSB Industries, Inc. as of December 31, 2012 and 2011, and the related consolidated statements of income, stockholders’ equity, and cash flows for each of the three years in the period ended December 31, 2012 of LSB Industries, Inc. and our report dated February 28, 2013 expressed an unqualified opinion thereon.</w:t>
      </w:r>
    </w:p>
    <w:p>
      <w:pPr>
        <w:spacing w:after="0" w:line="9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Oklahoma City, Oklahoma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2013</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00"/>
          </w:cols>
          <w:pgMar w:left="240" w:top="455" w:right="2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9B. OTHER INFORMATION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Certain statements contained within this report may be deemed “Forward-Looking Statements” within the meaning of Section 27A of the Securities Act of 1933, as amended, and Section 21E of the Securities Exchange Act of 1934, as amended. All statements in this report other than statements of historical fact are Forward-Looking Statements that are subject to known and unknown risks, uncertainties and other factors which could cause actual results and performance of the Company to differ materially from such statements. The words “believe”, “expect”, “anticipate”, “intend”, and similar expressions identify Forward-Looking Statements. Forward-Looking Statements contained herein include, but not limited to, the following:</w:t>
      </w:r>
    </w:p>
    <w:p>
      <w:pPr>
        <w:spacing w:after="0" w:line="58" w:lineRule="exact"/>
        <w:rPr>
          <w:sz w:val="20"/>
          <w:szCs w:val="20"/>
          <w:color w:val="auto"/>
        </w:rPr>
      </w:pPr>
    </w:p>
    <w:p>
      <w:pPr>
        <w:ind w:left="440" w:hanging="324"/>
        <w:spacing w:after="0"/>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share;</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modest growth of the U.S. economy;</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construction outlook for the commercial/institutional sector and single-family sector;</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outlook for the types of nitrogen fertilizer products we produce and sell;</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our geothermal products;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in operating income within our chemical facilities due to damaged facilities;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shipment of backlog;</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new nitric acid plants and when these plants will become operational;</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pass to our customers the majority of any cost increases in the form of higher prices;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sources for materials and components;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demand for our industrial, mining and agricultural products for 2013;</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fertilizer outlook;</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committed and planned capital spending;</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anhydrous ammonia from other sources;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by the El Dorado Facility of the terms of its permits;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dissolved mineral issue should not be an issue once the pipeline is operational;</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growth of the Climate Control Business;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in the medium-term and long-term will be primarily driven by growth in new construction, as well as the introduction of new products;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geothermal systems are considered to be the most energy efficient systems currently available;</w:t>
      </w:r>
    </w:p>
    <w:p>
      <w:pPr>
        <w:spacing w:after="0" w:line="90" w:lineRule="exact"/>
        <w:rPr>
          <w:rFonts w:ascii="Times New Roman" w:cs="Times New Roman" w:eastAsia="Times New Roman" w:hAnsi="Times New Roman"/>
          <w:sz w:val="18"/>
          <w:szCs w:val="18"/>
          <w:color w:val="auto"/>
        </w:rPr>
      </w:pPr>
    </w:p>
    <w:p>
      <w:pPr>
        <w:ind w:left="440" w:right="600" w:hanging="324"/>
        <w:spacing w:after="0" w:line="275" w:lineRule="auto"/>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GHPs use a form of renewable energy and, under certain conditions, can reduce energy costs up to 80% compared to some conventional HVAC systems;</w:t>
      </w:r>
    </w:p>
    <w:p>
      <w:pPr>
        <w:spacing w:after="0" w:line="38" w:lineRule="exact"/>
        <w:rPr>
          <w:rFonts w:ascii="Times New Roman" w:cs="Times New Roman" w:eastAsia="Times New Roman" w:hAnsi="Times New Roman"/>
          <w:sz w:val="18"/>
          <w:szCs w:val="18"/>
          <w:color w:val="auto"/>
        </w:rPr>
      </w:pPr>
    </w:p>
    <w:p>
      <w:pPr>
        <w:ind w:left="440" w:right="320" w:hanging="324"/>
        <w:spacing w:after="0" w:line="262" w:lineRule="auto"/>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homeowners who install GHP’s are eligible for a 30% tax credit, businesses that install GHPs are eligible for a 10% tax credit and five-year accelerated depreciation on the balance of the system cost, and during 2013, businesses also have the option of electing 50% bonus depreciation on qualifying equipment, such as GHPs, that are placed in service during the year;</w:t>
      </w:r>
    </w:p>
    <w:p>
      <w:pPr>
        <w:spacing w:after="0" w:line="51"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needs for 2013;</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plan to rely upon working capital, internally generated cash flows, third-party financing and insurance proceeds;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committed capital expenditures;</w:t>
      </w:r>
    </w:p>
    <w:p>
      <w:pPr>
        <w:spacing w:after="0" w:line="90" w:lineRule="exact"/>
        <w:rPr>
          <w:rFonts w:ascii="Times New Roman" w:cs="Times New Roman" w:eastAsia="Times New Roman" w:hAnsi="Times New Roman"/>
          <w:sz w:val="18"/>
          <w:szCs w:val="18"/>
          <w:color w:val="auto"/>
        </w:rPr>
      </w:pPr>
    </w:p>
    <w:p>
      <w:pPr>
        <w:ind w:left="440" w:hanging="324"/>
        <w:spacing w:after="0" w:line="275" w:lineRule="auto"/>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conjunction with our long-term compliance plan, EDC intends to participate in a wastewater pipeline project for disposal of wastewater that the city of El Dorado, Arkansas will construct and own;</w:t>
      </w:r>
    </w:p>
    <w:p>
      <w:pPr>
        <w:spacing w:after="0" w:line="38"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timing for the El Dorado Facility to use the wastewater pipeline will ensure EDC’s ability to comply with future permit limits;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relating to settlement with the EPA relating to issues involving the Clean Air Act;</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Cherokee and Pryor Facilities will begin production;</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Turnarounds during 2013 for our chemical facilities;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fund our cash needs;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in connection with environmental regulatory issues for 2013;</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needs and how we expect to fund our cash requirements;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depletion and amortization expected to increase in 2013;</w:t>
      </w:r>
    </w:p>
    <w:p>
      <w:pPr>
        <w:spacing w:after="0" w:line="90" w:lineRule="exact"/>
        <w:rPr>
          <w:rFonts w:ascii="Times New Roman" w:cs="Times New Roman" w:eastAsia="Times New Roman" w:hAnsi="Times New Roman"/>
          <w:sz w:val="18"/>
          <w:szCs w:val="18"/>
          <w:color w:val="auto"/>
        </w:rPr>
      </w:pPr>
    </w:p>
    <w:p>
      <w:pPr>
        <w:ind w:left="440" w:right="700" w:hanging="324"/>
        <w:spacing w:after="0" w:line="275" w:lineRule="auto"/>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future emission regulations or new laws appear possible, it is too early to predict how these regulations, if and when adopted, will affect our businesses, operations, liquidity or financial results;</w:t>
      </w:r>
    </w:p>
    <w:p>
      <w:pPr>
        <w:sectPr>
          <w:pgSz w:w="11900" w:h="16838" w:orient="portrait"/>
          <w:cols w:equalWidth="0" w:num="1">
            <w:col w:w="11400"/>
          </w:cols>
          <w:pgMar w:left="240" w:top="455" w:right="259" w:bottom="1440" w:gutter="0" w:footer="0" w:header="0"/>
        </w:sectPr>
      </w:pP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00"/>
          </w:cols>
          <w:pgMar w:left="240" w:top="455" w:right="259" w:bottom="1440" w:gutter="0" w:footer="0" w:header="0"/>
          <w:type w:val="continuous"/>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40" w:hanging="324"/>
        <w:spacing w:after="0"/>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should repurchase stock, we currently intend to fund any repurchases from our available working capital;</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under our property and business interruption insurance due to damages at various of our chemical facilities;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of a new ammonia plant at the El Dorado Facility;</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all required covenant tests for all quarters and the year ending in 2013;</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relating to environmental and health laws and enforcement policies thereunder; and</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uncertain tax positions.</w:t>
      </w:r>
    </w:p>
    <w:p>
      <w:pPr>
        <w:spacing w:after="0" w:line="171"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While we believe the expectations reflected in such Forward-Looking Statements are reasonable, we can give no assurance such expectations will prove to have been correct. There are a variety of factors which could cause future outcomes to differ materially from those described in this report, including, but not limited to, the following:</w:t>
      </w:r>
    </w:p>
    <w:p>
      <w:pPr>
        <w:spacing w:after="0" w:line="51" w:lineRule="exact"/>
        <w:rPr>
          <w:sz w:val="20"/>
          <w:szCs w:val="20"/>
          <w:color w:val="auto"/>
        </w:rPr>
      </w:pPr>
    </w:p>
    <w:p>
      <w:pPr>
        <w:ind w:left="440" w:hanging="324"/>
        <w:spacing w:after="0"/>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conditions, both domestic and foreign,</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reduction in revenues,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in interest rates,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collect in a timely manner a material amount of receivables,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competitive pressures,</w:t>
      </w:r>
    </w:p>
    <w:p>
      <w:pPr>
        <w:spacing w:after="0" w:line="90" w:lineRule="exact"/>
        <w:rPr>
          <w:rFonts w:ascii="Times New Roman" w:cs="Times New Roman" w:eastAsia="Times New Roman" w:hAnsi="Times New Roman"/>
          <w:sz w:val="18"/>
          <w:szCs w:val="18"/>
          <w:color w:val="auto"/>
        </w:rPr>
      </w:pPr>
    </w:p>
    <w:p>
      <w:pPr>
        <w:ind w:left="440" w:right="520" w:hanging="324"/>
        <w:spacing w:after="0" w:line="275" w:lineRule="auto"/>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federal, state and local laws and regulations, especially environmental regulations or the American Reinvestment and Recovery act, or in interpretation of such,</w:t>
      </w:r>
    </w:p>
    <w:p>
      <w:pPr>
        <w:spacing w:after="0" w:line="38"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releases of pollutants into the environment exceeding our permitted limits,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increases in equipment, maintenance, operating or labor costs not presently anticipated by us,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use internally generated funds for purposes not presently anticipated,</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secure additional financing for planned capital expenditures or financing obligations coming due in the near future,</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in the cost of certain precious metals, anhydrous ammonia, natural gas, copper, steel and purchased components,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competition,</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significant customer,</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strategy or development plans,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fund the working capital and expansion of our businesses,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product equipment,</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production efficiency of our facilities,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in our contingencies including pending litigation,</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production rates at the Pryor Facility,</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necessary raw materials and purchased components,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in our accounting estimates,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problems within our production equipment,</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 or natural disasters,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or retain our insurance coverage,</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negotiate a satisfactory settlement with the EPA,</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inability to satisfactorily resolve claims relating to damaged equipment and business interruption within our Chemical Business with our insurance carriers;</w:t>
      </w:r>
    </w:p>
    <w:p>
      <w:pPr>
        <w:spacing w:after="0" w:line="113" w:lineRule="exact"/>
        <w:rPr>
          <w:rFonts w:ascii="Times New Roman" w:cs="Times New Roman" w:eastAsia="Times New Roman" w:hAnsi="Times New Roman"/>
          <w:sz w:val="16"/>
          <w:szCs w:val="16"/>
          <w:color w:val="auto"/>
        </w:rPr>
      </w:pPr>
    </w:p>
    <w:p>
      <w:pPr>
        <w:ind w:left="440" w:hanging="324"/>
        <w:spacing w:after="0"/>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necessary permits;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financing;</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described in the MD&amp;A contained in this report, and</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described in “Risk Factors”.</w:t>
      </w:r>
    </w:p>
    <w:p>
      <w:pPr>
        <w:spacing w:after="0" w:line="171"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Given these uncertainties, all parties are cautioned not to place undue reliance on such Forward-Looking Statements. We disclaim any obligation to update any such factors or to publicly announce the result of any revisions to any of the Forward-Looking Statements contained herein to reflect future events or developments.</w:t>
      </w:r>
    </w:p>
    <w:p>
      <w:pPr>
        <w:sectPr>
          <w:pgSz w:w="11900" w:h="16838" w:orient="portrait"/>
          <w:cols w:equalWidth="0" w:num="1">
            <w:col w:w="11360"/>
          </w:cols>
          <w:pgMar w:left="240" w:top="455" w:right="299" w:bottom="1440" w:gutter="0" w:footer="0" w:header="0"/>
        </w:sectPr>
      </w:pP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360"/>
          </w:cols>
          <w:pgMar w:left="240" w:top="455" w:right="299" w:bottom="1440" w:gutter="0" w:footer="0" w:header="0"/>
          <w:type w:val="continuous"/>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u w:val="single" w:color="auto"/>
          <w:color w:val="auto"/>
        </w:rPr>
        <w:t>PART III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10. DIRECTORS, EXECUTIVE OFFICERS AND CORPORATE GOVERNANCE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92" w:lineRule="exact"/>
        <w:rPr>
          <w:sz w:val="20"/>
          <w:szCs w:val="20"/>
          <w:color w:val="auto"/>
        </w:rPr>
      </w:pPr>
    </w:p>
    <w:p>
      <w:pPr>
        <w:jc w:val="both"/>
        <w:ind w:right="240"/>
        <w:spacing w:after="0" w:line="262" w:lineRule="auto"/>
        <w:rPr>
          <w:sz w:val="20"/>
          <w:szCs w:val="20"/>
          <w:color w:val="auto"/>
        </w:rPr>
      </w:pPr>
      <w:r>
        <w:rPr>
          <w:rFonts w:ascii="Times New Roman" w:cs="Times New Roman" w:eastAsia="Times New Roman" w:hAnsi="Times New Roman"/>
          <w:sz w:val="18"/>
          <w:szCs w:val="18"/>
          <w:color w:val="auto"/>
        </w:rPr>
        <w:t>Our Certificate of Incorporation and By-laws provide for the division of the Board of Directors into three classes, each class consisting as nearly as possible of one-third of the whole. The term of office of one class of directors expires each year; with each class of directors elected for a term of three years and until the shareholders elect their qualified successors.</w:t>
      </w:r>
    </w:p>
    <w:p>
      <w:pPr>
        <w:spacing w:after="0" w:line="132"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Our By-laws provide that the Board of Directors, by resolution from time to time, may fix the number of directors that shall constitute the whole Board of Directors. The By-laws presently provide that the number of directors may consist of not less than 3 nor more than 14. The Board of Directors currently has 13 directors.</w:t>
      </w:r>
    </w:p>
    <w:p>
      <w:pPr>
        <w:spacing w:after="0" w:line="132"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Pursuant to our Bylaws, nominations of persons for election to the Board of Directors may be made at a meeting of stockholders at which directors are to be elected only (i) by or at the direction of the Board of Directors; or (ii) by any stockholder of LSB entitled to vote for the election of directors at the meeting who complies with the notice procedures set forth in our Bylaws. A director nomination made by a stockholder must be delivered or mailed to and received at our principal executive offices not less than 120 nor more than 150 days prior to the date of the annual meeting; provided, however, that in the event the date of the annual meeting is more than 30 days before or more than 60 days after such date, notice by the stockholder to be timely must be so delivered, or mailed and received not later than the 90</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day prior to such annual meeting, or if later, the 10</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day following the date on which the public disclosure of the date of such annual meeting was so made.</w:t>
      </w:r>
    </w:p>
    <w:p>
      <w:pPr>
        <w:spacing w:after="0" w:line="14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Our Nominating and Corporate Governance Committee reviews the composition of the Board to assess the Board performance, composition, and effectiveness. The Nominating Committee values certain characteristics in all Board members, including personal and professional integrity, reputation, outstanding professional achievement, and sound business judgment. The Nominating Committee evaluates each individual director in the context of the Board as a whole with the goal of recommending an effective group with a diversity of experience and skills who will exercise sound business judgment in the interest of our business and our shareholders.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9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b w:val="1"/>
          <w:bCs w:val="1"/>
          <w:color w:val="auto"/>
        </w:rPr>
        <w:t>Robert C. Brown, M.D.</w:t>
      </w:r>
      <w:r>
        <w:rPr>
          <w:rFonts w:ascii="Times New Roman" w:cs="Times New Roman" w:eastAsia="Times New Roman" w:hAnsi="Times New Roman"/>
          <w:sz w:val="18"/>
          <w:szCs w:val="18"/>
          <w:color w:val="auto"/>
        </w:rPr>
        <w:t>, age 81. Dr. Brown first became a director in 1969. His term will expire in 2015. Dr. Brown has practiced medicine for many years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Vice President and Treasurer of Plaza Medical Group, P.C. until its acquisition by Integris Health on October 31, 2011. Dr. Brown received both his undergraduate and medical degrees from Tufts University after which he spent two years as a doctor in the United States Navy and over three years at the Mayo Clinic. Dr. Brown is also a Clinical Professor at Oklahoma University Health Science Center. Dr. Brown has experience with and insight into all aspects of developing and growing a company and as President and Chief Executive Officer oversaw the launch, development and sale of two different medical claims clearinghouses specializing in the provision of medical clearinghouse services to university affiliated hospitals and other medical providers throughout the United States, each of which was sold favorably. Dr. Brown served as President of the Medical Staff of Baptist Medical Center of Oklahoma. He is a Board member of Integris Physicians Services, Inc. Dr. Brown’s leadership experience, entrepreneurial business experience and broad range of knowledge of our history and business through his service as a director, among other factors, led the Board to conclude that he should serve as a director.</w:t>
      </w:r>
    </w:p>
    <w:p>
      <w:pPr>
        <w:spacing w:after="0" w:line="14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Charles A. Burtch</w:t>
      </w:r>
      <w:r>
        <w:rPr>
          <w:rFonts w:ascii="Times New Roman" w:cs="Times New Roman" w:eastAsia="Times New Roman" w:hAnsi="Times New Roman"/>
          <w:sz w:val="18"/>
          <w:szCs w:val="18"/>
          <w:color w:val="auto"/>
        </w:rPr>
        <w:t>, age 77. Mr. Burtch first became a director in 1999. His term will expire in 2013. Mr. Burtch was formerly Executive Vice-President and West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Division Manager of BankAmerica, where he managed BankAmerica’s asset-based lending division for the western third of the United States. He retired in 1998 and has since been engaged as a private investor. Mr. Burtch is a graduate of Arizona State University. Mr. Burtch’s financial experience and his experience as executive vice president of a large commercial bank, among other factors, led the Board to conclude that he should serve as a director.</w:t>
      </w:r>
    </w:p>
    <w:p>
      <w:pPr>
        <w:spacing w:after="0" w:line="133"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6"/>
          <w:szCs w:val="16"/>
          <w:b w:val="1"/>
          <w:bCs w:val="1"/>
          <w:color w:val="auto"/>
        </w:rPr>
        <w:t>Robert A. Butkin</w:t>
      </w:r>
      <w:r>
        <w:rPr>
          <w:rFonts w:ascii="Times New Roman" w:cs="Times New Roman" w:eastAsia="Times New Roman" w:hAnsi="Times New Roman"/>
          <w:sz w:val="16"/>
          <w:szCs w:val="16"/>
          <w:color w:val="auto"/>
        </w:rPr>
        <w:t>, age 60. Mr. Butkin first became a director in August 2007. His term will expire in 2013. Mr. Butkin is currently a Professor of Law at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University of Tulsa College of Law. He was Dean of the Tulsa College of Law from 2005 to 2007. Mr. Butkin also serves as President and as a member of the board of BRJN Capital Corporation, a private investment company. Mr. Butkin served as Assistant Attorney General for the State of Oklahoma from 1987 to 1993, and served from 1995 to 2005 as the State Treasurer of Oklahoma. He has served in various community and professional organizations, including holding the presidency of the Southern State Treasurers Association. He chaired the Banking, Collateral and Cash Management Committee for the National Association of State Treasurers (“NAST”). In addition, from 1981 to 1995, he served on the Board of Citizens Bank of Velma, Oklahoma, and he served as Chairman of the Board of that bank from 1991 to 1994. Mr. Butkin serves on the board of several non-profits, including the Jasmine Moran Children’s Museum (1995-present); Leadership Oklahoma (Advisory Board, 1998-present); and the Oklahoma Academy (2003-present). He attended and received a Bachelor of Arts degree from Yale College. He received his Juris Doctorate from the University of Pennsylvania Law School in 1978. Mr. Butkin’s leadership skills and financial experience obtained through serving as State Treasurer of Oklahoma, chairman of the banking committee of NAST, leading his private investment company, and service as the dean of a major law school in the State of Oklahoma, among other factors, led the Board to conclude that he should serve as a director.</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00"/>
          </w:cols>
          <w:pgMar w:left="240" w:top="455" w:right="2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240"/>
        <w:spacing w:after="0" w:line="291" w:lineRule="auto"/>
        <w:rPr>
          <w:sz w:val="20"/>
          <w:szCs w:val="20"/>
          <w:color w:val="auto"/>
        </w:rPr>
      </w:pPr>
      <w:r>
        <w:rPr>
          <w:rFonts w:ascii="Times New Roman" w:cs="Times New Roman" w:eastAsia="Times New Roman" w:hAnsi="Times New Roman"/>
          <w:sz w:val="16"/>
          <w:szCs w:val="16"/>
          <w:b w:val="1"/>
          <w:bCs w:val="1"/>
          <w:color w:val="auto"/>
        </w:rPr>
        <w:t>Barry H. Golsen, J.D.</w:t>
      </w:r>
      <w:r>
        <w:rPr>
          <w:rFonts w:ascii="Times New Roman" w:cs="Times New Roman" w:eastAsia="Times New Roman" w:hAnsi="Times New Roman"/>
          <w:sz w:val="16"/>
          <w:szCs w:val="16"/>
          <w:color w:val="auto"/>
        </w:rPr>
        <w:t>, age 62. Mr. Golsen first became a director in 1981. His term will expire in 2015. Mr. Golsen was elected President of LSB in 2004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has served as Chief Operating Officer for more than 10 years. Mr. Golsen has served as our Vice Chairman of the Board of Directors since August 1994.</w:t>
      </w:r>
    </w:p>
    <w:p>
      <w:pPr>
        <w:ind w:right="100"/>
        <w:spacing w:after="0" w:line="295" w:lineRule="auto"/>
        <w:rPr>
          <w:sz w:val="20"/>
          <w:szCs w:val="20"/>
          <w:color w:val="auto"/>
        </w:rPr>
      </w:pPr>
      <w:r>
        <w:rPr>
          <w:rFonts w:ascii="Times New Roman" w:cs="Times New Roman" w:eastAsia="Times New Roman" w:hAnsi="Times New Roman"/>
          <w:sz w:val="16"/>
          <w:szCs w:val="16"/>
          <w:color w:val="auto"/>
        </w:rPr>
        <w:t>Mr. Golsen has served in several capacities with various LSB subsidiary companies and has been the President of our Climate Control Business for more than 10 years. Mr. Golsen served as a director of the Oklahoma branch of the Federal Reserve Bank. Mr. Golsen has both his undergraduate and law degrees from the University of Oklahoma. Mr. Golsen’s extensive experience in the climate control industry, his depth of knowledge and understanding of the business in which we operate, and his demonstrated leadership skills within the Company, among other factors, led the Board to conclude that he should serve as a director.</w:t>
      </w:r>
    </w:p>
    <w:p>
      <w:pPr>
        <w:spacing w:after="0" w:line="107"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6"/>
          <w:szCs w:val="16"/>
          <w:b w:val="1"/>
          <w:bCs w:val="1"/>
          <w:color w:val="auto"/>
        </w:rPr>
        <w:t>Jack E. Golsen</w:t>
      </w:r>
      <w:r>
        <w:rPr>
          <w:rFonts w:ascii="Times New Roman" w:cs="Times New Roman" w:eastAsia="Times New Roman" w:hAnsi="Times New Roman"/>
          <w:sz w:val="16"/>
          <w:szCs w:val="16"/>
          <w:color w:val="auto"/>
        </w:rPr>
        <w:t>, age 84. Mr. Golsen first became a director in 1969. His term will expire in 2013. Mr. Golsen, founder of LSB, is our Chairman of the Board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Directors and Chief Executive Officer and has served in those capacities since our inception in 1969. Mr. Golsen served as our President from 1969 until 2004. During 1996, he was inducted into the Oklahoma Commerce and Industry Hall of Honor as one of Oklahoma’s leading industrialists. Mr. Golsen is a Trustee of Oklahoma City University and has served on its Finance Committee for many years. During his career, he acquired or started the companies which formed the Company. He has served on the boards of insurance companies, several banks and was Board Chairman of Equity Bank for Savings N.A., which was formerly owned by the Company. In 1972, he was recognized nationally as the person who prevented a widespread collapse of the Wall Street investment banking industry. Refer to “The Second Crash” by Charles Ellis, and six additional books about the Wall Street crisis. Mr. Golsen has a Bachelor of Science degree from the University of New Mexico. Mr. Golsen’s demonstrated leadership skills and extensive experience and understanding in all industries in which we operate, his financial experience and broad business knowledge, among other factors, led the Board to conclude that he should serve as a director.</w:t>
      </w:r>
    </w:p>
    <w:p>
      <w:pPr>
        <w:spacing w:after="0" w:line="113"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6"/>
          <w:szCs w:val="16"/>
          <w:b w:val="1"/>
          <w:bCs w:val="1"/>
          <w:color w:val="auto"/>
        </w:rPr>
        <w:t>Steven J. Golsen</w:t>
      </w:r>
      <w:r>
        <w:rPr>
          <w:rFonts w:ascii="Times New Roman" w:cs="Times New Roman" w:eastAsia="Times New Roman" w:hAnsi="Times New Roman"/>
          <w:sz w:val="16"/>
          <w:szCs w:val="16"/>
          <w:color w:val="auto"/>
        </w:rPr>
        <w:t>, age 60. Mr. Golsen first became a director in 2011. His term will expire in 2014. Mr. Golsen also serves as the Chief Operating Officer of our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Climate Control Business. Mr. Golsen has been employed by the Company since 1976. Mr. Golsen has served as the Chief Operating Officer of our Machine Tool Business and our Climate Control Business for more than 10 years. Mr. Golsen attended the University of New Mexico and University of Oklahoma.</w:t>
      </w:r>
    </w:p>
    <w:p>
      <w:pPr>
        <w:ind w:right="60"/>
        <w:spacing w:after="0" w:line="323" w:lineRule="auto"/>
        <w:rPr>
          <w:sz w:val="20"/>
          <w:szCs w:val="20"/>
          <w:color w:val="auto"/>
        </w:rPr>
      </w:pPr>
      <w:r>
        <w:rPr>
          <w:rFonts w:ascii="Times New Roman" w:cs="Times New Roman" w:eastAsia="Times New Roman" w:hAnsi="Times New Roman"/>
          <w:sz w:val="16"/>
          <w:szCs w:val="16"/>
          <w:color w:val="auto"/>
        </w:rPr>
        <w:t>Mr. Golsen’s extensive experience, his intimate knowledge and understanding of multiple aspects of our business (particularly our Climate Control Business) and his demonstrated management and leadership skills within the Company, among other factors, led the Board to conclude that he should serve as a director.</w:t>
      </w:r>
    </w:p>
    <w:p>
      <w:pPr>
        <w:spacing w:after="0" w:line="85"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color w:val="auto"/>
        </w:rPr>
        <w:t>David R. Goss</w:t>
      </w:r>
      <w:r>
        <w:rPr>
          <w:rFonts w:ascii="Times New Roman" w:cs="Times New Roman" w:eastAsia="Times New Roman" w:hAnsi="Times New Roman"/>
          <w:sz w:val="18"/>
          <w:szCs w:val="18"/>
          <w:color w:val="auto"/>
        </w:rPr>
        <w:t>, age 72. Mr. Goss first became a director in 1971. His term will expire in 2015. Mr. Goss, a certified public accountant, is our Executive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of Operations and has served in substantially the same capacity for more than 10 years. He has served as a member of the executive management team since our inception in 1969. Mr. Goss is a graduate of Rutgers University. Mr. Goss’s accounting and financial experience and extensive knowledge of the industries in which we operate, among other factors, led the Board to conclude that he should serve as a director.</w:t>
      </w:r>
    </w:p>
    <w:p>
      <w:pPr>
        <w:spacing w:after="0" w:line="1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Bernard G. Ille, </w:t>
      </w:r>
      <w:r>
        <w:rPr>
          <w:rFonts w:ascii="Times New Roman" w:cs="Times New Roman" w:eastAsia="Times New Roman" w:hAnsi="Times New Roman"/>
          <w:sz w:val="18"/>
          <w:szCs w:val="18"/>
          <w:color w:val="auto"/>
        </w:rPr>
        <w:t>age 86. Mr. Ille first became a director in 1971. His term will expire in 2014. Mr. Ille served as President and Chief Executive Officer of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Founders Life from 1966 to 1988. He served as President and Chief Executive Officer of First Life Assurance Company from 1988, until it was acquired by another company in 1994. During his tenure as President of these two companies, he served as Chairman of the Oklahoma Guaranty Association for 10 years and was President of the Oklahoma Association of Life Insurance Companies for two terms. He was a director of Landmark Land Company, Inc., which was the parent company of First Life for many years until his retirement in March 2011. He is also a director for Quail Creek Bank, N.A. Mr. Ille is currently President of BML Consultants, a consulting firm, and a private investor. He is a graduate of the University of Oklahoma. Mr. Ille’s leadership of a major insurance company in Oklahoma, his financial and insurance background, and his investment experience, among other factors, led the Board to conclude that he should serve as a director.</w:t>
      </w:r>
    </w:p>
    <w:p>
      <w:pPr>
        <w:spacing w:after="0" w:line="13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Gail P. Lapidus, </w:t>
      </w:r>
      <w:r>
        <w:rPr>
          <w:rFonts w:ascii="Times New Roman" w:cs="Times New Roman" w:eastAsia="Times New Roman" w:hAnsi="Times New Roman"/>
          <w:sz w:val="18"/>
          <w:szCs w:val="18"/>
          <w:color w:val="auto"/>
        </w:rPr>
        <w:t>age 61. Ms. Lapidus first became a director in February 2010. Her term will expire in 2015. Ms. Lapidus is the Executive Director and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of Family &amp; Children’s Services (“FCS”), a premiere human services provider in the Tulsa, Oklahoma metro area. Ms. Lapidus has been with the 88-year-old agency for 39 years and has served as its Executive Director since 1986. During her tenure, FCS has become the largest outpatient community mental health center in the state of Oklahoma for children, families and individuals without sufficient economic resources or health insurance. FCS, which has an annual budget of more than $40 million and a staff of over 500, has attracted national recognition and research grants for the services it provides. Ms. Lapidus received her undergraduate degree and a Master’s Degree in Social Work from the University of Oklahoma where she was later named an inaugural inductee into the Hall of Honor for outstanding leadership in professional practice. Ms. Lapidus’s management and leadership experience as the executive director of FCS, among other factors, led the Board to conclude that she should serve as a director.</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455"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3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Donald W. Munson, </w:t>
      </w:r>
      <w:r>
        <w:rPr>
          <w:rFonts w:ascii="Times New Roman" w:cs="Times New Roman" w:eastAsia="Times New Roman" w:hAnsi="Times New Roman"/>
          <w:sz w:val="18"/>
          <w:szCs w:val="18"/>
          <w:color w:val="auto"/>
        </w:rPr>
        <w:t>age 80. Mr. Munson first became a director in 1997. His term will expire in 2014. From 1988, until his retirement in 1992, Mr. Munson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President and Chief Operating Officer of Lennox Industries. Prior to 1998, he served as Executive Vice President of Lennox Industries’ Division Operations, President of Lennox Canada and Managing Director of Lennox Industries’ European Operations. Prior to joining Lennox Industries, Mr. Munson served in various capacities with the Howden Group, a company located in Scotland, and The Trane Company, including serving as the managing director of various companies within the Howden Group and Vice President Europe for The Trane Company. He is currently a consultant. Mr. Munson is a resident of England. He has degrees in mechanical engineering and business administration from the University of Minnesota. Mr. Munson’s extensive experience in the climate control industry, and his leadership skills obtained through his service as senior executive and a managing director of Lennox Industries, among other factors, led the Board to conclude that he should serve as a director.</w:t>
      </w:r>
    </w:p>
    <w:p>
      <w:pPr>
        <w:spacing w:after="0" w:line="13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color w:val="auto"/>
        </w:rPr>
        <w:t>Ronald V. Perry</w:t>
      </w:r>
      <w:r>
        <w:rPr>
          <w:rFonts w:ascii="Times New Roman" w:cs="Times New Roman" w:eastAsia="Times New Roman" w:hAnsi="Times New Roman"/>
          <w:sz w:val="18"/>
          <w:szCs w:val="18"/>
          <w:color w:val="auto"/>
        </w:rPr>
        <w:t>, age 63. Mr. Perry first became a director in August 2007. His term will expire in 2014. In 2011, after 32 years, Mr. Perry stepped down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of Prime Time Travel, which he founded. He continues with Prime Time Travel as a member of the Executive Committee, Director and Treasurer. He is an elected member of the Board of Directors of Metro Technology Centers. Mr. Perry has served in various charitable and civic organizations. He has had leadership positions with Leadership OKC, Rotary Club of OKC and the American Heart Association. He is also past President of the Board of Directors for the Regional Food Bank of Oklahoma. In 2007, the mayor of Oklahoma City appointed Mr. Perry to serve as a commissioner on the Oklahoma City Convention and Visitors Bureau. Mr. Perry graduated from Oklahoma State University, with a Bachelor’s degree in Business Administration and then served as a captain in the United States Army. His leadership skills, business experience and promotions experience, among other factors, led the Board to conclude that he should serve as a director.</w:t>
      </w:r>
    </w:p>
    <w:p>
      <w:pPr>
        <w:spacing w:after="0" w:line="13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Tony M. Shelby, </w:t>
      </w:r>
      <w:r>
        <w:rPr>
          <w:rFonts w:ascii="Times New Roman" w:cs="Times New Roman" w:eastAsia="Times New Roman" w:hAnsi="Times New Roman"/>
          <w:sz w:val="18"/>
          <w:szCs w:val="18"/>
          <w:color w:val="auto"/>
        </w:rPr>
        <w:t>age 71. Mr. Shelby first became a director in 1971. His term will expire in 2014. Mr. Shelby, a certified public accountant, is our Executive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of Finance and Chief Financial Officer, a position he has held for more than 10 years. Mr. Shelby has served as a member of the LSB executive management team since our inception in 1969. Prior to becoming our Executive Vice President of Finance and Chief Financial Officer, he served as Chief Financial Officer of a subsidiary of LSB and was with the accounting firm of Arthur Young &amp; Co., a predecessor to Ernst &amp; Young LLP. Mr. Shelby is a graduate of Oklahoma City University. Mr. Shelby’s financial and accounting experience, his demonstrated leadership skills within the Company, and extensive understanding of the industries in which we operate, among other factors, led the Board to conclude that he should serve as a director.</w:t>
      </w:r>
    </w:p>
    <w:p>
      <w:pPr>
        <w:spacing w:after="0" w:line="139" w:lineRule="exact"/>
        <w:rPr>
          <w:sz w:val="20"/>
          <w:szCs w:val="20"/>
          <w:color w:val="auto"/>
        </w:rPr>
      </w:pPr>
    </w:p>
    <w:p>
      <w:pPr>
        <w:ind w:right="180"/>
        <w:spacing w:after="0" w:line="285" w:lineRule="auto"/>
        <w:rPr>
          <w:sz w:val="20"/>
          <w:szCs w:val="20"/>
          <w:color w:val="auto"/>
        </w:rPr>
      </w:pPr>
      <w:r>
        <w:rPr>
          <w:rFonts w:ascii="Times New Roman" w:cs="Times New Roman" w:eastAsia="Times New Roman" w:hAnsi="Times New Roman"/>
          <w:sz w:val="16"/>
          <w:szCs w:val="16"/>
          <w:b w:val="1"/>
          <w:bCs w:val="1"/>
          <w:color w:val="auto"/>
        </w:rPr>
        <w:t>John A. Shelley</w:t>
      </w:r>
      <w:r>
        <w:rPr>
          <w:rFonts w:ascii="Times New Roman" w:cs="Times New Roman" w:eastAsia="Times New Roman" w:hAnsi="Times New Roman"/>
          <w:sz w:val="16"/>
          <w:szCs w:val="16"/>
          <w:color w:val="auto"/>
        </w:rPr>
        <w:t>, age 62. Mr. Shelley first became a director in 2005. His term will expire in 2015. Mr. Shelley is the President and Chief Executive Officer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Bank of Union located in Oklahoma. He has held this position since 1997. Prior to 1997, Mr. Shelley held various senior level positions in financial institutions in Oklahoma, including the position of President of Equity Bank for Savings, N.A., a savings and loan that was owned by us prior to 1994, former member of the Board of Directors of the Oklahoma Bankers Association and former Commissioner of the Oklahoma Securities Commission. He is a Trustee of the Advantage Health Plans Trust and a Trustee of the Oklahoma City Retailers Foundation Affiliated fund of the Oklahoma City Community Foundation.</w:t>
      </w:r>
    </w:p>
    <w:p>
      <w:pPr>
        <w:spacing w:after="0" w:line="2"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Mr. Shelley is a graduate of the University of Oklahoma. Mr. Shelley’s experience in the banking industry and his financial experience obtained through his service as Chief Executive Officer of the Bank of Union, among other factors, led the Board to conclude that he should serve as a director.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92"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auto"/>
        </w:rPr>
        <w:t>Certain information concerning our executive officers is contained in Part I of this annual report on Form 10-K under the caption “Executive Officers of the Registrant” and is incorporated by reference herein.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Jack E. Golsen—Father of Barry H. Golsen and Steven J. Golsen; Brother-in-law of Robert C. Brown.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Barry H. Golsen – Son of Jack E. Golsen; Brother of Steven J. Golsen; Nephew of Robert C. Brown.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J. Golsen—Son of Jack E. Golsen; Brother of Barry H. Golsen; Nephew of Robert C. Brown.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C. Brown—Father of Heidi Brown Shear; Uncle of Barry H. Golsen and Steven J. Golsen.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M. Shear—Nephew by marriage to Jack E. Golsen; Son-in-law of Robert C. Brown.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Heidi Brown Shear, Vice President and Managing Counsel of the Company—Daughter of Robert C. Brown and spouse of David M. Shear.</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00"/>
          </w:cols>
          <w:pgMar w:left="240" w:top="455" w:right="2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9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Section 16(a) of the Exchange Act of 1934, as amended (the “Exchange Act”), requires our directors, officers, and beneficial owners of more than 10% of LSB’s common stock to file with the Securities and Exchange Commission reports of holdings and changes in beneficial ownership of LSB’s stock. Based solely on a review of copies of the Forms 3, 4 and 5 and amendments thereto furnished to us with respect to 2012, or written representations that no Form 5 was required to be filed, we believe that during 2012 all our directors and officers and beneficial owners of more than 10% of LSB’s common stock filed timely their required Forms 3, 4, or 5.</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92" w:lineRule="exact"/>
        <w:rPr>
          <w:sz w:val="20"/>
          <w:szCs w:val="20"/>
          <w:color w:val="auto"/>
        </w:rPr>
      </w:pPr>
    </w:p>
    <w:p>
      <w:pPr>
        <w:ind w:right="500"/>
        <w:spacing w:after="0" w:line="262" w:lineRule="auto"/>
        <w:rPr>
          <w:sz w:val="20"/>
          <w:szCs w:val="20"/>
          <w:color w:val="auto"/>
        </w:rPr>
      </w:pPr>
      <w:r>
        <w:rPr>
          <w:rFonts w:ascii="Times New Roman" w:cs="Times New Roman" w:eastAsia="Times New Roman" w:hAnsi="Times New Roman"/>
          <w:sz w:val="18"/>
          <w:szCs w:val="18"/>
          <w:color w:val="auto"/>
        </w:rPr>
        <w:t>The Chief Executive Officer, the Chief Financial Officer, the principal accounting officer, and the controller of LSB and each of its subsidiaries, or persons performing similar functions, are subject to our Code of Ethics. We have adopted a Statement of Policy Concerning Business Conduct applicable to our employees.</w:t>
      </w:r>
    </w:p>
    <w:p>
      <w:pPr>
        <w:spacing w:after="0" w:line="132"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color w:val="auto"/>
        </w:rPr>
        <w:t xml:space="preserve">Our Code of Ethics and Statement of Policy Concerning Business Conduct are available on our website at </w:t>
      </w:r>
      <w:r>
        <w:rPr>
          <w:rFonts w:ascii="Times New Roman" w:cs="Times New Roman" w:eastAsia="Times New Roman" w:hAnsi="Times New Roman"/>
          <w:sz w:val="18"/>
          <w:szCs w:val="18"/>
          <w:u w:val="single" w:color="auto"/>
          <w:color w:val="auto"/>
        </w:rPr>
        <w:t>www.lsbindustries.com</w:t>
      </w:r>
      <w:r>
        <w:rPr>
          <w:rFonts w:ascii="Times New Roman" w:cs="Times New Roman" w:eastAsia="Times New Roman" w:hAnsi="Times New Roman"/>
          <w:sz w:val="18"/>
          <w:szCs w:val="18"/>
          <w:color w:val="auto"/>
        </w:rPr>
        <w:t>. We will post any amendments to these documents, as well as any waivers that are required to be disclosed pursuant to the rules of either the Securities and Exchange Commission or the NYSE Euronext (“NYSE”), on our website.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9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have a separately-designated standing audit committee established in accordance with Section 3(a)(58)(A) of the Exchange Act. The members of the Audit Committee are Messrs. Bernard Ille (Chairman through February 24, 2012), Charles Burtch (Chairman effective February 24, 2012), Ronald Perry and John Shelley. Horace Rhodes was a member of the Audit Committee until his death on January 1, 2013. Mr. Perry was named to the Audit Committee on January 23, 2013. The Board has determined that each member of the Audit Committee is independent, as defined in the listing standards of the NYSE as of our fiscal year end. The Board has adopted an Audit Committee Charter, which governs the responsibilities of the Audit Committee. During 2012, the Audit Committee held five meetings.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Financial Expert</w:t>
      </w:r>
    </w:p>
    <w:p>
      <w:pPr>
        <w:spacing w:after="0" w:line="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While the Board of Directors endorses the effectiveness of our Audit Committee, its membership does not presently include a director that qualifies for designation as an “audit committee financial expert.” However, each of the current members of the Audit Committee is financially literate and able to read and understand fundamental financial statements and at least one of its members has financial management expertise. The Board of Directors believes that the background and experience of each member of the Audit Committee is sufficient to fulfill the duties of the Audit Committee. For these reasons, although members of our Audit Committee are not professionally engaged in the practice of accounting or auditing, our Board of Directors has concluded that the ability of our Audit Committee to perform its duties is not impaired by the absence of an “audit committee financial expert.”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9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have a separately-designated standing Nominating and Corporate Governance Committee (the “Nominating Committee”). The members of the Nominating Committee are Messrs. John Shelley (Chairman), Bernard Ille, and Donald Munson. Horace Rhodes was a member of the Nominating Committee until his death on January 1, 2013. Mr. Munson was named to the Nominating Committee on January 17, 2013. The Board has determined that each member of the Nominating Committee is independent, in accordance with listing standards of the NYSE. The Board has adopted a Nominating and Corporate Governance Committee Charter which governs the responsibilities of the Nominating Committee. The Board has also adopted Corporate Governance Guidelines. During 2012, the Nominating Committee held two meetings.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and Stock Option Committee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a separately-designated Compensation and Stock Option Committee (the “Compensation Committee”). The members of the Compensation Committee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are Messrs. Charles Burtch (Chairman) and Bernard Ille, each of whom is a non-employee, independent director in accordance with the rules of the NYSE.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Board has adopted a Compensation and Stock Option Committee Charter, which governs the responsibilities of the Compensation Committee. During 2012,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Compensation Committee held three meetings. Horace Rhodes was a member and Chairman of the Compensation Committee until his death on January 1, 2013.</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00"/>
          </w:cols>
          <w:pgMar w:left="240" w:top="455" w:right="2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Committee’s responsibilities include, among other duties, the responsibility to:</w:t>
      </w:r>
    </w:p>
    <w:p>
      <w:pPr>
        <w:spacing w:after="0" w:line="90" w:lineRule="exact"/>
        <w:rPr>
          <w:sz w:val="20"/>
          <w:szCs w:val="20"/>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the base salary, incentive compensation and any other compensation for our executive officers;</w:t>
      </w:r>
    </w:p>
    <w:p>
      <w:pPr>
        <w:spacing w:after="0" w:line="90" w:lineRule="exact"/>
        <w:rPr>
          <w:rFonts w:ascii="Times New Roman" w:cs="Times New Roman" w:eastAsia="Times New Roman" w:hAnsi="Times New Roman"/>
          <w:sz w:val="18"/>
          <w:szCs w:val="18"/>
          <w:color w:val="auto"/>
        </w:rPr>
      </w:pPr>
    </w:p>
    <w:p>
      <w:pPr>
        <w:ind w:left="900" w:right="80" w:hanging="325"/>
        <w:spacing w:after="0" w:line="275"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our management incentive and stock-based compensation plans, non-qualified death benefits, salary continuation and welfare plans, and discharge the duties imposed on the Compensation Committee by the terms of those plans; and</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other functions or duties deemed appropriate by the Board.</w:t>
      </w:r>
    </w:p>
    <w:p>
      <w:pPr>
        <w:spacing w:after="0" w:line="17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Decisions regarding non-equity compensation of our non-executive officers and our executive officers named in the Summary Compensation Table (the “named executive officers”) other than the Chief Executive Officer, the President, and Chief Operating Officer of the Climate Control Business, are made by our Chief Executive Officer and presented for approval or modification by the Committee. Historically, the Compensation Committee has generally adopted such recommendations of the Chief Executive Officer.</w:t>
      </w:r>
    </w:p>
    <w:p>
      <w:pPr>
        <w:spacing w:after="0" w:line="13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agenda for meetings of the Compensation Committee is determined by its Chairman with the assistance of our Chief Executive Officer. Committee meetings are regularly attended by the Chief Executive Officer. At each Compensation Committee meeting, the Compensation Committee also meets in executive session without the Chief Executive Officer. The Committee may delegate authority to the Chief Executive Officer in order to fulfill certain administrative duties regarding the compensation programs.</w:t>
      </w:r>
    </w:p>
    <w:p>
      <w:pPr>
        <w:spacing w:after="0" w:line="13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Compensation Committee has authority under its charter to retain, approve fees for, and terminate advisors, consultants and agents as it deems necessary to assist in the fulfillment of its responsibilities. If a compensation consultant is engaged, the Compensation Committee reviews the total fees paid to such outside consultant by the Company to ensure that the consultant maintains its objectivity and independence when rendering advice to the Compensation Committee. For 2012, no compensation consultants were engaged by the Compensation Committee or by management of the Company.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 Charters</w:t>
      </w:r>
    </w:p>
    <w:p>
      <w:pPr>
        <w:spacing w:after="0" w:line="92"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A current copy of the following charters and guidelines are available on our website at www.lsbindustries.com and are also available from the Company upon request to the Secretary:</w:t>
      </w:r>
    </w:p>
    <w:p>
      <w:pPr>
        <w:spacing w:after="0" w:line="39" w:lineRule="exact"/>
        <w:rPr>
          <w:sz w:val="20"/>
          <w:szCs w:val="20"/>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Charter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and Corporate Governance Committee Charter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Governance Guidelines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Stock Option Committee Charter</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92" w:lineRule="exact"/>
        <w:rPr>
          <w:sz w:val="20"/>
          <w:szCs w:val="20"/>
          <w:color w:val="auto"/>
        </w:rPr>
      </w:pPr>
    </w:p>
    <w:p>
      <w:pPr>
        <w:ind w:right="80"/>
        <w:spacing w:after="0" w:line="293" w:lineRule="auto"/>
        <w:rPr>
          <w:sz w:val="20"/>
          <w:szCs w:val="20"/>
          <w:color w:val="auto"/>
        </w:rPr>
      </w:pPr>
      <w:r>
        <w:rPr>
          <w:rFonts w:ascii="Times New Roman" w:cs="Times New Roman" w:eastAsia="Times New Roman" w:hAnsi="Times New Roman"/>
          <w:sz w:val="16"/>
          <w:szCs w:val="16"/>
          <w:color w:val="auto"/>
        </w:rPr>
        <w:t>The Compensation Committee has the authority to set the compensation of all of our officers. This Compensation Committee considers the recommendations of the Chief Executive Officer when setting the compensation of our officers. The Chief Executive Officer does not make a recommendation regarding his own salary, and does not make any recommendation as to the President’s salary. The members of the Compensation Committee are the following non-employee directors: Charles A. Burtch (Chairman), and Bernard G. Ille. Horace Rhodes was a member and Chairman of the Compensation Committee until his death on January 1, 2013. Neither Mr. Rhodes, Mr. Burtch nor Mr</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Ille is, or ever has been, an officer or employee of the Company or any of its subsidiaries. None of our executive officers or members of the Compensation Committee had any relationship requiring disclosure under Item 404 of Regulation S-K during 2012.</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11. EXECUTIVE COMPENSATION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Compensation Program</w:t>
      </w:r>
    </w:p>
    <w:p>
      <w:pPr>
        <w:spacing w:after="0" w:line="92" w:lineRule="exact"/>
        <w:rPr>
          <w:sz w:val="20"/>
          <w:szCs w:val="20"/>
          <w:color w:val="auto"/>
        </w:rPr>
      </w:pPr>
    </w:p>
    <w:p>
      <w:pPr>
        <w:ind w:right="440"/>
        <w:spacing w:after="0" w:line="262" w:lineRule="auto"/>
        <w:rPr>
          <w:sz w:val="20"/>
          <w:szCs w:val="20"/>
          <w:color w:val="auto"/>
        </w:rPr>
      </w:pPr>
      <w:r>
        <w:rPr>
          <w:rFonts w:ascii="Times New Roman" w:cs="Times New Roman" w:eastAsia="Times New Roman" w:hAnsi="Times New Roman"/>
          <w:sz w:val="18"/>
          <w:szCs w:val="18"/>
          <w:color w:val="auto"/>
        </w:rPr>
        <w:t>Our long-term success depends on our ability to efficiently operate our facilities, to continue to develop our product lines and technologies, and to focus on developing our product markets. To achieve these goals, it is important that we be able to attract, motivate, and retain highly talented individuals who are committed to our values and goals.</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340"/>
          </w:cols>
          <w:pgMar w:left="240" w:top="455" w:right="31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The Compensation Committee has the responsibility to establish, in consultation with management, our compensation philosophy for our senior executive officers and to implement and oversee a compensation program consistent with the philosophy. This group of senior executive officers includes the named executive officers, as well as our other executives.</w:t>
      </w:r>
    </w:p>
    <w:p>
      <w:pPr>
        <w:spacing w:after="0" w:line="13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A primary objective of the Compensation Committee is to ensure that the compensation paid to the senior executive officers is fair, reasonable, competitive, and provides incentives for superior performance. The Compensation Committee is responsible for approval of all decisions for the direct compensation, including the base salary and bonuses, stock options and other benefit programs for our senior executive officers, including the named executive officers.</w:t>
      </w:r>
    </w:p>
    <w:p>
      <w:pPr>
        <w:spacing w:after="0" w:line="132"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In general, the day-to-day administration of savings, health and welfare plans and policies are handled by a team of our legal and finance department employees. The Compensation Committee (or Board) remains responsible for key policy changes outside of the day-to-day requirements necessary to maintain these plans and policies.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 and Objectives</w:t>
      </w:r>
    </w:p>
    <w:p>
      <w:pPr>
        <w:spacing w:after="0" w:line="9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Compensation Committee believes that the most effective executive compensation program rewards the executive’s achievements and contribution towards the Company achieving its long-term strategic goals. However, the Compensation Committee does not believe that executive compensation should be tied to specific numeric or formulaic financial goals or only to stock price performance. The Compensation Committee recognizes that, given the volatility of the markets in which we do business, general economic conditions, and numerous other factors, our financial performance for a particular period may or may not be an accurate measurement of our senior executive officers’ performance.</w:t>
      </w:r>
    </w:p>
    <w:p>
      <w:pPr>
        <w:spacing w:after="0" w:line="13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Compensation Committee values both personal contribution and teamwork as factors to be rewarded. The Compensation Committee evaluates both performance and compensation to ensure that we maintain our ability to attract and retain highly talented employees in key positions, with the goal of ensuring that compensation to our senior executive officers remains competitive while considering the internal pay ratios among executives and other key employees. The Compensation Committee believes that executive compensation packages should include cash and bonus compensation, as well as other benefit programs to encourage senior executive officers to remain with the Company and have interests aligned with those of the Company. As a result, the Compensation Committee reviews the number of stock options exercised by senior executive officers during recent periods, if any, as well as stock options currently held by the senior executive officers. This analysis enables the Compensation Committee to determine whether the grant of additional stock-based compensation may be advisable to ensure that our senior executive officers’ long term interests are aligned with those of the Company. Based on the foregoing, the Compensation Committee focuses on the following criteria when developing our executive compensation program:</w:t>
      </w:r>
    </w:p>
    <w:p>
      <w:pPr>
        <w:spacing w:after="0" w:line="62" w:lineRule="exact"/>
        <w:rPr>
          <w:sz w:val="20"/>
          <w:szCs w:val="20"/>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should be based on the level of job responsibility, executive performance, and our performance;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should enable us to attract and retain key talent;</w:t>
      </w:r>
    </w:p>
    <w:p>
      <w:pPr>
        <w:spacing w:after="0" w:line="90" w:lineRule="exact"/>
        <w:rPr>
          <w:rFonts w:ascii="Times New Roman" w:cs="Times New Roman" w:eastAsia="Times New Roman" w:hAnsi="Times New Roman"/>
          <w:sz w:val="18"/>
          <w:szCs w:val="18"/>
          <w:color w:val="auto"/>
        </w:rPr>
      </w:pPr>
    </w:p>
    <w:p>
      <w:pPr>
        <w:ind w:left="900" w:right="120" w:hanging="325"/>
        <w:spacing w:after="0" w:line="275"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should be competitive with compensation offered by other companies that compete with us for talented individuals in our geographic area;</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should reward performance;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should motivate executives to achieve our strategic and operational goals;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compensation should be reasonable when compared to the average compensation of our other employees.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EXECUTIVE SUMMARY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Setting Executive Compensation</w:t>
      </w:r>
    </w:p>
    <w:p>
      <w:pPr>
        <w:spacing w:after="0" w:line="9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The Compensation Committee sets annual cash and non-cash executive compensation to reward the named executive officers for achievement and to motivate the named executive officers to achieve long-term business objectives. The Compensation Committee is unable to use direct comparisons to a peer group in determining the compensation package because of the diverse nature of our lines of business. The Compensation Committee reviewed some generally available national and regional compensation information for companies of our size. This information was used to determine whether our compensation amounts are within the range of similarly sized companies. The Compensation Committee considered base salary and current bonus awards in determining overall compensation. The Compensation Committee does not have a policy allocating long term and currently paid compensation, but does consider stock options to be long-term compensation. The Compensation Committee also considered the allocation between cash and non-cash compensation amounts, but does not have a specific formula or required allocation between such compensation amounts. Instead, such amounts are taken into account as part of the overall compensation determination. The Compensation Committee compares the Chief Executive Officer’s total compensation to the total compensation of our other named executive officers. However, the Compensation Committee has not established a target ratio between total compensation of the Chief Executive Officer and the median total compensation level for the next lower tier of management. The Compensation Committee also considers internal pay equity among the named executive officers and in relation to next lower tier of management and average compensation of all employees in order to maintain compensation levels that are consistent with the individual contributions and responsibilities of those executive officers. The Compensation Committee does not consider amounts payable under severance agreements when setting the annual compensation of the named executive officers. Although the Compensation Committee has not engaged outside consultants to assist in conducting its annual review of the total compensation program, it may do so in the future.</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455" w:right="2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Consideration of Stockholder Say-On-Pay Advisory Vote.</w:t>
      </w:r>
    </w:p>
    <w:p>
      <w:pPr>
        <w:spacing w:after="0" w:line="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our annual meeting of stockholders held in May 2012, our stockholders voted, on a non-binding, advisory basis, on the compensation of our named executive officers for 2011. A substantial majority (more than 96%) of the total votes cast on our say-on-pay proposal at that meeting approved the compensation of our named officers for 2011 on a non-binding, advisory basis. The Compensation Committee and the Board believes that this affirms our stockholders’ support of our approach to executive compensation, and, accordingly, the Compensation Committee did not materially change its approach to executive compensation in 2012 in connection with the say-on-pay proposal. The Compensation Committee expects to consider the results of future stockholder say-on-pay advisory votes when making future compensation decisions for our named executive officers. We will hold an advisory vote on the compensation of named executive officers at our 2013 annual meeting of stockholders.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Executive Officers in Compensation Decisions</w:t>
      </w:r>
    </w:p>
    <w:p>
      <w:pPr>
        <w:spacing w:after="0" w:line="9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Chief Executive Officer annually reviews the performance of each of our named executive officers (other than the Chief Executive Officer, the President and the Chief Operating Officer of the Climate Control Business) and presents to the Compensation Committee recommendations with respect to salary, bonuses and other benefit items. The Compensation Committee considers such recommendations in light of the Compensation Committee’s philosophy and objectives and exercises its discretion in accepting or modifying the recommended compensation. Historically, the Compensation Committee has generally adopted the recommended compensation. In determining compensation for the Chief Executive Officer, the President and the Chief Operating Officer of the Climate Control Business, the Compensation Committee reviews the responsibilities and performance of each of them. Such review includes interviewing these officers and consideration of the Compensation Committee’s observations of these officers during the applicable year.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2012 Executive Compensation Components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fiscal year ended December 31, 2012, the principal components of compensation for the named executive officers were:</w:t>
      </w:r>
    </w:p>
    <w:p>
      <w:pPr>
        <w:spacing w:after="0" w:line="90" w:lineRule="exact"/>
        <w:rPr>
          <w:sz w:val="20"/>
          <w:szCs w:val="20"/>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bonus;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death benefit and salary continuation plans;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perquisites and other personal benefits.</w:t>
      </w:r>
    </w:p>
    <w:p>
      <w:pPr>
        <w:spacing w:after="0" w:line="171" w:lineRule="exact"/>
        <w:rPr>
          <w:sz w:val="20"/>
          <w:szCs w:val="20"/>
          <w:color w:val="auto"/>
        </w:rPr>
      </w:pPr>
    </w:p>
    <w:p>
      <w:pPr>
        <w:ind w:right="60"/>
        <w:spacing w:after="0" w:line="296" w:lineRule="auto"/>
        <w:rPr>
          <w:sz w:val="20"/>
          <w:szCs w:val="20"/>
          <w:color w:val="auto"/>
        </w:rPr>
      </w:pPr>
      <w:r>
        <w:rPr>
          <w:rFonts w:ascii="Times New Roman" w:cs="Times New Roman" w:eastAsia="Times New Roman" w:hAnsi="Times New Roman"/>
          <w:sz w:val="16"/>
          <w:szCs w:val="16"/>
          <w:color w:val="auto"/>
        </w:rPr>
        <w:t>The Compensation Committee did not award equity-based compensation, such as stock options, to the named executive officers in 2012. As discussed below, the Compensation Committee awarded salary increases and bonuses to the named executive officers for 2012. Those awards were considered sufficient to provide competitively based incentives to our executives to advance company performance, without granting equity based compensation as well. The Committee’s assessment was that the named executive officers in 2012 continued to maintain a sufficient ownership interest in the Company to provide alignment with the Company’s long-term interests. We do not benchmark the amount of total compensation or any material element of compensation.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9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We provide the named executive officers and other senior executive officers with base salary to compensate them for services rendered during the year. We do not have a defined benefit or qualified retirement plan for our executives. This factor is considered when setting the base compensation for senior executive officers since it is expected that senior executive officers will take responsibility for their individual retirement plan arrangements.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00"/>
          </w:cols>
          <w:pgMar w:left="240" w:top="455" w:right="2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Base salaries are determined for the named executive officers in the discretion of the Compensation Committee based upon the recommendations of the Chief Executive Officer’s assessment of the executive’s compensation, both individually and relative to the other senior executive officers, and based upon an assessment of the individual performance of the executive during the preceding year. In determining the base salary for the Chief Executive Officer, the President and the Chief Operating Officer of the Climate Control Business, the Compensation Committee exercises its judgment based on its observations of such senior executive officers and the Compensation Committee’s assessment of such officers’ contribution to the Company’s performance and other leadership achievements. Although the Compensation Committee does not use specific performance targets to set base salaries or bonuses, the Compensation Committee awarded salary increases in 2012 based on the above criteria and with consideration of the overall improved financial performance of the Company during challenging economic conditions.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Bonuses</w:t>
      </w:r>
    </w:p>
    <w:p>
      <w:pPr>
        <w:spacing w:after="0" w:line="9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Compensation Committee may award cash bonuses to the named executive officers to reward outstanding performance. No bonus is guaranteed, and there is no defined range of bonus amounts that the Compensation Committee may award. Bonus awards are made at the Compensation Committee’s discretion based upon an assessment of an individual’s overall contribution to the Company. Based on the assessments and recommendations described below, the Compensation Committee awarded bonuses to the managers and executive officers in 2012.</w:t>
      </w:r>
    </w:p>
    <w:p>
      <w:pPr>
        <w:spacing w:after="0" w:line="136"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Bonus awards are based upon assessment of an individual’s overall contribution to the Company. This assessment includes a subjective analysis of the achievement of an individual’s goals for their areas of responsibility, the individual’s contribution to the achievement of our priorities and strategic plans, and the individual’s material accomplishments achieved during the year. In considering an individual’s overall contribution to the Company, the Compensation Committee will account for the individual’s level of experience relevant to the Company’s businesses, the individual’s tenure with the Company, and the individual’s level of responsibility. The assessment is a subjective evaluation of accomplishment and contribution to the Company and is not based on the achievement of specific performance metrics. Our CEO, Jack E. Golsen, provides the Compensation Committee with his assessment of the contributions to the Company during the applicable year by our named executive officers other than for himself, Barry H. Golsen, our President, and Steven J. Golsen, our Chief Operating Officer for our Climate Control Business, for purposes of determining bonus compensation for such year. The Compensation Committee discusses our CEOs recommendations with the CEO, and in the past has generally accepted the CEOs’ recommendations as to bonuses for our named executive officers. With respect to bonus awards for Jack E. Golsen, Barry H. Golsen and Steven J. Golsen, the Compensation Committee assesses the overall contribution of each of them based on the interaction with each of them, review of the matters that are presented to the Board of Directors for consideration or discussion, and interviews with other senior executive officers.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assessing the overall contribution of Jack E. Golsen to the Company for purposes of bonus compensation, the Compensation Committee considered</w:t>
      </w:r>
    </w:p>
    <w:p>
      <w:pPr>
        <w:spacing w:after="0" w:line="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Mr. Golsen’s management of the Company through challenging global economic conditions, the profitability of the Company, the retention and development of our executive team, his development of key business relationships for the Company, and his efforts in developing strategies for the Company’s future revenue and market growth. Mr. Golsen’s level of responsibility and the effectiveness of his leadership were also considered in the assessment of his overall contribution to the Company during 2012. In addition, the Compensation Committee considered and complied with the terms of Mr. Golsen’s Employment Agreement with the Company.</w:t>
      </w:r>
    </w:p>
    <w:p>
      <w:pPr>
        <w:spacing w:after="0" w:line="139" w:lineRule="exact"/>
        <w:rPr>
          <w:sz w:val="20"/>
          <w:szCs w:val="20"/>
          <w:color w:val="auto"/>
        </w:rPr>
      </w:pPr>
    </w:p>
    <w:p>
      <w:pPr>
        <w:jc w:val="both"/>
        <w:ind w:right="500"/>
        <w:spacing w:after="0" w:line="301" w:lineRule="auto"/>
        <w:rPr>
          <w:sz w:val="20"/>
          <w:szCs w:val="20"/>
          <w:color w:val="auto"/>
        </w:rPr>
      </w:pPr>
      <w:r>
        <w:rPr>
          <w:rFonts w:ascii="Times New Roman" w:cs="Times New Roman" w:eastAsia="Times New Roman" w:hAnsi="Times New Roman"/>
          <w:sz w:val="16"/>
          <w:szCs w:val="16"/>
          <w:color w:val="auto"/>
        </w:rPr>
        <w:t>The assessment of Tony M. Shelby’s overall contribution to the Company for purposes of bonus compensation included an evaluation of the complexity of Mr. Shelby’s responsibilities as our chief financial officer, his leadership in the management of the Company’s financial resources, his efforts in developing strategies for the Company’s future revenue growth, his accomplishments in negotiating important commercial contracts, his development of key business relationships for the Company, and his continued commitment to enhancing our internal audit function and improving its finance processes.</w:t>
      </w:r>
    </w:p>
    <w:p>
      <w:pPr>
        <w:spacing w:after="0" w:line="10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assessment of Barry H. Golsen’s overall contribution to the Company for purposes of determining his bonus compensation included his leadership of the Company and our climate control and chemical businesses through challenging global economic conditions, profitability of the Company for 2012, his retention and development of our management, his accomplishments in developing improved investor and shareholder communication, and his efforts in developing the Company’s future market growth.</w:t>
      </w:r>
    </w:p>
    <w:p>
      <w:pPr>
        <w:spacing w:after="0" w:line="136" w:lineRule="exact"/>
        <w:rPr>
          <w:sz w:val="20"/>
          <w:szCs w:val="20"/>
          <w:color w:val="auto"/>
        </w:rPr>
      </w:pPr>
    </w:p>
    <w:p>
      <w:pPr>
        <w:ind w:right="40"/>
        <w:spacing w:after="0" w:line="310" w:lineRule="auto"/>
        <w:rPr>
          <w:sz w:val="20"/>
          <w:szCs w:val="20"/>
          <w:color w:val="auto"/>
        </w:rPr>
      </w:pPr>
      <w:r>
        <w:rPr>
          <w:rFonts w:ascii="Times New Roman" w:cs="Times New Roman" w:eastAsia="Times New Roman" w:hAnsi="Times New Roman"/>
          <w:sz w:val="16"/>
          <w:szCs w:val="16"/>
          <w:color w:val="auto"/>
        </w:rPr>
        <w:t>The assessment of Steven J. Golsen’s overall contribution to the Company for purposes of determining his bonus compensation included his leadership of our climate control business and machine tool and specialized engineering business through challenging global economic conditions, profitability of the Company for 2012, his recruitment, retention and development of our management, and his involvement in developing plans for the Company’s future growth.</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455" w:right="2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20"/>
        <w:spacing w:after="0" w:line="310" w:lineRule="auto"/>
        <w:rPr>
          <w:sz w:val="20"/>
          <w:szCs w:val="20"/>
          <w:color w:val="auto"/>
        </w:rPr>
      </w:pPr>
      <w:r>
        <w:rPr>
          <w:rFonts w:ascii="Times New Roman" w:cs="Times New Roman" w:eastAsia="Times New Roman" w:hAnsi="Times New Roman"/>
          <w:sz w:val="16"/>
          <w:szCs w:val="16"/>
          <w:color w:val="auto"/>
        </w:rPr>
        <w:t>The assessment of David R. Goss’ overall contribution to the Company for purposes of bonus compensation included an evaluation of the complexity of Mr. Goss’ responsibilities as our executive vice president of operations, especially during challenging global economic conditions, his management and development of our chemical facility located in Pryor, Oklahoma, and his management of our resources with a view to their most productive and efficient uses.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assessment of David M. Shear’s overall contribution to the Company for purposes of bonus compensation included an evaluation of the complexity of</w:t>
      </w:r>
    </w:p>
    <w:p>
      <w:pPr>
        <w:spacing w:after="0" w:line="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Mr. Shear’s responsibilities as our general counsel, the effectiveness of his oversight of our legal department, his management of litigation and corporate matters, his accomplishments in negotiating important commercial contracts, the utility of his communications with our Board of Directors and executive officers, his contributions to the oversight of the our corporate governance and compliance functions, and his leadership in the design and implementation of the Company’s chemical property insurance program and chemical plant reliability enhancement and risk reduction program.</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Death Benefit and Salary Continuation Plans</w:t>
      </w:r>
    </w:p>
    <w:p>
      <w:pPr>
        <w:spacing w:after="0" w:line="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sponsor non-qualified arrangements to provide a death benefit to the designated beneficiary of certain key employees (including certain of the named executive officers) in the event of such executive’s death (the “Death Benefit Plans”). We also have a non-qualified arrangement with certain of our key employees (including certain of the named executive officers) to provide compensation to such individuals in the event that they are employed by the Company at age 65 (the “Salary Continuation Plans”).</w:t>
      </w:r>
    </w:p>
    <w:p>
      <w:pPr>
        <w:spacing w:after="0" w:line="136"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Attributed costs of the personal benefits described above for the named executive officers for the fiscal year ended December 31, 2012, are discussed in footnote (1) and included in column (i) of the “Summary Compensation Table.”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 believes that the Death Benefit and Salary Continuation Plans are significant factors in:</w:t>
      </w:r>
    </w:p>
    <w:p>
      <w:pPr>
        <w:spacing w:after="0" w:line="90" w:lineRule="exact"/>
        <w:rPr>
          <w:sz w:val="20"/>
          <w:szCs w:val="20"/>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enabling the Company to retain its named executive officers;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encouraging our named executive officers to render outstanding service;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competitive levels of total compensation.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Severance Agreements</w:t>
      </w:r>
    </w:p>
    <w:p>
      <w:pPr>
        <w:spacing w:after="0" w:line="92"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16"/>
          <w:szCs w:val="16"/>
          <w:color w:val="auto"/>
        </w:rPr>
        <w:t>We have entered into change of control severance agreements with certain key employees, including the named executive officers. The severance agreements are designed to promote stability and continuity of senior management. The severance agreements provide generally that if an executive officer who is a party to a severance agreement is terminated, other than for cause, within 24 months after the occurrence of a change-in-control of the Company or the executive officer terminates his employment for good reason following a change in control, we must pay the executive officer an amount equal to 2.9 times the officer’s average annual gross salary for the last five years preceding the change in control. The Compensation Committee believes that the severance agreements are an important element in retaining our senior management. These severance agreements are described under “Severance Agreements” below. Information regarding applicable payments under such agreements for the named executive officers is provided under the heading “Potential Payments Upon Termination or Change-In-Control.”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Perquisites and Other Personal Benefits</w:t>
      </w:r>
    </w:p>
    <w:p>
      <w:pPr>
        <w:spacing w:after="0" w:line="9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We and the Compensation Committee believe that perquisites are necessary and appropriate parts of total compensation that contribute to our ability to attract and retain superior executives. Accordingly, we and the Compensation Committee provided our named executive officers and certain other executive officers a limited number of perquisites that are reasonable and consistent with our overall compensation program.</w:t>
      </w:r>
    </w:p>
    <w:p>
      <w:pPr>
        <w:spacing w:after="0" w:line="132"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We currently provide the named executive officers with the use of our automobiles, provide cell phones that are used primarily for business purposes, and pay the country club dues for certain of the executive officers. The executive officers are expected to use the country club in large part for business purposes.</w:t>
      </w:r>
    </w:p>
    <w:p>
      <w:pPr>
        <w:spacing w:after="0" w:line="120"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The Compensation Committee periodically reviews the levels of perquisites provided to the named executive officers to determine whether such perquisites are consistent with our compensation policies.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92" w:lineRule="exact"/>
        <w:rPr>
          <w:sz w:val="20"/>
          <w:szCs w:val="20"/>
          <w:color w:val="auto"/>
        </w:rPr>
      </w:pPr>
    </w:p>
    <w:p>
      <w:pPr>
        <w:jc w:val="both"/>
        <w:ind w:right="260"/>
        <w:spacing w:after="0" w:line="258" w:lineRule="auto"/>
        <w:rPr>
          <w:sz w:val="20"/>
          <w:szCs w:val="20"/>
          <w:color w:val="auto"/>
        </w:rPr>
      </w:pPr>
      <w:r>
        <w:rPr>
          <w:rFonts w:ascii="Times New Roman" w:cs="Times New Roman" w:eastAsia="Times New Roman" w:hAnsi="Times New Roman"/>
          <w:sz w:val="18"/>
          <w:szCs w:val="18"/>
          <w:color w:val="auto"/>
        </w:rPr>
        <w:t>We have no employment agreements with our named executive officers, except with Jack E. Golsen, our Chief Executive Officer. The terms of Mr. Golsen’s employment agreement are described below under “Employment Agreement.” We believe that Mr. Golsen’s employment agreement promotes stability in our senior management and encourages Mr. Golsen to provide superior service to us. The current term of the Employment Agreement expires March 21, 2014, but will automatically renew for up to two additional three-year periods, unless earlier terminated by either party with one year’s notice.</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00"/>
          </w:cols>
          <w:pgMar w:left="240" w:top="455" w:right="25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 Guidelines</w:t>
      </w:r>
    </w:p>
    <w:p>
      <w:pPr>
        <w:spacing w:after="0" w:line="92"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We have not established any guidelines which require our executive officers to acquire and hold our common stock. However, our named executive officers have historically acquired and maintained a significant ownership position in our common stock.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and Accounting Implications</w:t>
      </w:r>
    </w:p>
    <w:p>
      <w:pPr>
        <w:spacing w:after="0" w:line="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Deductibility of Executive Compensation—Section 162(m) of the Internal Revenue Code, provides that we may not deduct compensation of more than $1,000,000 of employee remuneration for named executive officers. However, the statute exempts qualifying performance-based compensation from the deduction limit when specified requirements are met. In the past, we have granted non-qualifying stock options to the named executive officers that do not meet the performance-based compensation criteria and are subject to the Section 162(m) limitation. Our compensation deduction was not limited by Section 162(m) in 2012, 2011 and 2010.</w:t>
      </w:r>
    </w:p>
    <w:p>
      <w:pPr>
        <w:spacing w:after="0" w:line="139"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Accounting for Stock-Based Compensation—We account for stock-based payments, including our incentive and nonqualified stock options, in accordance with United States generally accepted accounting principles.</w:t>
      </w:r>
    </w:p>
    <w:p>
      <w:pPr>
        <w:spacing w:after="0" w:line="2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Compensation and Stock Option Committee Report</w:t>
      </w:r>
    </w:p>
    <w:p>
      <w:pPr>
        <w:spacing w:after="0" w:line="173"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Our Compensation and Stock Option Committee has reviewed and discussed the Compensation Discussion and Analysis with management and, based on such review and discussions, the Compensation and Stock Option Committee recommended to the Board that the Compensation Discussion and Analysis be included herein.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Submitted by the Compensation and Stock Option Committee of the Company’s Board of Directors.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A. Burtch, Chairman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Bernard G. Ille</w:t>
      </w:r>
    </w:p>
    <w:p>
      <w:pPr>
        <w:spacing w:after="0" w:line="159"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total compensation paid or earned by each of the named executive officers for each of the three fiscal years in the period ended December 31, 2012.</w:t>
      </w:r>
    </w:p>
    <w:p>
      <w:pPr>
        <w:spacing w:after="0" w:line="1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340"/>
          </w:cols>
          <w:pgMar w:left="240" w:top="455" w:right="31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2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jc w:val="right"/>
              <w:ind w:right="36"/>
              <w:spacing w:after="0"/>
              <w:rPr>
                <w:sz w:val="20"/>
                <w:szCs w:val="20"/>
                <w:color w:val="auto"/>
              </w:rPr>
            </w:pPr>
            <w:r>
              <w:rPr>
                <w:rFonts w:ascii="Times New Roman" w:cs="Times New Roman" w:eastAsia="Times New Roman" w:hAnsi="Times New Roman"/>
                <w:sz w:val="14"/>
                <w:szCs w:val="14"/>
                <w:color w:val="auto"/>
              </w:rPr>
              <w:t>(b)</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(c)</w:t>
            </w: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85"/>
              </w:rPr>
              <w:t>(d)</w:t>
            </w:r>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w:t>
            </w:r>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7"/>
              </w:rPr>
              <w:t>(g)</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7"/>
              </w:rPr>
              <w:t>(h)</w:t>
            </w: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0"/>
              </w:rPr>
              <w:t>(i)</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(j)</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8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Borders>
              <w:top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color w:val="auto"/>
                <w:w w:val="97"/>
              </w:rPr>
              <w:t>Change in</w:t>
            </w:r>
          </w:p>
        </w:tc>
        <w:tc>
          <w:tcPr>
            <w:tcW w:w="1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w w:val="99"/>
              </w:rPr>
              <w:t>Pension</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4"/>
              </w:rPr>
              <w:t>Value and</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w w:val="96"/>
              </w:rPr>
              <w:t>Non-Equity</w:t>
            </w: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w w:val="97"/>
              </w:rPr>
              <w:t>Nonqualified</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Stock</w:t>
            </w:r>
          </w:p>
        </w:tc>
        <w:tc>
          <w:tcPr>
            <w:tcW w:w="6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Option</w:t>
            </w:r>
          </w:p>
        </w:tc>
        <w:tc>
          <w:tcPr>
            <w:tcW w:w="9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6"/>
              </w:rPr>
              <w:t>Incentive Plan</w:t>
            </w: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w w:val="96"/>
              </w:rPr>
              <w:t>Deferred</w:t>
            </w: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7"/>
              </w:rPr>
              <w:t>All Other</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Name and Principal Position</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Salary</w:t>
            </w:r>
          </w:p>
        </w:tc>
        <w:tc>
          <w:tcPr>
            <w:tcW w:w="8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4"/>
              </w:rPr>
              <w:t>Bonus</w:t>
            </w:r>
          </w:p>
        </w:tc>
        <w:tc>
          <w:tcPr>
            <w:tcW w:w="6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Awards</w:t>
            </w:r>
          </w:p>
        </w:tc>
        <w:tc>
          <w:tcPr>
            <w:tcW w:w="6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Awards</w:t>
            </w:r>
          </w:p>
        </w:tc>
        <w:tc>
          <w:tcPr>
            <w:tcW w:w="9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6"/>
              </w:rPr>
              <w:t>Compensation</w:t>
            </w:r>
          </w:p>
        </w:tc>
        <w:tc>
          <w:tcPr>
            <w:tcW w:w="9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6"/>
              </w:rPr>
              <w:t>Compensation</w:t>
            </w: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w w:val="96"/>
              </w:rPr>
              <w:t>Compensation</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22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w w:val="88"/>
              </w:rPr>
              <w:t>Year</w:t>
            </w:r>
          </w:p>
        </w:tc>
        <w:tc>
          <w:tcPr>
            <w:tcW w:w="820" w:type="dxa"/>
            <w:vAlign w:val="bottom"/>
            <w:gridSpan w:val="3"/>
          </w:tcPr>
          <w:p>
            <w:pPr>
              <w:jc w:val="center"/>
              <w:ind w:left="93"/>
              <w:spacing w:after="0" w:line="148" w:lineRule="exact"/>
              <w:rPr>
                <w:sz w:val="20"/>
                <w:szCs w:val="20"/>
                <w:color w:val="auto"/>
              </w:rPr>
            </w:pPr>
            <w:r>
              <w:rPr>
                <w:rFonts w:ascii="Times New Roman" w:cs="Times New Roman" w:eastAsia="Times New Roman" w:hAnsi="Times New Roman"/>
                <w:sz w:val="14"/>
                <w:szCs w:val="14"/>
                <w:color w:val="auto"/>
                <w:w w:val="97"/>
              </w:rPr>
              <w:t>($)</w:t>
            </w:r>
          </w:p>
        </w:tc>
        <w:tc>
          <w:tcPr>
            <w:tcW w:w="180" w:type="dxa"/>
            <w:vAlign w:val="bottom"/>
          </w:tcPr>
          <w:p>
            <w:pPr>
              <w:spacing w:after="0"/>
              <w:rPr>
                <w:sz w:val="14"/>
                <w:szCs w:val="14"/>
                <w:color w:val="auto"/>
              </w:rPr>
            </w:pPr>
          </w:p>
        </w:tc>
        <w:tc>
          <w:tcPr>
            <w:tcW w:w="6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14"/>
                <w:szCs w:val="14"/>
                <w:color w:val="auto"/>
              </w:rPr>
            </w:pPr>
          </w:p>
        </w:tc>
        <w:tc>
          <w:tcPr>
            <w:tcW w:w="42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420" w:type="dxa"/>
            <w:vAlign w:val="bottom"/>
          </w:tcPr>
          <w:p>
            <w:pPr>
              <w:ind w:left="1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78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color w:val="auto"/>
                <w:w w:val="97"/>
              </w:rPr>
              <w:t>($)</w:t>
            </w:r>
          </w:p>
        </w:tc>
        <w:tc>
          <w:tcPr>
            <w:tcW w:w="180" w:type="dxa"/>
            <w:vAlign w:val="bottom"/>
          </w:tcPr>
          <w:p>
            <w:pPr>
              <w:spacing w:after="0"/>
              <w:rPr>
                <w:sz w:val="14"/>
                <w:szCs w:val="14"/>
                <w:color w:val="auto"/>
              </w:rPr>
            </w:pPr>
          </w:p>
        </w:tc>
        <w:tc>
          <w:tcPr>
            <w:tcW w:w="960" w:type="dxa"/>
            <w:vAlign w:val="bottom"/>
            <w:gridSpan w:val="2"/>
          </w:tcPr>
          <w:p>
            <w:pPr>
              <w:jc w:val="center"/>
              <w:ind w:right="200"/>
              <w:spacing w:after="0" w:line="148" w:lineRule="exact"/>
              <w:rPr>
                <w:sz w:val="20"/>
                <w:szCs w:val="20"/>
                <w:color w:val="auto"/>
              </w:rPr>
            </w:pPr>
            <w:r>
              <w:rPr>
                <w:rFonts w:ascii="Times New Roman" w:cs="Times New Roman" w:eastAsia="Times New Roman" w:hAnsi="Times New Roman"/>
                <w:sz w:val="14"/>
                <w:szCs w:val="14"/>
                <w:color w:val="auto"/>
                <w:w w:val="97"/>
              </w:rPr>
              <w:t>Earnings ($)</w:t>
            </w:r>
          </w:p>
        </w:tc>
        <w:tc>
          <w:tcPr>
            <w:tcW w:w="78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color w:val="auto"/>
                <w:w w:val="99"/>
              </w:rPr>
              <w:t>($) (1)</w:t>
            </w:r>
          </w:p>
        </w:tc>
        <w:tc>
          <w:tcPr>
            <w:tcW w:w="160" w:type="dxa"/>
            <w:vAlign w:val="bottom"/>
          </w:tcPr>
          <w:p>
            <w:pPr>
              <w:spacing w:after="0"/>
              <w:rPr>
                <w:sz w:val="14"/>
                <w:szCs w:val="14"/>
                <w:color w:val="auto"/>
              </w:rPr>
            </w:pPr>
          </w:p>
        </w:tc>
        <w:tc>
          <w:tcPr>
            <w:tcW w:w="860" w:type="dxa"/>
            <w:vAlign w:val="bottom"/>
            <w:gridSpan w:val="2"/>
          </w:tcPr>
          <w:p>
            <w:pPr>
              <w:jc w:val="center"/>
              <w:ind w:right="80"/>
              <w:spacing w:after="0" w:line="148" w:lineRule="exact"/>
              <w:rPr>
                <w:sz w:val="20"/>
                <w:szCs w:val="20"/>
                <w:color w:val="auto"/>
              </w:rPr>
            </w:pPr>
            <w:r>
              <w:rPr>
                <w:rFonts w:ascii="Times New Roman" w:cs="Times New Roman" w:eastAsia="Times New Roman" w:hAnsi="Times New Roman"/>
                <w:sz w:val="14"/>
                <w:szCs w:val="14"/>
                <w:color w:val="auto"/>
                <w:w w:val="93"/>
              </w:rPr>
              <w:t>Total ($)</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2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Jack E Golsen,</w:t>
            </w:r>
          </w:p>
        </w:tc>
        <w:tc>
          <w:tcPr>
            <w:tcW w:w="25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2012</w:t>
            </w:r>
          </w:p>
        </w:tc>
        <w:tc>
          <w:tcPr>
            <w:tcW w:w="180" w:type="dxa"/>
            <w:vAlign w:val="bottom"/>
            <w:tcBorders>
              <w:top w:val="single" w:sz="8" w:color="CCEEFF"/>
            </w:tcBorders>
            <w:gridSpan w:val="2"/>
            <w:vMerge w:val="restart"/>
            <w:shd w:val="clear" w:color="auto" w:fill="CCEEFF"/>
          </w:tcPr>
          <w:p>
            <w:pPr>
              <w:spacing w:after="0"/>
              <w:rPr>
                <w:sz w:val="15"/>
                <w:szCs w:val="15"/>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830,954</w:t>
            </w:r>
          </w:p>
        </w:tc>
        <w:tc>
          <w:tcPr>
            <w:tcW w:w="180" w:type="dxa"/>
            <w:vAlign w:val="bottom"/>
            <w:tcBorders>
              <w:top w:val="single" w:sz="8" w:color="CCEEFF"/>
            </w:tcBorders>
            <w:vMerge w:val="restart"/>
            <w:shd w:val="clear" w:color="auto" w:fill="CCEEFF"/>
          </w:tcPr>
          <w:p>
            <w:pPr>
              <w:spacing w:after="0"/>
              <w:rPr>
                <w:sz w:val="15"/>
                <w:szCs w:val="15"/>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vMerge w:val="restart"/>
            <w:shd w:val="clear" w:color="auto" w:fill="CCEEFF"/>
          </w:tcPr>
          <w:p>
            <w:pPr>
              <w:spacing w:after="0"/>
              <w:rPr>
                <w:sz w:val="15"/>
                <w:szCs w:val="15"/>
                <w:color w:val="auto"/>
              </w:rPr>
            </w:pPr>
          </w:p>
        </w:tc>
        <w:tc>
          <w:tcPr>
            <w:tcW w:w="420" w:type="dxa"/>
            <w:vAlign w:val="bottom"/>
            <w:tcBorders>
              <w:top w:val="single" w:sz="8" w:color="auto"/>
            </w:tcBorders>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vMerge w:val="restart"/>
            <w:shd w:val="clear" w:color="auto" w:fill="CCEEFF"/>
          </w:tcPr>
          <w:p>
            <w:pPr>
              <w:spacing w:after="0"/>
              <w:rPr>
                <w:sz w:val="15"/>
                <w:szCs w:val="15"/>
                <w:color w:val="auto"/>
              </w:rPr>
            </w:pPr>
          </w:p>
        </w:tc>
        <w:tc>
          <w:tcPr>
            <w:tcW w:w="780" w:type="dxa"/>
            <w:vAlign w:val="bottom"/>
            <w:tcBorders>
              <w:top w:val="single" w:sz="8" w:color="auto"/>
            </w:tcBorders>
            <w:vMerge w:val="restart"/>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vMerge w:val="restart"/>
            <w:shd w:val="clear" w:color="auto" w:fill="CCEEFF"/>
          </w:tcPr>
          <w:p>
            <w:pPr>
              <w:spacing w:after="0"/>
              <w:rPr>
                <w:sz w:val="15"/>
                <w:szCs w:val="15"/>
                <w:color w:val="auto"/>
              </w:rPr>
            </w:pPr>
          </w:p>
        </w:tc>
        <w:tc>
          <w:tcPr>
            <w:tcW w:w="780" w:type="dxa"/>
            <w:vAlign w:val="bottom"/>
            <w:tcBorders>
              <w:top w:val="single" w:sz="8" w:color="auto"/>
            </w:tcBorders>
            <w:vMerge w:val="restart"/>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vMerge w:val="restart"/>
            <w:shd w:val="clear" w:color="auto" w:fill="CCEEFF"/>
          </w:tcPr>
          <w:p>
            <w:pPr>
              <w:spacing w:after="0"/>
              <w:rPr>
                <w:sz w:val="15"/>
                <w:szCs w:val="15"/>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225,479</w:t>
            </w:r>
          </w:p>
        </w:tc>
        <w:tc>
          <w:tcPr>
            <w:tcW w:w="160" w:type="dxa"/>
            <w:vAlign w:val="bottom"/>
            <w:tcBorders>
              <w:top w:val="single" w:sz="8" w:color="CCEEFF"/>
            </w:tcBorders>
            <w:vMerge w:val="restart"/>
            <w:shd w:val="clear" w:color="auto" w:fill="CCEEFF"/>
          </w:tcPr>
          <w:p>
            <w:pPr>
              <w:spacing w:after="0"/>
              <w:rPr>
                <w:sz w:val="15"/>
                <w:szCs w:val="15"/>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1,256,433</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60" w:type="dxa"/>
            <w:vAlign w:val="bottom"/>
            <w:gridSpan w:val="2"/>
            <w:shd w:val="clear" w:color="auto" w:fill="CCEEFF"/>
          </w:tcPr>
          <w:p>
            <w:pPr>
              <w:ind w:left="60"/>
              <w:spacing w:after="0" w:line="190" w:lineRule="exact"/>
              <w:rPr>
                <w:sz w:val="20"/>
                <w:szCs w:val="20"/>
                <w:color w:val="auto"/>
              </w:rPr>
            </w:pPr>
            <w:r>
              <w:rPr>
                <w:rFonts w:ascii="Times New Roman" w:cs="Times New Roman" w:eastAsia="Times New Roman" w:hAnsi="Times New Roman"/>
                <w:sz w:val="18"/>
                <w:szCs w:val="18"/>
                <w:color w:val="auto"/>
              </w:rPr>
              <w:t>Chairman of the Board</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180" w:type="dxa"/>
            <w:vAlign w:val="bottom"/>
            <w:gridSpan w:val="2"/>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420" w:type="dxa"/>
            <w:vAlign w:val="bottom"/>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of Directors and</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2011</w:t>
            </w:r>
          </w:p>
        </w:tc>
        <w:tc>
          <w:tcPr>
            <w:tcW w:w="10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703,500</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80" w:type="dxa"/>
            <w:vAlign w:val="bottom"/>
            <w:shd w:val="clear" w:color="auto" w:fill="CCEEFF"/>
          </w:tcPr>
          <w:p>
            <w:pPr>
              <w:spacing w:after="0"/>
              <w:rPr>
                <w:sz w:val="21"/>
                <w:szCs w:val="21"/>
                <w:color w:val="auto"/>
              </w:rPr>
            </w:pPr>
          </w:p>
        </w:tc>
        <w:tc>
          <w:tcPr>
            <w:tcW w:w="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213,869</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1,117,369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2010</w:t>
            </w:r>
          </w:p>
        </w:tc>
        <w:tc>
          <w:tcPr>
            <w:tcW w:w="10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659,400</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80" w:type="dxa"/>
            <w:vAlign w:val="bottom"/>
            <w:shd w:val="clear" w:color="auto" w:fill="CCEEFF"/>
          </w:tcPr>
          <w:p>
            <w:pPr>
              <w:spacing w:after="0"/>
              <w:rPr>
                <w:sz w:val="21"/>
                <w:szCs w:val="21"/>
                <w:color w:val="auto"/>
              </w:rPr>
            </w:pPr>
          </w:p>
        </w:tc>
        <w:tc>
          <w:tcPr>
            <w:tcW w:w="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746,993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1,556,393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4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Tony M. Shelby,</w:t>
            </w:r>
          </w:p>
        </w:tc>
        <w:tc>
          <w:tcPr>
            <w:tcW w:w="4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300,000</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80" w:type="dxa"/>
            <w:vAlign w:val="bottom"/>
          </w:tcPr>
          <w:p>
            <w:pPr>
              <w:spacing w:after="0"/>
              <w:rPr>
                <w:sz w:val="24"/>
                <w:szCs w:val="24"/>
                <w:color w:val="auto"/>
              </w:rPr>
            </w:pPr>
          </w:p>
        </w:tc>
        <w:tc>
          <w:tcPr>
            <w:tcW w:w="6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17,310</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517,310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6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color w:val="auto"/>
              </w:rPr>
              <w:t>Executive Vice President</w:t>
            </w:r>
          </w:p>
        </w:tc>
        <w:tc>
          <w:tcPr>
            <w:tcW w:w="480" w:type="dxa"/>
            <w:vAlign w:val="bottom"/>
            <w:gridSpan w:val="3"/>
            <w:vMerge w:val="continue"/>
          </w:tcPr>
          <w:p>
            <w:pPr>
              <w:spacing w:after="0"/>
              <w:rPr>
                <w:sz w:val="17"/>
                <w:szCs w:val="17"/>
                <w:color w:val="auto"/>
              </w:rPr>
            </w:pPr>
          </w:p>
        </w:tc>
        <w:tc>
          <w:tcPr>
            <w:tcW w:w="1000" w:type="dxa"/>
            <w:vAlign w:val="bottom"/>
            <w:gridSpan w:val="4"/>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of Finance and Chief</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287,115</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tcPr>
          <w:p>
            <w:pPr>
              <w:spacing w:after="0"/>
              <w:rPr>
                <w:sz w:val="19"/>
                <w:szCs w:val="19"/>
                <w:color w:val="auto"/>
              </w:rPr>
            </w:pP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16,932</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404,047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Financial Officer</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275,000</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tcPr>
          <w:p>
            <w:pPr>
              <w:spacing w:after="0"/>
              <w:rPr>
                <w:sz w:val="21"/>
                <w:szCs w:val="21"/>
                <w:color w:val="auto"/>
              </w:rPr>
            </w:pP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15,385</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390,385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00" w:type="dxa"/>
            <w:vAlign w:val="bottom"/>
            <w:gridSpan w:val="3"/>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Barry H. Golsen,</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Vice Chairman of the Board of</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2012</w:t>
            </w:r>
          </w:p>
        </w:tc>
        <w:tc>
          <w:tcPr>
            <w:tcW w:w="100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627,523</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80" w:type="dxa"/>
            <w:vAlign w:val="bottom"/>
            <w:shd w:val="clear" w:color="auto" w:fill="CCEEFF"/>
          </w:tcPr>
          <w:p>
            <w:pPr>
              <w:spacing w:after="0"/>
              <w:rPr>
                <w:sz w:val="18"/>
                <w:szCs w:val="18"/>
                <w:color w:val="auto"/>
              </w:rPr>
            </w:pPr>
          </w:p>
        </w:tc>
        <w:tc>
          <w:tcPr>
            <w:tcW w:w="60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39,092</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866,615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Directors, President, and</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vMerge w:val="continue"/>
            <w:shd w:val="clear" w:color="auto" w:fill="CCEEFF"/>
          </w:tcPr>
          <w:p>
            <w:pPr>
              <w:spacing w:after="0"/>
              <w:rPr>
                <w:sz w:val="13"/>
                <w:szCs w:val="13"/>
                <w:color w:val="auto"/>
              </w:rPr>
            </w:pPr>
          </w:p>
        </w:tc>
        <w:tc>
          <w:tcPr>
            <w:tcW w:w="1000" w:type="dxa"/>
            <w:vAlign w:val="bottom"/>
            <w:gridSpan w:val="4"/>
            <w:vMerge w:val="continue"/>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960" w:type="dxa"/>
            <w:vAlign w:val="bottom"/>
            <w:gridSpan w:val="2"/>
            <w:vMerge w:val="continue"/>
            <w:shd w:val="clear" w:color="auto" w:fill="CCEEFF"/>
          </w:tcPr>
          <w:p>
            <w:pPr>
              <w:spacing w:after="0"/>
              <w:rPr>
                <w:sz w:val="13"/>
                <w:szCs w:val="13"/>
                <w:color w:val="auto"/>
              </w:rPr>
            </w:pPr>
          </w:p>
        </w:tc>
        <w:tc>
          <w:tcPr>
            <w:tcW w:w="960" w:type="dxa"/>
            <w:vAlign w:val="bottom"/>
            <w:gridSpan w:val="2"/>
            <w:vMerge w:val="continue"/>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4060" w:type="dxa"/>
            <w:vAlign w:val="bottom"/>
            <w:gridSpan w:val="2"/>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2011</w:t>
            </w:r>
          </w:p>
        </w:tc>
        <w:tc>
          <w:tcPr>
            <w:tcW w:w="100" w:type="dxa"/>
            <w:vAlign w:val="bottom"/>
            <w:shd w:val="clear" w:color="auto" w:fill="CCEEFF"/>
          </w:tcPr>
          <w:p>
            <w:pPr>
              <w:spacing w:after="0"/>
              <w:rPr>
                <w:sz w:val="4"/>
                <w:szCs w:val="4"/>
                <w:color w:val="auto"/>
              </w:rPr>
            </w:pPr>
          </w:p>
        </w:tc>
        <w:tc>
          <w:tcPr>
            <w:tcW w:w="9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574,831</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80" w:type="dxa"/>
            <w:vAlign w:val="bottom"/>
            <w:shd w:val="clear" w:color="auto" w:fill="CCEEFF"/>
          </w:tcPr>
          <w:p>
            <w:pPr>
              <w:spacing w:after="0"/>
              <w:rPr>
                <w:sz w:val="4"/>
                <w:szCs w:val="4"/>
                <w:color w:val="auto"/>
              </w:rPr>
            </w:pPr>
          </w:p>
        </w:tc>
        <w:tc>
          <w:tcPr>
            <w:tcW w:w="60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34,311</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809,142</w:t>
            </w:r>
          </w:p>
        </w:tc>
        <w:tc>
          <w:tcPr>
            <w:tcW w:w="1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60" w:type="dxa"/>
            <w:vAlign w:val="bottom"/>
            <w:gridSpan w:val="2"/>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rPr>
              <w:t>President of the Climate</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3"/>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0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Control Business</w:t>
            </w: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2010</w:t>
            </w:r>
          </w:p>
        </w:tc>
        <w:tc>
          <w:tcPr>
            <w:tcW w:w="10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550,600</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80" w:type="dxa"/>
            <w:vAlign w:val="bottom"/>
            <w:shd w:val="clear" w:color="auto" w:fill="CCEEFF"/>
          </w:tcPr>
          <w:p>
            <w:pPr>
              <w:spacing w:after="0"/>
              <w:rPr>
                <w:sz w:val="22"/>
                <w:szCs w:val="22"/>
                <w:color w:val="auto"/>
              </w:rPr>
            </w:pPr>
          </w:p>
        </w:tc>
        <w:tc>
          <w:tcPr>
            <w:tcW w:w="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32,803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733,403</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10"/>
        </w:trPr>
        <w:tc>
          <w:tcPr>
            <w:tcW w:w="4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Steven J. Golsen,</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408,846</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80" w:type="dxa"/>
            <w:vAlign w:val="bottom"/>
          </w:tcPr>
          <w:p>
            <w:pPr>
              <w:spacing w:after="0"/>
              <w:rPr>
                <w:sz w:val="24"/>
                <w:szCs w:val="24"/>
                <w:color w:val="auto"/>
              </w:rPr>
            </w:pP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36,624</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595,470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Chief Operating Officer of</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369,385</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80" w:type="dxa"/>
            <w:vAlign w:val="bottom"/>
          </w:tcPr>
          <w:p>
            <w:pPr>
              <w:spacing w:after="0"/>
              <w:rPr>
                <w:sz w:val="18"/>
                <w:szCs w:val="18"/>
                <w:color w:val="auto"/>
              </w:rPr>
            </w:pP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30,211</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the Climate Control Business</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350,000</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80" w:type="dxa"/>
            <w:vAlign w:val="bottom"/>
          </w:tcPr>
          <w:p>
            <w:pPr>
              <w:spacing w:after="0"/>
              <w:rPr>
                <w:sz w:val="21"/>
                <w:szCs w:val="21"/>
                <w:color w:val="auto"/>
              </w:rPr>
            </w:pP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29,028</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529,028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580" w:type="dxa"/>
            <w:vAlign w:val="bottom"/>
          </w:tcPr>
          <w:p>
            <w:pPr>
              <w:spacing w:after="0"/>
              <w:rPr>
                <w:sz w:val="9"/>
                <w:szCs w:val="9"/>
                <w:color w:val="auto"/>
              </w:rPr>
            </w:pPr>
          </w:p>
        </w:tc>
        <w:tc>
          <w:tcPr>
            <w:tcW w:w="480" w:type="dxa"/>
            <w:vAlign w:val="bottom"/>
            <w:gridSpan w:val="3"/>
          </w:tcPr>
          <w:p>
            <w:pPr>
              <w:spacing w:after="0"/>
              <w:rPr>
                <w:sz w:val="9"/>
                <w:szCs w:val="9"/>
                <w:color w:val="auto"/>
              </w:rPr>
            </w:pPr>
          </w:p>
        </w:tc>
        <w:tc>
          <w:tcPr>
            <w:tcW w:w="180" w:type="dxa"/>
            <w:vAlign w:val="bottom"/>
            <w:gridSpan w:val="2"/>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 Goss,</w:t>
            </w: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300,500</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10,254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Executive Vice President of</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2011</w:t>
            </w:r>
          </w:p>
        </w:tc>
        <w:tc>
          <w:tcPr>
            <w:tcW w:w="10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285,039</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8,569</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Operations</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2010</w:t>
            </w:r>
          </w:p>
        </w:tc>
        <w:tc>
          <w:tcPr>
            <w:tcW w:w="10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270,500</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1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9,308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364,808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4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David M. Shear,</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300,000</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80" w:type="dxa"/>
            <w:vAlign w:val="bottom"/>
          </w:tcPr>
          <w:p>
            <w:pPr>
              <w:spacing w:after="0"/>
              <w:rPr>
                <w:sz w:val="24"/>
                <w:szCs w:val="24"/>
                <w:color w:val="auto"/>
              </w:rPr>
            </w:pP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26,357</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451,357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Senior Vice President and</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287,116</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tcPr>
          <w:p>
            <w:pPr>
              <w:spacing w:after="0"/>
              <w:rPr>
                <w:sz w:val="18"/>
                <w:szCs w:val="18"/>
                <w:color w:val="auto"/>
              </w:rPr>
            </w:pP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20,837</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General Counsel</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275,000</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180" w:type="dxa"/>
            <w:vAlign w:val="bottom"/>
          </w:tcPr>
          <w:p>
            <w:pPr>
              <w:spacing w:after="0"/>
              <w:rPr>
                <w:sz w:val="21"/>
                <w:szCs w:val="21"/>
                <w:color w:val="auto"/>
              </w:rPr>
            </w:pP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20,126</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380,126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460" w:right="1040" w:hanging="452"/>
        <w:spacing w:after="0" w:line="275" w:lineRule="auto"/>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death benefit agreement with each named executive officer, as described below under “1981 Agreements” and “2005 Agreement”. Compensation reported for the death benefit under these agreements is the greater of:</w:t>
      </w:r>
    </w:p>
    <w:p>
      <w:pPr>
        <w:spacing w:after="0" w:line="38"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incurred for our accrued death benefit liability; or</w:t>
      </w:r>
    </w:p>
    <w:p>
      <w:pPr>
        <w:spacing w:after="0" w:line="9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rata portion of life insurance premium expense to fund the undiscounted death benefit.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accrued under these agreements are not paid until the death of the named executive officer.</w:t>
      </w:r>
    </w:p>
    <w:p>
      <w:pPr>
        <w:spacing w:after="0" w:line="171" w:lineRule="exact"/>
        <w:rPr>
          <w:sz w:val="20"/>
          <w:szCs w:val="20"/>
          <w:color w:val="auto"/>
        </w:rPr>
      </w:pPr>
    </w:p>
    <w:p>
      <w:pPr>
        <w:ind w:right="460"/>
        <w:spacing w:after="0" w:line="262" w:lineRule="auto"/>
        <w:rPr>
          <w:sz w:val="20"/>
          <w:szCs w:val="20"/>
          <w:color w:val="auto"/>
        </w:rPr>
      </w:pPr>
      <w:r>
        <w:rPr>
          <w:rFonts w:ascii="Times New Roman" w:cs="Times New Roman" w:eastAsia="Times New Roman" w:hAnsi="Times New Roman"/>
          <w:sz w:val="18"/>
          <w:szCs w:val="18"/>
          <w:color w:val="auto"/>
        </w:rPr>
        <w:t>We have separate death benefit and salary continuation agreements with each named executive officer. As discussed below under “1992 Agreements”, these agreements provide a death benefit until the employee reaches age 65 and benefits for life commencing when the employee reaches age 65. Compensation reported for these benefits is the greater of:</w:t>
      </w:r>
    </w:p>
    <w:p>
      <w:pPr>
        <w:spacing w:after="0" w:line="51" w:lineRule="exact"/>
        <w:rPr>
          <w:sz w:val="20"/>
          <w:szCs w:val="20"/>
          <w:color w:val="auto"/>
        </w:rPr>
      </w:pPr>
    </w:p>
    <w:p>
      <w:pPr>
        <w:ind w:left="1480" w:hanging="446"/>
        <w:spacing w:after="0"/>
        <w:tabs>
          <w:tab w:leader="none" w:pos="14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incurred associated with our accrued benefit liability or</w:t>
      </w:r>
    </w:p>
    <w:p>
      <w:pPr>
        <w:spacing w:after="0" w:line="9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rata portion of life insurance premium expense to fund the undiscounted death benefit.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455" w:right="2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amounts set forth under “All Other Compensation” are comprised of the compensation expense relating to the 1981 Agreements, 1992 Agreements, and 2005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as described above, and perquisites for 2012,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95"/>
              <w:spacing w:after="0"/>
              <w:rPr>
                <w:sz w:val="20"/>
                <w:szCs w:val="20"/>
                <w:color w:val="auto"/>
              </w:rPr>
            </w:pPr>
            <w:r>
              <w:rPr>
                <w:rFonts w:ascii="Times New Roman" w:cs="Times New Roman" w:eastAsia="Times New Roman" w:hAnsi="Times New Roman"/>
                <w:sz w:val="14"/>
                <w:szCs w:val="14"/>
                <w:color w:val="auto"/>
              </w:rPr>
              <w:t>1981</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115"/>
              <w:spacing w:after="0"/>
              <w:rPr>
                <w:sz w:val="20"/>
                <w:szCs w:val="20"/>
                <w:color w:val="auto"/>
              </w:rPr>
            </w:pPr>
            <w:r>
              <w:rPr>
                <w:rFonts w:ascii="Times New Roman" w:cs="Times New Roman" w:eastAsia="Times New Roman" w:hAnsi="Times New Roman"/>
                <w:sz w:val="14"/>
                <w:szCs w:val="14"/>
                <w:color w:val="auto"/>
              </w:rPr>
              <w:t>1992</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2005</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1"/>
        </w:trPr>
        <w:tc>
          <w:tcPr>
            <w:tcW w:w="682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Agreements</w:t>
            </w: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Agreements</w:t>
            </w: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Agreement</w:t>
            </w:r>
          </w:p>
        </w:tc>
        <w:tc>
          <w:tcPr>
            <w:tcW w:w="16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Other (A)</w:t>
            </w:r>
          </w:p>
        </w:tc>
        <w:tc>
          <w:tcPr>
            <w:tcW w:w="80" w:type="dxa"/>
            <w:vAlign w:val="bottom"/>
          </w:tcPr>
          <w:p>
            <w:pPr>
              <w:spacing w:after="0"/>
              <w:rPr>
                <w:sz w:val="14"/>
                <w:szCs w:val="14"/>
                <w:color w:val="auto"/>
              </w:rPr>
            </w:pP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Total</w:t>
            </w:r>
          </w:p>
        </w:tc>
      </w:tr>
      <w:tr>
        <w:trPr>
          <w:trHeight w:val="210"/>
        </w:trPr>
        <w:tc>
          <w:tcPr>
            <w:tcW w:w="6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E. Golsen</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90,663</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2"/>
              </w:rPr>
              <w:t>129,519</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5,297</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225,479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Tony M. Shelby</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2,662</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3,178</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2"/>
              </w:rPr>
              <w:t>11,470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17,310</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Barry H. Golsen</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1,686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32,201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5,205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39,092</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Steven J. Golsen</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581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29,520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6,523</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36,624</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 Goss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3,186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2,771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4,297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10,254</w:t>
            </w:r>
          </w:p>
        </w:tc>
        <w:tc>
          <w:tcPr>
            <w:tcW w:w="100" w:type="dxa"/>
            <w:vAlign w:val="bottom"/>
            <w:shd w:val="clear" w:color="auto" w:fill="CCEEFF"/>
          </w:tcPr>
          <w:p>
            <w:pPr>
              <w:spacing w:after="0"/>
              <w:rPr>
                <w:sz w:val="18"/>
                <w:szCs w:val="18"/>
                <w:color w:val="auto"/>
              </w:rPr>
            </w:pPr>
          </w:p>
        </w:tc>
      </w:tr>
      <w:tr>
        <w:trPr>
          <w:trHeight w:val="228"/>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David M. Shear</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22,985</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3,372</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26,357</w:t>
            </w:r>
          </w:p>
        </w:tc>
        <w:tc>
          <w:tcPr>
            <w:tcW w:w="100" w:type="dxa"/>
            <w:vAlign w:val="bottom"/>
          </w:tcPr>
          <w:p>
            <w:pPr>
              <w:spacing w:after="0"/>
              <w:rPr>
                <w:sz w:val="19"/>
                <w:szCs w:val="19"/>
                <w:color w:val="auto"/>
              </w:rPr>
            </w:pPr>
          </w:p>
        </w:tc>
      </w:tr>
    </w:tbl>
    <w:p>
      <w:pPr>
        <w:spacing w:after="0" w:line="176" w:lineRule="exact"/>
        <w:rPr>
          <w:sz w:val="20"/>
          <w:szCs w:val="20"/>
          <w:color w:val="auto"/>
        </w:rPr>
      </w:pPr>
    </w:p>
    <w:p>
      <w:pPr>
        <w:ind w:left="460" w:hanging="452"/>
        <w:spacing w:after="0"/>
        <w:tabs>
          <w:tab w:leader="none" w:pos="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relates primarily to the personal use of automobiles, cell phones and country club dues.</w:t>
      </w:r>
    </w:p>
    <w:p>
      <w:pPr>
        <w:spacing w:after="0" w:line="8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Employment Agreement</w:t>
      </w:r>
    </w:p>
    <w:p>
      <w:pPr>
        <w:spacing w:after="0" w:line="92" w:lineRule="exact"/>
        <w:rPr>
          <w:sz w:val="20"/>
          <w:szCs w:val="20"/>
          <w:color w:val="auto"/>
        </w:rPr>
      </w:pPr>
    </w:p>
    <w:p>
      <w:pPr>
        <w:ind w:right="60"/>
        <w:spacing w:after="0" w:line="310" w:lineRule="auto"/>
        <w:rPr>
          <w:sz w:val="20"/>
          <w:szCs w:val="20"/>
          <w:color w:val="auto"/>
        </w:rPr>
      </w:pPr>
      <w:r>
        <w:rPr>
          <w:rFonts w:ascii="Times New Roman" w:cs="Times New Roman" w:eastAsia="Times New Roman" w:hAnsi="Times New Roman"/>
          <w:sz w:val="16"/>
          <w:szCs w:val="16"/>
          <w:color w:val="auto"/>
        </w:rPr>
        <w:t>We have an employment agreement with Jack E. Golsen, which requires the Company to employ Mr. Golsen as an executive officer of the Company. The current term of the employment agreement expires March 21, 2014, but will be automatically renewed for up to two additional three-year periods, unless terminated by either party by written notice at least one year prior to the expiration of the then current term. Under the terms of the employment agreement, Mr. Golsen shall:</w:t>
      </w:r>
    </w:p>
    <w:p>
      <w:pPr>
        <w:spacing w:after="0" w:line="16" w:lineRule="exact"/>
        <w:rPr>
          <w:sz w:val="20"/>
          <w:szCs w:val="20"/>
          <w:color w:val="auto"/>
        </w:rPr>
      </w:pPr>
    </w:p>
    <w:p>
      <w:pPr>
        <w:ind w:left="900" w:right="160" w:hanging="325"/>
        <w:spacing w:after="0" w:line="275"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paid an annual base salary at his 1995 base rate, as adjusted from time to time by the Compensation Committee, but such shall never be adjusted to an amount less than Mr. Golsen’s 1995 base salary,</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paid an annual bonus in an amount as determined by the Compensation Committee,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from the Company certain other fringe benefits (vacation; health and disability insurance).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employment agreement provides that Mr. Golsen’s employment may not be terminated, except:</w:t>
      </w:r>
    </w:p>
    <w:p>
      <w:pPr>
        <w:spacing w:after="0" w:line="90" w:lineRule="exact"/>
        <w:rPr>
          <w:sz w:val="20"/>
          <w:szCs w:val="20"/>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conviction of a felony involving moral turpitude after all appeals have been exhausted (“Conviction”),</w:t>
      </w:r>
    </w:p>
    <w:p>
      <w:pPr>
        <w:spacing w:after="0" w:line="90" w:lineRule="exact"/>
        <w:rPr>
          <w:rFonts w:ascii="Times New Roman" w:cs="Times New Roman" w:eastAsia="Times New Roman" w:hAnsi="Times New Roman"/>
          <w:sz w:val="18"/>
          <w:szCs w:val="18"/>
          <w:color w:val="auto"/>
        </w:rPr>
      </w:pPr>
    </w:p>
    <w:p>
      <w:pPr>
        <w:ind w:left="900" w:right="80" w:hanging="325"/>
        <w:spacing w:after="0" w:line="275"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Golsen’s serious, willful, gross misconduct or willful, gross negligence of duties resulting in material damage to the Company, taken as a whole, unless Mr. Golsen believed, in good faith, that such action or failure to act was in our best interest (“Misconduct”), and</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Golsen’s death.</w:t>
      </w:r>
    </w:p>
    <w:p>
      <w:pPr>
        <w:spacing w:after="0" w:line="171"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auto"/>
        </w:rPr>
        <w:t>However, no termination for a Conviction or Misconduct may occur unless and until the Company has delivered to Mr. Golsen a resolution duly adopted by an affirmative vote of three-fourths of the entire membership of the Board of Directors at a meeting called for such purpose after reasonable notice given to Mr. Golsen finding, in good faith, that Mr. Golsen violated such item.</w:t>
      </w:r>
    </w:p>
    <w:p>
      <w:pPr>
        <w:spacing w:after="0" w:line="132"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The employment agreement provides that, if Mr. Golsen’s employment is terminated for reasons other than due to a Conviction or Misconduct, then we shall pay to Mr. Golsen:</w:t>
      </w:r>
    </w:p>
    <w:p>
      <w:pPr>
        <w:spacing w:after="0" w:line="39" w:lineRule="exact"/>
        <w:rPr>
          <w:sz w:val="20"/>
          <w:szCs w:val="20"/>
          <w:color w:val="auto"/>
        </w:rPr>
      </w:pPr>
    </w:p>
    <w:p>
      <w:pPr>
        <w:ind w:left="900" w:right="120" w:hanging="325"/>
        <w:spacing w:after="0" w:line="26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payment on the date of termination, equal to the amount of Mr. Golsen’s annual base salary at the time of such termination and the amount of the last bonus paid to Mr. Golsen prior to such termination times the number of years remaining under the then current term of the employment agreement, and</w:t>
      </w:r>
    </w:p>
    <w:p>
      <w:pPr>
        <w:spacing w:after="0" w:line="51" w:lineRule="exact"/>
        <w:rPr>
          <w:rFonts w:ascii="Times New Roman" w:cs="Times New Roman" w:eastAsia="Times New Roman" w:hAnsi="Times New Roman"/>
          <w:sz w:val="18"/>
          <w:szCs w:val="18"/>
          <w:color w:val="auto"/>
        </w:rPr>
      </w:pPr>
    </w:p>
    <w:p>
      <w:pPr>
        <w:ind w:left="900" w:right="100" w:hanging="325"/>
        <w:spacing w:after="0" w:line="275"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to Mr. Golsen all of the fringe benefits that the Company was obligated to provide during his employment under the employment agreement for the remainder of the term of the employment agreement.</w:t>
      </w:r>
    </w:p>
    <w:p>
      <w:pPr>
        <w:spacing w:after="0" w:line="120"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If there is a change in control (as defined in the severance agreement between Mr. Golsen and the Company as discussed below under “Severance Agreements”) and within 24 months after such change in control Mr. Golsen is terminated, other than for Cause (as defined in the severance agreement), then in such event, the severance agreement between Mr. Golsen and the Company shall be controlling.</w:t>
      </w:r>
    </w:p>
    <w:p>
      <w:pPr>
        <w:spacing w:after="0" w:line="132"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In the event Mr. Golsen becomes disabled and is not able to perform his duties under the employment agreement as a result if the disability for a period of 12 consecutive months within any two-year period, we will pay Mr. Golsen his full salary for the remainder of the term of the employment agreement and thereafter 60% of such salary until Mr. Golsen’s death.</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455" w:right="2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1981 Agreements</w:t>
      </w:r>
    </w:p>
    <w:p>
      <w:pPr>
        <w:spacing w:after="0" w:line="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1981, we entered into individual death benefit agreements (the “1981 Agreements”) with certain key employees (including certain of the named executive officers). The designated beneficiary of each named executive officer will receive a monthly benefit for a period of 10 years if the officer dies while in the employment of the Company. The 1981 Agreements, as amended, provide that we may terminate the agreement as to any officer at any time prior to the officer’s death. We have purchased life insurance on the life of each officer covered under the 1981 Agreements to provide a source of funds for our obligations under the 1981 Agreements. We are the owner and sole beneficiary of each of the insurance policies and the proceeds are payable to the Company upon the death of the officer. The following table sets forth the amounts of annual benefits payable to the designated beneficiary or beneficiaries of the named executive officer’s under the 1981 Agreements.</w:t>
      </w:r>
    </w:p>
    <w:p>
      <w:pPr>
        <w:spacing w:after="0" w:line="183" w:lineRule="exact"/>
        <w:rPr>
          <w:sz w:val="20"/>
          <w:szCs w:val="20"/>
          <w:color w:val="auto"/>
        </w:rPr>
      </w:pPr>
    </w:p>
    <w:tbl>
      <w:tblPr>
        <w:tblLayout w:type="fixed"/>
        <w:tblInd w:w="1840" w:type="dxa"/>
        <w:tblCellMar>
          <w:top w:w="0" w:type="dxa"/>
          <w:left w:w="0" w:type="dxa"/>
          <w:bottom w:w="0" w:type="dxa"/>
          <w:right w:w="0" w:type="dxa"/>
        </w:tblCellMar>
      </w:tblPr>
      <w:tr>
        <w:trPr>
          <w:trHeight w:val="162"/>
        </w:trPr>
        <w:tc>
          <w:tcPr>
            <w:tcW w:w="1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Name of Individual</w:t>
            </w:r>
          </w:p>
        </w:tc>
        <w:tc>
          <w:tcPr>
            <w:tcW w:w="2780" w:type="dxa"/>
            <w:vAlign w:val="bottom"/>
            <w:vMerge w:val="restart"/>
          </w:tcPr>
          <w:p>
            <w:pPr>
              <w:spacing w:after="0"/>
              <w:rPr>
                <w:sz w:val="14"/>
                <w:szCs w:val="14"/>
                <w:color w:val="auto"/>
              </w:rPr>
            </w:pPr>
          </w:p>
        </w:tc>
        <w:tc>
          <w:tcPr>
            <w:tcW w:w="3860" w:type="dxa"/>
            <w:vAlign w:val="bottom"/>
            <w:gridSpan w:val="4"/>
          </w:tcPr>
          <w:p>
            <w:pPr>
              <w:ind w:left="2740"/>
              <w:spacing w:after="0"/>
              <w:rPr>
                <w:sz w:val="20"/>
                <w:szCs w:val="20"/>
                <w:color w:val="auto"/>
              </w:rPr>
            </w:pPr>
            <w:r>
              <w:rPr>
                <w:rFonts w:ascii="Times New Roman" w:cs="Times New Roman" w:eastAsia="Times New Roman" w:hAnsi="Times New Roman"/>
                <w:sz w:val="14"/>
                <w:szCs w:val="14"/>
                <w:color w:val="auto"/>
              </w:rPr>
              <w:t>Amount of Annual</w:t>
            </w:r>
          </w:p>
        </w:tc>
        <w:tc>
          <w:tcPr>
            <w:tcW w:w="0" w:type="dxa"/>
            <w:vAlign w:val="bottom"/>
          </w:tcPr>
          <w:p>
            <w:pPr>
              <w:spacing w:after="0"/>
              <w:rPr>
                <w:sz w:val="1"/>
                <w:szCs w:val="1"/>
                <w:color w:val="auto"/>
              </w:rPr>
            </w:pPr>
          </w:p>
        </w:tc>
      </w:tr>
      <w:tr>
        <w:trPr>
          <w:trHeight w:val="168"/>
        </w:trPr>
        <w:tc>
          <w:tcPr>
            <w:tcW w:w="1120" w:type="dxa"/>
            <w:vAlign w:val="bottom"/>
            <w:tcBorders>
              <w:bottom w:val="single" w:sz="8" w:color="auto"/>
            </w:tcBorders>
            <w:vMerge w:val="continue"/>
          </w:tcPr>
          <w:p>
            <w:pPr>
              <w:spacing w:after="0"/>
              <w:rPr>
                <w:sz w:val="14"/>
                <w:szCs w:val="14"/>
                <w:color w:val="auto"/>
              </w:rPr>
            </w:pPr>
          </w:p>
        </w:tc>
        <w:tc>
          <w:tcPr>
            <w:tcW w:w="2780" w:type="dxa"/>
            <w:vAlign w:val="bottom"/>
            <w:vMerge w:val="continue"/>
          </w:tcPr>
          <w:p>
            <w:pPr>
              <w:spacing w:after="0"/>
              <w:rPr>
                <w:sz w:val="14"/>
                <w:szCs w:val="14"/>
                <w:color w:val="auto"/>
              </w:rPr>
            </w:pPr>
          </w:p>
        </w:tc>
        <w:tc>
          <w:tcPr>
            <w:tcW w:w="2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ind w:left="100"/>
              <w:spacing w:after="0" w:line="148" w:lineRule="exact"/>
              <w:rPr>
                <w:sz w:val="20"/>
                <w:szCs w:val="20"/>
                <w:color w:val="auto"/>
              </w:rPr>
            </w:pPr>
            <w:r>
              <w:rPr>
                <w:rFonts w:ascii="Times New Roman" w:cs="Times New Roman" w:eastAsia="Times New Roman" w:hAnsi="Times New Roman"/>
                <w:sz w:val="14"/>
                <w:szCs w:val="14"/>
                <w:color w:val="auto"/>
              </w:rPr>
              <w:t>Payment</w:t>
            </w:r>
          </w:p>
        </w:tc>
        <w:tc>
          <w:tcPr>
            <w:tcW w:w="0" w:type="dxa"/>
            <w:vAlign w:val="bottom"/>
          </w:tcPr>
          <w:p>
            <w:pPr>
              <w:spacing w:after="0"/>
              <w:rPr>
                <w:sz w:val="1"/>
                <w:szCs w:val="1"/>
                <w:color w:val="auto"/>
              </w:rPr>
            </w:pPr>
          </w:p>
        </w:tc>
      </w:tr>
      <w:tr>
        <w:trPr>
          <w:trHeight w:val="203"/>
        </w:trPr>
        <w:tc>
          <w:tcPr>
            <w:tcW w:w="39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Jack E. Golsen</w:t>
            </w:r>
          </w:p>
        </w:tc>
        <w:tc>
          <w:tcPr>
            <w:tcW w:w="27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175,000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Tony M. Shelby</w:t>
            </w:r>
          </w:p>
        </w:tc>
        <w:tc>
          <w:tcPr>
            <w:tcW w:w="2920" w:type="dxa"/>
            <w:vAlign w:val="bottom"/>
            <w:gridSpan w:val="2"/>
          </w:tcPr>
          <w:p>
            <w:pPr>
              <w:ind w:left="27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Barry H. Golsen</w:t>
            </w:r>
          </w:p>
        </w:tc>
        <w:tc>
          <w:tcPr>
            <w:tcW w:w="2920" w:type="dxa"/>
            <w:vAlign w:val="bottom"/>
            <w:gridSpan w:val="2"/>
            <w:shd w:val="clear" w:color="auto" w:fill="CCEEFF"/>
          </w:tcPr>
          <w:p>
            <w:pPr>
              <w:ind w:left="27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J. Golsen</w:t>
            </w:r>
          </w:p>
        </w:tc>
        <w:tc>
          <w:tcPr>
            <w:tcW w:w="2920" w:type="dxa"/>
            <w:vAlign w:val="bottom"/>
            <w:gridSpan w:val="2"/>
          </w:tcPr>
          <w:p>
            <w:pPr>
              <w:ind w:left="27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 Goss</w:t>
            </w:r>
          </w:p>
        </w:tc>
        <w:tc>
          <w:tcPr>
            <w:tcW w:w="2920" w:type="dxa"/>
            <w:vAlign w:val="bottom"/>
            <w:gridSpan w:val="2"/>
            <w:shd w:val="clear" w:color="auto" w:fill="CCEEFF"/>
          </w:tcPr>
          <w:p>
            <w:pPr>
              <w:ind w:left="27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M. Shear</w:t>
            </w:r>
          </w:p>
        </w:tc>
        <w:tc>
          <w:tcPr>
            <w:tcW w:w="2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1992 Agreements</w:t>
      </w:r>
    </w:p>
    <w:p>
      <w:pPr>
        <w:spacing w:after="0" w:line="9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During 1992, we entered into individual benefit agreements with certain of our key employees (including certain of the named executive officers) to provide compensation to such individuals in the event that they are employed by the Company at age 65 (the “1992 Agreements”). Each officer that has entered into a 1992 Agreement is eligible to receive a designated benefit (“Benefit”) as set forth in the 1992 Agreements, as amended. The officer will receive the Benefit beginning at the age 65 for the remainder of the officer’s life. If prior to attaining the age 65, the officer dies while in the employment of the Company, the designated beneficiary of the officer will receive a monthly benefit (“Death Benefit”) for a period of 10 years. The 1992 Agreements provide that we may terminate the agreement as to any officer at any time and for any reason prior to the death of the officer. We have purchased insurance on the life of each officer covered under the 1992 Agreements. We are the owner and sole beneficiary of each insurance policy, and the proceeds are payable to the Company to provide a source of funds for our obligations under the 1992 Agreements. Under the terms of the 1992 Agreements, if the officer becomes incapacitated prior to retirement or prior to reaching age 65, the officer may request us to cash-in any life insurance on the life of such officer purchased to fund our obligations under the 1992 Agreements. Jack E. Golsen does not participate in the 1992 Agreements.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amounts of annual benefits payable to the named executive officers under the 1992 Agreements at December 31, 2012.</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1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w w:val="98"/>
              </w:rPr>
              <w:t>Amount of</w:t>
            </w:r>
          </w:p>
        </w:tc>
        <w:tc>
          <w:tcPr>
            <w:tcW w:w="0" w:type="dxa"/>
            <w:vAlign w:val="bottom"/>
          </w:tcPr>
          <w:p>
            <w:pPr>
              <w:spacing w:after="0"/>
              <w:rPr>
                <w:sz w:val="1"/>
                <w:szCs w:val="1"/>
                <w:color w:val="auto"/>
              </w:rPr>
            </w:pPr>
          </w:p>
        </w:tc>
      </w:tr>
      <w:tr>
        <w:trPr>
          <w:trHeight w:val="149"/>
        </w:trPr>
        <w:tc>
          <w:tcPr>
            <w:tcW w:w="1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Name of Individual</w:t>
            </w:r>
          </w:p>
        </w:tc>
        <w:tc>
          <w:tcPr>
            <w:tcW w:w="2600" w:type="dxa"/>
            <w:vAlign w:val="bottom"/>
            <w:vMerge w:val="restart"/>
          </w:tcPr>
          <w:p>
            <w:pPr>
              <w:spacing w:after="0"/>
              <w:rPr>
                <w:sz w:val="12"/>
                <w:szCs w:val="12"/>
                <w:color w:val="auto"/>
              </w:rPr>
            </w:pPr>
          </w:p>
        </w:tc>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35"/>
              <w:spacing w:after="0" w:line="149" w:lineRule="exact"/>
              <w:rPr>
                <w:sz w:val="20"/>
                <w:szCs w:val="20"/>
                <w:color w:val="auto"/>
              </w:rPr>
            </w:pPr>
            <w:r>
              <w:rPr>
                <w:rFonts w:ascii="Times New Roman" w:cs="Times New Roman" w:eastAsia="Times New Roman" w:hAnsi="Times New Roman"/>
                <w:sz w:val="14"/>
                <w:szCs w:val="14"/>
                <w:color w:val="auto"/>
                <w:w w:val="94"/>
              </w:rPr>
              <w:t>Amount of</w:t>
            </w:r>
          </w:p>
        </w:tc>
        <w:tc>
          <w:tcPr>
            <w:tcW w:w="1580" w:type="dxa"/>
            <w:vAlign w:val="bottom"/>
            <w:gridSpan w:val="4"/>
          </w:tcPr>
          <w:p>
            <w:pPr>
              <w:ind w:left="720"/>
              <w:spacing w:after="0" w:line="149" w:lineRule="exact"/>
              <w:rPr>
                <w:sz w:val="20"/>
                <w:szCs w:val="20"/>
                <w:color w:val="auto"/>
              </w:rPr>
            </w:pPr>
            <w:r>
              <w:rPr>
                <w:rFonts w:ascii="Times New Roman" w:cs="Times New Roman" w:eastAsia="Times New Roman" w:hAnsi="Times New Roman"/>
                <w:sz w:val="14"/>
                <w:szCs w:val="14"/>
                <w:color w:val="auto"/>
              </w:rPr>
              <w:t>Annual Death</w:t>
            </w:r>
          </w:p>
        </w:tc>
        <w:tc>
          <w:tcPr>
            <w:tcW w:w="0" w:type="dxa"/>
            <w:vAlign w:val="bottom"/>
          </w:tcPr>
          <w:p>
            <w:pPr>
              <w:spacing w:after="0"/>
              <w:rPr>
                <w:sz w:val="1"/>
                <w:szCs w:val="1"/>
                <w:color w:val="auto"/>
              </w:rPr>
            </w:pPr>
          </w:p>
        </w:tc>
      </w:tr>
      <w:tr>
        <w:trPr>
          <w:trHeight w:val="168"/>
        </w:trPr>
        <w:tc>
          <w:tcPr>
            <w:tcW w:w="1120" w:type="dxa"/>
            <w:vAlign w:val="bottom"/>
            <w:tcBorders>
              <w:bottom w:val="single" w:sz="8" w:color="auto"/>
            </w:tcBorders>
            <w:vMerge w:val="continue"/>
          </w:tcPr>
          <w:p>
            <w:pPr>
              <w:spacing w:after="0"/>
              <w:rPr>
                <w:sz w:val="14"/>
                <w:szCs w:val="14"/>
                <w:color w:val="auto"/>
              </w:rPr>
            </w:pPr>
          </w:p>
        </w:tc>
        <w:tc>
          <w:tcPr>
            <w:tcW w:w="2600" w:type="dxa"/>
            <w:vAlign w:val="bottom"/>
            <w:vMerge w:val="continue"/>
          </w:tcPr>
          <w:p>
            <w:pPr>
              <w:spacing w:after="0"/>
              <w:rPr>
                <w:sz w:val="14"/>
                <w:szCs w:val="14"/>
                <w:color w:val="auto"/>
              </w:rPr>
            </w:pPr>
          </w:p>
        </w:tc>
        <w:tc>
          <w:tcPr>
            <w:tcW w:w="3380" w:type="dxa"/>
            <w:vAlign w:val="bottom"/>
            <w:gridSpan w:val="3"/>
          </w:tcPr>
          <w:p>
            <w:pPr>
              <w:ind w:left="2540"/>
              <w:spacing w:after="0" w:line="148" w:lineRule="exact"/>
              <w:rPr>
                <w:sz w:val="20"/>
                <w:szCs w:val="20"/>
                <w:color w:val="auto"/>
              </w:rPr>
            </w:pPr>
            <w:r>
              <w:rPr>
                <w:rFonts w:ascii="Times New Roman" w:cs="Times New Roman" w:eastAsia="Times New Roman" w:hAnsi="Times New Roman"/>
                <w:sz w:val="14"/>
                <w:szCs w:val="14"/>
                <w:color w:val="auto"/>
                <w:w w:val="95"/>
              </w:rPr>
              <w:t>Annual Benefit</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4"/>
                <w:szCs w:val="14"/>
                <w:color w:val="auto"/>
                <w:w w:val="96"/>
              </w:rPr>
              <w:t>Benefit</w:t>
            </w:r>
          </w:p>
        </w:tc>
        <w:tc>
          <w:tcPr>
            <w:tcW w:w="0" w:type="dxa"/>
            <w:vAlign w:val="bottom"/>
          </w:tcPr>
          <w:p>
            <w:pPr>
              <w:spacing w:after="0"/>
              <w:rPr>
                <w:sz w:val="1"/>
                <w:szCs w:val="1"/>
                <w:color w:val="auto"/>
              </w:rPr>
            </w:pPr>
          </w:p>
        </w:tc>
      </w:tr>
      <w:tr>
        <w:trPr>
          <w:trHeight w:val="203"/>
        </w:trPr>
        <w:tc>
          <w:tcPr>
            <w:tcW w:w="37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Jack E. Golsen</w:t>
            </w:r>
          </w:p>
        </w:tc>
        <w:tc>
          <w:tcPr>
            <w:tcW w:w="2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N/A</w:t>
            </w:r>
          </w:p>
        </w:tc>
        <w:tc>
          <w:tcPr>
            <w:tcW w:w="7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N/A</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Tony M. Shelby</w:t>
            </w:r>
          </w:p>
        </w:tc>
        <w:tc>
          <w:tcPr>
            <w:tcW w:w="2660" w:type="dxa"/>
            <w:vAlign w:val="bottom"/>
            <w:gridSpan w:val="2"/>
          </w:tcPr>
          <w:p>
            <w:pPr>
              <w:ind w:left="25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15,605</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Barry H. Golsen</w:t>
            </w:r>
          </w:p>
        </w:tc>
        <w:tc>
          <w:tcPr>
            <w:tcW w:w="2660" w:type="dxa"/>
            <w:vAlign w:val="bottom"/>
            <w:gridSpan w:val="2"/>
            <w:shd w:val="clear" w:color="auto" w:fill="CCEEFF"/>
          </w:tcPr>
          <w:p>
            <w:pPr>
              <w:ind w:left="25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17,480</w:t>
            </w:r>
          </w:p>
        </w:tc>
        <w:tc>
          <w:tcPr>
            <w:tcW w:w="8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J. Golsen</w:t>
            </w:r>
          </w:p>
        </w:tc>
        <w:tc>
          <w:tcPr>
            <w:tcW w:w="2660" w:type="dxa"/>
            <w:vAlign w:val="bottom"/>
            <w:gridSpan w:val="2"/>
          </w:tcPr>
          <w:p>
            <w:pPr>
              <w:ind w:left="25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17,545</w:t>
            </w:r>
          </w:p>
        </w:tc>
        <w:tc>
          <w:tcPr>
            <w:tcW w:w="8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 Goss</w:t>
            </w:r>
          </w:p>
        </w:tc>
        <w:tc>
          <w:tcPr>
            <w:tcW w:w="2660" w:type="dxa"/>
            <w:vAlign w:val="bottom"/>
            <w:gridSpan w:val="2"/>
            <w:shd w:val="clear" w:color="auto" w:fill="CCEEFF"/>
          </w:tcPr>
          <w:p>
            <w:pPr>
              <w:ind w:left="25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17,403</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8"/>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M. Shear</w:t>
            </w:r>
          </w:p>
        </w:tc>
        <w:tc>
          <w:tcPr>
            <w:tcW w:w="2660" w:type="dxa"/>
            <w:vAlign w:val="bottom"/>
            <w:gridSpan w:val="2"/>
          </w:tcPr>
          <w:p>
            <w:pPr>
              <w:ind w:left="25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17,822</w:t>
            </w:r>
          </w:p>
        </w:tc>
        <w:tc>
          <w:tcPr>
            <w:tcW w:w="8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2005 Agreement</w:t>
      </w:r>
    </w:p>
    <w:p>
      <w:pPr>
        <w:spacing w:after="0" w:line="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During 2005, we entered into a death benefit agreement (“2005 Agreement”) with Jack E. Golsen. This agreement replaced existing benefits that were payable to Mr. Golsen. The 2005 Agreement provides that, upon Mr. Golsen’s death, we will pay to Mr. Golsen’s family or designated beneficiary $2.5 million to be funded from the net proceeds received by us under certain life insurance policies on Mr. Golsen’s life that were purchased and are owned by the Company. The 2005 Agreement requires that we are obligated to keep in existence no less than $2.5 million of the stated death benefit. The life insurance policies in force provide an aggregate stated death benefit of $7.0 million to the Company, as beneficiary.</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380"/>
          </w:cols>
          <w:pgMar w:left="240" w:top="455" w:right="27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Life Insurance Policies</w:t>
      </w:r>
    </w:p>
    <w:p>
      <w:pPr>
        <w:spacing w:after="0" w:line="92"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As discussed above under the 1981 Agreements, 1992 Agreements and 2005 Agreements, we maintain life insurance on the life of each named executive officer to provide a source of funds for our obligations under these agreements. The following table sets forth the total face value of life insurance policies in force for each named executive officer and the net cash surrender value of the life insurance policies at December 31, 2012.</w:t>
      </w:r>
    </w:p>
    <w:p>
      <w:pPr>
        <w:spacing w:after="0" w:line="16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1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center"/>
              <w:ind w:right="39"/>
              <w:spacing w:after="0"/>
              <w:rPr>
                <w:sz w:val="20"/>
                <w:szCs w:val="20"/>
                <w:color w:val="auto"/>
              </w:rPr>
            </w:pPr>
            <w:r>
              <w:rPr>
                <w:rFonts w:ascii="Times New Roman" w:cs="Times New Roman" w:eastAsia="Times New Roman" w:hAnsi="Times New Roman"/>
                <w:sz w:val="14"/>
                <w:szCs w:val="14"/>
                <w:color w:val="auto"/>
                <w:w w:val="94"/>
              </w:rPr>
              <w:t>Total Face</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8"/>
              </w:rPr>
              <w:t>Amount of</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2"/>
              </w:rPr>
              <w:t>Value of Life</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w w:val="96"/>
              </w:rPr>
              <w:t>Net Cash</w:t>
            </w:r>
          </w:p>
        </w:tc>
        <w:tc>
          <w:tcPr>
            <w:tcW w:w="0" w:type="dxa"/>
            <w:vAlign w:val="bottom"/>
          </w:tcPr>
          <w:p>
            <w:pPr>
              <w:spacing w:after="0"/>
              <w:rPr>
                <w:sz w:val="1"/>
                <w:szCs w:val="1"/>
                <w:color w:val="auto"/>
              </w:rPr>
            </w:pPr>
          </w:p>
        </w:tc>
      </w:tr>
      <w:tr>
        <w:trPr>
          <w:trHeight w:val="149"/>
        </w:trPr>
        <w:tc>
          <w:tcPr>
            <w:tcW w:w="1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Name of Individual</w:t>
            </w:r>
          </w:p>
        </w:tc>
        <w:tc>
          <w:tcPr>
            <w:tcW w:w="2740" w:type="dxa"/>
            <w:vAlign w:val="bottom"/>
            <w:vMerge w:val="restart"/>
          </w:tcPr>
          <w:p>
            <w:pPr>
              <w:spacing w:after="0"/>
              <w:rPr>
                <w:sz w:val="12"/>
                <w:szCs w:val="12"/>
                <w:color w:val="auto"/>
              </w:rPr>
            </w:pPr>
          </w:p>
        </w:tc>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color w:val="auto"/>
                <w:w w:val="95"/>
              </w:rPr>
              <w:t>Insurance</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4"/>
              </w:rPr>
              <w:t>Surrender</w:t>
            </w:r>
          </w:p>
        </w:tc>
        <w:tc>
          <w:tcPr>
            <w:tcW w:w="0" w:type="dxa"/>
            <w:vAlign w:val="bottom"/>
          </w:tcPr>
          <w:p>
            <w:pPr>
              <w:spacing w:after="0"/>
              <w:rPr>
                <w:sz w:val="1"/>
                <w:szCs w:val="1"/>
                <w:color w:val="auto"/>
              </w:rPr>
            </w:pPr>
          </w:p>
        </w:tc>
      </w:tr>
      <w:tr>
        <w:trPr>
          <w:trHeight w:val="168"/>
        </w:trPr>
        <w:tc>
          <w:tcPr>
            <w:tcW w:w="1120" w:type="dxa"/>
            <w:vAlign w:val="bottom"/>
            <w:tcBorders>
              <w:bottom w:val="single" w:sz="8" w:color="auto"/>
            </w:tcBorders>
            <w:vMerge w:val="continue"/>
          </w:tcPr>
          <w:p>
            <w:pPr>
              <w:spacing w:after="0"/>
              <w:rPr>
                <w:sz w:val="14"/>
                <w:szCs w:val="14"/>
                <w:color w:val="auto"/>
              </w:rPr>
            </w:pPr>
          </w:p>
        </w:tc>
        <w:tc>
          <w:tcPr>
            <w:tcW w:w="2740" w:type="dxa"/>
            <w:vAlign w:val="bottom"/>
            <w:vMerge w:val="continue"/>
          </w:tcPr>
          <w:p>
            <w:pPr>
              <w:spacing w:after="0"/>
              <w:rPr>
                <w:sz w:val="14"/>
                <w:szCs w:val="14"/>
                <w:color w:val="auto"/>
              </w:rPr>
            </w:pPr>
          </w:p>
        </w:tc>
        <w:tc>
          <w:tcPr>
            <w:tcW w:w="2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19"/>
              <w:spacing w:after="0" w:line="148" w:lineRule="exact"/>
              <w:rPr>
                <w:sz w:val="20"/>
                <w:szCs w:val="20"/>
                <w:color w:val="auto"/>
              </w:rPr>
            </w:pPr>
            <w:r>
              <w:rPr>
                <w:rFonts w:ascii="Times New Roman" w:cs="Times New Roman" w:eastAsia="Times New Roman" w:hAnsi="Times New Roman"/>
                <w:sz w:val="14"/>
                <w:szCs w:val="14"/>
                <w:color w:val="auto"/>
                <w:w w:val="94"/>
              </w:rPr>
              <w:t>Policies</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180"/>
              <w:spacing w:after="0" w:line="148" w:lineRule="exact"/>
              <w:rPr>
                <w:sz w:val="20"/>
                <w:szCs w:val="20"/>
                <w:color w:val="auto"/>
              </w:rPr>
            </w:pPr>
            <w:r>
              <w:rPr>
                <w:rFonts w:ascii="Times New Roman" w:cs="Times New Roman" w:eastAsia="Times New Roman" w:hAnsi="Times New Roman"/>
                <w:sz w:val="14"/>
                <w:szCs w:val="14"/>
                <w:color w:val="auto"/>
                <w:w w:val="95"/>
              </w:rPr>
              <w:t>Value</w:t>
            </w:r>
          </w:p>
        </w:tc>
        <w:tc>
          <w:tcPr>
            <w:tcW w:w="0" w:type="dxa"/>
            <w:vAlign w:val="bottom"/>
          </w:tcPr>
          <w:p>
            <w:pPr>
              <w:spacing w:after="0"/>
              <w:rPr>
                <w:sz w:val="1"/>
                <w:szCs w:val="1"/>
                <w:color w:val="auto"/>
              </w:rPr>
            </w:pPr>
          </w:p>
        </w:tc>
      </w:tr>
      <w:tr>
        <w:trPr>
          <w:trHeight w:val="203"/>
        </w:trPr>
        <w:tc>
          <w:tcPr>
            <w:tcW w:w="38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Jack E. Golsen</w:t>
            </w:r>
          </w:p>
        </w:tc>
        <w:tc>
          <w:tcPr>
            <w:tcW w:w="27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4"/>
              </w:rPr>
              <w:t>7,000,000</w:t>
            </w: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1,219,000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Tony M. Shelby</w:t>
            </w:r>
          </w:p>
        </w:tc>
        <w:tc>
          <w:tcPr>
            <w:tcW w:w="2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788,049</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Barry H. Golsen</w:t>
            </w:r>
          </w:p>
        </w:tc>
        <w:tc>
          <w:tcPr>
            <w:tcW w:w="2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4,115,016</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J. Golsen</w:t>
            </w:r>
          </w:p>
        </w:tc>
        <w:tc>
          <w:tcPr>
            <w:tcW w:w="2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871,127</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 Goss</w:t>
            </w:r>
          </w:p>
        </w:tc>
        <w:tc>
          <w:tcPr>
            <w:tcW w:w="2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1,334,372</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M. Shear</w:t>
            </w:r>
          </w:p>
        </w:tc>
        <w:tc>
          <w:tcPr>
            <w:tcW w:w="2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92"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6"/>
          <w:szCs w:val="16"/>
          <w:color w:val="auto"/>
        </w:rPr>
        <w:t>We maintain The Savings Incentive Plan for LSB Industries, Inc. and Designated Subsidiaries (the “401(k) Plan”) for qualifying employees (including the named executive officers) of the Company. As relating to the named executive officers, the 401(k) Plan is funded by the officer’s contributions. We make no contributions to the 401(k) Plan for any of the named executive officers. The amount that an officer may contribute to the 401(k) Plan equals a certain percentage of the employee’s compensation, with the percentage based on the officer’s income and certain other criteria as required under Section 401(k) of the Internal Revenue Code. We deduct the amounts contributed to the 401(k) Plan from the officer’s compensation each pay period, in accordance with the officer’s instructions, and pay the amount into the 401(k) Plan pursuant to the officer’s election. The salary and bonus set forth in the Summary Compensation Table above include any amounts contributed by the named executive officers during the 2012, 2011 and 2010 fiscal years pursuant to the 401(k) Plan.</w:t>
      </w: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Outstanding Equity Awards At December 31, 2012</w:t>
      </w:r>
    </w:p>
    <w:p>
      <w:pPr>
        <w:spacing w:after="0" w:line="173"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At December 31, 2012, none of the named executive officers had any vested or unvested outstanding equity awards. In addition, none of the named executive officers exercised stock option awards and no stock option awards vested in 2012.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Severance Agreements</w:t>
      </w:r>
    </w:p>
    <w:p>
      <w:pPr>
        <w:spacing w:after="0" w:line="92"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6"/>
          <w:szCs w:val="16"/>
          <w:color w:val="auto"/>
        </w:rPr>
        <w:t>We have entered into severance agreements, as amended, with each of the named executive officers. Each severance agreement provides that if, within 24 months after the occurrence of a change in control (as defined) of the Company, we terminate the officer’s employment other than for cause (as defined), or the officer terminates his employment for good reason (as defined), we must pay the officer an amount equal to 2.9 times the officer’s base amount (as defined). The term “base amount” means the average annual gross compensation paid by the Company to the officer and includable in the officer’s gross income during the most recent five-year period immediately preceding the change in control. If the officer has been employed by the Company for less than five years, the base amount is calculated with respect to the most recent number of taxable years ending before the change in control that the officer worked for the Company.</w:t>
      </w:r>
    </w:p>
    <w:p>
      <w:pPr>
        <w:spacing w:after="0" w:line="111"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The severance agreements provide that a “change in control” means a change in control of the Company of a nature that would require the filing of a Form 8-K with the SEC and, in any event, would mean when:</w:t>
      </w:r>
    </w:p>
    <w:p>
      <w:pPr>
        <w:spacing w:after="0" w:line="39" w:lineRule="exact"/>
        <w:rPr>
          <w:sz w:val="20"/>
          <w:szCs w:val="20"/>
          <w:color w:val="auto"/>
        </w:rPr>
      </w:pPr>
    </w:p>
    <w:p>
      <w:pPr>
        <w:ind w:left="900" w:right="40" w:hanging="325"/>
        <w:spacing w:after="0" w:line="26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individual, firm, corporation, entity, or group (as defined in Section 13(d)(3) of the Securities Exchange Act of 1934, as amended) becomes the beneficial owner, directly or indirectly, of 30% or more of the combined voting power of LSB’s outstanding voting securities having the right to vote for the election of directors, except acquisitions by:</w:t>
      </w:r>
    </w:p>
    <w:p>
      <w:pPr>
        <w:spacing w:after="0" w:line="51"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firm, corporation, entity, or group which, as of the date of the severance agreement, has that ownership, or</w:t>
      </w:r>
    </w:p>
    <w:p>
      <w:pPr>
        <w:spacing w:after="0" w:line="90" w:lineRule="exact"/>
        <w:rPr>
          <w:rFonts w:ascii="Times New Roman" w:cs="Times New Roman" w:eastAsia="Times New Roman" w:hAnsi="Times New Roman"/>
          <w:sz w:val="18"/>
          <w:szCs w:val="18"/>
          <w:color w:val="auto"/>
        </w:rPr>
      </w:pPr>
    </w:p>
    <w:p>
      <w:pPr>
        <w:ind w:left="1480" w:hanging="446"/>
        <w:spacing w:after="0" w:line="256" w:lineRule="auto"/>
        <w:tabs>
          <w:tab w:leader="none" w:pos="14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Jack E. Golsen, his children and the spouses of his children; his estate; executor or administrator of any estate, guardian or custodian for Jack E. Golsen, his children, or the spouses of his children, any corporation, trust, partnership, or other entity of which Jack E. Golsen, his children, or the spouses of his children own at least 80% of the outstanding beneficial voting or equity interests, directly or indirectly, either by any one or more of the above-described persons, entities, or estates; and certain affiliates and associates of any of the above-described persons, entities, or estates;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00"/>
          </w:cols>
          <w:pgMar w:left="240" w:top="455" w:right="25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right="100" w:hanging="325"/>
        <w:spacing w:after="0" w:line="258"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as of the date of the severance agreement, constitute our Board of Directors (the “Incumbent Board”) and who cease for any reason to constitute a majority of the Board of Directors except that any person becoming a director subsequent to the date of the severance agreement, whose election or nomination for election is approved by a majority of the Incumbent Board (with certain limited exceptions), will constitute a member of the Incumbent Board; or</w:t>
      </w:r>
    </w:p>
    <w:p>
      <w:pPr>
        <w:spacing w:after="0" w:line="55"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by the Company of all or substantially all of its assets.</w:t>
      </w:r>
    </w:p>
    <w:p>
      <w:pPr>
        <w:spacing w:after="0" w:line="171"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Except for the severance agreement with Jack E. Golsen, the termination of an officer’s employment with the Company “for cause” means termination because of:</w:t>
      </w:r>
    </w:p>
    <w:p>
      <w:pPr>
        <w:spacing w:after="0" w:line="39" w:lineRule="exact"/>
        <w:rPr>
          <w:sz w:val="20"/>
          <w:szCs w:val="20"/>
          <w:color w:val="auto"/>
        </w:rPr>
      </w:pPr>
    </w:p>
    <w:p>
      <w:pPr>
        <w:ind w:left="900" w:right="180" w:hanging="325"/>
        <w:spacing w:after="0" w:line="275"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mental or physical disability from performing the officer’s duties for a period of 120 consecutive days or one hundred eighty days (even though not consecutive) within a 360 day period;</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conviction of a felony;</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embezzlement by the officer of our assets resulting in substantial personal enrichment of the officer at the expense of the Company; or</w:t>
      </w:r>
    </w:p>
    <w:p>
      <w:pPr>
        <w:spacing w:after="0" w:line="90" w:lineRule="exact"/>
        <w:rPr>
          <w:rFonts w:ascii="Times New Roman" w:cs="Times New Roman" w:eastAsia="Times New Roman" w:hAnsi="Times New Roman"/>
          <w:sz w:val="18"/>
          <w:szCs w:val="18"/>
          <w:color w:val="auto"/>
        </w:rPr>
      </w:pPr>
    </w:p>
    <w:p>
      <w:pPr>
        <w:ind w:left="900" w:right="20" w:hanging="325"/>
        <w:spacing w:after="0" w:line="275"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willful failure (when not mentally or physically disabled) to follow a direct written order from our Board of Directors within the reasonable scope of the officer’s duties performed during the 60 day period prior to the change in control.</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definition of “Cause” contained in the severance agreement with Jack E. Golsen means termination because of:</w:t>
      </w:r>
    </w:p>
    <w:p>
      <w:pPr>
        <w:spacing w:after="0" w:line="90" w:lineRule="exact"/>
        <w:rPr>
          <w:sz w:val="20"/>
          <w:szCs w:val="20"/>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conviction of Mr. Golsen of a felony involving moral turpitude after all appeals have been completed; or</w:t>
      </w:r>
    </w:p>
    <w:p>
      <w:pPr>
        <w:spacing w:after="0" w:line="90" w:lineRule="exact"/>
        <w:rPr>
          <w:rFonts w:ascii="Times New Roman" w:cs="Times New Roman" w:eastAsia="Times New Roman" w:hAnsi="Times New Roman"/>
          <w:sz w:val="18"/>
          <w:szCs w:val="18"/>
          <w:color w:val="auto"/>
        </w:rPr>
      </w:pPr>
    </w:p>
    <w:p>
      <w:pPr>
        <w:ind w:left="900" w:hanging="325"/>
        <w:spacing w:after="0" w:line="275"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due to Mr. Golsen’s serious, willful, gross misconduct or willful, gross neglect of his duties has resulted in material damages to the Company, taken as a whole, provided that:</w:t>
      </w:r>
    </w:p>
    <w:p>
      <w:pPr>
        <w:spacing w:after="0" w:line="38" w:lineRule="exact"/>
        <w:rPr>
          <w:rFonts w:ascii="Times New Roman" w:cs="Times New Roman" w:eastAsia="Times New Roman" w:hAnsi="Times New Roman"/>
          <w:sz w:val="18"/>
          <w:szCs w:val="18"/>
          <w:color w:val="auto"/>
        </w:rPr>
      </w:pPr>
    </w:p>
    <w:p>
      <w:pPr>
        <w:ind w:left="1480" w:right="60" w:hanging="446"/>
        <w:spacing w:after="0" w:line="275" w:lineRule="auto"/>
        <w:tabs>
          <w:tab w:leader="none" w:pos="14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or failure to act by Mr. Golsen will constitute a reason for termination if he believed, in good faith, that such action or failure to act was in our best interest, and</w:t>
      </w:r>
    </w:p>
    <w:p>
      <w:pPr>
        <w:spacing w:after="0" w:line="38" w:lineRule="exact"/>
        <w:rPr>
          <w:rFonts w:ascii="Times New Roman" w:cs="Times New Roman" w:eastAsia="Times New Roman" w:hAnsi="Times New Roman"/>
          <w:sz w:val="18"/>
          <w:szCs w:val="18"/>
          <w:color w:val="auto"/>
        </w:rPr>
      </w:pPr>
    </w:p>
    <w:p>
      <w:pPr>
        <w:ind w:left="1480" w:right="400" w:hanging="446"/>
        <w:spacing w:after="0" w:line="275" w:lineRule="auto"/>
        <w:tabs>
          <w:tab w:leader="none" w:pos="14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Mr. Golsen to perform his duties hereunder due to disability shall not be considered willful, gross misconduct or willful, gross negligence of his duties for any purpose.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termination of an officer’s employment with the Company for “good reason” means termination because of:</w:t>
      </w:r>
    </w:p>
    <w:p>
      <w:pPr>
        <w:spacing w:after="0" w:line="90" w:lineRule="exact"/>
        <w:rPr>
          <w:sz w:val="20"/>
          <w:szCs w:val="20"/>
          <w:color w:val="auto"/>
        </w:rPr>
      </w:pPr>
    </w:p>
    <w:p>
      <w:pPr>
        <w:ind w:left="900" w:right="660" w:hanging="325"/>
        <w:spacing w:after="0" w:line="262"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assignment to the officer of duties inconsistent with the officer’s position, authority, duties, or responsibilities during the 60 day period immediately preceding the change in control of the Company or any other action which results in the diminishment of those duties, position, authority, or responsibilities;</w:t>
      </w:r>
    </w:p>
    <w:p>
      <w:pPr>
        <w:spacing w:after="0" w:line="5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relocation of the officer;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purported termination by the Company of the officer’s employment with us otherwise than as permitted by the severance agreement; or</w:t>
      </w:r>
    </w:p>
    <w:p>
      <w:pPr>
        <w:spacing w:after="0" w:line="90" w:lineRule="exact"/>
        <w:rPr>
          <w:rFonts w:ascii="Times New Roman" w:cs="Times New Roman" w:eastAsia="Times New Roman" w:hAnsi="Times New Roman"/>
          <w:sz w:val="18"/>
          <w:szCs w:val="18"/>
          <w:color w:val="auto"/>
        </w:rPr>
      </w:pPr>
    </w:p>
    <w:p>
      <w:pPr>
        <w:ind w:left="900" w:right="100" w:hanging="325"/>
        <w:spacing w:after="0" w:line="275"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change in control of the Company, the failure of the successor or parent company to agree, in form and substance satisfactory to the officer, to assume (as to a successor) or guarantee (as to a parent) the severance agreement as if no change in control had occurred.</w:t>
      </w:r>
    </w:p>
    <w:p>
      <w:pPr>
        <w:spacing w:after="0" w:line="12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Except for the severance agreement with Jack E. Golsen, each severance agreement expires on the earlier of: (a) three years after the date of the severance agreement, or (b) the date of retirement from the Company; however, beginning on the first anniversary of the severance agreement and on each annual anniversary thereafter, the term of the severance agreement automatically extends for an additional one-year period, unless we give notice otherwise at least 60 days prior to the anniversary date. The severance agreement with Jack E. Golsen is effective for a period of three years from the date of the severance agreement; except that, commencing on the date one year after the date of such severance agreement and on each anniversary thereafter, the term of such severance agreement shall be automatically extended so as to terminate three years from such renewal date, unless we give notices otherwise at least one year prior to the renewal date.</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455" w:right="2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Change-In-Control</w:t>
      </w:r>
    </w:p>
    <w:p>
      <w:pPr>
        <w:spacing w:after="0" w:line="173"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The following table reflects the total amount that we would have been required to pay to each of the named executive officers under the applicable agreement if the respective trigger event had occurred on December 31, 2012.</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Severance Pay Trigger Event*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Involuntary</w:t>
            </w: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w w:val="95"/>
              </w:rPr>
              <w:t>Voluntary</w:t>
            </w: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w w:val="97"/>
              </w:rPr>
              <w:t>Involuntary</w:t>
            </w: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Than</w:t>
            </w: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w w:val="96"/>
              </w:rPr>
              <w:t>For Good</w:t>
            </w: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w w:val="96"/>
              </w:rPr>
              <w:t>Other Than</w:t>
            </w:r>
          </w:p>
        </w:tc>
        <w:tc>
          <w:tcPr>
            <w:tcW w:w="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w w:val="97"/>
              </w:rPr>
              <w:t>Involuntary</w:t>
            </w:r>
          </w:p>
        </w:tc>
        <w:tc>
          <w:tcPr>
            <w:tcW w:w="10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For Cause</w:t>
            </w: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w w:val="96"/>
              </w:rPr>
              <w:t>Reason</w:t>
            </w: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Name and Executive Benefit and Payments Upon</w:t>
            </w:r>
          </w:p>
        </w:tc>
        <w:tc>
          <w:tcPr>
            <w:tcW w:w="1660" w:type="dxa"/>
            <w:vAlign w:val="bottom"/>
          </w:tcPr>
          <w:p>
            <w:pPr>
              <w:spacing w:after="0"/>
              <w:rPr>
                <w:sz w:val="12"/>
                <w:szCs w:val="12"/>
                <w:color w:val="auto"/>
              </w:rPr>
            </w:pPr>
          </w:p>
        </w:tc>
        <w:tc>
          <w:tcPr>
            <w:tcW w:w="9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Voluntary</w:t>
            </w: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w w:val="97"/>
              </w:rPr>
              <w:t>For Cause</w:t>
            </w:r>
          </w:p>
        </w:tc>
        <w:tc>
          <w:tcPr>
            <w:tcW w:w="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w w:val="97"/>
              </w:rPr>
              <w:t>For Cause</w:t>
            </w:r>
          </w:p>
        </w:tc>
        <w:tc>
          <w:tcPr>
            <w:tcW w:w="10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Termination-</w:t>
            </w: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w w:val="94"/>
              </w:rPr>
              <w:t>Termination-</w:t>
            </w: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w w:val="95"/>
              </w:rPr>
              <w:t>Disability/In</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60" w:type="dxa"/>
            <w:vAlign w:val="bottom"/>
            <w:gridSpan w:val="2"/>
            <w:vMerge w:val="continue"/>
          </w:tcPr>
          <w:p>
            <w:pPr>
              <w:spacing w:after="0"/>
              <w:rPr>
                <w:sz w:val="11"/>
                <w:szCs w:val="11"/>
                <w:color w:val="auto"/>
              </w:rPr>
            </w:pPr>
          </w:p>
        </w:tc>
        <w:tc>
          <w:tcPr>
            <w:tcW w:w="1660" w:type="dxa"/>
            <w:vAlign w:val="bottom"/>
          </w:tcPr>
          <w:p>
            <w:pPr>
              <w:spacing w:after="0"/>
              <w:rPr>
                <w:sz w:val="11"/>
                <w:szCs w:val="11"/>
                <w:color w:val="auto"/>
              </w:rPr>
            </w:pPr>
          </w:p>
        </w:tc>
        <w:tc>
          <w:tcPr>
            <w:tcW w:w="94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4"/>
                <w:szCs w:val="14"/>
                <w:color w:val="auto"/>
                <w:w w:val="92"/>
              </w:rPr>
              <w:t>Termination</w:t>
            </w:r>
          </w:p>
        </w:tc>
        <w:tc>
          <w:tcPr>
            <w:tcW w:w="10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color w:val="auto"/>
                <w:w w:val="95"/>
              </w:rPr>
              <w:t>Termination</w:t>
            </w:r>
          </w:p>
        </w:tc>
        <w:tc>
          <w:tcPr>
            <w:tcW w:w="9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color w:val="auto"/>
                <w:w w:val="95"/>
              </w:rPr>
              <w:t>Termination</w:t>
            </w:r>
          </w:p>
        </w:tc>
        <w:tc>
          <w:tcPr>
            <w:tcW w:w="104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4"/>
                <w:szCs w:val="14"/>
                <w:color w:val="auto"/>
              </w:rPr>
              <w:t>Change of</w:t>
            </w:r>
          </w:p>
        </w:tc>
        <w:tc>
          <w:tcPr>
            <w:tcW w:w="10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color w:val="auto"/>
                <w:w w:val="96"/>
              </w:rPr>
              <w:t>Change of</w:t>
            </w:r>
          </w:p>
        </w:tc>
        <w:tc>
          <w:tcPr>
            <w:tcW w:w="10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color w:val="auto"/>
                <w:w w:val="97"/>
              </w:rPr>
              <w:t>capacitation</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Separation</w:t>
            </w:r>
          </w:p>
        </w:tc>
        <w:tc>
          <w:tcPr>
            <w:tcW w:w="2320" w:type="dxa"/>
            <w:vAlign w:val="bottom"/>
            <w:gridSpan w:val="2"/>
          </w:tcPr>
          <w:p>
            <w:pPr>
              <w:jc w:val="right"/>
              <w:ind w:right="175"/>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2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280" w:type="dxa"/>
            <w:vAlign w:val="bottom"/>
          </w:tcPr>
          <w:p>
            <w:pPr>
              <w:spacing w:after="0"/>
              <w:rPr>
                <w:sz w:val="15"/>
                <w:szCs w:val="15"/>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Control ($)</w:t>
            </w: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5"/>
              </w:rPr>
              <w:t>Control ($)</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280" w:type="dxa"/>
            <w:vAlign w:val="bottom"/>
          </w:tcPr>
          <w:p>
            <w:pPr>
              <w:spacing w:after="0"/>
              <w:rPr>
                <w:sz w:val="15"/>
                <w:szCs w:val="15"/>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Death ($)</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84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Jack E Golsen: (1)(2)(5)</w:t>
            </w:r>
          </w:p>
        </w:tc>
        <w:tc>
          <w:tcPr>
            <w:tcW w:w="16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Salary</w:t>
            </w:r>
          </w:p>
        </w:tc>
        <w:tc>
          <w:tcPr>
            <w:tcW w:w="1660" w:type="dxa"/>
            <w:vAlign w:val="bottom"/>
          </w:tcPr>
          <w:p>
            <w:pPr>
              <w:spacing w:after="0"/>
              <w:rPr>
                <w:sz w:val="18"/>
                <w:szCs w:val="18"/>
                <w:color w:val="auto"/>
              </w:rPr>
            </w:pP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1,038,693</w:t>
            </w:r>
          </w:p>
        </w:tc>
        <w:tc>
          <w:tcPr>
            <w:tcW w:w="280" w:type="dxa"/>
            <w:vAlign w:val="bottom"/>
          </w:tcPr>
          <w:p>
            <w:pPr>
              <w:spacing w:after="0"/>
              <w:rPr>
                <w:sz w:val="18"/>
                <w:szCs w:val="18"/>
                <w:color w:val="auto"/>
              </w:rPr>
            </w:pP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2,541,500</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2,541,500</w:t>
            </w:r>
          </w:p>
        </w:tc>
        <w:tc>
          <w:tcPr>
            <w:tcW w:w="28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3,456,789</w:t>
            </w: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Bonus</w:t>
            </w:r>
          </w:p>
        </w:tc>
        <w:tc>
          <w:tcPr>
            <w:tcW w:w="16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Death Benefits</w:t>
            </w:r>
          </w:p>
        </w:tc>
        <w:tc>
          <w:tcPr>
            <w:tcW w:w="1660" w:type="dxa"/>
            <w:vAlign w:val="bottom"/>
          </w:tcPr>
          <w:p>
            <w:pPr>
              <w:spacing w:after="0"/>
              <w:rPr>
                <w:sz w:val="18"/>
                <w:szCs w:val="18"/>
                <w:color w:val="auto"/>
              </w:rPr>
            </w:pP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16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72,091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Tony M. Shelby: (2)(3)(4)</w:t>
            </w:r>
          </w:p>
        </w:tc>
        <w:tc>
          <w:tcPr>
            <w:tcW w:w="1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Salary</w:t>
            </w:r>
          </w:p>
        </w:tc>
        <w:tc>
          <w:tcPr>
            <w:tcW w:w="16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1,205,472</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1,205,472</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Death Benefits</w:t>
            </w:r>
          </w:p>
        </w:tc>
        <w:tc>
          <w:tcPr>
            <w:tcW w:w="1660" w:type="dxa"/>
            <w:vAlign w:val="bottom"/>
          </w:tcPr>
          <w:p>
            <w:pPr>
              <w:spacing w:after="0"/>
              <w:rPr>
                <w:sz w:val="18"/>
                <w:szCs w:val="18"/>
                <w:color w:val="auto"/>
              </w:rPr>
            </w:pP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26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204,195</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3"/>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Barry H. Golsen: (2)(3)(4)</w:t>
            </w:r>
          </w:p>
        </w:tc>
        <w:tc>
          <w:tcPr>
            <w:tcW w:w="1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Salary</w:t>
            </w:r>
          </w:p>
        </w:tc>
        <w:tc>
          <w:tcPr>
            <w:tcW w:w="16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2,150,313</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2,150,313</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Death Benefits</w:t>
            </w:r>
          </w:p>
        </w:tc>
        <w:tc>
          <w:tcPr>
            <w:tcW w:w="1660" w:type="dxa"/>
            <w:vAlign w:val="bottom"/>
          </w:tcPr>
          <w:p>
            <w:pPr>
              <w:spacing w:after="0"/>
              <w:rPr>
                <w:sz w:val="19"/>
                <w:szCs w:val="19"/>
                <w:color w:val="auto"/>
              </w:rPr>
            </w:pP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415,962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28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J. Golsen: (2)(3)(4)</w:t>
            </w: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Salary</w:t>
            </w:r>
          </w:p>
        </w:tc>
        <w:tc>
          <w:tcPr>
            <w:tcW w:w="1660" w:type="dxa"/>
            <w:vAlign w:val="bottom"/>
          </w:tcPr>
          <w:p>
            <w:pPr>
              <w:spacing w:after="0"/>
              <w:rPr>
                <w:sz w:val="18"/>
                <w:szCs w:val="18"/>
                <w:color w:val="auto"/>
              </w:rPr>
            </w:pP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1,460,731</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1,460,731</w:t>
            </w:r>
          </w:p>
        </w:tc>
        <w:tc>
          <w:tcPr>
            <w:tcW w:w="280" w:type="dxa"/>
            <w:vAlign w:val="bottom"/>
          </w:tcPr>
          <w:p>
            <w:pPr>
              <w:spacing w:after="0"/>
              <w:rPr>
                <w:sz w:val="18"/>
                <w:szCs w:val="18"/>
                <w:color w:val="auto"/>
              </w:rPr>
            </w:pP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Death Benefits</w:t>
            </w:r>
          </w:p>
        </w:tc>
        <w:tc>
          <w:tcPr>
            <w:tcW w:w="16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R. Goss: (2)(3)(4)</w:t>
            </w:r>
          </w:p>
        </w:tc>
        <w:tc>
          <w:tcPr>
            <w:tcW w:w="1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Salary</w:t>
            </w:r>
          </w:p>
        </w:tc>
        <w:tc>
          <w:tcPr>
            <w:tcW w:w="16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1,143,142</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1,143,142</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Death Benefits</w:t>
            </w:r>
          </w:p>
        </w:tc>
        <w:tc>
          <w:tcPr>
            <w:tcW w:w="1660" w:type="dxa"/>
            <w:vAlign w:val="bottom"/>
          </w:tcPr>
          <w:p>
            <w:pPr>
              <w:spacing w:after="0"/>
              <w:rPr>
                <w:sz w:val="18"/>
                <w:szCs w:val="18"/>
                <w:color w:val="auto"/>
              </w:rPr>
            </w:pP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26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216,374</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3"/>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M. Shear: (2)(4)</w:t>
            </w:r>
          </w:p>
        </w:tc>
        <w:tc>
          <w:tcPr>
            <w:tcW w:w="1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Salary</w:t>
            </w:r>
          </w:p>
        </w:tc>
        <w:tc>
          <w:tcPr>
            <w:tcW w:w="16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1,118,548</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1,118,548</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Death Benefits</w:t>
            </w:r>
          </w:p>
        </w:tc>
        <w:tc>
          <w:tcPr>
            <w:tcW w:w="1660" w:type="dxa"/>
            <w:vAlign w:val="bottom"/>
          </w:tcPr>
          <w:p>
            <w:pPr>
              <w:spacing w:after="0"/>
              <w:rPr>
                <w:sz w:val="19"/>
                <w:szCs w:val="19"/>
                <w:color w:val="auto"/>
              </w:rPr>
            </w:pP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460" w:hanging="452"/>
        <w:spacing w:after="0"/>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payment of the amounts set forth in this table are described in the agreements referenced in the footnotes to this table.</w:t>
      </w:r>
    </w:p>
    <w:p>
      <w:pPr>
        <w:spacing w:after="0" w:line="21" w:lineRule="exact"/>
        <w:rPr>
          <w:sz w:val="20"/>
          <w:szCs w:val="20"/>
          <w:color w:val="auto"/>
        </w:rPr>
      </w:pPr>
    </w:p>
    <w:p>
      <w:pPr>
        <w:ind w:left="460" w:hanging="452"/>
        <w:spacing w:after="0"/>
        <w:tabs>
          <w:tab w:leader="none" w:pos="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“Employment Agreement” above for a description of the terms of Mr. Golsen’s employment agreement.</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“Severance Agreements” above for a description of the terms of our severance agreements.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“1981 Agreements” above for a discussion of the terms of our death benefit agreements.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“1992 Agreements” above for a description of the terms of our retention and death benefit agreements.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“2005 Agreement” above for a description of the terms of Mr. Golsen’s death benefit agreement.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Compensation Policies May Discourage Other Parties From Attempting to Acquire Us</w:t>
      </w:r>
    </w:p>
    <w:p>
      <w:pPr>
        <w:spacing w:after="0" w:line="92" w:lineRule="exact"/>
        <w:rPr>
          <w:sz w:val="20"/>
          <w:szCs w:val="20"/>
          <w:color w:val="auto"/>
        </w:rPr>
      </w:pPr>
    </w:p>
    <w:p>
      <w:pPr>
        <w:ind w:right="180"/>
        <w:spacing w:after="0" w:line="296" w:lineRule="auto"/>
        <w:rPr>
          <w:sz w:val="20"/>
          <w:szCs w:val="20"/>
          <w:color w:val="auto"/>
        </w:rPr>
      </w:pPr>
      <w:r>
        <w:rPr>
          <w:rFonts w:ascii="Times New Roman" w:cs="Times New Roman" w:eastAsia="Times New Roman" w:hAnsi="Times New Roman"/>
          <w:sz w:val="16"/>
          <w:szCs w:val="16"/>
          <w:color w:val="auto"/>
        </w:rPr>
        <w:t>We have entered into severance agreements with our executive officers and some of the executive officers of our subsidiaries that provide, among other things, that if, within a specified period of time after the occurrence of a change in control of our Company, these officers are terminated, other than for cause, or the officer terminates his employment for good reason, we must pay such officer an amount equal to 2.9 times the officer’s average annual gross salary for the last five years preceding the change in control. See “Severance Agreements” and “Employment Agreement,” above. These agreements may discourage a third party tender offer, proxy contest, or other attempts to acquire control of us and could have the effect of making it more difficult to remove incumbent management.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455" w:right="2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determined that our compensation policies do not create risks that are reasonably likely to have a material adverse effect on us. This conclusion was based on the assessment performed by us, with input from our executive management and our legal counsel. Our assessment included consideration of Item 402(s) of Regulation S-K as discussed between our management and our legal counsel. In conducting the compensation risk assessment, numerous factors were considered, including:</w:t>
      </w:r>
    </w:p>
    <w:p>
      <w:pPr>
        <w:spacing w:after="0" w:line="55" w:lineRule="exact"/>
        <w:rPr>
          <w:sz w:val="20"/>
          <w:szCs w:val="20"/>
          <w:color w:val="auto"/>
        </w:rPr>
      </w:pPr>
    </w:p>
    <w:p>
      <w:pPr>
        <w:ind w:left="900" w:right="20" w:hanging="325"/>
        <w:spacing w:after="0" w:line="275"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offer significant short-term incentives that would reasonably be considered as motivating high-risk investments or other conduct that is not consistent with the long term goals of the Company;</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between short-term and long-term compensation, which is also discussed herein;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of equity awards granted to employees and level of equity and equity award holdings;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emphasis on long term growth and profitability, over short term gains.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information as of December 31, 2012, with respect to our equity compensation plans.</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8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8"/>
              </w:rPr>
              <w:t>Equity Compensation Plan Information</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7"/>
              </w:rPr>
              <w:t>Number of securities</w:t>
            </w:r>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w w:val="96"/>
              </w:rPr>
              <w:t>remaining available for</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9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color w:val="auto"/>
                <w:w w:val="97"/>
              </w:rPr>
              <w:t>Number of securities to</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6"/>
              </w:rPr>
              <w:t>future issuance under</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9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color w:val="auto"/>
                <w:w w:val="96"/>
              </w:rPr>
              <w:t>be issued upon</w:t>
            </w:r>
          </w:p>
        </w:tc>
        <w:tc>
          <w:tcPr>
            <w:tcW w:w="26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Weighted-average</w:t>
            </w:r>
          </w:p>
        </w:tc>
        <w:tc>
          <w:tcPr>
            <w:tcW w:w="880" w:type="dxa"/>
            <w:vAlign w:val="bottom"/>
          </w:tcPr>
          <w:p>
            <w:pPr>
              <w:spacing w:after="0"/>
              <w:rPr>
                <w:sz w:val="12"/>
                <w:szCs w:val="12"/>
                <w:color w:val="auto"/>
              </w:rPr>
            </w:pPr>
          </w:p>
        </w:tc>
        <w:tc>
          <w:tcPr>
            <w:tcW w:w="13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6"/>
              </w:rPr>
              <w:t>equity compensation</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9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color w:val="auto"/>
                <w:w w:val="95"/>
              </w:rPr>
              <w:t>exercise of outstanding</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w w:val="97"/>
              </w:rPr>
              <w:t>exercise price of</w:t>
            </w:r>
          </w:p>
        </w:tc>
        <w:tc>
          <w:tcPr>
            <w:tcW w:w="880" w:type="dxa"/>
            <w:vAlign w:val="bottom"/>
          </w:tcPr>
          <w:p>
            <w:pPr>
              <w:spacing w:after="0"/>
              <w:rPr>
                <w:sz w:val="12"/>
                <w:szCs w:val="12"/>
                <w:color w:val="auto"/>
              </w:rPr>
            </w:pPr>
          </w:p>
        </w:tc>
        <w:tc>
          <w:tcPr>
            <w:tcW w:w="13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w w:val="96"/>
              </w:rPr>
              <w:t>plans (excluding</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9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color w:val="auto"/>
                <w:w w:val="96"/>
              </w:rPr>
              <w:t>options, warrants and</w:t>
            </w:r>
          </w:p>
        </w:tc>
        <w:tc>
          <w:tcPr>
            <w:tcW w:w="26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outstanding options,</w:t>
            </w:r>
          </w:p>
        </w:tc>
        <w:tc>
          <w:tcPr>
            <w:tcW w:w="880" w:type="dxa"/>
            <w:vAlign w:val="bottom"/>
          </w:tcPr>
          <w:p>
            <w:pPr>
              <w:spacing w:after="0"/>
              <w:rPr>
                <w:sz w:val="12"/>
                <w:szCs w:val="12"/>
                <w:color w:val="auto"/>
              </w:rPr>
            </w:pPr>
          </w:p>
        </w:tc>
        <w:tc>
          <w:tcPr>
            <w:tcW w:w="13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w w:val="94"/>
              </w:rPr>
              <w:t>securities</w:t>
            </w:r>
          </w:p>
        </w:tc>
        <w:tc>
          <w:tcPr>
            <w:tcW w:w="0" w:type="dxa"/>
            <w:vAlign w:val="bottom"/>
          </w:tcPr>
          <w:p>
            <w:pPr>
              <w:spacing w:after="0"/>
              <w:rPr>
                <w:sz w:val="1"/>
                <w:szCs w:val="1"/>
                <w:color w:val="auto"/>
              </w:rPr>
            </w:pPr>
          </w:p>
        </w:tc>
      </w:tr>
      <w:tr>
        <w:trPr>
          <w:trHeight w:val="149"/>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Plan Category</w:t>
            </w:r>
          </w:p>
        </w:tc>
        <w:tc>
          <w:tcPr>
            <w:tcW w:w="2720" w:type="dxa"/>
            <w:vAlign w:val="bottom"/>
            <w:vMerge w:val="restart"/>
          </w:tcPr>
          <w:p>
            <w:pPr>
              <w:spacing w:after="0"/>
              <w:rPr>
                <w:sz w:val="12"/>
                <w:szCs w:val="12"/>
                <w:color w:val="auto"/>
              </w:rPr>
            </w:pPr>
          </w:p>
        </w:tc>
        <w:tc>
          <w:tcPr>
            <w:tcW w:w="520" w:type="dxa"/>
            <w:vAlign w:val="bottom"/>
          </w:tcPr>
          <w:p>
            <w:pPr>
              <w:spacing w:after="0"/>
              <w:rPr>
                <w:sz w:val="12"/>
                <w:szCs w:val="12"/>
                <w:color w:val="auto"/>
              </w:rPr>
            </w:pPr>
          </w:p>
        </w:tc>
        <w:tc>
          <w:tcPr>
            <w:tcW w:w="19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color w:val="auto"/>
              </w:rPr>
              <w:t>rights</w:t>
            </w:r>
          </w:p>
        </w:tc>
        <w:tc>
          <w:tcPr>
            <w:tcW w:w="26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warrants and rights</w:t>
            </w:r>
          </w:p>
        </w:tc>
        <w:tc>
          <w:tcPr>
            <w:tcW w:w="880" w:type="dxa"/>
            <w:vAlign w:val="bottom"/>
          </w:tcPr>
          <w:p>
            <w:pPr>
              <w:spacing w:after="0"/>
              <w:rPr>
                <w:sz w:val="12"/>
                <w:szCs w:val="12"/>
                <w:color w:val="auto"/>
              </w:rPr>
            </w:pPr>
          </w:p>
        </w:tc>
        <w:tc>
          <w:tcPr>
            <w:tcW w:w="13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6"/>
              </w:rPr>
              <w:t>reflected in column (a))</w:t>
            </w:r>
          </w:p>
        </w:tc>
        <w:tc>
          <w:tcPr>
            <w:tcW w:w="0" w:type="dxa"/>
            <w:vAlign w:val="bottom"/>
          </w:tcPr>
          <w:p>
            <w:pPr>
              <w:spacing w:after="0"/>
              <w:rPr>
                <w:sz w:val="1"/>
                <w:szCs w:val="1"/>
                <w:color w:val="auto"/>
              </w:rPr>
            </w:pPr>
          </w:p>
        </w:tc>
      </w:tr>
      <w:tr>
        <w:trPr>
          <w:trHeight w:val="168"/>
        </w:trPr>
        <w:tc>
          <w:tcPr>
            <w:tcW w:w="820" w:type="dxa"/>
            <w:vAlign w:val="bottom"/>
            <w:tcBorders>
              <w:bottom w:val="single" w:sz="8" w:color="auto"/>
            </w:tcBorders>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900" w:type="dxa"/>
            <w:vAlign w:val="bottom"/>
            <w:gridSpan w:val="2"/>
          </w:tcPr>
          <w:p>
            <w:pPr>
              <w:jc w:val="center"/>
              <w:ind w:right="620"/>
              <w:spacing w:after="0" w:line="148" w:lineRule="exact"/>
              <w:rPr>
                <w:sz w:val="20"/>
                <w:szCs w:val="20"/>
                <w:color w:val="auto"/>
              </w:rPr>
            </w:pPr>
            <w:r>
              <w:rPr>
                <w:rFonts w:ascii="Times New Roman" w:cs="Times New Roman" w:eastAsia="Times New Roman" w:hAnsi="Times New Roman"/>
                <w:sz w:val="14"/>
                <w:szCs w:val="14"/>
                <w:color w:val="auto"/>
              </w:rPr>
              <w:t>(a)</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color w:val="auto"/>
                <w:w w:val="97"/>
              </w:rPr>
              <w:t>(b)</w:t>
            </w:r>
          </w:p>
        </w:tc>
        <w:tc>
          <w:tcPr>
            <w:tcW w:w="880" w:type="dxa"/>
            <w:vAlign w:val="bottom"/>
          </w:tcPr>
          <w:p>
            <w:pPr>
              <w:spacing w:after="0"/>
              <w:rPr>
                <w:sz w:val="14"/>
                <w:szCs w:val="14"/>
                <w:color w:val="auto"/>
              </w:rPr>
            </w:pPr>
          </w:p>
        </w:tc>
        <w:tc>
          <w:tcPr>
            <w:tcW w:w="1380" w:type="dxa"/>
            <w:vAlign w:val="bottom"/>
            <w:gridSpan w:val="2"/>
          </w:tcPr>
          <w:p>
            <w:pPr>
              <w:jc w:val="center"/>
              <w:ind w:right="80"/>
              <w:spacing w:after="0" w:line="148" w:lineRule="exact"/>
              <w:rPr>
                <w:sz w:val="20"/>
                <w:szCs w:val="20"/>
                <w:color w:val="auto"/>
              </w:rPr>
            </w:pPr>
            <w:r>
              <w:rPr>
                <w:rFonts w:ascii="Times New Roman" w:cs="Times New Roman" w:eastAsia="Times New Roman" w:hAnsi="Times New Roman"/>
                <w:sz w:val="14"/>
                <w:szCs w:val="14"/>
                <w:color w:val="auto"/>
                <w:w w:val="89"/>
              </w:rPr>
              <w:t>(c)</w:t>
            </w:r>
          </w:p>
        </w:tc>
        <w:tc>
          <w:tcPr>
            <w:tcW w:w="0" w:type="dxa"/>
            <w:vAlign w:val="bottom"/>
          </w:tcPr>
          <w:p>
            <w:pPr>
              <w:spacing w:after="0"/>
              <w:rPr>
                <w:sz w:val="1"/>
                <w:szCs w:val="1"/>
                <w:color w:val="auto"/>
              </w:rPr>
            </w:pPr>
          </w:p>
        </w:tc>
      </w:tr>
      <w:tr>
        <w:trPr>
          <w:trHeight w:val="175"/>
        </w:trPr>
        <w:tc>
          <w:tcPr>
            <w:tcW w:w="3540" w:type="dxa"/>
            <w:vAlign w:val="bottom"/>
            <w:tcBorders>
              <w:top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52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stockholders</w:t>
            </w:r>
          </w:p>
        </w:tc>
        <w:tc>
          <w:tcPr>
            <w:tcW w:w="242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736,965</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629,905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Equity compensation plan not approved by</w:t>
            </w:r>
          </w:p>
        </w:tc>
        <w:tc>
          <w:tcPr>
            <w:tcW w:w="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stockholders</w:t>
            </w:r>
          </w:p>
        </w:tc>
        <w:tc>
          <w:tcPr>
            <w:tcW w:w="520" w:type="dxa"/>
            <w:vAlign w:val="bottom"/>
          </w:tcPr>
          <w:p>
            <w:pPr>
              <w:spacing w:after="0"/>
              <w:rPr>
                <w:sz w:val="20"/>
                <w:szCs w:val="20"/>
                <w:color w:val="auto"/>
              </w:rPr>
            </w:pPr>
          </w:p>
        </w:tc>
        <w:tc>
          <w:tcPr>
            <w:tcW w:w="12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0"/>
                <w:szCs w:val="20"/>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2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736,965</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92"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18"/>
          <w:szCs w:val="18"/>
          <w:color w:val="auto"/>
        </w:rPr>
        <w:t>In 2012, we compensated our non-employee directors for their services as directors on our Board. Directors who are employees of the Company receive no compensation for their services as directors.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00"/>
          </w:cols>
          <w:pgMar w:left="240" w:top="455" w:right="25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compensation paid by us to our non-employee directors during the year ended December 31, 2012.</w:t>
      </w:r>
    </w:p>
    <w:p>
      <w:pPr>
        <w:spacing w:after="0" w:line="3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Director Compensation Table</w:t>
      </w:r>
    </w:p>
    <w:p>
      <w:pPr>
        <w:spacing w:after="0" w:line="215" w:lineRule="exact"/>
        <w:rPr>
          <w:sz w:val="20"/>
          <w:szCs w:val="20"/>
          <w:color w:val="auto"/>
        </w:rPr>
      </w:pPr>
    </w:p>
    <w:tbl>
      <w:tblPr>
        <w:tblLayout w:type="fixed"/>
        <w:tblInd w:w="460" w:type="dxa"/>
        <w:tblCellMar>
          <w:top w:w="0" w:type="dxa"/>
          <w:left w:w="0" w:type="dxa"/>
          <w:bottom w:w="0" w:type="dxa"/>
          <w:right w:w="0" w:type="dxa"/>
        </w:tblCellMar>
      </w:tblPr>
      <w:tr>
        <w:trPr>
          <w:trHeight w:val="168"/>
        </w:trPr>
        <w:tc>
          <w:tcPr>
            <w:tcW w:w="5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w:t>
            </w:r>
          </w:p>
        </w:tc>
        <w:tc>
          <w:tcPr>
            <w:tcW w:w="148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w w:val="97"/>
              </w:rPr>
              <w:t>(b)</w:t>
            </w:r>
          </w:p>
        </w:tc>
        <w:tc>
          <w:tcPr>
            <w:tcW w:w="122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color w:val="auto"/>
                <w:w w:val="97"/>
              </w:rPr>
              <w:t>(d)</w:t>
            </w:r>
          </w:p>
        </w:tc>
        <w:tc>
          <w:tcPr>
            <w:tcW w:w="152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7"/>
              </w:rPr>
              <w:t>(g)</w:t>
            </w:r>
          </w:p>
        </w:tc>
        <w:tc>
          <w:tcPr>
            <w:tcW w:w="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(h)</w:t>
            </w:r>
          </w:p>
        </w:tc>
        <w:tc>
          <w:tcPr>
            <w:tcW w:w="0" w:type="dxa"/>
            <w:vAlign w:val="bottom"/>
          </w:tcPr>
          <w:p>
            <w:pPr>
              <w:spacing w:after="0"/>
              <w:rPr>
                <w:sz w:val="1"/>
                <w:szCs w:val="1"/>
                <w:color w:val="auto"/>
              </w:rPr>
            </w:pPr>
          </w:p>
        </w:tc>
      </w:tr>
      <w:tr>
        <w:trPr>
          <w:trHeight w:val="136"/>
        </w:trPr>
        <w:tc>
          <w:tcPr>
            <w:tcW w:w="1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880" w:type="dxa"/>
            <w:vAlign w:val="bottom"/>
            <w:tcBorders>
              <w:top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color w:val="auto"/>
                <w:w w:val="95"/>
              </w:rPr>
              <w:t>Fees Earned or</w:t>
            </w:r>
          </w:p>
        </w:tc>
        <w:tc>
          <w:tcPr>
            <w:tcW w:w="600" w:type="dxa"/>
            <w:vAlign w:val="bottom"/>
          </w:tcPr>
          <w:p>
            <w:pPr>
              <w:spacing w:after="0"/>
              <w:rPr>
                <w:sz w:val="11"/>
                <w:szCs w:val="11"/>
                <w:color w:val="auto"/>
              </w:rPr>
            </w:pPr>
          </w:p>
        </w:tc>
        <w:tc>
          <w:tcPr>
            <w:tcW w:w="620" w:type="dxa"/>
            <w:vAlign w:val="bottom"/>
            <w:tcBorders>
              <w:top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color w:val="auto"/>
                <w:w w:val="97"/>
              </w:rPr>
              <w:t>Option</w:t>
            </w:r>
          </w:p>
        </w:tc>
        <w:tc>
          <w:tcPr>
            <w:tcW w:w="600" w:type="dxa"/>
            <w:vAlign w:val="bottom"/>
          </w:tcPr>
          <w:p>
            <w:pPr>
              <w:spacing w:after="0"/>
              <w:rPr>
                <w:sz w:val="11"/>
                <w:szCs w:val="11"/>
                <w:color w:val="auto"/>
              </w:rPr>
            </w:pPr>
          </w:p>
        </w:tc>
        <w:tc>
          <w:tcPr>
            <w:tcW w:w="780" w:type="dxa"/>
            <w:vAlign w:val="bottom"/>
            <w:tcBorders>
              <w:top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color w:val="auto"/>
                <w:w w:val="93"/>
              </w:rPr>
              <w:t>All Other</w:t>
            </w:r>
          </w:p>
        </w:tc>
        <w:tc>
          <w:tcPr>
            <w:tcW w:w="7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w w:val="95"/>
              </w:rPr>
              <w:t>Name</w:t>
            </w:r>
          </w:p>
        </w:tc>
        <w:tc>
          <w:tcPr>
            <w:tcW w:w="5300" w:type="dxa"/>
            <w:vAlign w:val="bottom"/>
            <w:vMerge w:val="restart"/>
          </w:tcPr>
          <w:p>
            <w:pPr>
              <w:spacing w:after="0"/>
              <w:rPr>
                <w:sz w:val="12"/>
                <w:szCs w:val="12"/>
                <w:color w:val="auto"/>
              </w:rPr>
            </w:pPr>
          </w:p>
        </w:tc>
        <w:tc>
          <w:tcPr>
            <w:tcW w:w="1480" w:type="dxa"/>
            <w:vAlign w:val="bottom"/>
            <w:gridSpan w:val="2"/>
          </w:tcPr>
          <w:p>
            <w:pPr>
              <w:jc w:val="right"/>
              <w:ind w:right="600"/>
              <w:spacing w:after="0" w:line="149" w:lineRule="exact"/>
              <w:rPr>
                <w:sz w:val="20"/>
                <w:szCs w:val="20"/>
                <w:color w:val="auto"/>
              </w:rPr>
            </w:pPr>
            <w:r>
              <w:rPr>
                <w:rFonts w:ascii="Times New Roman" w:cs="Times New Roman" w:eastAsia="Times New Roman" w:hAnsi="Times New Roman"/>
                <w:sz w:val="14"/>
                <w:szCs w:val="14"/>
                <w:color w:val="auto"/>
                <w:w w:val="94"/>
              </w:rPr>
              <w:t>Paid in Cash (1)</w:t>
            </w:r>
          </w:p>
        </w:tc>
        <w:tc>
          <w:tcPr>
            <w:tcW w:w="122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color w:val="auto"/>
                <w:w w:val="94"/>
              </w:rPr>
              <w:t>Awards (2)</w:t>
            </w:r>
          </w:p>
        </w:tc>
        <w:tc>
          <w:tcPr>
            <w:tcW w:w="152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color w:val="auto"/>
                <w:w w:val="96"/>
              </w:rPr>
              <w:t>Compensation</w:t>
            </w:r>
          </w:p>
        </w:tc>
        <w:tc>
          <w:tcPr>
            <w:tcW w:w="6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153"/>
        </w:trPr>
        <w:tc>
          <w:tcPr>
            <w:tcW w:w="340" w:type="dxa"/>
            <w:vAlign w:val="bottom"/>
            <w:tcBorders>
              <w:bottom w:val="single" w:sz="8" w:color="auto"/>
            </w:tcBorders>
            <w:gridSpan w:val="2"/>
            <w:vMerge w:val="continue"/>
          </w:tcPr>
          <w:p>
            <w:pPr>
              <w:spacing w:after="0"/>
              <w:rPr>
                <w:sz w:val="12"/>
                <w:szCs w:val="12"/>
                <w:color w:val="auto"/>
              </w:rPr>
            </w:pPr>
          </w:p>
        </w:tc>
        <w:tc>
          <w:tcPr>
            <w:tcW w:w="5300" w:type="dxa"/>
            <w:vAlign w:val="bottom"/>
            <w:vMerge w:val="continue"/>
          </w:tcPr>
          <w:p>
            <w:pPr>
              <w:spacing w:after="0"/>
              <w:rPr>
                <w:sz w:val="12"/>
                <w:szCs w:val="12"/>
                <w:color w:val="auto"/>
              </w:rPr>
            </w:pPr>
          </w:p>
        </w:tc>
        <w:tc>
          <w:tcPr>
            <w:tcW w:w="88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color w:val="auto"/>
                <w:w w:val="97"/>
              </w:rPr>
              <w:t>($)</w:t>
            </w:r>
          </w:p>
        </w:tc>
        <w:tc>
          <w:tcPr>
            <w:tcW w:w="600" w:type="dxa"/>
            <w:vAlign w:val="bottom"/>
          </w:tcPr>
          <w:p>
            <w:pPr>
              <w:spacing w:after="0"/>
              <w:rPr>
                <w:sz w:val="12"/>
                <w:szCs w:val="12"/>
                <w:color w:val="auto"/>
              </w:rPr>
            </w:pPr>
          </w:p>
        </w:tc>
        <w:tc>
          <w:tcPr>
            <w:tcW w:w="6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color w:val="auto"/>
                <w:w w:val="97"/>
              </w:rPr>
              <w:t>($)</w:t>
            </w:r>
          </w:p>
        </w:tc>
        <w:tc>
          <w:tcPr>
            <w:tcW w:w="600" w:type="dxa"/>
            <w:vAlign w:val="bottom"/>
          </w:tcPr>
          <w:p>
            <w:pPr>
              <w:spacing w:after="0"/>
              <w:rPr>
                <w:sz w:val="12"/>
                <w:szCs w:val="12"/>
                <w:color w:val="auto"/>
              </w:rPr>
            </w:pPr>
          </w:p>
        </w:tc>
        <w:tc>
          <w:tcPr>
            <w:tcW w:w="78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color w:val="auto"/>
                <w:w w:val="97"/>
              </w:rPr>
              <w:t>($)</w:t>
            </w:r>
          </w:p>
        </w:tc>
        <w:tc>
          <w:tcPr>
            <w:tcW w:w="740" w:type="dxa"/>
            <w:vAlign w:val="bottom"/>
          </w:tcPr>
          <w:p>
            <w:pPr>
              <w:spacing w:after="0"/>
              <w:rPr>
                <w:sz w:val="12"/>
                <w:szCs w:val="12"/>
                <w:color w:val="auto"/>
              </w:rPr>
            </w:pPr>
          </w:p>
        </w:tc>
        <w:tc>
          <w:tcPr>
            <w:tcW w:w="54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color w:val="auto"/>
                <w:w w:val="97"/>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4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C. Brown, M.D.</w:t>
            </w:r>
          </w:p>
        </w:tc>
        <w:tc>
          <w:tcPr>
            <w:tcW w:w="88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40" w:type="dxa"/>
            <w:vAlign w:val="bottom"/>
            <w:gridSpan w:val="3"/>
            <w:vMerge w:val="continue"/>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40,500</w:t>
            </w:r>
          </w:p>
        </w:tc>
        <w:tc>
          <w:tcPr>
            <w:tcW w:w="60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ind w:left="3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continue"/>
            <w:shd w:val="clear" w:color="auto" w:fill="CCEEFF"/>
          </w:tcPr>
          <w:p>
            <w:pPr>
              <w:spacing w:after="0"/>
              <w:rPr>
                <w:sz w:val="17"/>
                <w:szCs w:val="17"/>
                <w:color w:val="auto"/>
              </w:rPr>
            </w:pPr>
          </w:p>
        </w:tc>
        <w:tc>
          <w:tcPr>
            <w:tcW w:w="1520" w:type="dxa"/>
            <w:vAlign w:val="bottom"/>
            <w:gridSpan w:val="2"/>
            <w:shd w:val="clear" w:color="auto" w:fill="CCEEFF"/>
          </w:tcPr>
          <w:p>
            <w:pPr>
              <w:jc w:val="right"/>
              <w:ind w:right="560"/>
              <w:spacing w:after="0" w:line="203" w:lineRule="exact"/>
              <w:rPr>
                <w:sz w:val="20"/>
                <w:szCs w:val="20"/>
                <w:color w:val="auto"/>
              </w:rPr>
            </w:pPr>
            <w:r>
              <w:rPr>
                <w:rFonts w:ascii="Times New Roman" w:cs="Times New Roman" w:eastAsia="Times New Roman" w:hAnsi="Times New Roman"/>
                <w:sz w:val="18"/>
                <w:szCs w:val="18"/>
                <w:color w:val="auto"/>
              </w:rPr>
              <w:t>36,000**</w:t>
            </w:r>
          </w:p>
        </w:tc>
        <w:tc>
          <w:tcPr>
            <w:tcW w:w="5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76,500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Charles A. Burtch</w:t>
            </w:r>
          </w:p>
        </w:tc>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50,500</w:t>
            </w:r>
          </w:p>
        </w:tc>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A. Butkin</w:t>
            </w:r>
          </w:p>
        </w:tc>
        <w:tc>
          <w:tcPr>
            <w:tcW w:w="14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40,500</w:t>
            </w:r>
          </w:p>
        </w:tc>
        <w:tc>
          <w:tcPr>
            <w:tcW w:w="12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Bernard G. Ille</w:t>
            </w:r>
          </w:p>
        </w:tc>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50,500</w:t>
            </w:r>
          </w:p>
        </w:tc>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Gail P. Lapidus</w:t>
            </w:r>
          </w:p>
        </w:tc>
        <w:tc>
          <w:tcPr>
            <w:tcW w:w="14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40,500</w:t>
            </w:r>
          </w:p>
        </w:tc>
        <w:tc>
          <w:tcPr>
            <w:tcW w:w="12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Donald W. Munson</w:t>
            </w:r>
          </w:p>
        </w:tc>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40,500</w:t>
            </w:r>
          </w:p>
        </w:tc>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Ronald V. Perry</w:t>
            </w:r>
          </w:p>
        </w:tc>
        <w:tc>
          <w:tcPr>
            <w:tcW w:w="14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40,500</w:t>
            </w:r>
          </w:p>
        </w:tc>
        <w:tc>
          <w:tcPr>
            <w:tcW w:w="12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Horace G. Rhodes</w:t>
            </w:r>
          </w:p>
        </w:tc>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50,500</w:t>
            </w:r>
          </w:p>
        </w:tc>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A. Shelley</w:t>
            </w:r>
          </w:p>
        </w:tc>
        <w:tc>
          <w:tcPr>
            <w:tcW w:w="14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50,500</w:t>
            </w:r>
          </w:p>
        </w:tc>
        <w:tc>
          <w:tcPr>
            <w:tcW w:w="12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left="460" w:right="200" w:hanging="452"/>
        <w:spacing w:after="0" w:line="262" w:lineRule="auto"/>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as to each director, an annual fee of $13,000 for services as a director and $500 for each Board meeting attended during 2012. In addition, each director that serves on one or more committees of the Board receives an additional $25,000 to $35,000 for such service. As noted below, each of our directors served on at least one committee during 2012:</w:t>
      </w:r>
    </w:p>
    <w:p>
      <w:pPr>
        <w:spacing w:after="0" w:line="51" w:lineRule="exact"/>
        <w:rPr>
          <w:rFonts w:ascii="Times New Roman" w:cs="Times New Roman" w:eastAsia="Times New Roman" w:hAnsi="Times New Roman"/>
          <w:sz w:val="18"/>
          <w:szCs w:val="18"/>
          <w:color w:val="auto"/>
        </w:rPr>
      </w:pPr>
    </w:p>
    <w:p>
      <w:pPr>
        <w:ind w:left="900" w:right="340" w:hanging="325"/>
        <w:spacing w:after="0" w:line="275" w:lineRule="auto"/>
        <w:tabs>
          <w:tab w:leader="none" w:pos="9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Brown is a member of the Benefits and Programs Committee. The amount shown above does not include amounts paid by the Company to Dr. Brown for consulting services rendered by him, which amounts are described under ** below.</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Burtch is a member of the Audit Committee and Compensation Committee.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Butkin is a member of the Business Development Committee.</w:t>
      </w:r>
    </w:p>
    <w:p>
      <w:pPr>
        <w:spacing w:after="0" w:line="90" w:lineRule="exact"/>
        <w:rPr>
          <w:rFonts w:ascii="Times New Roman" w:cs="Times New Roman" w:eastAsia="Times New Roman" w:hAnsi="Times New Roman"/>
          <w:sz w:val="18"/>
          <w:szCs w:val="18"/>
          <w:color w:val="auto"/>
        </w:rPr>
      </w:pPr>
    </w:p>
    <w:p>
      <w:pPr>
        <w:ind w:left="900" w:right="100" w:hanging="325"/>
        <w:spacing w:after="0" w:line="275" w:lineRule="auto"/>
        <w:tabs>
          <w:tab w:leader="none" w:pos="9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Ille is a member of the Audit Committee, Compensation Committee, Nominating and Corporate Governance Committee and Public Relations and Marketing Committee.</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Lapidus is a member of the Public Relations and Marketing Committee.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Munson is a member of the Business Development Committee.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Perry is a member of the Public Relations and Marketing Committee.</w:t>
      </w:r>
    </w:p>
    <w:p>
      <w:pPr>
        <w:spacing w:after="0" w:line="90" w:lineRule="exact"/>
        <w:rPr>
          <w:rFonts w:ascii="Times New Roman" w:cs="Times New Roman" w:eastAsia="Times New Roman" w:hAnsi="Times New Roman"/>
          <w:sz w:val="18"/>
          <w:szCs w:val="18"/>
          <w:color w:val="auto"/>
        </w:rPr>
      </w:pPr>
    </w:p>
    <w:p>
      <w:pPr>
        <w:ind w:left="900" w:right="460" w:hanging="325"/>
        <w:spacing w:after="0" w:line="275" w:lineRule="auto"/>
        <w:tabs>
          <w:tab w:leader="none" w:pos="9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Rhodes, who died on January 1, 2013, was a member of the Audit Committee, Compensation Committee and Nominating and Corporate Governance Committee during 2012.</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Shelley is a member of the Audit Committee and Nominating and Corporate Governance Committee.</w:t>
      </w:r>
    </w:p>
    <w:p>
      <w:pPr>
        <w:spacing w:after="0" w:line="90" w:lineRule="exact"/>
        <w:rPr>
          <w:sz w:val="20"/>
          <w:szCs w:val="20"/>
          <w:color w:val="auto"/>
        </w:rPr>
      </w:pPr>
    </w:p>
    <w:p>
      <w:pPr>
        <w:ind w:left="460" w:hanging="452"/>
        <w:spacing w:after="0" w:line="257" w:lineRule="auto"/>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2012, Dr. Brown received a fee of $3,000 per month to perform medical director consulting services for the Company in connection with our self-insured health plan and workers’ compensation benefits.</w:t>
      </w:r>
    </w:p>
    <w:p>
      <w:pPr>
        <w:spacing w:after="0" w:line="1" w:lineRule="exact"/>
        <w:rPr>
          <w:sz w:val="20"/>
          <w:szCs w:val="20"/>
          <w:color w:val="auto"/>
        </w:rPr>
      </w:pPr>
    </w:p>
    <w:p>
      <w:pPr>
        <w:ind w:left="460" w:right="260" w:hanging="452"/>
        <w:spacing w:after="0" w:line="261" w:lineRule="auto"/>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option awards were granted during 2012. The following is the aggregate number of outstanding non-qualified stock options held by non-employee directors at December 31, 2012:</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60"/>
          </w:cols>
          <w:pgMar w:left="240" w:top="455" w:right="39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184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380" w:type="dxa"/>
            <w:vAlign w:val="bottom"/>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Outstanding Options</w:t>
            </w:r>
          </w:p>
        </w:tc>
        <w:tc>
          <w:tcPr>
            <w:tcW w:w="0" w:type="dxa"/>
            <w:vAlign w:val="bottom"/>
          </w:tcPr>
          <w:p>
            <w:pPr>
              <w:spacing w:after="0"/>
              <w:rPr>
                <w:sz w:val="1"/>
                <w:szCs w:val="1"/>
                <w:color w:val="auto"/>
              </w:rPr>
            </w:pPr>
          </w:p>
        </w:tc>
      </w:tr>
      <w:tr>
        <w:trPr>
          <w:trHeight w:val="340"/>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5"/>
              </w:rPr>
              <w:t>Name</w:t>
            </w:r>
          </w:p>
        </w:tc>
        <w:tc>
          <w:tcPr>
            <w:tcW w:w="2040" w:type="dxa"/>
            <w:vAlign w:val="bottom"/>
            <w:vMerge w:val="restart"/>
          </w:tcPr>
          <w:p>
            <w:pPr>
              <w:spacing w:after="0"/>
              <w:rPr>
                <w:sz w:val="24"/>
                <w:szCs w:val="24"/>
                <w:color w:val="auto"/>
              </w:rPr>
            </w:pPr>
          </w:p>
        </w:tc>
        <w:tc>
          <w:tcPr>
            <w:tcW w:w="53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Options Outstanding as of</w:t>
            </w:r>
          </w:p>
        </w:tc>
        <w:tc>
          <w:tcPr>
            <w:tcW w:w="0" w:type="dxa"/>
            <w:vAlign w:val="bottom"/>
          </w:tcPr>
          <w:p>
            <w:pPr>
              <w:spacing w:after="0"/>
              <w:rPr>
                <w:sz w:val="1"/>
                <w:szCs w:val="1"/>
                <w:color w:val="auto"/>
              </w:rPr>
            </w:pPr>
          </w:p>
        </w:tc>
      </w:tr>
      <w:tr>
        <w:trPr>
          <w:trHeight w:val="168"/>
        </w:trPr>
        <w:tc>
          <w:tcPr>
            <w:tcW w:w="340" w:type="dxa"/>
            <w:vAlign w:val="bottom"/>
            <w:tcBorders>
              <w:bottom w:val="single" w:sz="8" w:color="auto"/>
            </w:tcBorders>
            <w:vMerge w:val="continue"/>
          </w:tcPr>
          <w:p>
            <w:pPr>
              <w:spacing w:after="0"/>
              <w:rPr>
                <w:sz w:val="14"/>
                <w:szCs w:val="14"/>
                <w:color w:val="auto"/>
              </w:rPr>
            </w:pPr>
          </w:p>
        </w:tc>
        <w:tc>
          <w:tcPr>
            <w:tcW w:w="2040" w:type="dxa"/>
            <w:vAlign w:val="bottom"/>
            <w:vMerge w:val="continue"/>
          </w:tcPr>
          <w:p>
            <w:pPr>
              <w:spacing w:after="0"/>
              <w:rPr>
                <w:sz w:val="14"/>
                <w:szCs w:val="14"/>
                <w:color w:val="auto"/>
              </w:rPr>
            </w:pPr>
          </w:p>
        </w:tc>
        <w:tc>
          <w:tcPr>
            <w:tcW w:w="3860" w:type="dxa"/>
            <w:vAlign w:val="bottom"/>
          </w:tcPr>
          <w:p>
            <w:pPr>
              <w:spacing w:after="0"/>
              <w:rPr>
                <w:sz w:val="14"/>
                <w:szCs w:val="14"/>
                <w:color w:val="auto"/>
              </w:rPr>
            </w:pPr>
          </w:p>
        </w:tc>
        <w:tc>
          <w:tcPr>
            <w:tcW w:w="1520" w:type="dxa"/>
            <w:vAlign w:val="bottom"/>
            <w:gridSpan w:val="2"/>
          </w:tcPr>
          <w:p>
            <w:pPr>
              <w:ind w:left="180"/>
              <w:spacing w:after="0" w:line="148" w:lineRule="exact"/>
              <w:rPr>
                <w:sz w:val="20"/>
                <w:szCs w:val="20"/>
                <w:color w:val="auto"/>
              </w:rPr>
            </w:pPr>
            <w:r>
              <w:rPr>
                <w:rFonts w:ascii="Times New Roman" w:cs="Times New Roman" w:eastAsia="Times New Roman" w:hAnsi="Times New Roman"/>
                <w:sz w:val="14"/>
                <w:szCs w:val="14"/>
                <w:color w:val="auto"/>
              </w:rPr>
              <w:t>December 31, 2012</w:t>
            </w:r>
          </w:p>
        </w:tc>
        <w:tc>
          <w:tcPr>
            <w:tcW w:w="0" w:type="dxa"/>
            <w:vAlign w:val="bottom"/>
          </w:tcPr>
          <w:p>
            <w:pPr>
              <w:spacing w:after="0"/>
              <w:rPr>
                <w:sz w:val="1"/>
                <w:szCs w:val="1"/>
                <w:color w:val="auto"/>
              </w:rPr>
            </w:pPr>
          </w:p>
        </w:tc>
      </w:tr>
      <w:tr>
        <w:trPr>
          <w:trHeight w:val="203"/>
        </w:trPr>
        <w:tc>
          <w:tcPr>
            <w:tcW w:w="23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Robert C. Brown, M.D.</w:t>
            </w:r>
          </w:p>
        </w:tc>
        <w:tc>
          <w:tcPr>
            <w:tcW w:w="386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A. Burtch</w:t>
            </w:r>
          </w:p>
        </w:tc>
        <w:tc>
          <w:tcPr>
            <w:tcW w:w="5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A. Butkin</w:t>
            </w:r>
          </w:p>
        </w:tc>
        <w:tc>
          <w:tcPr>
            <w:tcW w:w="5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Bernard G. Ille</w:t>
            </w:r>
          </w:p>
        </w:tc>
        <w:tc>
          <w:tcPr>
            <w:tcW w:w="5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Gail P. Lapidus</w:t>
            </w:r>
          </w:p>
        </w:tc>
        <w:tc>
          <w:tcPr>
            <w:tcW w:w="5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Donald W. Munson</w:t>
            </w:r>
          </w:p>
        </w:tc>
        <w:tc>
          <w:tcPr>
            <w:tcW w:w="5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Ronald V. Perry</w:t>
            </w:r>
          </w:p>
        </w:tc>
        <w:tc>
          <w:tcPr>
            <w:tcW w:w="5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Horace G. Rhodes</w:t>
            </w:r>
          </w:p>
        </w:tc>
        <w:tc>
          <w:tcPr>
            <w:tcW w:w="5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A. Shelley</w:t>
            </w:r>
          </w:p>
        </w:tc>
        <w:tc>
          <w:tcPr>
            <w:tcW w:w="5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right="60"/>
        <w:spacing w:after="0" w:line="345"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ITEM 12. SECURITY OWNERSHIP OF CERTAIN BENEFICIAL OWNERS AND MANAGEMENT AND RELATED STOCKHOLDER MATTERS </w:t>
      </w:r>
      <w:r>
        <w:rPr>
          <w:rFonts w:ascii="Times New Roman" w:cs="Times New Roman" w:eastAsia="Times New Roman" w:hAnsi="Times New Roman"/>
          <w:sz w:val="18"/>
          <w:szCs w:val="18"/>
          <w:b w:val="1"/>
          <w:bCs w:val="1"/>
          <w:color w:val="auto"/>
        </w:rPr>
        <w:t>Security Ownership of Certain Beneficial Owners</w:t>
      </w:r>
    </w:p>
    <w:p>
      <w:pPr>
        <w:spacing w:after="0" w:line="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following table sets forth certain information as of February 15, 2013, regarding the ownership of our voting common stock and voting preferred stock by each person (including any “group” as used in Section 13(d)(3) of the Securities Act of 1934, as amended) that we know to be beneficial owner of more than 5% of our voting common stock and voting preferred stock. A person is deemed to be the beneficial owner of shares of the Company which he or she could acquire within 60 days of February 15, 2013.</w:t>
      </w:r>
    </w:p>
    <w:p>
      <w:pPr>
        <w:spacing w:after="0" w:line="16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3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960" w:type="dxa"/>
            <w:vAlign w:val="bottom"/>
            <w:gridSpan w:val="2"/>
          </w:tcPr>
          <w:p>
            <w:pPr>
              <w:jc w:val="right"/>
              <w:ind w:right="832"/>
              <w:spacing w:after="0"/>
              <w:rPr>
                <w:sz w:val="20"/>
                <w:szCs w:val="20"/>
                <w:color w:val="auto"/>
              </w:rPr>
            </w:pPr>
            <w:r>
              <w:rPr>
                <w:rFonts w:ascii="Times New Roman" w:cs="Times New Roman" w:eastAsia="Times New Roman" w:hAnsi="Times New Roman"/>
                <w:sz w:val="14"/>
                <w:szCs w:val="14"/>
                <w:color w:val="auto"/>
                <w:w w:val="94"/>
              </w:rPr>
              <w:t>Amounts of Shares</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Name and Address of Beneficial Owner</w:t>
            </w:r>
          </w:p>
        </w:tc>
        <w:tc>
          <w:tcPr>
            <w:tcW w:w="2240" w:type="dxa"/>
            <w:vAlign w:val="bottom"/>
            <w:vMerge w:val="restart"/>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Beneficially</w:t>
            </w:r>
          </w:p>
        </w:tc>
        <w:tc>
          <w:tcPr>
            <w:tcW w:w="92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w w:val="94"/>
              </w:rPr>
              <w:t>Percent of</w:t>
            </w:r>
          </w:p>
        </w:tc>
        <w:tc>
          <w:tcPr>
            <w:tcW w:w="0" w:type="dxa"/>
            <w:vAlign w:val="bottom"/>
          </w:tcPr>
          <w:p>
            <w:pPr>
              <w:spacing w:after="0"/>
              <w:rPr>
                <w:sz w:val="1"/>
                <w:szCs w:val="1"/>
                <w:color w:val="auto"/>
              </w:rPr>
            </w:pPr>
          </w:p>
        </w:tc>
      </w:tr>
      <w:tr>
        <w:trPr>
          <w:trHeight w:val="153"/>
        </w:trPr>
        <w:tc>
          <w:tcPr>
            <w:tcW w:w="2320" w:type="dxa"/>
            <w:vAlign w:val="bottom"/>
            <w:tcBorders>
              <w:bottom w:val="single" w:sz="8" w:color="auto"/>
            </w:tcBorders>
            <w:vMerge w:val="continue"/>
          </w:tcPr>
          <w:p>
            <w:pPr>
              <w:spacing w:after="0"/>
              <w:rPr>
                <w:sz w:val="12"/>
                <w:szCs w:val="12"/>
                <w:color w:val="auto"/>
              </w:rPr>
            </w:pPr>
          </w:p>
        </w:tc>
        <w:tc>
          <w:tcPr>
            <w:tcW w:w="224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820" w:type="dxa"/>
            <w:vAlign w:val="bottom"/>
            <w:gridSpan w:val="2"/>
          </w:tcPr>
          <w:p>
            <w:pPr>
              <w:jc w:val="center"/>
              <w:ind w:right="580"/>
              <w:spacing w:after="0" w:line="148" w:lineRule="exact"/>
              <w:rPr>
                <w:sz w:val="20"/>
                <w:szCs w:val="20"/>
                <w:color w:val="auto"/>
              </w:rPr>
            </w:pPr>
            <w:r>
              <w:rPr>
                <w:rFonts w:ascii="Times New Roman" w:cs="Times New Roman" w:eastAsia="Times New Roman" w:hAnsi="Times New Roman"/>
                <w:sz w:val="14"/>
                <w:szCs w:val="14"/>
                <w:color w:val="auto"/>
                <w:w w:val="95"/>
              </w:rPr>
              <w:t>Title of Class</w:t>
            </w:r>
          </w:p>
        </w:tc>
        <w:tc>
          <w:tcPr>
            <w:tcW w:w="1040" w:type="dxa"/>
            <w:vAlign w:val="bottom"/>
          </w:tcPr>
          <w:p>
            <w:pPr>
              <w:jc w:val="right"/>
              <w:ind w:right="159"/>
              <w:spacing w:after="0" w:line="148" w:lineRule="exact"/>
              <w:rPr>
                <w:sz w:val="20"/>
                <w:szCs w:val="20"/>
                <w:color w:val="auto"/>
              </w:rPr>
            </w:pPr>
            <w:r>
              <w:rPr>
                <w:rFonts w:ascii="Times New Roman" w:cs="Times New Roman" w:eastAsia="Times New Roman" w:hAnsi="Times New Roman"/>
                <w:sz w:val="14"/>
                <w:szCs w:val="14"/>
                <w:color w:val="auto"/>
              </w:rPr>
              <w:t>Owned (1)</w:t>
            </w:r>
          </w:p>
        </w:tc>
        <w:tc>
          <w:tcPr>
            <w:tcW w:w="920" w:type="dxa"/>
            <w:vAlign w:val="bottom"/>
          </w:tcPr>
          <w:p>
            <w:pPr>
              <w:spacing w:after="0"/>
              <w:rPr>
                <w:sz w:val="12"/>
                <w:szCs w:val="12"/>
                <w:color w:val="auto"/>
              </w:rPr>
            </w:pPr>
          </w:p>
        </w:tc>
        <w:tc>
          <w:tcPr>
            <w:tcW w:w="760" w:type="dxa"/>
            <w:vAlign w:val="bottom"/>
            <w:gridSpan w:val="2"/>
          </w:tcPr>
          <w:p>
            <w:pPr>
              <w:jc w:val="right"/>
              <w:ind w:right="300"/>
              <w:spacing w:after="0" w:line="148" w:lineRule="exact"/>
              <w:rPr>
                <w:sz w:val="20"/>
                <w:szCs w:val="20"/>
                <w:color w:val="auto"/>
              </w:rPr>
            </w:pPr>
            <w:r>
              <w:rPr>
                <w:rFonts w:ascii="Times New Roman" w:cs="Times New Roman" w:eastAsia="Times New Roman" w:hAnsi="Times New Roman"/>
                <w:sz w:val="14"/>
                <w:szCs w:val="14"/>
                <w:color w:val="auto"/>
              </w:rPr>
              <w:t>Class+</w:t>
            </w:r>
          </w:p>
        </w:tc>
        <w:tc>
          <w:tcPr>
            <w:tcW w:w="0" w:type="dxa"/>
            <w:vAlign w:val="bottom"/>
          </w:tcPr>
          <w:p>
            <w:pPr>
              <w:spacing w:after="0"/>
              <w:rPr>
                <w:sz w:val="1"/>
                <w:szCs w:val="1"/>
                <w:color w:val="auto"/>
              </w:rPr>
            </w:pPr>
          </w:p>
        </w:tc>
      </w:tr>
      <w:tr>
        <w:trPr>
          <w:trHeight w:val="20"/>
        </w:trPr>
        <w:tc>
          <w:tcPr>
            <w:tcW w:w="45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E. Golsen and certain</w:t>
            </w:r>
          </w:p>
        </w:tc>
        <w:tc>
          <w:tcPr>
            <w:tcW w:w="48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9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(3)(4)</w:t>
            </w: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60" w:type="dxa"/>
            <w:vAlign w:val="bottom"/>
            <w:gridSpan w:val="2"/>
            <w:vMerge w:val="continue"/>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124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Common</w:t>
            </w:r>
          </w:p>
        </w:tc>
        <w:tc>
          <w:tcPr>
            <w:tcW w:w="580" w:type="dxa"/>
            <w:vAlign w:val="bottom"/>
            <w:vMerge w:val="continue"/>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4,002,530</w:t>
            </w:r>
          </w:p>
        </w:tc>
        <w:tc>
          <w:tcPr>
            <w:tcW w:w="920" w:type="dxa"/>
            <w:vAlign w:val="bottom"/>
            <w:vMerge w:val="continue"/>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members of his family (2)</w:t>
            </w:r>
          </w:p>
        </w:tc>
        <w:tc>
          <w:tcPr>
            <w:tcW w:w="4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Voting Preferred</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1,020,000</w:t>
            </w: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Neuberger Berman Group LLC</w:t>
            </w:r>
          </w:p>
        </w:tc>
        <w:tc>
          <w:tcPr>
            <w:tcW w:w="480" w:type="dxa"/>
            <w:vAlign w:val="bottom"/>
          </w:tcPr>
          <w:p>
            <w:pPr>
              <w:spacing w:after="0"/>
              <w:rPr>
                <w:sz w:val="18"/>
                <w:szCs w:val="18"/>
                <w:color w:val="auto"/>
              </w:rPr>
            </w:pPr>
          </w:p>
        </w:tc>
        <w:tc>
          <w:tcPr>
            <w:tcW w:w="18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8"/>
              </w:rPr>
              <w:t>Common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1,942,774</w:t>
            </w:r>
          </w:p>
        </w:tc>
        <w:tc>
          <w:tcPr>
            <w:tcW w:w="9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Royce &amp; Associates, LLC</w:t>
            </w:r>
          </w:p>
        </w:tc>
        <w:tc>
          <w:tcPr>
            <w:tcW w:w="4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w w:val="98"/>
              </w:rPr>
              <w:t>Common</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1,426,112</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BlackRock, Inc.</w:t>
            </w:r>
          </w:p>
        </w:tc>
        <w:tc>
          <w:tcPr>
            <w:tcW w:w="480" w:type="dxa"/>
            <w:vAlign w:val="bottom"/>
          </w:tcPr>
          <w:p>
            <w:pPr>
              <w:spacing w:after="0"/>
              <w:rPr>
                <w:sz w:val="18"/>
                <w:szCs w:val="18"/>
                <w:color w:val="auto"/>
              </w:rPr>
            </w:pPr>
          </w:p>
        </w:tc>
        <w:tc>
          <w:tcPr>
            <w:tcW w:w="18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8"/>
              </w:rPr>
              <w:t>Common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1,402,525</w:t>
            </w:r>
          </w:p>
        </w:tc>
        <w:tc>
          <w:tcPr>
            <w:tcW w:w="9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Vanguard Group</w:t>
            </w:r>
          </w:p>
        </w:tc>
        <w:tc>
          <w:tcPr>
            <w:tcW w:w="4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w w:val="98"/>
              </w:rPr>
              <w:t>Common</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1,132,298</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right="100" w:hanging="452"/>
        <w:spacing w:after="0" w:line="285" w:lineRule="auto"/>
        <w:tabs>
          <w:tab w:leader="none" w:pos="46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Because of the requirements of the SEC as to the method of determining the amount of shares an individual or entity may own beneficially, the amount shown for an individual may include shares also considered beneficially owned by others. Any shares of stock which a person does not own, but which he or she has the right to acquire within 60 days of February 15, 2013 are deemed to be outstanding for the purpose of computing the percentage of outstanding stock of the class owned by such person but are not deemed to be outstanding for the purpose of computing the percentage of the class owned</w:t>
      </w:r>
    </w:p>
    <w:p>
      <w:pPr>
        <w:spacing w:after="0" w:line="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any other person.</w:t>
      </w:r>
    </w:p>
    <w:p>
      <w:pPr>
        <w:spacing w:after="0" w:line="9" w:lineRule="exact"/>
        <w:rPr>
          <w:sz w:val="20"/>
          <w:szCs w:val="20"/>
          <w:color w:val="auto"/>
        </w:rPr>
      </w:pPr>
    </w:p>
    <w:p>
      <w:pPr>
        <w:ind w:left="460" w:right="120" w:hanging="452"/>
        <w:spacing w:after="0" w:line="250" w:lineRule="auto"/>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based the information with respect to beneficial ownership on information furnished by the above-named individuals or entities or contained in filings made with the Securities and Exchange Commission or our records.</w:t>
      </w:r>
    </w:p>
    <w:p>
      <w:pPr>
        <w:ind w:left="460" w:hanging="452"/>
        <w:spacing w:after="0" w:line="251" w:lineRule="auto"/>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Jack E. Golsen (“J. Golsen”) and the following members of his family: son, Barry H. Golsen (“B. Golsen”) (a director, Vice Chairman of the Board of Directors, and President of the Company and its Climate Control Business); son, Steven J. Golsen (“S. Golsen”) (a director and Chief Operating Officer of our Climate Control Business), Golsen Family LLC (“LLC”) which is wholly-owned by J. Golsen (43.516% owner), Sylvia H. Golsen (43.516% owner), B. Golsen (4.323% owner), S. Golsen (4.323% owner), and Linda F. Rappaport (4.323% owner and daughter of J. Golsen (“L. Rappaport”)), and SBL LLC (“SBL”) which is wholly-owned by the LLC (49% owner), B. Golsen (17% owner), S. Golsen (17% owner), and L. Rappaport (17% owner). J Golsen is the manager of the LLC and share voting and dispositive power over the shares beneficially owned by the LLC. J. Golsen and B. Golsen, as the only directors and officers of SBL, share the voting and dispositive power of the shares beneficially owned by SBL and its wholly owned subsidiary, Golsen Petroleum Corp (“GPC”). The address of Jack E. Golsen and Barry H. Golsen is 16 South Pennsylvania Avenue, Oklahoma City, Oklahoma 73107; and Steven J. Golsen’s address is 7300 SW 44th Street, Oklahoma City, Oklahoma 73179. The address for SBL, LLC, GPC and L. Rappaport is 16 South Pennsylvania Avenue, Oklahoma City, Oklahoma 73107.</w:t>
      </w:r>
    </w:p>
    <w:p>
      <w:pPr>
        <w:spacing w:after="0" w:line="1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380"/>
          </w:cols>
          <w:pgMar w:left="240" w:top="455" w:right="27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hanging="452"/>
        <w:spacing w:after="0"/>
        <w:tabs>
          <w:tab w:leader="none" w:pos="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w:t>
      </w:r>
    </w:p>
    <w:p>
      <w:pPr>
        <w:spacing w:after="0" w:line="90" w:lineRule="exact"/>
        <w:rPr>
          <w:rFonts w:ascii="Times New Roman" w:cs="Times New Roman" w:eastAsia="Times New Roman" w:hAnsi="Times New Roman"/>
          <w:sz w:val="18"/>
          <w:szCs w:val="18"/>
          <w:color w:val="auto"/>
        </w:rPr>
      </w:pPr>
    </w:p>
    <w:p>
      <w:pPr>
        <w:ind w:left="900" w:hanging="446"/>
        <w:spacing w:after="0" w:line="310" w:lineRule="auto"/>
        <w:tabs>
          <w:tab w:leader="none" w:pos="900"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shares over which J. Golsen has the sole voting and dispositive power: (i) 218,320 shares of common stock owned of record by certain trusts for the benefit of B. Golsen, S. Golsen and L. Rappaport over which J. Golsen is the trustee; (ii) 350,984 shares held in certain trusts for the benefit of grandchildren and great grandchildren of J. Golsen over which J. Golsen is the trustee; and (iii) 4,000 shares owned of record by J. Golsen;</w:t>
      </w:r>
    </w:p>
    <w:p>
      <w:pPr>
        <w:spacing w:after="0" w:line="16" w:lineRule="exact"/>
        <w:rPr>
          <w:rFonts w:ascii="Times New Roman" w:cs="Times New Roman" w:eastAsia="Times New Roman" w:hAnsi="Times New Roman"/>
          <w:sz w:val="16"/>
          <w:szCs w:val="16"/>
          <w:color w:val="auto"/>
        </w:rPr>
      </w:pPr>
    </w:p>
    <w:p>
      <w:pPr>
        <w:ind w:left="900" w:right="140" w:hanging="446"/>
        <w:spacing w:after="0" w:line="262" w:lineRule="auto"/>
        <w:tabs>
          <w:tab w:leader="none" w:pos="9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shares over which J. Golsen has voting and dispositive power: (i) 15,876 shares held in S. Golsen’s revocable trust; (ii) 15,392 shares owned of record by the LLC; and (iii) 133,333 shares that the LLC has the right to acquire upon the conversion of 4,000 shares of the Series B Preferred owned of record by the LLC;</w:t>
      </w:r>
    </w:p>
    <w:p>
      <w:pPr>
        <w:spacing w:after="0" w:line="5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292,467 shares over which B. Golsen has the sole voting and dispositive power;</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243,493 shares over which S. Golsen has the sole voting and dispositive power;</w:t>
      </w:r>
    </w:p>
    <w:p>
      <w:pPr>
        <w:spacing w:after="0" w:line="90" w:lineRule="exact"/>
        <w:rPr>
          <w:rFonts w:ascii="Times New Roman" w:cs="Times New Roman" w:eastAsia="Times New Roman" w:hAnsi="Times New Roman"/>
          <w:sz w:val="18"/>
          <w:szCs w:val="18"/>
          <w:color w:val="auto"/>
        </w:rPr>
      </w:pPr>
    </w:p>
    <w:p>
      <w:pPr>
        <w:ind w:left="900" w:right="180" w:hanging="446"/>
        <w:spacing w:after="0" w:line="275" w:lineRule="auto"/>
        <w:tabs>
          <w:tab w:leader="none" w:pos="9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shares over which J. Golsen and L. Rappaport share voting and dispositive power: (i) 30,000 shares owned directly by L. Rappaport; and (ii) 14,578 shares owned by her revocable trust;</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shares over which J. Golsen and B. Golsen share voting and dispositive power: (i) 1,616,799 shares owned of record by SBL;</w:t>
      </w:r>
    </w:p>
    <w:p>
      <w:pPr>
        <w:spacing w:after="0" w:line="21" w:lineRule="exact"/>
        <w:rPr>
          <w:rFonts w:ascii="Times New Roman" w:cs="Times New Roman" w:eastAsia="Times New Roman" w:hAnsi="Times New Roman"/>
          <w:sz w:val="18"/>
          <w:szCs w:val="18"/>
          <w:color w:val="auto"/>
        </w:rPr>
      </w:pPr>
    </w:p>
    <w:p>
      <w:pPr>
        <w:ind w:left="900" w:right="8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400,000 shares that SBL has the right to acquire upon conversion of 12,000 shares of Series B Preferred owned of record by SBL; (iii) 250,000 shares that SBL has the right to acquire upon conversion of 1,000,000 shares of the Series D Preferred owned of record by SBL; (iv) 283,955 shares owned of record by GPC; and 133,333 shares that GPC has the right to acquire upon conversion of 4,000 shares of Series B Preferred owned of record by GPC.</w:t>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“Certain Relationships and Related Transactions and Director Independence.”</w:t>
      </w:r>
    </w:p>
    <w:p>
      <w:pPr>
        <w:spacing w:after="0" w:line="90" w:lineRule="exact"/>
        <w:rPr>
          <w:sz w:val="20"/>
          <w:szCs w:val="20"/>
          <w:color w:val="auto"/>
        </w:rPr>
      </w:pPr>
    </w:p>
    <w:p>
      <w:pPr>
        <w:ind w:left="460" w:right="60" w:hanging="452"/>
        <w:spacing w:after="0" w:line="252" w:lineRule="auto"/>
        <w:tabs>
          <w:tab w:leader="none" w:pos="4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 Golsen disclaims beneficial ownership of the shares over which B. Golsen, S. Golsen and L. Rappaport each have sole voting and investment power. B. Golsen, S. Golsen and L. Rappaport disclaim beneficial ownership of the shares that J. Golsen has sole voting and investment power. B. Golsen, S. Golsen and L. Rappaport disclaim beneficial ownership of the shares owned of record by the LLC, except to the extent of their respective pecuniary interest therein. S. Golsen and L. Rappaport disclaim beneficial ownership of the shares owned of record by SBL and GPC and all shares beneficially owned by SBL through the LLC, except to the extent of their respective pecuniary interest therein. L. Rappaport disclaims beneficial ownership of the 81,433 shares over which her spouse has sole voting and investment power over, and this amount excludes such shares. B. Golsen disclaims beneficial ownership of the 533 shares over which his spouse has sole voting and investment power, and this amount excludes such shares.</w:t>
      </w:r>
    </w:p>
    <w:p>
      <w:pPr>
        <w:spacing w:after="0" w:line="3" w:lineRule="exact"/>
        <w:rPr>
          <w:rFonts w:ascii="Times New Roman" w:cs="Times New Roman" w:eastAsia="Times New Roman" w:hAnsi="Times New Roman"/>
          <w:sz w:val="18"/>
          <w:szCs w:val="18"/>
          <w:color w:val="auto"/>
        </w:rPr>
      </w:pPr>
    </w:p>
    <w:p>
      <w:pPr>
        <w:ind w:left="460" w:right="220" w:hanging="452"/>
        <w:spacing w:after="0" w:line="261" w:lineRule="auto"/>
        <w:tabs>
          <w:tab w:leader="none" w:pos="4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4,000 shares of Series B Preferred owned of record by the LLC; (b) 12,000 shares of Series B Preferred owned of record by SBL; (c) 4,000 shares Series B Preferred owned of record by GPC and (d) 1,000,000 shares of Series D Preferred owned of record by SBL.</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380"/>
          </w:cols>
          <w:pgMar w:left="240" w:top="455" w:right="27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Management</w:t>
      </w:r>
    </w:p>
    <w:p>
      <w:pPr>
        <w:spacing w:after="0" w:line="173"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auto"/>
        </w:rPr>
        <w:t>The following table sets forth certain information obtained from our directors and executive officers as a group as to their beneficial ownership of our voting common stock and voting preferred stock as of February 15, 2013.</w:t>
      </w:r>
    </w:p>
    <w:p>
      <w:pPr>
        <w:spacing w:after="0" w:line="15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56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Amount of</w:t>
            </w: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Shares</w:t>
            </w: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Name of Beneficial Owner</w:t>
            </w:r>
          </w:p>
        </w:tc>
        <w:tc>
          <w:tcPr>
            <w:tcW w:w="3580" w:type="dxa"/>
            <w:vAlign w:val="bottom"/>
            <w:vMerge w:val="restart"/>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Beneficially</w:t>
            </w:r>
          </w:p>
        </w:tc>
        <w:tc>
          <w:tcPr>
            <w:tcW w:w="74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w w:val="94"/>
              </w:rPr>
              <w:t>Percent of</w:t>
            </w:r>
          </w:p>
        </w:tc>
        <w:tc>
          <w:tcPr>
            <w:tcW w:w="0" w:type="dxa"/>
            <w:vAlign w:val="bottom"/>
          </w:tcPr>
          <w:p>
            <w:pPr>
              <w:spacing w:after="0"/>
              <w:rPr>
                <w:sz w:val="1"/>
                <w:szCs w:val="1"/>
                <w:color w:val="auto"/>
              </w:rPr>
            </w:pPr>
          </w:p>
        </w:tc>
      </w:tr>
      <w:tr>
        <w:trPr>
          <w:trHeight w:val="168"/>
        </w:trPr>
        <w:tc>
          <w:tcPr>
            <w:tcW w:w="1560" w:type="dxa"/>
            <w:vAlign w:val="bottom"/>
            <w:tcBorders>
              <w:bottom w:val="single" w:sz="8" w:color="auto"/>
            </w:tcBorders>
            <w:vMerge w:val="continue"/>
          </w:tcPr>
          <w:p>
            <w:pPr>
              <w:spacing w:after="0"/>
              <w:rPr>
                <w:sz w:val="14"/>
                <w:szCs w:val="14"/>
                <w:color w:val="auto"/>
              </w:rPr>
            </w:pPr>
          </w:p>
        </w:tc>
        <w:tc>
          <w:tcPr>
            <w:tcW w:w="35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740" w:type="dxa"/>
            <w:vAlign w:val="bottom"/>
            <w:gridSpan w:val="2"/>
          </w:tcPr>
          <w:p>
            <w:pPr>
              <w:ind w:left="260"/>
              <w:spacing w:after="0" w:line="148" w:lineRule="exact"/>
              <w:rPr>
                <w:sz w:val="20"/>
                <w:szCs w:val="20"/>
                <w:color w:val="auto"/>
              </w:rPr>
            </w:pPr>
            <w:r>
              <w:rPr>
                <w:rFonts w:ascii="Times New Roman" w:cs="Times New Roman" w:eastAsia="Times New Roman" w:hAnsi="Times New Roman"/>
                <w:sz w:val="14"/>
                <w:szCs w:val="14"/>
                <w:color w:val="auto"/>
              </w:rPr>
              <w:t>Title of Class</w:t>
            </w:r>
          </w:p>
        </w:tc>
        <w:tc>
          <w:tcPr>
            <w:tcW w:w="80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color w:val="auto"/>
                <w:w w:val="96"/>
              </w:rPr>
              <w:t>Owned (1)</w:t>
            </w:r>
          </w:p>
        </w:tc>
        <w:tc>
          <w:tcPr>
            <w:tcW w:w="740" w:type="dxa"/>
            <w:vAlign w:val="bottom"/>
          </w:tcPr>
          <w:p>
            <w:pPr>
              <w:spacing w:after="0"/>
              <w:rPr>
                <w:sz w:val="14"/>
                <w:szCs w:val="14"/>
                <w:color w:val="auto"/>
              </w:rPr>
            </w:pPr>
          </w:p>
        </w:tc>
        <w:tc>
          <w:tcPr>
            <w:tcW w:w="760" w:type="dxa"/>
            <w:vAlign w:val="bottom"/>
            <w:gridSpan w:val="2"/>
          </w:tcPr>
          <w:p>
            <w:pPr>
              <w:jc w:val="right"/>
              <w:ind w:right="300"/>
              <w:spacing w:after="0" w:line="148" w:lineRule="exact"/>
              <w:rPr>
                <w:sz w:val="20"/>
                <w:szCs w:val="20"/>
                <w:color w:val="auto"/>
              </w:rPr>
            </w:pPr>
            <w:r>
              <w:rPr>
                <w:rFonts w:ascii="Times New Roman" w:cs="Times New Roman" w:eastAsia="Times New Roman" w:hAnsi="Times New Roman"/>
                <w:sz w:val="14"/>
                <w:szCs w:val="14"/>
                <w:color w:val="auto"/>
              </w:rPr>
              <w:t>Class+</w:t>
            </w:r>
          </w:p>
        </w:tc>
        <w:tc>
          <w:tcPr>
            <w:tcW w:w="0" w:type="dxa"/>
            <w:vAlign w:val="bottom"/>
          </w:tcPr>
          <w:p>
            <w:pPr>
              <w:spacing w:after="0"/>
              <w:rPr>
                <w:sz w:val="1"/>
                <w:szCs w:val="1"/>
                <w:color w:val="auto"/>
              </w:rPr>
            </w:pPr>
          </w:p>
        </w:tc>
      </w:tr>
      <w:tr>
        <w:trPr>
          <w:trHeight w:val="203"/>
        </w:trPr>
        <w:tc>
          <w:tcPr>
            <w:tcW w:w="51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Robert C. Brown, M.D.</w:t>
            </w:r>
          </w:p>
        </w:tc>
        <w:tc>
          <w:tcPr>
            <w:tcW w:w="4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rPr>
              <w:t>Common</w:t>
            </w:r>
          </w:p>
        </w:tc>
        <w:tc>
          <w:tcPr>
            <w:tcW w:w="5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45,187</w:t>
            </w:r>
          </w:p>
        </w:tc>
        <w:tc>
          <w:tcPr>
            <w:tcW w:w="7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A. Burtch</w:t>
            </w:r>
          </w:p>
        </w:tc>
        <w:tc>
          <w:tcPr>
            <w:tcW w:w="40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Common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A. Butkin</w:t>
            </w:r>
          </w:p>
        </w:tc>
        <w:tc>
          <w:tcPr>
            <w:tcW w:w="4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Common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Barry H. Golsen</w:t>
            </w:r>
          </w:p>
        </w:tc>
        <w:tc>
          <w:tcPr>
            <w:tcW w:w="400" w:type="dxa"/>
            <w:vAlign w:val="bottom"/>
          </w:tcPr>
          <w:p>
            <w:pPr>
              <w:spacing w:after="0"/>
              <w:rPr>
                <w:sz w:val="17"/>
                <w:szCs w:val="17"/>
                <w:color w:val="auto"/>
              </w:rPr>
            </w:pPr>
          </w:p>
        </w:tc>
        <w:tc>
          <w:tcPr>
            <w:tcW w:w="1740" w:type="dxa"/>
            <w:vAlign w:val="bottom"/>
            <w:gridSpan w:val="2"/>
          </w:tcPr>
          <w:p>
            <w:pPr>
              <w:ind w:left="60"/>
              <w:spacing w:after="0" w:line="201" w:lineRule="exact"/>
              <w:rPr>
                <w:sz w:val="20"/>
                <w:szCs w:val="20"/>
                <w:color w:val="auto"/>
              </w:rPr>
            </w:pPr>
            <w:r>
              <w:rPr>
                <w:rFonts w:ascii="Times New Roman" w:cs="Times New Roman" w:eastAsia="Times New Roman" w:hAnsi="Times New Roman"/>
                <w:sz w:val="18"/>
                <w:szCs w:val="18"/>
                <w:color w:val="auto"/>
              </w:rPr>
              <w:t>Common</w:t>
            </w:r>
          </w:p>
        </w:tc>
        <w:tc>
          <w:tcPr>
            <w:tcW w:w="8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2,982,983</w:t>
            </w:r>
          </w:p>
        </w:tc>
        <w:tc>
          <w:tcPr>
            <w:tcW w:w="7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(5)</w:t>
            </w:r>
          </w:p>
        </w:tc>
        <w:tc>
          <w:tcPr>
            <w:tcW w:w="760" w:type="dxa"/>
            <w:vAlign w:val="bottom"/>
            <w:gridSpan w:val="2"/>
          </w:tcPr>
          <w:p>
            <w:pPr>
              <w:jc w:val="right"/>
              <w:ind w:right="60"/>
              <w:spacing w:after="0" w:line="201" w:lineRule="exact"/>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29"/>
        </w:trPr>
        <w:tc>
          <w:tcPr>
            <w:tcW w:w="15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Voting Preferred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1,016,173</w:t>
            </w: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17"/>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E. Golsen</w:t>
            </w:r>
          </w:p>
        </w:tc>
        <w:tc>
          <w:tcPr>
            <w:tcW w:w="4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Common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3,466,570</w:t>
            </w: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Voting Preferred</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1,020,000</w:t>
            </w: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2"/>
        </w:trPr>
        <w:tc>
          <w:tcPr>
            <w:tcW w:w="51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Steven J. Golsen</w:t>
            </w:r>
          </w:p>
        </w:tc>
        <w:tc>
          <w:tcPr>
            <w:tcW w:w="400" w:type="dxa"/>
            <w:vAlign w:val="bottom"/>
          </w:tcPr>
          <w:p>
            <w:pPr>
              <w:spacing w:after="0"/>
              <w:rPr>
                <w:sz w:val="17"/>
                <w:szCs w:val="17"/>
                <w:color w:val="auto"/>
              </w:rPr>
            </w:pPr>
          </w:p>
        </w:tc>
        <w:tc>
          <w:tcPr>
            <w:tcW w:w="1740" w:type="dxa"/>
            <w:vAlign w:val="bottom"/>
            <w:gridSpan w:val="2"/>
          </w:tcPr>
          <w:p>
            <w:pPr>
              <w:ind w:left="60"/>
              <w:spacing w:after="0" w:line="201" w:lineRule="exact"/>
              <w:rPr>
                <w:sz w:val="20"/>
                <w:szCs w:val="20"/>
                <w:color w:val="auto"/>
              </w:rPr>
            </w:pPr>
            <w:r>
              <w:rPr>
                <w:rFonts w:ascii="Times New Roman" w:cs="Times New Roman" w:eastAsia="Times New Roman" w:hAnsi="Times New Roman"/>
                <w:sz w:val="18"/>
                <w:szCs w:val="18"/>
                <w:color w:val="auto"/>
              </w:rPr>
              <w:t>Common</w:t>
            </w:r>
          </w:p>
        </w:tc>
        <w:tc>
          <w:tcPr>
            <w:tcW w:w="8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763,074</w:t>
            </w:r>
          </w:p>
        </w:tc>
        <w:tc>
          <w:tcPr>
            <w:tcW w:w="7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(7)</w:t>
            </w:r>
          </w:p>
        </w:tc>
        <w:tc>
          <w:tcPr>
            <w:tcW w:w="760" w:type="dxa"/>
            <w:vAlign w:val="bottom"/>
            <w:gridSpan w:val="2"/>
          </w:tcPr>
          <w:p>
            <w:pPr>
              <w:jc w:val="right"/>
              <w:ind w:right="60"/>
              <w:spacing w:after="0" w:line="201"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9"/>
        </w:trPr>
        <w:tc>
          <w:tcPr>
            <w:tcW w:w="15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Voting Preferred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194,415</w:t>
            </w: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7"/>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 Goss</w:t>
            </w:r>
          </w:p>
        </w:tc>
        <w:tc>
          <w:tcPr>
            <w:tcW w:w="4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Common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101,690</w:t>
            </w: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Bernard G. Ille</w:t>
            </w:r>
          </w:p>
        </w:tc>
        <w:tc>
          <w:tcPr>
            <w:tcW w:w="40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Common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13,300</w:t>
            </w: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Gail P. Lapidus</w:t>
            </w:r>
          </w:p>
        </w:tc>
        <w:tc>
          <w:tcPr>
            <w:tcW w:w="4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Common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Donald W. Munson</w:t>
            </w:r>
          </w:p>
        </w:tc>
        <w:tc>
          <w:tcPr>
            <w:tcW w:w="40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Common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7,040</w:t>
            </w: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Ronald V. Perry</w:t>
            </w:r>
          </w:p>
        </w:tc>
        <w:tc>
          <w:tcPr>
            <w:tcW w:w="4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Common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M. Shear</w:t>
            </w:r>
          </w:p>
        </w:tc>
        <w:tc>
          <w:tcPr>
            <w:tcW w:w="40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Common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35,581</w:t>
            </w: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Tony M. Shelby</w:t>
            </w:r>
          </w:p>
        </w:tc>
        <w:tc>
          <w:tcPr>
            <w:tcW w:w="4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Common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112,185</w:t>
            </w: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(14)</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A. Shelley</w:t>
            </w:r>
          </w:p>
        </w:tc>
        <w:tc>
          <w:tcPr>
            <w:tcW w:w="40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Common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 and Executive Officers</w:t>
            </w:r>
          </w:p>
        </w:tc>
        <w:tc>
          <w:tcPr>
            <w:tcW w:w="4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Common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4,409,790</w:t>
            </w: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(16)</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as a group number (19 persons)</w:t>
            </w:r>
          </w:p>
        </w:tc>
        <w:tc>
          <w:tcPr>
            <w:tcW w:w="4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Voting Preferred</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1,020,000</w:t>
            </w:r>
          </w:p>
        </w:tc>
        <w:tc>
          <w:tcPr>
            <w:tcW w:w="7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hanging="452"/>
        <w:spacing w:after="0"/>
        <w:tabs>
          <w:tab w:leader="none" w:pos="4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1" w:lineRule="exact"/>
        <w:rPr>
          <w:sz w:val="20"/>
          <w:szCs w:val="20"/>
          <w:color w:val="auto"/>
        </w:rPr>
      </w:pPr>
    </w:p>
    <w:p>
      <w:pPr>
        <w:ind w:left="460" w:hanging="452"/>
        <w:spacing w:after="0"/>
        <w:tabs>
          <w:tab w:leader="none" w:pos="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footnote “+” to the table under “Security Ownership of Certain Beneficial Owners.”</w:t>
      </w:r>
    </w:p>
    <w:p>
      <w:pPr>
        <w:spacing w:after="0" w:line="9" w:lineRule="exact"/>
        <w:rPr>
          <w:sz w:val="20"/>
          <w:szCs w:val="20"/>
          <w:color w:val="auto"/>
        </w:rPr>
      </w:pPr>
    </w:p>
    <w:p>
      <w:pPr>
        <w:ind w:left="460" w:right="340" w:hanging="452"/>
        <w:spacing w:after="0" w:line="250" w:lineRule="auto"/>
        <w:tabs>
          <w:tab w:leader="none" w:pos="4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based the information, with respect to beneficial ownership, on information furnished by each director or officer, contained in filings made with the SEC, or contained in our records.</w:t>
      </w:r>
    </w:p>
    <w:p>
      <w:pPr>
        <w:ind w:left="460" w:hanging="452"/>
        <w:spacing w:after="0" w:line="250" w:lineRule="auto"/>
        <w:tabs>
          <w:tab w:leader="none" w:pos="4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(a) 11,160 shares held in a joint account owned by a trust, of which Dr. Brown’s wife is the trustee, and (b) by a trust, of which Dr. Brown is the trustee. As trustees, Dr. Brown and his wife share voting and dispositive power over these shares. The amount also includes (a) 3,300 shares of common stock that Dr. Brown may purchase pursuant to currently exercisable non-qualified stock options, and (b) 30,727 shares owned by Robert C. Brown, MD, Inc. over which Dr. Brown has voting and dispositive power. The amount shown does not include shares owned directly, or through trusts, by the children of Dr. Brown and the son-in-law of Dr. Brown, David M. Shear, all of which Dr. Brown disclaims beneficial ownership.</w:t>
      </w:r>
    </w:p>
    <w:p>
      <w:pPr>
        <w:spacing w:after="0" w:line="2" w:lineRule="exact"/>
        <w:rPr>
          <w:rFonts w:ascii="Times New Roman" w:cs="Times New Roman" w:eastAsia="Times New Roman" w:hAnsi="Times New Roman"/>
          <w:sz w:val="18"/>
          <w:szCs w:val="18"/>
          <w:color w:val="auto"/>
        </w:rPr>
      </w:pPr>
    </w:p>
    <w:p>
      <w:pPr>
        <w:ind w:left="460" w:right="100" w:hanging="452"/>
        <w:spacing w:after="0" w:line="250" w:lineRule="auto"/>
        <w:tabs>
          <w:tab w:leader="none" w:pos="4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Burtch has the sole voting and dispositive power over these shares, which include 825 shares of common stock that Mr. Burtch may purchase pursuant to currently exercisable non-qualified stock options.</w:t>
      </w:r>
    </w:p>
    <w:p>
      <w:pPr>
        <w:ind w:left="460" w:right="560" w:hanging="452"/>
        <w:spacing w:after="0" w:line="250" w:lineRule="auto"/>
        <w:tabs>
          <w:tab w:leader="none" w:pos="4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(a) 1,000 shares that are held in certain trusts and (b) 3,300 shares of common stock that Mr. Butkin may purchase pursuant to currently exercisable non-qualified stock options over which Mr. Butkin has voting and dispositive power.</w:t>
      </w:r>
    </w:p>
    <w:p>
      <w:pPr>
        <w:ind w:left="460" w:right="160" w:hanging="452"/>
        <w:spacing w:after="0" w:line="250" w:lineRule="auto"/>
        <w:tabs>
          <w:tab w:leader="none" w:pos="4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footnotes (2), (3), (4), and (5) of the table under “Security Ownership of Certain Beneficial Owners” for a description of the amount and nature of the shares beneficially owned by B. Golsen.</w:t>
      </w:r>
    </w:p>
    <w:p>
      <w:pPr>
        <w:ind w:left="460" w:right="160" w:hanging="452"/>
        <w:spacing w:after="0" w:line="250" w:lineRule="auto"/>
        <w:tabs>
          <w:tab w:leader="none" w:pos="4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footnotes (2), (3), (4), and (5) of the table under “Security Ownership of Certain Beneficial Owners” for a description of the amount and nature of the shares beneficially owned by J. Golsen.</w:t>
      </w:r>
    </w:p>
    <w:p>
      <w:pPr>
        <w:ind w:left="460" w:right="160" w:hanging="452"/>
        <w:spacing w:after="0" w:line="250" w:lineRule="auto"/>
        <w:tabs>
          <w:tab w:leader="none" w:pos="4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footnotes (2), (3), (4), and (5) of the table under “Security Ownership of Certain Beneficial Owners” for a description of the amount and nature of the shares beneficially owned by S. Golsen.</w:t>
      </w:r>
    </w:p>
    <w:p>
      <w:pPr>
        <w:ind w:left="460" w:hanging="452"/>
        <w:spacing w:after="0"/>
        <w:tabs>
          <w:tab w:leader="none" w:pos="4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Goss has the sole voting and dispositive power over these shares.</w:t>
      </w:r>
    </w:p>
    <w:p>
      <w:pPr>
        <w:spacing w:after="0" w:line="9" w:lineRule="exact"/>
        <w:rPr>
          <w:rFonts w:ascii="Times New Roman" w:cs="Times New Roman" w:eastAsia="Times New Roman" w:hAnsi="Times New Roman"/>
          <w:sz w:val="18"/>
          <w:szCs w:val="18"/>
          <w:color w:val="auto"/>
        </w:rPr>
      </w:pPr>
    </w:p>
    <w:p>
      <w:pPr>
        <w:ind w:left="460" w:right="500" w:hanging="452"/>
        <w:spacing w:after="0" w:line="261" w:lineRule="auto"/>
        <w:tabs>
          <w:tab w:leader="none" w:pos="4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includes (a) 10,000 shares held by Mr. Ille’s trust and (b) 3,300 shares of common stock that Mr. Ille may purchase pursuant to currently exercisable non-qualified stock options, over which Mr. Ille possesses sole voting and dispositive power.</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455" w:right="2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540" w:hanging="452"/>
        <w:spacing w:after="0" w:line="257" w:lineRule="auto"/>
        <w:tabs>
          <w:tab w:leader="none" w:pos="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Lapidus has the sole voting and dispositive power over these shares, which include 825 shares of common stock that Ms. Lapidus may purchase pursuant to currently exercisable non-qualified stock options.</w:t>
      </w:r>
    </w:p>
    <w:p>
      <w:pPr>
        <w:spacing w:after="0" w:line="1" w:lineRule="exact"/>
        <w:rPr>
          <w:rFonts w:ascii="Times New Roman" w:cs="Times New Roman" w:eastAsia="Times New Roman" w:hAnsi="Times New Roman"/>
          <w:sz w:val="18"/>
          <w:szCs w:val="18"/>
          <w:color w:val="auto"/>
        </w:rPr>
      </w:pPr>
    </w:p>
    <w:p>
      <w:pPr>
        <w:ind w:left="460" w:right="280" w:hanging="452"/>
        <w:spacing w:after="0" w:line="250" w:lineRule="auto"/>
        <w:tabs>
          <w:tab w:leader="none" w:pos="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Munson has the sole voting and dispositive power over these shares, which include 3,300 shares that Mr. Munson may acquire pursuant to currently exercisable non-qualified stock options.</w:t>
      </w:r>
    </w:p>
    <w:p>
      <w:pPr>
        <w:ind w:left="460" w:right="420" w:hanging="452"/>
        <w:spacing w:after="0" w:line="250" w:lineRule="auto"/>
        <w:tabs>
          <w:tab w:leader="none" w:pos="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represents shares that Mr. Perry may acquire pursuant to currently exercisable non-qualified stock options, over which Mr. Perry has sole dispositive power.</w:t>
      </w:r>
    </w:p>
    <w:p>
      <w:pPr>
        <w:ind w:left="460" w:right="100" w:hanging="452"/>
        <w:spacing w:after="0" w:line="250" w:lineRule="auto"/>
        <w:tabs>
          <w:tab w:leader="none" w:pos="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are held in a joint account owned by Mr. Shear’s revocable trust of which Mr. Shear is the trustee and by Mr. Shear’s spouse’s revocable trust of which his spouse is the trustee. As trustees, Mr. Shear and his wife share voting and dispositive power over these shares.</w:t>
      </w:r>
    </w:p>
    <w:p>
      <w:pPr>
        <w:ind w:left="460" w:hanging="452"/>
        <w:spacing w:after="0"/>
        <w:tabs>
          <w:tab w:leader="none" w:pos="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includes 32,796 shares held by a trust, over which Mr. Shelby has the sole voting and dispositive power.</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Shelley has the sole voting and dispositive power over these shares.</w:t>
      </w:r>
    </w:p>
    <w:p>
      <w:pPr>
        <w:spacing w:after="0" w:line="9" w:lineRule="exact"/>
        <w:rPr>
          <w:rFonts w:ascii="Times New Roman" w:cs="Times New Roman" w:eastAsia="Times New Roman" w:hAnsi="Times New Roman"/>
          <w:sz w:val="18"/>
          <w:szCs w:val="18"/>
          <w:color w:val="auto"/>
        </w:rPr>
      </w:pPr>
    </w:p>
    <w:p>
      <w:pPr>
        <w:jc w:val="both"/>
        <w:ind w:left="460" w:hanging="452"/>
        <w:spacing w:after="0" w:line="255" w:lineRule="auto"/>
        <w:tabs>
          <w:tab w:leader="none" w:pos="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include 38,175 shares of common stock that executive officers and directors have the right to acquire within 60 days under our stock option plans and 916,666 shares of common stock that executive officers, directors, or entities controlled by our executive officers and directors, have the right to acquire within 60 days under other convertible securities.</w:t>
      </w:r>
    </w:p>
    <w:p>
      <w:pPr>
        <w:spacing w:after="0" w:line="217" w:lineRule="exact"/>
        <w:rPr>
          <w:sz w:val="20"/>
          <w:szCs w:val="20"/>
          <w:color w:val="auto"/>
        </w:rPr>
      </w:pPr>
    </w:p>
    <w:p>
      <w:pPr>
        <w:ind w:right="2760"/>
        <w:spacing w:after="0" w:line="345"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ITEM 13. CERTAIN RELATIONSHIPS AND RELATED TRANSACTIONS AND DIRECTOR INDEPENDENCE </w:t>
      </w:r>
      <w:r>
        <w:rPr>
          <w:rFonts w:ascii="Times New Roman" w:cs="Times New Roman" w:eastAsia="Times New Roman" w:hAnsi="Times New Roman"/>
          <w:sz w:val="18"/>
          <w:szCs w:val="18"/>
          <w:b w:val="1"/>
          <w:bCs w:val="1"/>
          <w:color w:val="auto"/>
        </w:rPr>
        <w:t>Policy as to Related Party Transaction</w:t>
      </w:r>
    </w:p>
    <w:p>
      <w:pPr>
        <w:spacing w:after="0" w:line="1"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Pursuant to the Audit Committee Charter, our Audit Committee reviews any related party transactions involving any of our directors and executive officers. Although the Audit Committee has not adopted specific standards and procedures with respect to its review of related party transactions, the Audit Committee believes that it considers all relevant facts and circumstances in its review process. The following related party transactions were reviewed by the Audit Committee or the Board of Directors as a whole, except the transactions with Landmark were reviewed and approved by a special committee of the Board, as described below.</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Golsen Group</w:t>
      </w:r>
    </w:p>
    <w:p>
      <w:pPr>
        <w:spacing w:after="0" w:line="92"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In March 2012, we paid dividends totaling $300,000 on our Series B Preferred and our Series D Preferred, all of the outstanding shares of which are owned by Jack E. Golsen, our Chairman of the Board and Chief Executive Officer, members of his immediate family, including Barry H. Golsen, our Vice Chairman and President, Steven J. Golsen, a Director and Chief Operating Officer of our Climate Control Business, entities owned by them and trusts for which they possess voting or dispositive power as trustee (together, the “Golsen Group”). In January 2013, we declared annual dividends totaling $300,000 on such Series B Preferred and Series D Preferred, which will be paid in March 2013.</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2012, GPC occupied approximately 1,400 square feet of office space within our corporate complex for which the annual rent is $12,000.</w:t>
      </w:r>
    </w:p>
    <w:p>
      <w:pPr>
        <w:spacing w:after="0" w:line="2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Transactions with Landmark</w:t>
      </w:r>
    </w:p>
    <w:p>
      <w:pPr>
        <w:spacing w:after="0" w:line="9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6"/>
          <w:szCs w:val="16"/>
          <w:color w:val="auto"/>
        </w:rPr>
        <w:t>As approved by a special committee of our Board of Directors and pursuant to an agreement (the “Purchase Agreement”) entered into in September 2011, effective February 7, 2012, Prime Financial L.L.C. (“Prime”), a subsidiary of LSB, purchased from Landmark Land Company, Inc. (“Landmark”) certain undeveloped real estate located in Laguna Vista, Texas (the “Texas Real Estate”) for the purchase price of approximately $2,500,000. The Purchase Agreement grants Prime put options to sell the Texas Real Estate to Landmark or to Gerald G. Barton (“Barton”), who is the chief executive officer and a substantial stockholder of Landmark. Prime may exercise a put option during the sixth year following Prime’s purchase of the Texas Real Estate. If a put option is exercised, the purchase price for the Texas Real Estate will be based on the original purchase price, plus a premium equal to a simple 10% annual return on the original purchase price beginning as of the closing of the Purchase Agreement, subject to certain adjustments. The Purchase Agreement also grants Prime warrants to purchase up to 1,000,000 shares of Landmark’s common stock, at $1.00 per share. The right of Prime to acquire Landmark shares under any unexercised warrants shall terminate on the completed exercise of the put options. Also Landmark entered into a separate agreement (“GHP Use Agreement”) to use its reasonable efforts to use, where technically feasible, geothermal heating and air conditioning units manufactured by one of LSB’s subsidiaries on other Landmark properties in the development where the Texas Real Estate is located. For financial reporting purposes, no value from the purchase price was allocated to the put options or the GHP Use Agreement primarily because the estimated market value of the Texas Real Estate exceeded the purchase price and a minimal value from the purchase price was allocated to the warrants primarily because Landmark’s common stock is lightly traded on the Over-the-Counter Bulletin Board with a minimal price per share (Landmark’s average closing price per share was approximately $0.11 over the twelve-month period ended February 7, 2012).</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455" w:right="2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Jack E. Golsen, our Chairman and Chief Executive Officer (“Golsen”) and another individual previously formed a limited liability company (“LLC”), and each contributed $1,000,000 to the LLC. The LLC subsequently loaned Landmark approximately $2,000,000. In March 2011, Golsen sold his membership interest in the LLC to Barton in consideration for a promissory note in the principal amount of approximately $1,100,000, representing the amount that Golsen had invested in the LLC, plus interest (the “Barton Note”). The Barton Note was due and payable in June 2011. Pursuant to the terms of the Purchase Agreement, until the expiration of the put options, no payment will be made on the Barton Note and payment of the amounts owing under the Barton Note will be subordinate to any amounts owing Prime upon the exercise of a put option. Further, Golsen has agreed under the Purchase Agreement that no portion of the purchase price shall be used by Landmark to repay any indebtedness owing to Golsen.</w:t>
      </w:r>
    </w:p>
    <w:p>
      <w:pPr>
        <w:spacing w:after="0" w:line="14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Bernard Ille, one of our directors, served as a director of Landmark for many years until he resigned in March 2011. In light of the Barton Note and Mr. Ille’s past relationship with Landmark, our Board of Directors appointed a special committee for the purpose of reviewing and determining whether LSB should purchase the Texas Real Estate. The special committee believed, based on an analysis of a real estate consultant, that the price that we were to pay for the Texas Real Estate approximated the market value, and also believed that the Texas Real Estate, when developed, has the potential to establish a model geothermal community.</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92"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Heidi Brown Shear, our Vice President and Managing Counsel, received approximately $230,000 in compensation during 2012, which included $40,000 cash bonus and a $4,100 automobile allowance.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73" w:lineRule="exact"/>
        <w:rPr>
          <w:sz w:val="20"/>
          <w:szCs w:val="20"/>
          <w:color w:val="auto"/>
        </w:rPr>
      </w:pPr>
    </w:p>
    <w:p>
      <w:pPr>
        <w:ind w:right="620"/>
        <w:spacing w:after="0" w:line="339" w:lineRule="auto"/>
        <w:rPr>
          <w:sz w:val="20"/>
          <w:szCs w:val="20"/>
          <w:color w:val="auto"/>
        </w:rPr>
      </w:pPr>
      <w:r>
        <w:rPr>
          <w:rFonts w:ascii="Times New Roman" w:cs="Times New Roman" w:eastAsia="Times New Roman" w:hAnsi="Times New Roman"/>
          <w:sz w:val="16"/>
          <w:szCs w:val="16"/>
          <w:color w:val="auto"/>
        </w:rPr>
        <w:t>The Board of Directors has determined that each of Messrs. Burtch, Butkin, Ille, Munson, Perry, Shelley and Ms. Lapidus is an “independent director” in accordance with the current listing standards of the NYSE, and that Mr. Rhodes was an independent director prior to his death on January 1, 2013.</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14. PRINCIPAL ACCOUNTANT FEES AND SERVICES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 Fees</w:t>
      </w:r>
    </w:p>
    <w:p>
      <w:pPr>
        <w:spacing w:after="0" w:line="9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The aggregate fees billed by Ernst &amp; Young LLP for professional services rendered for the audit of our annual financial statements for the fiscal years ended December 31, 2012 and 2011, for the reviews of the financial statements included in our Quarterly Reports on Form 10-Q for those fiscal years, and for review of SEC-related documents for those fiscal years were approximately $1,472,000 and $1,374,000, respectively.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Audit-Related Fees</w:t>
      </w:r>
    </w:p>
    <w:p>
      <w:pPr>
        <w:spacing w:after="0" w:line="90" w:lineRule="exact"/>
        <w:rPr>
          <w:sz w:val="20"/>
          <w:szCs w:val="20"/>
          <w:color w:val="auto"/>
        </w:rPr>
      </w:pPr>
    </w:p>
    <w:p>
      <w:pPr>
        <w:ind w:right="560"/>
        <w:spacing w:after="0" w:line="275" w:lineRule="auto"/>
        <w:rPr>
          <w:sz w:val="20"/>
          <w:szCs w:val="20"/>
          <w:color w:val="auto"/>
        </w:rPr>
      </w:pPr>
      <w:r>
        <w:rPr>
          <w:rFonts w:ascii="Times New Roman" w:cs="Times New Roman" w:eastAsia="Times New Roman" w:hAnsi="Times New Roman"/>
          <w:sz w:val="18"/>
          <w:szCs w:val="18"/>
          <w:color w:val="auto"/>
        </w:rPr>
        <w:t>Ernst &amp; Young LLP billed us $159,750 and $28,600 during 2012 and 2011, respectively, for audit-related services, which included services relating to the acquisition of working interests in natural gas properties and benefit plan audits.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Fees</w:t>
      </w:r>
    </w:p>
    <w:p>
      <w:pPr>
        <w:spacing w:after="0" w:line="90"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Ernst &amp; Young LLP billed us $575,300 and $593,335 during 2012 and 2011, respectively, for tax services, which included tax return review and preparation, tax consultations and planning, including services relating to the current examination by the IRS and certain state tax authorities for the tax years 2007-2010 and the acquisition of working interests in natural gas properties.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Fees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engage our accountants to provide any other services for the fiscal years ended December 31, 2012 and 2011.</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380"/>
          </w:cols>
          <w:pgMar w:left="240" w:top="455" w:right="27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Engagement of the Independent Registered Public Accounting Firm</w:t>
      </w:r>
    </w:p>
    <w:p>
      <w:pPr>
        <w:spacing w:after="0" w:line="9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Audit Committee is responsible for approving all engagements with Ernst &amp; Young LLP to perform audit or non-audit services for us prior to us engaging Ernst &amp; Young LLP to provide those services. All of the services under the headings Audit Related, Tax Services, and All Other Fees were approved by the Audit Committee in accordance with paragraph (c)(7)(i)(C) of Rule 2-01 of Regulation S-X of the Exchange Act. The Audit Committee of our Board of Directors has considered whether Ernst &amp; Young LLP’s provision of the services described above for the fiscal years ended December 31, 2012 and 2011 is compatible with maintaining its independence.</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380"/>
          </w:cols>
          <w:pgMar w:left="240" w:top="455" w:right="27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53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w w:val="97"/>
              </w:rPr>
              <w:t>ITEM 15. EXHIBITS AND FINANCIAL STATEMENT SCHEDULES</w:t>
            </w:r>
          </w:p>
        </w:tc>
        <w:tc>
          <w:tcPr>
            <w:tcW w:w="700" w:type="dxa"/>
            <w:vAlign w:val="bottom"/>
            <w:tcBorders>
              <w:top w:val="single" w:sz="8" w:color="auto"/>
            </w:tcBorders>
          </w:tcPr>
          <w:p>
            <w:pPr>
              <w:spacing w:after="0"/>
              <w:rPr>
                <w:sz w:val="24"/>
                <w:szCs w:val="24"/>
                <w:color w:val="auto"/>
              </w:rPr>
            </w:pPr>
          </w:p>
        </w:tc>
        <w:tc>
          <w:tcPr>
            <w:tcW w:w="4780" w:type="dxa"/>
            <w:vAlign w:val="bottom"/>
            <w:gridSpan w:val="4"/>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32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18"/>
                <w:szCs w:val="18"/>
                <w:b w:val="1"/>
                <w:bCs w:val="1"/>
                <w:color w:val="auto"/>
              </w:rPr>
              <w:t>(a) (1) Financial Statements</w:t>
            </w:r>
          </w:p>
        </w:tc>
        <w:tc>
          <w:tcPr>
            <w:tcW w:w="5520" w:type="dxa"/>
            <w:vAlign w:val="bottom"/>
            <w:gridSpan w:val="6"/>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08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The following consolidated financial statements of the Company appear immediately following this Part IV:</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0840" w:type="dxa"/>
            <w:vAlign w:val="bottom"/>
            <w:gridSpan w:val="15"/>
            <w:vMerge w:val="restart"/>
          </w:tcPr>
          <w:p>
            <w:pPr>
              <w:spacing w:after="0"/>
              <w:rPr>
                <w:rFonts w:ascii="Times New Roman" w:cs="Times New Roman" w:eastAsia="Times New Roman" w:hAnsi="Times New Roman"/>
                <w:sz w:val="18"/>
                <w:szCs w:val="18"/>
                <w:color w:val="0000EE"/>
              </w:rPr>
            </w:pPr>
            <w:hyperlink w:anchor="page94">
              <w:r>
                <w:rPr>
                  <w:rFonts w:ascii="Times New Roman" w:cs="Times New Roman" w:eastAsia="Times New Roman" w:hAnsi="Times New Roman"/>
                  <w:sz w:val="18"/>
                  <w:szCs w:val="18"/>
                  <w:color w:val="0000EE"/>
                </w:rPr>
                <w:t>Report of Independent Registered Public Accounting Firm</w:t>
              </w:r>
            </w:hyperlink>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9"/>
        </w:trPr>
        <w:tc>
          <w:tcPr>
            <w:tcW w:w="10840" w:type="dxa"/>
            <w:vAlign w:val="bottom"/>
            <w:gridSpan w:val="15"/>
            <w:vMerge w:val="continue"/>
          </w:tcPr>
          <w:p>
            <w:pPr>
              <w:spacing w:after="0"/>
              <w:rPr>
                <w:sz w:val="14"/>
                <w:szCs w:val="14"/>
                <w:color w:val="auto"/>
              </w:rPr>
            </w:pPr>
          </w:p>
        </w:tc>
        <w:tc>
          <w:tcPr>
            <w:tcW w:w="48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F - 2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40" w:type="dxa"/>
            <w:vAlign w:val="bottom"/>
            <w:gridSpan w:val="15"/>
          </w:tcPr>
          <w:p>
            <w:pPr>
              <w:spacing w:after="0"/>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Consolidated Balance Sheets at December 31, 2012 and 2011</w:t>
              </w:r>
            </w:hyperlink>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 - 3</w:t>
            </w:r>
          </w:p>
        </w:tc>
        <w:tc>
          <w:tcPr>
            <w:tcW w:w="0" w:type="dxa"/>
            <w:vAlign w:val="bottom"/>
          </w:tcPr>
          <w:p>
            <w:pPr>
              <w:spacing w:after="0"/>
              <w:rPr>
                <w:sz w:val="1"/>
                <w:szCs w:val="1"/>
                <w:color w:val="auto"/>
              </w:rPr>
            </w:pPr>
          </w:p>
        </w:tc>
      </w:tr>
      <w:tr>
        <w:trPr>
          <w:trHeight w:val="20"/>
        </w:trPr>
        <w:tc>
          <w:tcPr>
            <w:tcW w:w="26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40" w:type="dxa"/>
            <w:vAlign w:val="bottom"/>
            <w:gridSpan w:val="15"/>
          </w:tcPr>
          <w:p>
            <w:pPr>
              <w:spacing w:after="0"/>
              <w:rPr>
                <w:rFonts w:ascii="Times New Roman" w:cs="Times New Roman" w:eastAsia="Times New Roman" w:hAnsi="Times New Roman"/>
                <w:sz w:val="18"/>
                <w:szCs w:val="18"/>
                <w:color w:val="0000EE"/>
              </w:rPr>
            </w:pPr>
            <w:hyperlink w:anchor="page97">
              <w:r>
                <w:rPr>
                  <w:rFonts w:ascii="Times New Roman" w:cs="Times New Roman" w:eastAsia="Times New Roman" w:hAnsi="Times New Roman"/>
                  <w:sz w:val="18"/>
                  <w:szCs w:val="18"/>
                  <w:color w:val="0000EE"/>
                </w:rPr>
                <w:t>Consolidated Statements of Income for each of the three years in the period ended December 31, 2012</w:t>
              </w:r>
            </w:hyperlink>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 - 5</w:t>
            </w:r>
          </w:p>
        </w:tc>
        <w:tc>
          <w:tcPr>
            <w:tcW w:w="0" w:type="dxa"/>
            <w:vAlign w:val="bottom"/>
          </w:tcPr>
          <w:p>
            <w:pPr>
              <w:spacing w:after="0"/>
              <w:rPr>
                <w:sz w:val="1"/>
                <w:szCs w:val="1"/>
                <w:color w:val="auto"/>
              </w:rPr>
            </w:pPr>
          </w:p>
        </w:tc>
      </w:tr>
      <w:tr>
        <w:trPr>
          <w:trHeight w:val="20"/>
        </w:trPr>
        <w:tc>
          <w:tcPr>
            <w:tcW w:w="26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80" w:type="dxa"/>
            <w:vAlign w:val="bottom"/>
            <w:gridSpan w:val="6"/>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1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7"/>
              </w:rPr>
            </w:pPr>
            <w:hyperlink w:anchor="page98">
              <w:r>
                <w:rPr>
                  <w:rFonts w:ascii="Times New Roman" w:cs="Times New Roman" w:eastAsia="Times New Roman" w:hAnsi="Times New Roman"/>
                  <w:sz w:val="18"/>
                  <w:szCs w:val="18"/>
                  <w:color w:val="0000EE"/>
                  <w:w w:val="97"/>
                </w:rPr>
                <w:t>Consolidated Statements of Stockholders’ Equity for each of the three years in the period ended December 31, 2012</w:t>
              </w:r>
            </w:hyperlink>
          </w:p>
        </w:tc>
        <w:tc>
          <w:tcPr>
            <w:tcW w:w="268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 - 6</w:t>
            </w:r>
          </w:p>
        </w:tc>
        <w:tc>
          <w:tcPr>
            <w:tcW w:w="0" w:type="dxa"/>
            <w:vAlign w:val="bottom"/>
          </w:tcPr>
          <w:p>
            <w:pPr>
              <w:spacing w:after="0"/>
              <w:rPr>
                <w:sz w:val="1"/>
                <w:szCs w:val="1"/>
                <w:color w:val="auto"/>
              </w:rPr>
            </w:pPr>
          </w:p>
        </w:tc>
      </w:tr>
      <w:tr>
        <w:trPr>
          <w:trHeight w:val="304"/>
        </w:trPr>
        <w:tc>
          <w:tcPr>
            <w:tcW w:w="10840" w:type="dxa"/>
            <w:vAlign w:val="bottom"/>
            <w:gridSpan w:val="15"/>
          </w:tcPr>
          <w:p>
            <w:pPr>
              <w:spacing w:after="0"/>
              <w:rPr>
                <w:rFonts w:ascii="Times New Roman" w:cs="Times New Roman" w:eastAsia="Times New Roman" w:hAnsi="Times New Roman"/>
                <w:sz w:val="18"/>
                <w:szCs w:val="18"/>
                <w:color w:val="0000EE"/>
              </w:rPr>
            </w:pPr>
            <w:hyperlink w:anchor="page99">
              <w:r>
                <w:rPr>
                  <w:rFonts w:ascii="Times New Roman" w:cs="Times New Roman" w:eastAsia="Times New Roman" w:hAnsi="Times New Roman"/>
                  <w:sz w:val="18"/>
                  <w:szCs w:val="18"/>
                  <w:color w:val="0000EE"/>
                </w:rPr>
                <w:t>Consolidated Statements of Cash Flows for each of the three years in the period ended December 31, 2012</w:t>
              </w:r>
            </w:hyperlink>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 - 7</w:t>
            </w:r>
          </w:p>
        </w:tc>
        <w:tc>
          <w:tcPr>
            <w:tcW w:w="0" w:type="dxa"/>
            <w:vAlign w:val="bottom"/>
          </w:tcPr>
          <w:p>
            <w:pPr>
              <w:spacing w:after="0"/>
              <w:rPr>
                <w:sz w:val="1"/>
                <w:szCs w:val="1"/>
                <w:color w:val="auto"/>
              </w:rPr>
            </w:pPr>
          </w:p>
        </w:tc>
      </w:tr>
      <w:tr>
        <w:trPr>
          <w:trHeight w:val="304"/>
        </w:trPr>
        <w:tc>
          <w:tcPr>
            <w:tcW w:w="7540" w:type="dxa"/>
            <w:vAlign w:val="bottom"/>
            <w:tcBorders>
              <w:top w:val="single" w:sz="8" w:color="0000EE"/>
            </w:tcBorders>
            <w:gridSpan w:val="13"/>
          </w:tcPr>
          <w:p>
            <w:pPr>
              <w:spacing w:after="0"/>
              <w:rPr>
                <w:rFonts w:ascii="Times New Roman" w:cs="Times New Roman" w:eastAsia="Times New Roman" w:hAnsi="Times New Roman"/>
                <w:sz w:val="18"/>
                <w:szCs w:val="18"/>
                <w:color w:val="0000EE"/>
              </w:rPr>
            </w:pPr>
            <w:hyperlink w:anchor="page102">
              <w:r>
                <w:rPr>
                  <w:rFonts w:ascii="Times New Roman" w:cs="Times New Roman" w:eastAsia="Times New Roman" w:hAnsi="Times New Roman"/>
                  <w:sz w:val="18"/>
                  <w:szCs w:val="18"/>
                  <w:color w:val="0000EE"/>
                </w:rPr>
                <w:t>Notes to Consolidated Financial Statements</w:t>
              </w:r>
            </w:hyperlink>
          </w:p>
        </w:tc>
        <w:tc>
          <w:tcPr>
            <w:tcW w:w="3300" w:type="dxa"/>
            <w:vAlign w:val="bottom"/>
            <w:gridSpan w:val="2"/>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 - 10</w:t>
            </w:r>
          </w:p>
        </w:tc>
        <w:tc>
          <w:tcPr>
            <w:tcW w:w="0" w:type="dxa"/>
            <w:vAlign w:val="bottom"/>
          </w:tcPr>
          <w:p>
            <w:pPr>
              <w:spacing w:after="0"/>
              <w:rPr>
                <w:sz w:val="1"/>
                <w:szCs w:val="1"/>
                <w:color w:val="auto"/>
              </w:rPr>
            </w:pPr>
          </w:p>
        </w:tc>
      </w:tr>
      <w:tr>
        <w:trPr>
          <w:trHeight w:val="304"/>
        </w:trPr>
        <w:tc>
          <w:tcPr>
            <w:tcW w:w="3080" w:type="dxa"/>
            <w:vAlign w:val="bottom"/>
            <w:tcBorders>
              <w:top w:val="single" w:sz="8" w:color="0000EE"/>
            </w:tcBorders>
            <w:gridSpan w:val="5"/>
          </w:tcPr>
          <w:p>
            <w:pPr>
              <w:spacing w:after="0"/>
              <w:rPr>
                <w:rFonts w:ascii="Times New Roman" w:cs="Times New Roman" w:eastAsia="Times New Roman" w:hAnsi="Times New Roman"/>
                <w:sz w:val="18"/>
                <w:szCs w:val="18"/>
                <w:color w:val="0000EE"/>
              </w:rPr>
            </w:pPr>
            <w:hyperlink w:anchor="page143">
              <w:r>
                <w:rPr>
                  <w:rFonts w:ascii="Times New Roman" w:cs="Times New Roman" w:eastAsia="Times New Roman" w:hAnsi="Times New Roman"/>
                  <w:sz w:val="18"/>
                  <w:szCs w:val="18"/>
                  <w:color w:val="0000EE"/>
                </w:rPr>
                <w:t>Quarterly Financial Data (Unaudited)</w:t>
              </w:r>
            </w:hyperlink>
          </w:p>
        </w:tc>
        <w:tc>
          <w:tcPr>
            <w:tcW w:w="7760" w:type="dxa"/>
            <w:vAlign w:val="bottom"/>
            <w:gridSpan w:val="10"/>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 - 51</w:t>
            </w:r>
          </w:p>
        </w:tc>
        <w:tc>
          <w:tcPr>
            <w:tcW w:w="0" w:type="dxa"/>
            <w:vAlign w:val="bottom"/>
          </w:tcPr>
          <w:p>
            <w:pPr>
              <w:spacing w:after="0"/>
              <w:rPr>
                <w:sz w:val="1"/>
                <w:szCs w:val="1"/>
                <w:color w:val="auto"/>
              </w:rPr>
            </w:pPr>
          </w:p>
        </w:tc>
      </w:tr>
      <w:tr>
        <w:trPr>
          <w:trHeight w:val="20"/>
        </w:trPr>
        <w:tc>
          <w:tcPr>
            <w:tcW w:w="26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28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8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7"/>
              </w:rPr>
              <w:t>(a) (2) Financial Statement Schedules</w:t>
            </w:r>
          </w:p>
        </w:tc>
        <w:tc>
          <w:tcPr>
            <w:tcW w:w="8040" w:type="dxa"/>
            <w:vAlign w:val="bottom"/>
            <w:gridSpan w:val="11"/>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108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The Company has included the following schedules in this report: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5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7"/>
              </w:rPr>
            </w:pPr>
            <w:hyperlink w:anchor="page145">
              <w:r>
                <w:rPr>
                  <w:rFonts w:ascii="Times New Roman" w:cs="Times New Roman" w:eastAsia="Times New Roman" w:hAnsi="Times New Roman"/>
                  <w:sz w:val="18"/>
                  <w:szCs w:val="18"/>
                  <w:color w:val="0000EE"/>
                  <w:w w:val="97"/>
                </w:rPr>
                <w:t>I—Condensed Financial Information of Registrant</w:t>
              </w:r>
            </w:hyperlink>
          </w:p>
        </w:tc>
        <w:tc>
          <w:tcPr>
            <w:tcW w:w="7280" w:type="dxa"/>
            <w:vAlign w:val="bottom"/>
            <w:gridSpan w:val="9"/>
          </w:tcPr>
          <w:p>
            <w:pPr>
              <w:spacing w:after="0"/>
              <w:rPr>
                <w:sz w:val="22"/>
                <w:szCs w:val="22"/>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 - 53</w:t>
            </w:r>
          </w:p>
        </w:tc>
        <w:tc>
          <w:tcPr>
            <w:tcW w:w="0" w:type="dxa"/>
            <w:vAlign w:val="bottom"/>
          </w:tcPr>
          <w:p>
            <w:pPr>
              <w:spacing w:after="0"/>
              <w:rPr>
                <w:sz w:val="1"/>
                <w:szCs w:val="1"/>
                <w:color w:val="auto"/>
              </w:rPr>
            </w:pPr>
          </w:p>
        </w:tc>
      </w:tr>
      <w:tr>
        <w:trPr>
          <w:trHeight w:val="304"/>
        </w:trPr>
        <w:tc>
          <w:tcPr>
            <w:tcW w:w="10840" w:type="dxa"/>
            <w:vAlign w:val="bottom"/>
            <w:gridSpan w:val="15"/>
          </w:tcPr>
          <w:p>
            <w:pPr>
              <w:spacing w:after="0"/>
              <w:rPr>
                <w:rFonts w:ascii="Times New Roman" w:cs="Times New Roman" w:eastAsia="Times New Roman" w:hAnsi="Times New Roman"/>
                <w:sz w:val="18"/>
                <w:szCs w:val="18"/>
                <w:color w:val="0000EE"/>
              </w:rPr>
            </w:pPr>
            <w:hyperlink w:anchor="page149">
              <w:r>
                <w:rPr>
                  <w:rFonts w:ascii="Times New Roman" w:cs="Times New Roman" w:eastAsia="Times New Roman" w:hAnsi="Times New Roman"/>
                  <w:sz w:val="18"/>
                  <w:szCs w:val="18"/>
                  <w:color w:val="0000EE"/>
                </w:rPr>
                <w:t>II—Valuation and Qualifying Accounts</w:t>
              </w:r>
            </w:hyperlink>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 - 57</w:t>
            </w:r>
          </w:p>
        </w:tc>
        <w:tc>
          <w:tcPr>
            <w:tcW w:w="0" w:type="dxa"/>
            <w:vAlign w:val="bottom"/>
          </w:tcPr>
          <w:p>
            <w:pPr>
              <w:spacing w:after="0"/>
              <w:rPr>
                <w:sz w:val="1"/>
                <w:szCs w:val="1"/>
                <w:color w:val="auto"/>
              </w:rPr>
            </w:pPr>
          </w:p>
        </w:tc>
      </w:tr>
      <w:tr>
        <w:trPr>
          <w:trHeight w:val="20"/>
        </w:trPr>
        <w:tc>
          <w:tcPr>
            <w:tcW w:w="20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We have omitted all other schedules because the conditions requiring their filing do not exist or because the required information appears in our Consolidated Financial Statements, including the notes to those statements.</w:t>
      </w:r>
    </w:p>
    <w:p>
      <w:pPr>
        <w:spacing w:after="0" w:line="1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320"/>
          </w:cols>
          <w:pgMar w:left="240" w:top="455" w:right="3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(a)(3) Exhibits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3(i).1</w:t>
            </w:r>
          </w:p>
        </w:tc>
        <w:tc>
          <w:tcPr>
            <w:tcW w:w="10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Restated Certificate of Incorporation, as amended.</w:t>
            </w:r>
          </w:p>
        </w:tc>
      </w:tr>
      <w:tr>
        <w:trPr>
          <w:trHeight w:val="3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3(ii).1</w:t>
            </w:r>
          </w:p>
        </w:tc>
        <w:tc>
          <w:tcPr>
            <w:tcW w:w="10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Amended and Restated Bylaws of LSB Industries, Inc. dated August 20, 2009, as amended February 18, 2010, which the Company hereby</w:t>
            </w:r>
          </w:p>
        </w:tc>
      </w:tr>
      <w:tr>
        <w:trPr>
          <w:trHeight w:val="228"/>
        </w:trPr>
        <w:tc>
          <w:tcPr>
            <w:tcW w:w="660" w:type="dxa"/>
            <w:vAlign w:val="bottom"/>
          </w:tcPr>
          <w:p>
            <w:pPr>
              <w:spacing w:after="0"/>
              <w:rPr>
                <w:sz w:val="19"/>
                <w:szCs w:val="19"/>
                <w:color w:val="auto"/>
              </w:rPr>
            </w:pPr>
          </w:p>
        </w:tc>
        <w:tc>
          <w:tcPr>
            <w:tcW w:w="10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incorporates by reference from Exhibit 3(ii).1 to the Company’s Form 10-K for the fiscal year ended December 31, 2010.</w:t>
            </w:r>
          </w:p>
        </w:tc>
      </w:tr>
      <w:tr>
        <w:trPr>
          <w:trHeight w:val="3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7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Redemption Notice for Convertible Noncumulative Preferred Stock, dated February 21, 2012, which the Company hereby incorporates by reference</w:t>
            </w:r>
          </w:p>
        </w:tc>
      </w:tr>
      <w:tr>
        <w:trPr>
          <w:trHeight w:val="228"/>
        </w:trPr>
        <w:tc>
          <w:tcPr>
            <w:tcW w:w="660" w:type="dxa"/>
            <w:vAlign w:val="bottom"/>
          </w:tcPr>
          <w:p>
            <w:pPr>
              <w:spacing w:after="0"/>
              <w:rPr>
                <w:sz w:val="19"/>
                <w:szCs w:val="19"/>
                <w:color w:val="auto"/>
              </w:rPr>
            </w:pPr>
          </w:p>
        </w:tc>
        <w:tc>
          <w:tcPr>
            <w:tcW w:w="10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from Exhibit 99.1 to the Company’s Form 8-K, filed February 27, 2012.</w:t>
            </w:r>
          </w:p>
        </w:tc>
      </w:tr>
      <w:tr>
        <w:trPr>
          <w:trHeight w:val="3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7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Specimen Certificate for the Company’s Series B Preferred Stock, having a par value of $100 per share, which the Company hereby incorporates by</w:t>
            </w:r>
          </w:p>
        </w:tc>
      </w:tr>
      <w:tr>
        <w:trPr>
          <w:trHeight w:val="228"/>
        </w:trPr>
        <w:tc>
          <w:tcPr>
            <w:tcW w:w="660" w:type="dxa"/>
            <w:vAlign w:val="bottom"/>
          </w:tcPr>
          <w:p>
            <w:pPr>
              <w:spacing w:after="0"/>
              <w:rPr>
                <w:sz w:val="19"/>
                <w:szCs w:val="19"/>
                <w:color w:val="auto"/>
              </w:rPr>
            </w:pPr>
          </w:p>
        </w:tc>
        <w:tc>
          <w:tcPr>
            <w:tcW w:w="10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reference from Exhibit 4.27 to the Company’s Registration Statement No. 33-9848. See SEC file number 001-0767.</w:t>
            </w:r>
          </w:p>
        </w:tc>
      </w:tr>
      <w:tr>
        <w:trPr>
          <w:trHeight w:val="3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07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Specimen of Certificate of Series D 6% Cumulative, Convertible Class C Preferred Stock, which the Company hereby incorporates by reference from</w:t>
            </w:r>
          </w:p>
        </w:tc>
      </w:tr>
      <w:tr>
        <w:trPr>
          <w:trHeight w:val="228"/>
        </w:trPr>
        <w:tc>
          <w:tcPr>
            <w:tcW w:w="660" w:type="dxa"/>
            <w:vAlign w:val="bottom"/>
          </w:tcPr>
          <w:p>
            <w:pPr>
              <w:spacing w:after="0"/>
              <w:rPr>
                <w:sz w:val="19"/>
                <w:szCs w:val="19"/>
                <w:color w:val="auto"/>
              </w:rPr>
            </w:pPr>
          </w:p>
        </w:tc>
        <w:tc>
          <w:tcPr>
            <w:tcW w:w="10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Exhibit 4.3 to the Company’s Form 10-K for the fiscal year ended December 31, 2010.</w:t>
            </w:r>
          </w:p>
        </w:tc>
      </w:tr>
      <w:tr>
        <w:trPr>
          <w:trHeight w:val="3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10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Specimen Certificate for the Company’s Common Stock, which the Company incorporates by reference from Exhibit 4.4 to the Company’s</w:t>
            </w:r>
          </w:p>
        </w:tc>
      </w:tr>
      <w:tr>
        <w:trPr>
          <w:trHeight w:val="228"/>
        </w:trPr>
        <w:tc>
          <w:tcPr>
            <w:tcW w:w="660" w:type="dxa"/>
            <w:vAlign w:val="bottom"/>
          </w:tcPr>
          <w:p>
            <w:pPr>
              <w:spacing w:after="0"/>
              <w:rPr>
                <w:sz w:val="19"/>
                <w:szCs w:val="19"/>
                <w:color w:val="auto"/>
              </w:rPr>
            </w:pPr>
          </w:p>
        </w:tc>
        <w:tc>
          <w:tcPr>
            <w:tcW w:w="10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Registration Statement No. 333-184995, filed November 6, 2012.</w:t>
            </w:r>
          </w:p>
        </w:tc>
      </w:tr>
      <w:tr>
        <w:trPr>
          <w:trHeight w:val="3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107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Renewed Rights Agreement, dated as of December 2, 2008, between the Company and UMB Bank, n.a., which the Company hereby incorporates by</w:t>
            </w:r>
          </w:p>
        </w:tc>
      </w:tr>
      <w:tr>
        <w:trPr>
          <w:trHeight w:val="228"/>
        </w:trPr>
        <w:tc>
          <w:tcPr>
            <w:tcW w:w="660" w:type="dxa"/>
            <w:vAlign w:val="bottom"/>
          </w:tcPr>
          <w:p>
            <w:pPr>
              <w:spacing w:after="0"/>
              <w:rPr>
                <w:sz w:val="19"/>
                <w:szCs w:val="19"/>
                <w:color w:val="auto"/>
              </w:rPr>
            </w:pPr>
          </w:p>
        </w:tc>
        <w:tc>
          <w:tcPr>
            <w:tcW w:w="10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reference from Exhibit 4.1 to the Company’s Form 8-K, dated December 5, 2008.</w:t>
            </w:r>
          </w:p>
        </w:tc>
      </w:tr>
      <w:tr>
        <w:trPr>
          <w:trHeight w:val="3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107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First Amendment to Renewed Rights Agreement, dated December 3, 2008, between LSB Industries, Inc. and UMB Bank, n.a., which the Company</w:t>
            </w:r>
          </w:p>
        </w:tc>
      </w:tr>
      <w:tr>
        <w:trPr>
          <w:trHeight w:val="228"/>
        </w:trPr>
        <w:tc>
          <w:tcPr>
            <w:tcW w:w="660" w:type="dxa"/>
            <w:vAlign w:val="bottom"/>
          </w:tcPr>
          <w:p>
            <w:pPr>
              <w:spacing w:after="0"/>
              <w:rPr>
                <w:sz w:val="19"/>
                <w:szCs w:val="19"/>
                <w:color w:val="auto"/>
              </w:rPr>
            </w:pPr>
          </w:p>
        </w:tc>
        <w:tc>
          <w:tcPr>
            <w:tcW w:w="10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hereby incorporates by reference from Exhibit 4.3 to the Company’s Form 8-K, dated December 5, 2008.</w:t>
            </w:r>
          </w:p>
        </w:tc>
      </w:tr>
      <w:tr>
        <w:trPr>
          <w:trHeight w:val="3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10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Amended and Restated Loan and Security Agreement by and among LSB Industries, Inc., ThermaClime, Inc. and each of its subsidiaries that are</w:t>
            </w:r>
          </w:p>
        </w:tc>
      </w:tr>
      <w:tr>
        <w:trPr>
          <w:trHeight w:val="216"/>
        </w:trPr>
        <w:tc>
          <w:tcPr>
            <w:tcW w:w="660" w:type="dxa"/>
            <w:vAlign w:val="bottom"/>
          </w:tcPr>
          <w:p>
            <w:pPr>
              <w:spacing w:after="0"/>
              <w:rPr>
                <w:sz w:val="18"/>
                <w:szCs w:val="18"/>
                <w:color w:val="auto"/>
              </w:rPr>
            </w:pPr>
          </w:p>
        </w:tc>
        <w:tc>
          <w:tcPr>
            <w:tcW w:w="10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Signatories, the lenders and Wells Fargo Foothill, Inc., which the Company hereby incorporates by reference from Exhibit 4.2 to the Company’s</w:t>
            </w:r>
          </w:p>
        </w:tc>
      </w:tr>
      <w:tr>
        <w:trPr>
          <w:trHeight w:val="228"/>
        </w:trPr>
        <w:tc>
          <w:tcPr>
            <w:tcW w:w="660" w:type="dxa"/>
            <w:vAlign w:val="bottom"/>
          </w:tcPr>
          <w:p>
            <w:pPr>
              <w:spacing w:after="0"/>
              <w:rPr>
                <w:sz w:val="19"/>
                <w:szCs w:val="19"/>
                <w:color w:val="auto"/>
              </w:rPr>
            </w:pPr>
          </w:p>
        </w:tc>
        <w:tc>
          <w:tcPr>
            <w:tcW w:w="10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10-Q for the fiscal quarter ended September 30, 2007. See SEC file number 001-0767.</w:t>
            </w:r>
          </w:p>
        </w:tc>
      </w:tr>
      <w:tr>
        <w:trPr>
          <w:trHeight w:val="3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107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Exhibits and Schedules to the Amended and Restated Loan and Security Agreement by and among LSB Industries, Inc., ThermaClime, Inc. and each</w:t>
            </w:r>
          </w:p>
        </w:tc>
      </w:tr>
      <w:tr>
        <w:trPr>
          <w:trHeight w:val="216"/>
        </w:trPr>
        <w:tc>
          <w:tcPr>
            <w:tcW w:w="660" w:type="dxa"/>
            <w:vAlign w:val="bottom"/>
          </w:tcPr>
          <w:p>
            <w:pPr>
              <w:spacing w:after="0"/>
              <w:rPr>
                <w:sz w:val="18"/>
                <w:szCs w:val="18"/>
                <w:color w:val="auto"/>
              </w:rPr>
            </w:pPr>
          </w:p>
        </w:tc>
        <w:tc>
          <w:tcPr>
            <w:tcW w:w="107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of its subsidiaries that are Signatories, the lenders and Wells Fargo Foothill, Inc., which the Company hereby incorporates by reference from Exhibit</w:t>
            </w:r>
          </w:p>
        </w:tc>
      </w:tr>
      <w:tr>
        <w:trPr>
          <w:trHeight w:val="228"/>
        </w:trPr>
        <w:tc>
          <w:tcPr>
            <w:tcW w:w="660" w:type="dxa"/>
            <w:vAlign w:val="bottom"/>
          </w:tcPr>
          <w:p>
            <w:pPr>
              <w:spacing w:after="0"/>
              <w:rPr>
                <w:sz w:val="19"/>
                <w:szCs w:val="19"/>
                <w:color w:val="auto"/>
              </w:rPr>
            </w:pPr>
          </w:p>
        </w:tc>
        <w:tc>
          <w:tcPr>
            <w:tcW w:w="10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4.1b to the Company’s Form 10-Q for the fiscal quarter ended June 30, 2010.</w:t>
            </w:r>
          </w:p>
        </w:tc>
      </w:tr>
      <w:tr>
        <w:trPr>
          <w:trHeight w:val="3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107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First Amendment to the Amended and Restated Loan and Security Agreement, dated as of November 24, 2009, by and among LSB Industries, Inc.,</w:t>
            </w:r>
          </w:p>
        </w:tc>
      </w:tr>
      <w:tr>
        <w:trPr>
          <w:trHeight w:val="216"/>
        </w:trPr>
        <w:tc>
          <w:tcPr>
            <w:tcW w:w="660" w:type="dxa"/>
            <w:vAlign w:val="bottom"/>
          </w:tcPr>
          <w:p>
            <w:pPr>
              <w:spacing w:after="0"/>
              <w:rPr>
                <w:sz w:val="18"/>
                <w:szCs w:val="18"/>
                <w:color w:val="auto"/>
              </w:rPr>
            </w:pPr>
          </w:p>
        </w:tc>
        <w:tc>
          <w:tcPr>
            <w:tcW w:w="10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ThermaClime, Inc. and each of its subsidiaries that are Signatories, the lenders and Wells Fargo Foothill, Inc., which the Company hereby</w:t>
            </w:r>
          </w:p>
        </w:tc>
      </w:tr>
      <w:tr>
        <w:trPr>
          <w:trHeight w:val="228"/>
        </w:trPr>
        <w:tc>
          <w:tcPr>
            <w:tcW w:w="660" w:type="dxa"/>
            <w:vAlign w:val="bottom"/>
          </w:tcPr>
          <w:p>
            <w:pPr>
              <w:spacing w:after="0"/>
              <w:rPr>
                <w:sz w:val="19"/>
                <w:szCs w:val="19"/>
                <w:color w:val="auto"/>
              </w:rPr>
            </w:pPr>
          </w:p>
        </w:tc>
        <w:tc>
          <w:tcPr>
            <w:tcW w:w="10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incorporates by reference from Exhibit 4.9 to the Company’s Form 10-K for the fiscal year ended December 31, 2009.</w:t>
            </w:r>
          </w:p>
        </w:tc>
      </w:tr>
      <w:tr>
        <w:trPr>
          <w:trHeight w:val="3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107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Consent, Joinder and Second Amendment, dated as of April 1, 2010, by and among LSB Industries, Inc., ThermaClime, Inc., each of the Subsidiaries</w:t>
            </w:r>
          </w:p>
        </w:tc>
      </w:tr>
      <w:tr>
        <w:trPr>
          <w:trHeight w:val="216"/>
        </w:trPr>
        <w:tc>
          <w:tcPr>
            <w:tcW w:w="660" w:type="dxa"/>
            <w:vAlign w:val="bottom"/>
          </w:tcPr>
          <w:p>
            <w:pPr>
              <w:spacing w:after="0"/>
              <w:rPr>
                <w:sz w:val="18"/>
                <w:szCs w:val="18"/>
                <w:color w:val="auto"/>
              </w:rPr>
            </w:pPr>
          </w:p>
        </w:tc>
        <w:tc>
          <w:tcPr>
            <w:tcW w:w="107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of ThermaClime identified on the signature pages thereof, the lenders identified on the signature pages thereof, Wells Fargo Capital Finance, Inc., as</w:t>
            </w:r>
          </w:p>
        </w:tc>
      </w:tr>
      <w:tr>
        <w:trPr>
          <w:trHeight w:val="216"/>
        </w:trPr>
        <w:tc>
          <w:tcPr>
            <w:tcW w:w="660" w:type="dxa"/>
            <w:vAlign w:val="bottom"/>
          </w:tcPr>
          <w:p>
            <w:pPr>
              <w:spacing w:after="0"/>
              <w:rPr>
                <w:sz w:val="18"/>
                <w:szCs w:val="18"/>
                <w:color w:val="auto"/>
              </w:rPr>
            </w:pPr>
          </w:p>
        </w:tc>
        <w:tc>
          <w:tcPr>
            <w:tcW w:w="107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the arranger and administrative agent, and Consolidated Industries Corp., which the Company hereby incorporates by reference from Exhibit 99.3 to</w:t>
            </w:r>
          </w:p>
        </w:tc>
      </w:tr>
      <w:tr>
        <w:trPr>
          <w:trHeight w:val="228"/>
        </w:trPr>
        <w:tc>
          <w:tcPr>
            <w:tcW w:w="660" w:type="dxa"/>
            <w:vAlign w:val="bottom"/>
          </w:tcPr>
          <w:p>
            <w:pPr>
              <w:spacing w:after="0"/>
              <w:rPr>
                <w:sz w:val="19"/>
                <w:szCs w:val="19"/>
                <w:color w:val="auto"/>
              </w:rPr>
            </w:pPr>
          </w:p>
        </w:tc>
        <w:tc>
          <w:tcPr>
            <w:tcW w:w="10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Company’s Form 8-K, filed April 7, 2010.</w:t>
            </w:r>
          </w:p>
        </w:tc>
      </w:tr>
      <w:tr>
        <w:trPr>
          <w:trHeight w:val="3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10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Fifth Amendment to the Amended and Restated Loan and Security Agreement, dated as of April 4, 2012, by and among LSB Industries, Inc.,</w:t>
            </w:r>
          </w:p>
        </w:tc>
      </w:tr>
      <w:tr>
        <w:trPr>
          <w:trHeight w:val="216"/>
        </w:trPr>
        <w:tc>
          <w:tcPr>
            <w:tcW w:w="660" w:type="dxa"/>
            <w:vAlign w:val="bottom"/>
          </w:tcPr>
          <w:p>
            <w:pPr>
              <w:spacing w:after="0"/>
              <w:rPr>
                <w:sz w:val="18"/>
                <w:szCs w:val="18"/>
                <w:color w:val="auto"/>
              </w:rPr>
            </w:pPr>
          </w:p>
        </w:tc>
        <w:tc>
          <w:tcPr>
            <w:tcW w:w="107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Consolidated Industries Corp., ThermaClime, L.L.C. and each of its subsidiaries that are Signatories, the Lenders signatory thereto and Wells Fargo</w:t>
            </w:r>
          </w:p>
        </w:tc>
      </w:tr>
      <w:tr>
        <w:trPr>
          <w:trHeight w:val="216"/>
        </w:trPr>
        <w:tc>
          <w:tcPr>
            <w:tcW w:w="660" w:type="dxa"/>
            <w:vAlign w:val="bottom"/>
          </w:tcPr>
          <w:p>
            <w:pPr>
              <w:spacing w:after="0"/>
              <w:rPr>
                <w:sz w:val="18"/>
                <w:szCs w:val="18"/>
                <w:color w:val="auto"/>
              </w:rPr>
            </w:pPr>
          </w:p>
        </w:tc>
        <w:tc>
          <w:tcPr>
            <w:tcW w:w="107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Capital Finance, Inc., as arranger and administrative agent for the Lenders, which the Company hereby incorporates by reference from Exhibit 99.1</w:t>
            </w:r>
          </w:p>
        </w:tc>
      </w:tr>
      <w:tr>
        <w:trPr>
          <w:trHeight w:val="228"/>
        </w:trPr>
        <w:tc>
          <w:tcPr>
            <w:tcW w:w="660" w:type="dxa"/>
            <w:vAlign w:val="bottom"/>
          </w:tcPr>
          <w:p>
            <w:pPr>
              <w:spacing w:after="0"/>
              <w:rPr>
                <w:sz w:val="19"/>
                <w:szCs w:val="19"/>
                <w:color w:val="auto"/>
              </w:rPr>
            </w:pPr>
          </w:p>
        </w:tc>
        <w:tc>
          <w:tcPr>
            <w:tcW w:w="10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 the Company’s Form 8-K, filed April 9, 2012.</w:t>
            </w:r>
          </w:p>
        </w:tc>
      </w:tr>
      <w:tr>
        <w:trPr>
          <w:trHeight w:val="3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10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Amended and Restated Term Loan Agreement, dated as of March 29, 2011, among LSB Industries, Inc., ThermaClime, L.L.C. and certain</w:t>
            </w:r>
          </w:p>
        </w:tc>
      </w:tr>
      <w:tr>
        <w:trPr>
          <w:trHeight w:val="228"/>
        </w:trPr>
        <w:tc>
          <w:tcPr>
            <w:tcW w:w="660" w:type="dxa"/>
            <w:vAlign w:val="bottom"/>
          </w:tcPr>
          <w:p>
            <w:pPr>
              <w:spacing w:after="0"/>
              <w:rPr>
                <w:sz w:val="19"/>
                <w:szCs w:val="19"/>
                <w:color w:val="auto"/>
              </w:rPr>
            </w:pPr>
          </w:p>
        </w:tc>
        <w:tc>
          <w:tcPr>
            <w:tcW w:w="107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subsidiaries of ThermaClime, L.L.C., Cherokee Nitrogen Holdings, Inc., the Lenders signatory thereto, Banc of America Leasing &amp; Capital, LLC as</w:t>
            </w:r>
          </w:p>
        </w:tc>
      </w:tr>
    </w:tbl>
    <w:p>
      <w:pPr>
        <w:ind w:left="880"/>
        <w:spacing w:after="0" w:line="261" w:lineRule="auto"/>
        <w:rPr>
          <w:sz w:val="20"/>
          <w:szCs w:val="20"/>
          <w:color w:val="auto"/>
        </w:rPr>
      </w:pPr>
      <w:r>
        <w:rPr>
          <w:rFonts w:ascii="Times New Roman" w:cs="Times New Roman" w:eastAsia="Times New Roman" w:hAnsi="Times New Roman"/>
          <w:sz w:val="18"/>
          <w:szCs w:val="18"/>
          <w:color w:val="auto"/>
        </w:rPr>
        <w:t>the Administrative and Collateral Agent, and Bank of Utah as Payment Agent, which the Company hereby incorporates by reference from Exhibit 4.1 to the Company’s Form 8-K, filed by April 4, 2011.</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455" w:right="2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ind w:left="700" w:right="140" w:hanging="688"/>
        <w:spacing w:after="0" w:line="258" w:lineRule="auto"/>
        <w:tabs>
          <w:tab w:leader="none" w:pos="680" w:val="left"/>
        </w:tabs>
        <w:rPr>
          <w:sz w:val="20"/>
          <w:szCs w:val="20"/>
          <w:color w:val="auto"/>
        </w:rPr>
      </w:pPr>
      <w:r>
        <w:rPr>
          <w:rFonts w:ascii="Times New Roman" w:cs="Times New Roman" w:eastAsia="Times New Roman" w:hAnsi="Times New Roman"/>
          <w:sz w:val="18"/>
          <w:szCs w:val="18"/>
          <w:color w:val="auto"/>
        </w:rPr>
        <w:t>4.13</w:t>
      </w:r>
      <w:r>
        <w:rPr>
          <w:sz w:val="20"/>
          <w:szCs w:val="20"/>
          <w:color w:val="auto"/>
        </w:rPr>
        <w:tab/>
      </w:r>
      <w:r>
        <w:rPr>
          <w:rFonts w:ascii="Times New Roman" w:cs="Times New Roman" w:eastAsia="Times New Roman" w:hAnsi="Times New Roman"/>
          <w:sz w:val="18"/>
          <w:szCs w:val="18"/>
          <w:color w:val="auto"/>
        </w:rPr>
        <w:t>Exhibits and Schedules to the Amended and Restated Term Loan Agreement, dated as of March 29, 2011, among LSB Industries, Inc., ThermaClime, L.L.C. and certain subsidiaries of ThermaClime, L.L.C., Cherokee Nitrogen Holdings, Inc., the Lenders signatory thereto, Banc of America Leasing &amp; Capital, LLC as the Administrative and Collateral Agent, and Bank of Utah as Payment Agent, which the Company hereby incorporates by reference from Exhibit 4.1 to the Company’s Form 8-K, filed April 4, 2011.</w:t>
      </w:r>
    </w:p>
    <w:p>
      <w:pPr>
        <w:spacing w:after="0" w:line="82" w:lineRule="exact"/>
        <w:rPr>
          <w:sz w:val="20"/>
          <w:szCs w:val="20"/>
          <w:color w:val="auto"/>
        </w:rPr>
      </w:pPr>
    </w:p>
    <w:p>
      <w:pPr>
        <w:ind w:left="700" w:right="100" w:hanging="688"/>
        <w:spacing w:after="0" w:line="258" w:lineRule="auto"/>
        <w:tabs>
          <w:tab w:leader="none" w:pos="680" w:val="left"/>
        </w:tabs>
        <w:rPr>
          <w:sz w:val="20"/>
          <w:szCs w:val="20"/>
          <w:color w:val="auto"/>
        </w:rPr>
      </w:pPr>
      <w:r>
        <w:rPr>
          <w:rFonts w:ascii="Times New Roman" w:cs="Times New Roman" w:eastAsia="Times New Roman" w:hAnsi="Times New Roman"/>
          <w:sz w:val="18"/>
          <w:szCs w:val="18"/>
          <w:color w:val="auto"/>
        </w:rPr>
        <w:t>4.14</w:t>
      </w:r>
      <w:r>
        <w:rPr>
          <w:sz w:val="20"/>
          <w:szCs w:val="20"/>
          <w:color w:val="auto"/>
        </w:rPr>
        <w:tab/>
      </w:r>
      <w:r>
        <w:rPr>
          <w:rFonts w:ascii="Times New Roman" w:cs="Times New Roman" w:eastAsia="Times New Roman" w:hAnsi="Times New Roman"/>
          <w:sz w:val="18"/>
          <w:szCs w:val="18"/>
          <w:color w:val="auto"/>
        </w:rPr>
        <w:t>Amendment Number One to the Amended and Restated Term Loan Agreement, dated as of April 21, 2011, among LSB Industries, Inc., ThermaClime, L.L.C. and certain subsidiaries of ThermaClime, L.L.C., Cherokee Nitrogen Holdings, Inc., the Required Lenders signatory thereto, Banc of America Leasing &amp; Capital, LLC as the Administrative and Collateral Agent, and Bank of Utah as Payment Agent, which the Company hereby incorporates by reference from Exhibit 4.3 to the Company’s Form 10-Q, filed May 5, 2011.</w:t>
      </w:r>
    </w:p>
    <w:p>
      <w:pPr>
        <w:spacing w:after="0" w:line="82" w:lineRule="exact"/>
        <w:rPr>
          <w:sz w:val="20"/>
          <w:szCs w:val="20"/>
          <w:color w:val="auto"/>
        </w:rPr>
      </w:pPr>
    </w:p>
    <w:p>
      <w:pPr>
        <w:ind w:left="700" w:right="120" w:hanging="688"/>
        <w:spacing w:after="0" w:line="258" w:lineRule="auto"/>
        <w:tabs>
          <w:tab w:leader="none" w:pos="680" w:val="left"/>
        </w:tabs>
        <w:rPr>
          <w:sz w:val="20"/>
          <w:szCs w:val="20"/>
          <w:color w:val="auto"/>
        </w:rPr>
      </w:pPr>
      <w:r>
        <w:rPr>
          <w:rFonts w:ascii="Times New Roman" w:cs="Times New Roman" w:eastAsia="Times New Roman" w:hAnsi="Times New Roman"/>
          <w:sz w:val="18"/>
          <w:szCs w:val="18"/>
          <w:color w:val="auto"/>
        </w:rPr>
        <w:t>4.15</w:t>
      </w:r>
      <w:r>
        <w:rPr>
          <w:sz w:val="20"/>
          <w:szCs w:val="20"/>
          <w:color w:val="auto"/>
        </w:rPr>
        <w:tab/>
      </w:r>
      <w:r>
        <w:rPr>
          <w:rFonts w:ascii="Times New Roman" w:cs="Times New Roman" w:eastAsia="Times New Roman" w:hAnsi="Times New Roman"/>
          <w:sz w:val="18"/>
          <w:szCs w:val="18"/>
          <w:color w:val="auto"/>
        </w:rPr>
        <w:t>Joining Lender Agreement, dated as of May 26, 2011, by and among LSB Industries, Inc., ThermaClime, L.L.C. and certain subsidiaries of ThermaClime, L.L.C., Cherokee Nitrogen Holdings, Inc., Consolidated Industries Corp., Banc of America Leasing &amp; Capital, LLC, as Administrative Agent, and MassMutual Asset Finance LLC, which the Company hereby incorporates by reference from Exhibit 4.4 to the Company’s Form 8-K, filed June 2, 2011.</w:t>
      </w:r>
    </w:p>
    <w:p>
      <w:pPr>
        <w:spacing w:after="0" w:line="82" w:lineRule="exact"/>
        <w:rPr>
          <w:sz w:val="20"/>
          <w:szCs w:val="20"/>
          <w:color w:val="auto"/>
        </w:rPr>
      </w:pPr>
    </w:p>
    <w:p>
      <w:pPr>
        <w:ind w:left="700" w:right="20" w:hanging="688"/>
        <w:spacing w:after="0" w:line="258" w:lineRule="auto"/>
        <w:tabs>
          <w:tab w:leader="none" w:pos="680" w:val="left"/>
        </w:tabs>
        <w:rPr>
          <w:sz w:val="20"/>
          <w:szCs w:val="20"/>
          <w:color w:val="auto"/>
        </w:rPr>
      </w:pPr>
      <w:r>
        <w:rPr>
          <w:rFonts w:ascii="Times New Roman" w:cs="Times New Roman" w:eastAsia="Times New Roman" w:hAnsi="Times New Roman"/>
          <w:sz w:val="18"/>
          <w:szCs w:val="18"/>
          <w:color w:val="auto"/>
        </w:rPr>
        <w:t>4.16</w:t>
      </w:r>
      <w:r>
        <w:rPr>
          <w:sz w:val="20"/>
          <w:szCs w:val="20"/>
          <w:color w:val="auto"/>
        </w:rPr>
        <w:tab/>
      </w:r>
      <w:r>
        <w:rPr>
          <w:rFonts w:ascii="Times New Roman" w:cs="Times New Roman" w:eastAsia="Times New Roman" w:hAnsi="Times New Roman"/>
          <w:sz w:val="18"/>
          <w:szCs w:val="18"/>
          <w:color w:val="auto"/>
        </w:rPr>
        <w:t>Amendment Number Two to the Amended and Restated Term Loan Agreement, dated as of April 4, 2012, among LSB Industries, Inc., ThermaClime, L.L.C. and certain subsidiaries of ThermaClime, L.L.C., Cherokee Nitrogen Holdings, Inc., Consolidated Industries Corp., the Required Lenders signatory thereto, Banc of America Leasing &amp; Capital, LLC as the Administrative and Collateral Agent, and Bank of Utah as Payment Agent, which the Company hereby incorporates by reference from Exhibit 99.2 to the Company’s Form 8-K, filed April 9, 2012.</w:t>
      </w:r>
    </w:p>
    <w:p>
      <w:pPr>
        <w:spacing w:after="0" w:line="82" w:lineRule="exact"/>
        <w:rPr>
          <w:sz w:val="20"/>
          <w:szCs w:val="20"/>
          <w:color w:val="auto"/>
        </w:rPr>
      </w:pPr>
    </w:p>
    <w:p>
      <w:pPr>
        <w:ind w:left="700" w:right="40" w:hanging="688"/>
        <w:spacing w:after="0" w:line="258" w:lineRule="auto"/>
        <w:tabs>
          <w:tab w:leader="none" w:pos="680" w:val="left"/>
        </w:tabs>
        <w:rPr>
          <w:sz w:val="20"/>
          <w:szCs w:val="20"/>
          <w:color w:val="auto"/>
        </w:rPr>
      </w:pPr>
      <w:r>
        <w:rPr>
          <w:rFonts w:ascii="Times New Roman" w:cs="Times New Roman" w:eastAsia="Times New Roman" w:hAnsi="Times New Roman"/>
          <w:sz w:val="18"/>
          <w:szCs w:val="18"/>
          <w:color w:val="auto"/>
        </w:rPr>
        <w:t>4.17</w:t>
      </w:r>
      <w:r>
        <w:rPr>
          <w:sz w:val="20"/>
          <w:szCs w:val="20"/>
          <w:color w:val="auto"/>
        </w:rPr>
        <w:tab/>
      </w:r>
      <w:r>
        <w:rPr>
          <w:rFonts w:ascii="Times New Roman" w:cs="Times New Roman" w:eastAsia="Times New Roman" w:hAnsi="Times New Roman"/>
          <w:sz w:val="18"/>
          <w:szCs w:val="18"/>
          <w:color w:val="auto"/>
        </w:rPr>
        <w:t>Amendment Number Four and Addendum to Amended and Restated Term Loan Agreement, dated effective August 16, 2012, among LSB Industries, Inc., ThermaClime, L.L.C. and certain subsidiaries of ThermaClime, L.L.C., Cherokee Nitrogen Holdings, Inc., the Required Lenders signatory thereto, Banc of America Leasing &amp; Capital, LLC as the Administrative and Collateral Agent, and Bank of Utah as Payment Agent, which the Company hereby incorporates by reference from Exhibit 99.1 to the Company’s Form 8-K, filed September 18, 2012.</w:t>
      </w:r>
    </w:p>
    <w:p>
      <w:pPr>
        <w:spacing w:after="0" w:line="82" w:lineRule="exact"/>
        <w:rPr>
          <w:sz w:val="20"/>
          <w:szCs w:val="20"/>
          <w:color w:val="auto"/>
        </w:rPr>
      </w:pPr>
    </w:p>
    <w:p>
      <w:pPr>
        <w:ind w:left="700" w:right="120" w:hanging="688"/>
        <w:spacing w:after="0" w:line="262" w:lineRule="auto"/>
        <w:tabs>
          <w:tab w:leader="none" w:pos="68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Limited Partnership Agreement dated as of May 4, 1995 between the general partner, and LSB Holdings, Inc., an Oklahoma Corporation, as limited partner, which the Company hereby incorporates by reference from Exhibit 10.11 to the Company’s Form 10-K for the fiscal year ended December 31, 1995. See SEC file number 001-07677.</w:t>
      </w:r>
    </w:p>
    <w:p>
      <w:pPr>
        <w:spacing w:after="0" w:line="78" w:lineRule="exact"/>
        <w:rPr>
          <w:sz w:val="20"/>
          <w:szCs w:val="20"/>
          <w:color w:val="auto"/>
        </w:rPr>
      </w:pPr>
    </w:p>
    <w:p>
      <w:pPr>
        <w:ind w:left="700" w:hanging="688"/>
        <w:spacing w:after="0" w:line="275" w:lineRule="auto"/>
        <w:tabs>
          <w:tab w:leader="none" w:pos="68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Form of Death Benefit Plan Agreement between the Company and the employees covered under the plan, which the Company incorporates by reference from Exhibit 10.2 to the Company’s Form 10-K for the fiscal year ended December 31, 2005. See SEC file number 001-0767.</w:t>
      </w:r>
    </w:p>
    <w:p>
      <w:pPr>
        <w:spacing w:after="0" w:line="66" w:lineRule="exact"/>
        <w:rPr>
          <w:sz w:val="20"/>
          <w:szCs w:val="20"/>
          <w:color w:val="auto"/>
        </w:rPr>
      </w:pPr>
    </w:p>
    <w:p>
      <w:pPr>
        <w:ind w:left="700" w:right="360" w:hanging="688"/>
        <w:spacing w:after="0" w:line="275" w:lineRule="auto"/>
        <w:tabs>
          <w:tab w:leader="none" w:pos="68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The Company’s 1998 Stock Option and Incentive Plan, which the Company hereby incorporates by reference from Exhibit 10.44 to the Company’s Form 10-K for the fiscal year ended December 31, 1998. See SEC file number 001-07677.</w:t>
      </w:r>
    </w:p>
    <w:p>
      <w:pPr>
        <w:spacing w:after="0" w:line="66" w:lineRule="exact"/>
        <w:rPr>
          <w:sz w:val="20"/>
          <w:szCs w:val="20"/>
          <w:color w:val="auto"/>
        </w:rPr>
      </w:pPr>
    </w:p>
    <w:p>
      <w:pPr>
        <w:ind w:left="700" w:right="300" w:hanging="688"/>
        <w:spacing w:after="0" w:line="275" w:lineRule="auto"/>
        <w:tabs>
          <w:tab w:leader="none" w:pos="6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LSB Industries, Inc. Outside Directors Stock Option Plan, which the Company hereby incorporates by reference from Exhibit “C” to the Company’s Proxy Statement, dated May 24, 1999 for its 1999 Annual Meeting of Stockholders. See SEC file number 001-07677.</w:t>
      </w:r>
    </w:p>
    <w:p>
      <w:pPr>
        <w:spacing w:after="0" w:line="66" w:lineRule="exact"/>
        <w:rPr>
          <w:sz w:val="20"/>
          <w:szCs w:val="20"/>
          <w:color w:val="auto"/>
        </w:rPr>
      </w:pPr>
    </w:p>
    <w:p>
      <w:pPr>
        <w:ind w:left="700" w:right="220" w:hanging="688"/>
        <w:spacing w:after="0" w:line="275" w:lineRule="auto"/>
        <w:tabs>
          <w:tab w:leader="none" w:pos="68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8"/>
          <w:szCs w:val="18"/>
          <w:color w:val="auto"/>
        </w:rPr>
        <w:t>Nonqualified Stock Option Agreement, dated June 19, 2006, between LSB Industries, Inc. and Dan Ellis, which the Company hereby incorporates by reference from Exhibit 99.1 to the Company’s Form S-8, dated September 10, 2007. See SEC file number 001-0767.</w:t>
      </w:r>
    </w:p>
    <w:p>
      <w:pPr>
        <w:spacing w:after="0" w:line="66" w:lineRule="exact"/>
        <w:rPr>
          <w:sz w:val="20"/>
          <w:szCs w:val="20"/>
          <w:color w:val="auto"/>
        </w:rPr>
      </w:pPr>
    </w:p>
    <w:p>
      <w:pPr>
        <w:ind w:left="700" w:right="60" w:hanging="688"/>
        <w:spacing w:after="0" w:line="275" w:lineRule="auto"/>
        <w:tabs>
          <w:tab w:leader="none" w:pos="68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8"/>
          <w:szCs w:val="18"/>
          <w:color w:val="auto"/>
        </w:rPr>
        <w:t>Nonqualified Stock Option Agreement, dated June 19, 2006, between LSB Industries, Inc. and John Bailey, which the Company hereby incorporates by reference from Exhibit 99.2 to the Company’s Form S-8, dated September 10, 2007. See SEC file number 001-0767.</w:t>
      </w:r>
    </w:p>
    <w:p>
      <w:pPr>
        <w:spacing w:after="0" w:line="66" w:lineRule="exact"/>
        <w:rPr>
          <w:sz w:val="20"/>
          <w:szCs w:val="20"/>
          <w:color w:val="auto"/>
        </w:rPr>
      </w:pPr>
    </w:p>
    <w:p>
      <w:pPr>
        <w:ind w:left="700" w:right="200" w:hanging="688"/>
        <w:spacing w:after="0" w:line="275" w:lineRule="auto"/>
        <w:tabs>
          <w:tab w:leader="none" w:pos="68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color w:val="auto"/>
        </w:rPr>
        <w:t>LSB Industries, Inc. 2008 Incentive Stock Plan, effective June 5, 2008, which the Company hereby incorporates by reference from Exhibit 99.1 to the Company’s Form 8-K, dated June 6, 2008.</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455" w:right="23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ind w:left="820" w:right="60" w:hanging="809"/>
        <w:spacing w:after="0" w:line="258" w:lineRule="auto"/>
        <w:tabs>
          <w:tab w:leader="none" w:pos="80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8"/>
          <w:szCs w:val="18"/>
          <w:color w:val="auto"/>
        </w:rPr>
        <w:t>Severance Agreement, dated January 17, 1989 between the Company and Jack E. Golsen, which the Company hereby incorporates by reference from Exhibit 10.13 to the Company’s Form 10-K for the fiscal year ended December 31, 2005. See SEC file number 001-0767. The Company also entered into identical agreements with Tony M. Shelby, David R. Goss, Barry H. Golsen, David M. Shear, and Jim D. Jones and the Company will provide copies thereof to the Commission upon request.</w:t>
      </w:r>
    </w:p>
    <w:p>
      <w:pPr>
        <w:spacing w:after="0" w:line="82" w:lineRule="exact"/>
        <w:rPr>
          <w:sz w:val="20"/>
          <w:szCs w:val="20"/>
          <w:color w:val="auto"/>
        </w:rPr>
      </w:pPr>
    </w:p>
    <w:p>
      <w:pPr>
        <w:ind w:left="820" w:right="80" w:hanging="809"/>
        <w:spacing w:after="0" w:line="258" w:lineRule="auto"/>
        <w:tabs>
          <w:tab w:leader="none" w:pos="800"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8"/>
          <w:szCs w:val="18"/>
          <w:color w:val="auto"/>
        </w:rPr>
        <w:t>Amendment to Severance Agreement, dated December 17, 2008, between Barry H. Golsen and the Company, which the Company hereby incorporates by reference from Exhibit 99.2 to the Company’s Form 8-K, dated December 23, 2008. Each Amendment to Severance Agreement with Jack E. Golsen, Tony M. Shelby, David R. Goss and David M. Shear is substantially the same as this exhibit and will be provided to the Commission upon request.</w:t>
      </w:r>
    </w:p>
    <w:p>
      <w:pPr>
        <w:spacing w:after="0" w:line="8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10.10</w:t>
      </w:r>
      <w:r>
        <w:rPr>
          <w:sz w:val="20"/>
          <w:szCs w:val="20"/>
          <w:color w:val="auto"/>
        </w:rPr>
        <w:tab/>
      </w:r>
      <w:r>
        <w:rPr>
          <w:rFonts w:ascii="Times New Roman" w:cs="Times New Roman" w:eastAsia="Times New Roman" w:hAnsi="Times New Roman"/>
          <w:sz w:val="16"/>
          <w:szCs w:val="16"/>
          <w:color w:val="auto"/>
        </w:rPr>
        <w:t>Employment Agreement and Amendment to Severance Agreement dated January 12, 1989 between the Company and Jack E. Golsen, dated March</w:t>
      </w:r>
    </w:p>
    <w:p>
      <w:pPr>
        <w:spacing w:after="0" w:line="2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21, 1996, which the Company hereby incorporates by reference from Exhibit 10.15 to the Company’s Form 10-K for fiscal year ended December 31,</w:t>
      </w:r>
    </w:p>
    <w:p>
      <w:pPr>
        <w:spacing w:after="0" w:line="3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1995. See SEC file number 001-07677.</w:t>
      </w:r>
    </w:p>
    <w:p>
      <w:pPr>
        <w:spacing w:after="0" w:line="105" w:lineRule="exact"/>
        <w:rPr>
          <w:sz w:val="20"/>
          <w:szCs w:val="20"/>
          <w:color w:val="auto"/>
        </w:rPr>
      </w:pPr>
    </w:p>
    <w:p>
      <w:pPr>
        <w:ind w:left="820" w:right="300" w:hanging="809"/>
        <w:spacing w:after="0" w:line="262" w:lineRule="auto"/>
        <w:tabs>
          <w:tab w:leader="none" w:pos="800" w:val="left"/>
        </w:tabs>
        <w:rPr>
          <w:sz w:val="20"/>
          <w:szCs w:val="20"/>
          <w:color w:val="auto"/>
        </w:rPr>
      </w:pP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18"/>
          <w:szCs w:val="18"/>
          <w:color w:val="auto"/>
        </w:rPr>
        <w:t>First Amendment to Employment Agreement, dated April 29, 2003 between the Company and Jack E. Golsen, which the Company hereby incorporates by reference from Exhibit 10.52 to the Company’s Form 10-K/A Amendment No.1 for the fiscal year ended December 31, 2002. See SEC file number 001-0767.</w:t>
      </w:r>
    </w:p>
    <w:p>
      <w:pPr>
        <w:spacing w:after="0" w:line="78" w:lineRule="exact"/>
        <w:rPr>
          <w:sz w:val="20"/>
          <w:szCs w:val="20"/>
          <w:color w:val="auto"/>
        </w:rPr>
      </w:pPr>
    </w:p>
    <w:p>
      <w:pPr>
        <w:ind w:left="820" w:right="340" w:hanging="809"/>
        <w:spacing w:after="0" w:line="275" w:lineRule="auto"/>
        <w:tabs>
          <w:tab w:leader="none" w:pos="800" w:val="left"/>
        </w:tabs>
        <w:rPr>
          <w:sz w:val="20"/>
          <w:szCs w:val="20"/>
          <w:color w:val="auto"/>
        </w:rPr>
      </w:pP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18"/>
          <w:szCs w:val="18"/>
          <w:color w:val="auto"/>
        </w:rPr>
        <w:t>Third Amendment to Employment Agreement, dated December 17, 2008, between the Company and Jack E. Golsen, which the Company hereby incorporates by reference from Exhibit 99.1 to the Company’s Form 8-K, dated December 23, 2008.</w:t>
      </w:r>
    </w:p>
    <w:p>
      <w:pPr>
        <w:spacing w:after="0" w:line="66" w:lineRule="exact"/>
        <w:rPr>
          <w:sz w:val="20"/>
          <w:szCs w:val="20"/>
          <w:color w:val="auto"/>
        </w:rPr>
      </w:pPr>
    </w:p>
    <w:p>
      <w:pPr>
        <w:ind w:left="820" w:hanging="809"/>
        <w:spacing w:after="0" w:line="296" w:lineRule="auto"/>
        <w:tabs>
          <w:tab w:leader="none" w:pos="800" w:val="left"/>
        </w:tabs>
        <w:rPr>
          <w:sz w:val="20"/>
          <w:szCs w:val="20"/>
          <w:color w:val="auto"/>
        </w:rPr>
      </w:pPr>
      <w:r>
        <w:rPr>
          <w:rFonts w:ascii="Times New Roman" w:cs="Times New Roman" w:eastAsia="Times New Roman" w:hAnsi="Times New Roman"/>
          <w:sz w:val="18"/>
          <w:szCs w:val="18"/>
          <w:color w:val="auto"/>
        </w:rPr>
        <w:t>10.13</w:t>
      </w:r>
      <w:r>
        <w:rPr>
          <w:sz w:val="20"/>
          <w:szCs w:val="20"/>
          <w:color w:val="auto"/>
        </w:rPr>
        <w:tab/>
      </w:r>
      <w:r>
        <w:rPr>
          <w:rFonts w:ascii="Times New Roman" w:cs="Times New Roman" w:eastAsia="Times New Roman" w:hAnsi="Times New Roman"/>
          <w:sz w:val="16"/>
          <w:szCs w:val="16"/>
          <w:color w:val="auto"/>
        </w:rPr>
        <w:t>Nitric Acid Supply Operating and Maintenance Agreement, dated October 23, 2008, between El Dorado Nitrogen, L.P., El Dorado Chemical Company and Bayer MaterialScience, LLC, which the Company hereby incorporates by reference from Exhibit 10.1 to the Company’s Form 10-Q for the fiscal quarter ended September 30, 2008. CERTAIN INFORMATION WITHIN THIS EXHIBIT HAS BEEN OMITTED AS IT IS THE SUBJECT OF A COMMISSION ORDER CF #22844, DATED NOVEMBER 24, 2008, GRANTING REQUEST BY THE COMPANY FOR CONFIDENTIAL TREATMENT BY THE SECURITIES AND EXCHANGE COMMISSION UNDER THE FREEDOM OF INFORMATION ACT.</w:t>
      </w:r>
    </w:p>
    <w:p>
      <w:pPr>
        <w:spacing w:after="0" w:line="54" w:lineRule="exact"/>
        <w:rPr>
          <w:sz w:val="20"/>
          <w:szCs w:val="20"/>
          <w:color w:val="auto"/>
        </w:rPr>
      </w:pPr>
    </w:p>
    <w:p>
      <w:pPr>
        <w:ind w:left="820" w:right="20" w:hanging="809"/>
        <w:spacing w:after="0" w:line="255" w:lineRule="auto"/>
        <w:tabs>
          <w:tab w:leader="none" w:pos="800" w:val="left"/>
        </w:tabs>
        <w:rPr>
          <w:sz w:val="20"/>
          <w:szCs w:val="20"/>
          <w:color w:val="auto"/>
        </w:rPr>
      </w:pPr>
      <w:r>
        <w:rPr>
          <w:rFonts w:ascii="Times New Roman" w:cs="Times New Roman" w:eastAsia="Times New Roman" w:hAnsi="Times New Roman"/>
          <w:sz w:val="18"/>
          <w:szCs w:val="18"/>
          <w:color w:val="auto"/>
        </w:rPr>
        <w:t>10.14</w:t>
      </w:r>
      <w:r>
        <w:rPr>
          <w:sz w:val="20"/>
          <w:szCs w:val="20"/>
          <w:color w:val="auto"/>
        </w:rPr>
        <w:tab/>
      </w:r>
      <w:r>
        <w:rPr>
          <w:rFonts w:ascii="Times New Roman" w:cs="Times New Roman" w:eastAsia="Times New Roman" w:hAnsi="Times New Roman"/>
          <w:sz w:val="18"/>
          <w:szCs w:val="18"/>
          <w:color w:val="auto"/>
        </w:rPr>
        <w:t>Second Amendment to the Nitric Acid Supply, Operating and Maintenance Agreement, dated June 16, 2010, between El Dorado Nitrogen, L.P., El Dorado Chemical Company and Bayer MaterialScience, LLC., which the Company hereby incorporates by reference from Exhibit 10.2 to the Company’s Form 10-Q for the fiscal quarter ended June 30, 2010. CERTAIN INFORMATION WITHIN THIS EXHIBIT HAS BEEN OMITTED AS IT IS THE SUBJECT OF A COMMISSION ORDER CF #25613, DATED SEPTEMBER 24, 2010, GRANTING REQUEST BY THE COMPANY FOR CONFIDENTIAL TREATMENT BY THE SECURITIES AND EXCHANGE COMMISSION UNDER THE FREEDOM OF INFORMATION ACT.</w:t>
      </w:r>
    </w:p>
    <w:p>
      <w:pPr>
        <w:spacing w:after="0" w:line="8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10.15</w:t>
      </w:r>
      <w:r>
        <w:rPr>
          <w:sz w:val="20"/>
          <w:szCs w:val="20"/>
          <w:color w:val="auto"/>
        </w:rPr>
        <w:tab/>
      </w:r>
      <w:r>
        <w:rPr>
          <w:rFonts w:ascii="Times New Roman" w:cs="Times New Roman" w:eastAsia="Times New Roman" w:hAnsi="Times New Roman"/>
          <w:sz w:val="16"/>
          <w:szCs w:val="16"/>
          <w:color w:val="auto"/>
        </w:rPr>
        <w:t>AN Supply Agreement, dated effective January 1, 2010, between El Dorado Chemical Company and Orica International Pte Ltd., which the Company</w:t>
      </w:r>
    </w:p>
    <w:p>
      <w:pPr>
        <w:spacing w:after="0" w:line="21" w:lineRule="exact"/>
        <w:rPr>
          <w:sz w:val="20"/>
          <w:szCs w:val="20"/>
          <w:color w:val="auto"/>
        </w:rPr>
      </w:pPr>
    </w:p>
    <w:p>
      <w:pPr>
        <w:ind w:left="820" w:right="160"/>
        <w:spacing w:after="0" w:line="254" w:lineRule="auto"/>
        <w:rPr>
          <w:sz w:val="20"/>
          <w:szCs w:val="20"/>
          <w:color w:val="auto"/>
        </w:rPr>
      </w:pPr>
      <w:r>
        <w:rPr>
          <w:rFonts w:ascii="Times New Roman" w:cs="Times New Roman" w:eastAsia="Times New Roman" w:hAnsi="Times New Roman"/>
          <w:sz w:val="18"/>
          <w:szCs w:val="18"/>
          <w:color w:val="auto"/>
        </w:rPr>
        <w:t>hereby incorporates by reference from Exhibit 10.27 to the Company’s Form 10-K for the fiscal year ended December 31, 2009. CERTAIN INFORMATION WITHIN THIS EXHIBIT HAS BEEN OMITTED AS IT IS THE SUBJECT OF A COMMISSION ORDER CF #24842, DATED MARCH 25, 2010, GRANTING REQUEST BY THE COMPANY FOR CONFIDENTIAL TREATMENT BY THE SECURITIES AND EXCHANGE COMMISSION UNDER THE FREEDOM OF INFORMATION ACT.</w:t>
      </w:r>
    </w:p>
    <w:p>
      <w:pPr>
        <w:spacing w:after="0" w:line="84" w:lineRule="exact"/>
        <w:rPr>
          <w:sz w:val="20"/>
          <w:szCs w:val="20"/>
          <w:color w:val="auto"/>
        </w:rPr>
      </w:pPr>
    </w:p>
    <w:p>
      <w:pPr>
        <w:jc w:val="right"/>
        <w:ind w:right="80"/>
        <w:spacing w:after="0" w:line="275" w:lineRule="auto"/>
        <w:rPr>
          <w:sz w:val="20"/>
          <w:szCs w:val="20"/>
          <w:color w:val="auto"/>
        </w:rPr>
      </w:pPr>
      <w:r>
        <w:rPr>
          <w:rFonts w:ascii="Times New Roman" w:cs="Times New Roman" w:eastAsia="Times New Roman" w:hAnsi="Times New Roman"/>
          <w:sz w:val="18"/>
          <w:szCs w:val="18"/>
          <w:color w:val="auto"/>
        </w:rPr>
        <w:t>10.16     First Amendment to AN Supply Agreement, dated effective March 1, 2010, between El Dorado Chemical Company and Orica International Pte Ltd., which the Company hereby incorporates by reference from Exhibit 10.28 to the Company’s Form 10-K for the fiscal year ended December 31, 2009.</w:t>
      </w:r>
    </w:p>
    <w:p>
      <w:pPr>
        <w:spacing w:after="0" w:line="66" w:lineRule="exact"/>
        <w:rPr>
          <w:sz w:val="20"/>
          <w:szCs w:val="20"/>
          <w:color w:val="auto"/>
        </w:rPr>
      </w:pPr>
    </w:p>
    <w:p>
      <w:pPr>
        <w:ind w:left="820" w:right="140" w:hanging="809"/>
        <w:spacing w:after="0" w:line="262" w:lineRule="auto"/>
        <w:tabs>
          <w:tab w:leader="none" w:pos="800" w:val="left"/>
        </w:tabs>
        <w:rPr>
          <w:sz w:val="20"/>
          <w:szCs w:val="20"/>
          <w:color w:val="auto"/>
        </w:rPr>
      </w:pPr>
      <w:r>
        <w:rPr>
          <w:rFonts w:ascii="Times New Roman" w:cs="Times New Roman" w:eastAsia="Times New Roman" w:hAnsi="Times New Roman"/>
          <w:sz w:val="18"/>
          <w:szCs w:val="18"/>
          <w:color w:val="auto"/>
        </w:rPr>
        <w:t>10.17</w:t>
      </w:r>
      <w:r>
        <w:rPr>
          <w:sz w:val="20"/>
          <w:szCs w:val="20"/>
          <w:color w:val="auto"/>
        </w:rPr>
        <w:tab/>
      </w:r>
      <w:r>
        <w:rPr>
          <w:rFonts w:ascii="Times New Roman" w:cs="Times New Roman" w:eastAsia="Times New Roman" w:hAnsi="Times New Roman"/>
          <w:sz w:val="18"/>
          <w:szCs w:val="18"/>
          <w:color w:val="auto"/>
        </w:rPr>
        <w:t>Agreement, effective August 1, 2010, between El Dorado Chemical Company and United Steelworkers of America International Union on behalf of Local 13-434., which the Company hereby incorporates by reference from Exhibit 10.1 to the Company’s Form 10-Q for the fiscal quarter ended September 30, 2010.</w:t>
      </w:r>
    </w:p>
    <w:p>
      <w:pPr>
        <w:spacing w:after="0" w:line="78" w:lineRule="exact"/>
        <w:rPr>
          <w:sz w:val="20"/>
          <w:szCs w:val="20"/>
          <w:color w:val="auto"/>
        </w:rPr>
      </w:pPr>
    </w:p>
    <w:p>
      <w:pPr>
        <w:jc w:val="both"/>
        <w:ind w:left="820" w:right="40" w:hanging="809"/>
        <w:spacing w:after="0" w:line="262" w:lineRule="auto"/>
        <w:tabs>
          <w:tab w:leader="none" w:pos="800" w:val="left"/>
        </w:tabs>
        <w:rPr>
          <w:sz w:val="20"/>
          <w:szCs w:val="20"/>
          <w:color w:val="auto"/>
        </w:rPr>
      </w:pPr>
      <w:r>
        <w:rPr>
          <w:rFonts w:ascii="Times New Roman" w:cs="Times New Roman" w:eastAsia="Times New Roman" w:hAnsi="Times New Roman"/>
          <w:sz w:val="18"/>
          <w:szCs w:val="18"/>
          <w:color w:val="auto"/>
        </w:rPr>
        <w:t>10.18</w:t>
      </w:r>
      <w:r>
        <w:rPr>
          <w:sz w:val="20"/>
          <w:szCs w:val="20"/>
          <w:color w:val="auto"/>
        </w:rPr>
        <w:tab/>
      </w:r>
      <w:r>
        <w:rPr>
          <w:rFonts w:ascii="Times New Roman" w:cs="Times New Roman" w:eastAsia="Times New Roman" w:hAnsi="Times New Roman"/>
          <w:sz w:val="18"/>
          <w:szCs w:val="18"/>
          <w:color w:val="auto"/>
        </w:rPr>
        <w:t>Agreement, effective October 17, 2010, between El Dorado Chemical Company and International Association of Machinists and Aerospace Workers, AFL-CIO Local No. 224., which the Company hereby incorporates by reference from Exhibit 10.2 to the Company’s Form 10-Q for the fiscal quarter ended September 30, 2010.</w:t>
      </w:r>
    </w:p>
    <w:p>
      <w:pPr>
        <w:spacing w:after="0" w:line="78" w:lineRule="exact"/>
        <w:rPr>
          <w:sz w:val="20"/>
          <w:szCs w:val="20"/>
          <w:color w:val="auto"/>
        </w:rPr>
      </w:pPr>
    </w:p>
    <w:p>
      <w:pPr>
        <w:ind w:left="820" w:right="460" w:hanging="809"/>
        <w:spacing w:after="0" w:line="262" w:lineRule="auto"/>
        <w:tabs>
          <w:tab w:leader="none" w:pos="800" w:val="left"/>
        </w:tabs>
        <w:rPr>
          <w:sz w:val="20"/>
          <w:szCs w:val="20"/>
          <w:color w:val="auto"/>
        </w:rPr>
      </w:pPr>
      <w:r>
        <w:rPr>
          <w:rFonts w:ascii="Times New Roman" w:cs="Times New Roman" w:eastAsia="Times New Roman" w:hAnsi="Times New Roman"/>
          <w:sz w:val="18"/>
          <w:szCs w:val="18"/>
          <w:color w:val="auto"/>
        </w:rPr>
        <w:t>10.19</w:t>
      </w:r>
      <w:r>
        <w:rPr>
          <w:sz w:val="20"/>
          <w:szCs w:val="20"/>
          <w:color w:val="auto"/>
        </w:rPr>
        <w:tab/>
      </w:r>
      <w:r>
        <w:rPr>
          <w:rFonts w:ascii="Times New Roman" w:cs="Times New Roman" w:eastAsia="Times New Roman" w:hAnsi="Times New Roman"/>
          <w:sz w:val="18"/>
          <w:szCs w:val="18"/>
          <w:color w:val="auto"/>
        </w:rPr>
        <w:t>Agreement, dated November 12, 2010, between United Steel, Paper and Forestry, Rubber, Manufacturing, Energy, Allied Industrial and Service Workers International Union, AFL-CIO, CLC, on behalf of Local No. 00417 and Cherokee Nitrogen Company, which the Company hereby incorporates by reference from Exhibit 25 to the Company’s Form 10-K for the fiscal year ended December 31, 2010.</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380"/>
          </w:cols>
          <w:pgMar w:left="240" w:top="455" w:right="27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ind w:left="820" w:hanging="809"/>
        <w:spacing w:after="0" w:line="258" w:lineRule="auto"/>
        <w:tabs>
          <w:tab w:leader="none" w:pos="800" w:val="left"/>
        </w:tabs>
        <w:rPr>
          <w:sz w:val="20"/>
          <w:szCs w:val="20"/>
          <w:color w:val="auto"/>
        </w:rPr>
      </w:pPr>
      <w:r>
        <w:rPr>
          <w:rFonts w:ascii="Times New Roman" w:cs="Times New Roman" w:eastAsia="Times New Roman" w:hAnsi="Times New Roman"/>
          <w:sz w:val="18"/>
          <w:szCs w:val="18"/>
          <w:color w:val="auto"/>
        </w:rPr>
        <w:t>10.20</w:t>
      </w:r>
      <w:r>
        <w:rPr>
          <w:sz w:val="20"/>
          <w:szCs w:val="20"/>
          <w:color w:val="auto"/>
        </w:rPr>
        <w:tab/>
      </w:r>
      <w:r>
        <w:rPr>
          <w:rFonts w:ascii="Times New Roman" w:cs="Times New Roman" w:eastAsia="Times New Roman" w:hAnsi="Times New Roman"/>
          <w:sz w:val="18"/>
          <w:szCs w:val="18"/>
          <w:color w:val="auto"/>
        </w:rPr>
        <w:t>Asset Purchase Agreement, dated as of December 6, 2002 by and among Energetic Systems Inc. LLC, UTeC Corporation, LLC, SEC Investment Corp. LLC, DetaCorp Inc. LLC, Energetic Properties, LLC, Slurry Explosive Corporation, Universal Tech Corporation, El Dorado Chemical Company, LSB Chemical Corp., LSB Industries, Inc. and Slurry Explosive Manufacturing Corporation, LLC, which the Company hereby incorporates by reference from Exhibit 2.1 to the Company’s Form 8-K, dated December 12, 2002. See SEC file number 001-0767.</w:t>
      </w:r>
    </w:p>
    <w:p>
      <w:pPr>
        <w:spacing w:after="0" w:line="82" w:lineRule="exact"/>
        <w:rPr>
          <w:sz w:val="20"/>
          <w:szCs w:val="20"/>
          <w:color w:val="auto"/>
        </w:rPr>
      </w:pPr>
    </w:p>
    <w:p>
      <w:pPr>
        <w:ind w:left="820" w:right="260" w:hanging="809"/>
        <w:spacing w:after="0" w:line="301" w:lineRule="auto"/>
        <w:tabs>
          <w:tab w:leader="none" w:pos="800" w:val="left"/>
        </w:tabs>
        <w:rPr>
          <w:sz w:val="20"/>
          <w:szCs w:val="20"/>
          <w:color w:val="auto"/>
        </w:rPr>
      </w:pPr>
      <w:r>
        <w:rPr>
          <w:rFonts w:ascii="Times New Roman" w:cs="Times New Roman" w:eastAsia="Times New Roman" w:hAnsi="Times New Roman"/>
          <w:sz w:val="18"/>
          <w:szCs w:val="18"/>
          <w:color w:val="auto"/>
        </w:rPr>
        <w:t>10.21</w:t>
      </w:r>
      <w:r>
        <w:rPr>
          <w:sz w:val="20"/>
          <w:szCs w:val="20"/>
          <w:color w:val="auto"/>
        </w:rPr>
        <w:tab/>
      </w:r>
      <w:r>
        <w:rPr>
          <w:rFonts w:ascii="Times New Roman" w:cs="Times New Roman" w:eastAsia="Times New Roman" w:hAnsi="Times New Roman"/>
          <w:sz w:val="16"/>
          <w:szCs w:val="16"/>
          <w:color w:val="auto"/>
        </w:rPr>
        <w:t>Exhibits and Disclosure Letters to the Asset Purchase Agreement, dated as of December 6, 2002 by and among Energetic Systems Inc. LLC, UTeC Corporation, LLC, SEC Investment Corp. LLC, DetaCorp Inc. LLC, Energetic Properties, LLC, Slurry Explosive Corporation, Universal Tech Corporation, El Dorado Chemical Company, LSB Chemical Corp., LSB Industries, Inc. and Slurry Explosive Manufacturing Corporation, LLC., which the Company hereby incorporates by reference from Exhibit 10.1b to the Company’s Form 10-Q for the fiscal quarter ended June 30, 2010.</w:t>
      </w:r>
    </w:p>
    <w:p>
      <w:pPr>
        <w:spacing w:after="0" w:line="49" w:lineRule="exact"/>
        <w:rPr>
          <w:sz w:val="20"/>
          <w:szCs w:val="20"/>
          <w:color w:val="auto"/>
        </w:rPr>
      </w:pPr>
    </w:p>
    <w:p>
      <w:pPr>
        <w:ind w:left="820" w:right="20" w:hanging="809"/>
        <w:spacing w:after="0" w:line="289" w:lineRule="auto"/>
        <w:tabs>
          <w:tab w:leader="none" w:pos="800" w:val="left"/>
        </w:tabs>
        <w:rPr>
          <w:sz w:val="20"/>
          <w:szCs w:val="20"/>
          <w:color w:val="auto"/>
        </w:rPr>
      </w:pPr>
      <w:r>
        <w:rPr>
          <w:rFonts w:ascii="Times New Roman" w:cs="Times New Roman" w:eastAsia="Times New Roman" w:hAnsi="Times New Roman"/>
          <w:sz w:val="18"/>
          <w:szCs w:val="18"/>
          <w:color w:val="auto"/>
        </w:rPr>
        <w:t>10.22</w:t>
      </w:r>
      <w:r>
        <w:rPr>
          <w:sz w:val="20"/>
          <w:szCs w:val="20"/>
          <w:color w:val="auto"/>
        </w:rPr>
        <w:tab/>
      </w:r>
      <w:r>
        <w:rPr>
          <w:rFonts w:ascii="Times New Roman" w:cs="Times New Roman" w:eastAsia="Times New Roman" w:hAnsi="Times New Roman"/>
          <w:sz w:val="16"/>
          <w:szCs w:val="16"/>
          <w:color w:val="auto"/>
        </w:rPr>
        <w:t>Anhydrous Ammonia Sales Agreement, dated effective January 1, 2009 between Koch Nitrogen International Sàrl and El Dorado Chemical Company, which the Company hereby incorporates by reference from Exhibit 10.49 to the Company’s Form 10-K for the fiscal year ended December 31, 2008.</w:t>
      </w:r>
    </w:p>
    <w:p>
      <w:pPr>
        <w:spacing w:after="0" w:line="1" w:lineRule="exact"/>
        <w:rPr>
          <w:sz w:val="20"/>
          <w:szCs w:val="20"/>
          <w:color w:val="auto"/>
        </w:rPr>
      </w:pPr>
    </w:p>
    <w:p>
      <w:pPr>
        <w:ind w:left="820" w:right="40"/>
        <w:spacing w:after="0" w:line="255" w:lineRule="auto"/>
        <w:rPr>
          <w:sz w:val="20"/>
          <w:szCs w:val="20"/>
          <w:color w:val="auto"/>
        </w:rPr>
      </w:pPr>
      <w:r>
        <w:rPr>
          <w:rFonts w:ascii="Times New Roman" w:cs="Times New Roman" w:eastAsia="Times New Roman" w:hAnsi="Times New Roman"/>
          <w:sz w:val="18"/>
          <w:szCs w:val="18"/>
          <w:color w:val="auto"/>
        </w:rPr>
        <w:t>CERTAIN INFORMATION WITHIN THIS EXHIBIT HAS BEEN OMITTED AS IT IS THE SUBJECT OF A COMMISSION ORDER CF #25535, DATED SEPTEMBER 27, 2010, GRANTING REQUEST BY THE COMPANY FOR CONFIDENTIAL TREATMENT BY THE SECURITIES AND EXCHANGE COMMISSION UNDER THE FREEDOM OF INFORMATION ACT.</w:t>
      </w:r>
    </w:p>
    <w:p>
      <w:pPr>
        <w:spacing w:after="0" w:line="84" w:lineRule="exact"/>
        <w:rPr>
          <w:sz w:val="20"/>
          <w:szCs w:val="20"/>
          <w:color w:val="auto"/>
        </w:rPr>
      </w:pPr>
    </w:p>
    <w:p>
      <w:pPr>
        <w:ind w:left="820" w:right="100" w:hanging="809"/>
        <w:spacing w:after="0" w:line="256" w:lineRule="auto"/>
        <w:tabs>
          <w:tab w:leader="none" w:pos="800" w:val="left"/>
        </w:tabs>
        <w:rPr>
          <w:sz w:val="20"/>
          <w:szCs w:val="20"/>
          <w:color w:val="auto"/>
        </w:rPr>
      </w:pPr>
      <w:r>
        <w:rPr>
          <w:rFonts w:ascii="Times New Roman" w:cs="Times New Roman" w:eastAsia="Times New Roman" w:hAnsi="Times New Roman"/>
          <w:sz w:val="18"/>
          <w:szCs w:val="18"/>
          <w:color w:val="auto"/>
        </w:rPr>
        <w:t>10.23</w:t>
      </w:r>
      <w:r>
        <w:rPr>
          <w:sz w:val="20"/>
          <w:szCs w:val="20"/>
          <w:color w:val="auto"/>
        </w:rPr>
        <w:tab/>
      </w:r>
      <w:r>
        <w:rPr>
          <w:rFonts w:ascii="Times New Roman" w:cs="Times New Roman" w:eastAsia="Times New Roman" w:hAnsi="Times New Roman"/>
          <w:sz w:val="18"/>
          <w:szCs w:val="18"/>
          <w:color w:val="auto"/>
        </w:rPr>
        <w:t>Second Amendment to Anhydrous Ammonia Sales Agreement, dated February 23, 2010, between Koch Nitrogen International Sàrl and El Dorado Chemical Company, which the Company hereby incorporates by reference from Exhibit 10.35 to the Company’s Form 10-K for the fiscal year ended December 31, 2009. CERTAIN INFORMATION WITHIN THIS EXHIBIT HAS BEEN OMITTED AS IT IS THE SUBJECT OF A COMMISSION ORDER CF #24842, DATED MARCH 25, 2010, GRANTING REQUEST BY THE COMPANY FOR CONFIDENTIAL TREATMENT BY THE SECURITIES AND EXCHANGE COMMISSION UNDER THE FREEDOM OF INFORMATION ACT.</w:t>
      </w:r>
    </w:p>
    <w:p>
      <w:pPr>
        <w:spacing w:after="0" w:line="85" w:lineRule="exact"/>
        <w:rPr>
          <w:sz w:val="20"/>
          <w:szCs w:val="20"/>
          <w:color w:val="auto"/>
        </w:rPr>
      </w:pPr>
    </w:p>
    <w:p>
      <w:pPr>
        <w:ind w:left="820" w:right="200" w:hanging="809"/>
        <w:spacing w:after="0" w:line="289" w:lineRule="auto"/>
        <w:tabs>
          <w:tab w:leader="none" w:pos="800" w:val="left"/>
        </w:tabs>
        <w:rPr>
          <w:sz w:val="20"/>
          <w:szCs w:val="20"/>
          <w:color w:val="auto"/>
        </w:rPr>
      </w:pPr>
      <w:r>
        <w:rPr>
          <w:rFonts w:ascii="Times New Roman" w:cs="Times New Roman" w:eastAsia="Times New Roman" w:hAnsi="Times New Roman"/>
          <w:sz w:val="18"/>
          <w:szCs w:val="18"/>
          <w:color w:val="auto"/>
        </w:rPr>
        <w:t>10.24</w:t>
      </w:r>
      <w:r>
        <w:rPr>
          <w:sz w:val="20"/>
          <w:szCs w:val="20"/>
          <w:color w:val="auto"/>
        </w:rPr>
        <w:tab/>
      </w:r>
      <w:r>
        <w:rPr>
          <w:rFonts w:ascii="Times New Roman" w:cs="Times New Roman" w:eastAsia="Times New Roman" w:hAnsi="Times New Roman"/>
          <w:sz w:val="16"/>
          <w:szCs w:val="16"/>
          <w:color w:val="auto"/>
        </w:rPr>
        <w:t>Fifth Amendment to the Anhydrous Ammonia Sales Agreement, dated August 22, 2012, between KOCH Nitrogen International Sàrl and El Dorado Chemical Company, which the Company hereby incorporates by reference from Exhibit 99.1 to the Company’s Form 8-K, filed August 28, 2012.</w:t>
      </w:r>
    </w:p>
    <w:p>
      <w:pPr>
        <w:spacing w:after="0" w:line="1" w:lineRule="exact"/>
        <w:rPr>
          <w:sz w:val="20"/>
          <w:szCs w:val="20"/>
          <w:color w:val="auto"/>
        </w:rPr>
      </w:pPr>
    </w:p>
    <w:p>
      <w:pPr>
        <w:ind w:left="820" w:right="60"/>
        <w:spacing w:after="0" w:line="302" w:lineRule="auto"/>
        <w:rPr>
          <w:sz w:val="20"/>
          <w:szCs w:val="20"/>
          <w:color w:val="auto"/>
        </w:rPr>
      </w:pPr>
      <w:r>
        <w:rPr>
          <w:rFonts w:ascii="Times New Roman" w:cs="Times New Roman" w:eastAsia="Times New Roman" w:hAnsi="Times New Roman"/>
          <w:sz w:val="16"/>
          <w:szCs w:val="16"/>
          <w:color w:val="auto"/>
        </w:rPr>
        <w:t>CERTAIN INFORMATION WITHIN THIS EXHIBIT HAS BEEN OMITTED AS IT IS THE SUBJECT OF A COMMISSION ORDERS CF#28826, CF#28827, AND CF#28828, EACH DATED SEPTEMBER 14, 2012, GRANTING REQUEST BY THE COMPANY FOR CONFIDENTIAL TREATMENT BY THE SECURITIES AND EXCHANGE COMMISSION UNDER THE FREEDOM OF INFORMATION ACT.</w:t>
      </w:r>
    </w:p>
    <w:p>
      <w:pPr>
        <w:spacing w:after="0" w:line="49" w:lineRule="exact"/>
        <w:rPr>
          <w:sz w:val="20"/>
          <w:szCs w:val="20"/>
          <w:color w:val="auto"/>
        </w:rPr>
      </w:pPr>
    </w:p>
    <w:p>
      <w:pPr>
        <w:ind w:left="820" w:hanging="809"/>
        <w:spacing w:after="0" w:line="256" w:lineRule="auto"/>
        <w:tabs>
          <w:tab w:leader="none" w:pos="800" w:val="left"/>
        </w:tabs>
        <w:rPr>
          <w:sz w:val="20"/>
          <w:szCs w:val="20"/>
          <w:color w:val="auto"/>
        </w:rPr>
      </w:pPr>
      <w:r>
        <w:rPr>
          <w:rFonts w:ascii="Times New Roman" w:cs="Times New Roman" w:eastAsia="Times New Roman" w:hAnsi="Times New Roman"/>
          <w:sz w:val="18"/>
          <w:szCs w:val="18"/>
          <w:color w:val="auto"/>
        </w:rPr>
        <w:t>10.25</w:t>
      </w:r>
      <w:r>
        <w:rPr>
          <w:sz w:val="20"/>
          <w:szCs w:val="20"/>
          <w:color w:val="auto"/>
        </w:rPr>
        <w:tab/>
      </w:r>
      <w:r>
        <w:rPr>
          <w:rFonts w:ascii="Times New Roman" w:cs="Times New Roman" w:eastAsia="Times New Roman" w:hAnsi="Times New Roman"/>
          <w:sz w:val="18"/>
          <w:szCs w:val="18"/>
          <w:color w:val="auto"/>
        </w:rPr>
        <w:t>Urea Ammonium Nitrate Purchase and Sale Agreement, dated May 7, 2009, between Pryor Chemical Company and Koch Nitrogen Company, LLC., which the Company hereby incorporates by reference from Exhibit 99.1 to the Company’s Form 8-K, filed May 13, 2009. CERTAIN INFORMATION WITHIN THIS EXHIBIT HAS BEEN OMITTED AS IT IS THE SUBJECT OF A COMMISSION ORDER CF #23659, DATED JUNE 9, 2009, GRANTING REQUEST BY THE COMPANY FOR CONFIDENTIAL TREATMENT BY THE SECURITIES AND EXCHANGE COMMISSION UNDER THE FREEDOM OF INFORMATION ACT.</w:t>
      </w:r>
    </w:p>
    <w:p>
      <w:pPr>
        <w:spacing w:after="0" w:line="85" w:lineRule="exact"/>
        <w:rPr>
          <w:sz w:val="20"/>
          <w:szCs w:val="20"/>
          <w:color w:val="auto"/>
        </w:rPr>
      </w:pPr>
    </w:p>
    <w:p>
      <w:pPr>
        <w:ind w:left="820" w:right="160" w:hanging="809"/>
        <w:spacing w:after="0" w:line="289" w:lineRule="auto"/>
        <w:tabs>
          <w:tab w:leader="none" w:pos="800" w:val="left"/>
        </w:tabs>
        <w:rPr>
          <w:sz w:val="20"/>
          <w:szCs w:val="20"/>
          <w:color w:val="auto"/>
        </w:rPr>
      </w:pPr>
      <w:r>
        <w:rPr>
          <w:rFonts w:ascii="Times New Roman" w:cs="Times New Roman" w:eastAsia="Times New Roman" w:hAnsi="Times New Roman"/>
          <w:sz w:val="18"/>
          <w:szCs w:val="18"/>
          <w:color w:val="auto"/>
        </w:rPr>
        <w:t>10.26</w:t>
      </w:r>
      <w:r>
        <w:rPr>
          <w:sz w:val="20"/>
          <w:szCs w:val="20"/>
          <w:color w:val="auto"/>
        </w:rPr>
        <w:tab/>
      </w:r>
      <w:r>
        <w:rPr>
          <w:rFonts w:ascii="Times New Roman" w:cs="Times New Roman" w:eastAsia="Times New Roman" w:hAnsi="Times New Roman"/>
          <w:sz w:val="16"/>
          <w:szCs w:val="16"/>
          <w:color w:val="auto"/>
        </w:rPr>
        <w:t>Amendment No. 1 to Urea Ammonium Nitrate Purchase and Sale Agreement, dated October 29, 2009, between Pryor Chemical Company and Koch Nitrogen Company, LLC, which the Company hereby incorporates by reference from Exhibit 99.1 to the Company’s Form 8-K, filed November 4,</w:t>
      </w:r>
    </w:p>
    <w:p>
      <w:pPr>
        <w:spacing w:after="0" w:line="1" w:lineRule="exact"/>
        <w:rPr>
          <w:sz w:val="20"/>
          <w:szCs w:val="20"/>
          <w:color w:val="auto"/>
        </w:rPr>
      </w:pPr>
    </w:p>
    <w:p>
      <w:pPr>
        <w:ind w:left="820" w:right="220"/>
        <w:spacing w:after="0" w:line="255" w:lineRule="auto"/>
        <w:rPr>
          <w:sz w:val="20"/>
          <w:szCs w:val="20"/>
          <w:color w:val="auto"/>
        </w:rPr>
      </w:pPr>
      <w:r>
        <w:rPr>
          <w:rFonts w:ascii="Times New Roman" w:cs="Times New Roman" w:eastAsia="Times New Roman" w:hAnsi="Times New Roman"/>
          <w:sz w:val="18"/>
          <w:szCs w:val="18"/>
          <w:color w:val="auto"/>
        </w:rPr>
        <w:t>2009. CERTAIN INFORMATION WITHIN THIS EXHIBIT HAS BEEN OMITTED AS IT IS THE SUBJECT OF A COMMISSION ORDER CF #24284, DATED NOVEMBER 19, 2009, GRANTING REQUEST BY THE COMPANY FOR CONFIDENTIAL TREATMENT BY THE SECURITIES AND EXCHANGE COMMISSION UNDER THE FREEDOM OF INFORMATION ACT.</w:t>
      </w:r>
    </w:p>
    <w:p>
      <w:pPr>
        <w:spacing w:after="0" w:line="84" w:lineRule="exact"/>
        <w:rPr>
          <w:sz w:val="20"/>
          <w:szCs w:val="20"/>
          <w:color w:val="auto"/>
        </w:rPr>
      </w:pPr>
    </w:p>
    <w:p>
      <w:pPr>
        <w:ind w:left="820" w:right="320" w:hanging="809"/>
        <w:spacing w:after="0" w:line="275" w:lineRule="auto"/>
        <w:tabs>
          <w:tab w:leader="none" w:pos="800" w:val="left"/>
        </w:tabs>
        <w:rPr>
          <w:sz w:val="20"/>
          <w:szCs w:val="20"/>
          <w:color w:val="auto"/>
        </w:rPr>
      </w:pPr>
      <w:r>
        <w:rPr>
          <w:rFonts w:ascii="Times New Roman" w:cs="Times New Roman" w:eastAsia="Times New Roman" w:hAnsi="Times New Roman"/>
          <w:sz w:val="18"/>
          <w:szCs w:val="18"/>
          <w:color w:val="auto"/>
        </w:rPr>
        <w:t>10.27</w:t>
      </w:r>
      <w:r>
        <w:rPr>
          <w:sz w:val="20"/>
          <w:szCs w:val="20"/>
          <w:color w:val="auto"/>
        </w:rPr>
        <w:tab/>
      </w:r>
      <w:r>
        <w:rPr>
          <w:rFonts w:ascii="Times New Roman" w:cs="Times New Roman" w:eastAsia="Times New Roman" w:hAnsi="Times New Roman"/>
          <w:sz w:val="18"/>
          <w:szCs w:val="18"/>
          <w:color w:val="auto"/>
        </w:rPr>
        <w:t>Railcar Management Agreement, dated May 7, 2009, between Pryor Chemical Company and Koch Nitrogen Company, LLC, which the Company hereby incorporates by reference from Exhibit 99.2 to the Company’s Form 8-K, filed May 13, 2009.</w:t>
      </w:r>
    </w:p>
    <w:p>
      <w:pPr>
        <w:spacing w:after="0" w:line="66" w:lineRule="exact"/>
        <w:rPr>
          <w:sz w:val="20"/>
          <w:szCs w:val="20"/>
          <w:color w:val="auto"/>
        </w:rPr>
      </w:pPr>
    </w:p>
    <w:p>
      <w:pPr>
        <w:jc w:val="both"/>
        <w:ind w:left="820" w:right="100" w:hanging="809"/>
        <w:spacing w:after="0" w:line="262" w:lineRule="auto"/>
        <w:tabs>
          <w:tab w:leader="none" w:pos="800" w:val="left"/>
        </w:tabs>
        <w:rPr>
          <w:sz w:val="20"/>
          <w:szCs w:val="20"/>
          <w:color w:val="auto"/>
        </w:rPr>
      </w:pPr>
      <w:r>
        <w:rPr>
          <w:rFonts w:ascii="Times New Roman" w:cs="Times New Roman" w:eastAsia="Times New Roman" w:hAnsi="Times New Roman"/>
          <w:sz w:val="18"/>
          <w:szCs w:val="18"/>
          <w:color w:val="auto"/>
        </w:rPr>
        <w:t>10.28</w:t>
      </w:r>
      <w:r>
        <w:rPr>
          <w:sz w:val="20"/>
          <w:szCs w:val="20"/>
          <w:color w:val="auto"/>
        </w:rPr>
        <w:tab/>
      </w:r>
      <w:r>
        <w:rPr>
          <w:rFonts w:ascii="Times New Roman" w:cs="Times New Roman" w:eastAsia="Times New Roman" w:hAnsi="Times New Roman"/>
          <w:sz w:val="18"/>
          <w:szCs w:val="18"/>
          <w:color w:val="auto"/>
        </w:rPr>
        <w:t>Real Estate Purchase Contract, dated as of May 26, 2011, by and between DPMG, Inc., Prime Financial L.L.C., Landmark Land Company, Gerald G. Barton and Jack E. Golsen, which the Company hereby incorporates by reference from Exhibit 10.1 to the Company’s Form 10-Q, filed November 7, 2011.</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20"/>
          </w:cols>
          <w:pgMar w:left="240" w:top="455" w:right="2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10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Real Estate Purchase Contract, dated as of September 8, 2011, by and between South Padre Island Development, LLC, Prime Financial L.L.C.,</w:t>
            </w:r>
          </w:p>
        </w:tc>
      </w:tr>
      <w:tr>
        <w:trPr>
          <w:trHeight w:val="216"/>
        </w:trPr>
        <w:tc>
          <w:tcPr>
            <w:tcW w:w="820" w:type="dxa"/>
            <w:vAlign w:val="bottom"/>
          </w:tcPr>
          <w:p>
            <w:pPr>
              <w:spacing w:after="0"/>
              <w:rPr>
                <w:sz w:val="18"/>
                <w:szCs w:val="18"/>
                <w:color w:val="auto"/>
              </w:rPr>
            </w:pPr>
          </w:p>
        </w:tc>
        <w:tc>
          <w:tcPr>
            <w:tcW w:w="10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Landmark Land Company, Gerald G. Barton and Jack E. Golsen, which the Company hereby incorporates by reference from Exhibit 10.2 to the</w:t>
            </w:r>
          </w:p>
        </w:tc>
      </w:tr>
      <w:tr>
        <w:trPr>
          <w:trHeight w:val="228"/>
        </w:trPr>
        <w:tc>
          <w:tcPr>
            <w:tcW w:w="820" w:type="dxa"/>
            <w:vAlign w:val="bottom"/>
          </w:tcPr>
          <w:p>
            <w:pPr>
              <w:spacing w:after="0"/>
              <w:rPr>
                <w:sz w:val="19"/>
                <w:szCs w:val="19"/>
                <w:color w:val="auto"/>
              </w:rPr>
            </w:pPr>
          </w:p>
        </w:tc>
        <w:tc>
          <w:tcPr>
            <w:tcW w:w="10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Company’s Form 10-Q, filed November 7, 2011.</w:t>
            </w:r>
          </w:p>
        </w:tc>
      </w:tr>
      <w:tr>
        <w:trPr>
          <w:trHeight w:val="3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10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First Amendment to Real Estate Purchase Contract, effective October 20, 2011, by and among South Padre Island Development, LLC, Prime</w:t>
            </w:r>
          </w:p>
        </w:tc>
      </w:tr>
      <w:tr>
        <w:trPr>
          <w:trHeight w:val="216"/>
        </w:trPr>
        <w:tc>
          <w:tcPr>
            <w:tcW w:w="820" w:type="dxa"/>
            <w:vAlign w:val="bottom"/>
          </w:tcPr>
          <w:p>
            <w:pPr>
              <w:spacing w:after="0"/>
              <w:rPr>
                <w:sz w:val="18"/>
                <w:szCs w:val="18"/>
                <w:color w:val="auto"/>
              </w:rPr>
            </w:pPr>
          </w:p>
        </w:tc>
        <w:tc>
          <w:tcPr>
            <w:tcW w:w="10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Financial L.L.C., Landmark Land Company, Gerald G. Barton and Jack E. Golsen, which the Company hereby incorporates by reference from</w:t>
            </w:r>
          </w:p>
        </w:tc>
      </w:tr>
      <w:tr>
        <w:trPr>
          <w:trHeight w:val="228"/>
        </w:trPr>
        <w:tc>
          <w:tcPr>
            <w:tcW w:w="820" w:type="dxa"/>
            <w:vAlign w:val="bottom"/>
          </w:tcPr>
          <w:p>
            <w:pPr>
              <w:spacing w:after="0"/>
              <w:rPr>
                <w:sz w:val="19"/>
                <w:szCs w:val="19"/>
                <w:color w:val="auto"/>
              </w:rPr>
            </w:pPr>
          </w:p>
        </w:tc>
        <w:tc>
          <w:tcPr>
            <w:tcW w:w="10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Exhibit 10.3 to the Company’s Form 10-Q, filed November 7, 2011.</w:t>
            </w:r>
          </w:p>
        </w:tc>
      </w:tr>
      <w:tr>
        <w:trPr>
          <w:trHeight w:val="3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10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Second Amendment to Real Estate Purchase Contract, effective December 16, 2011, by and among South Padre Island Development, LLC, Prime</w:t>
            </w:r>
          </w:p>
        </w:tc>
      </w:tr>
      <w:tr>
        <w:trPr>
          <w:trHeight w:val="216"/>
        </w:trPr>
        <w:tc>
          <w:tcPr>
            <w:tcW w:w="820" w:type="dxa"/>
            <w:vAlign w:val="bottom"/>
          </w:tcPr>
          <w:p>
            <w:pPr>
              <w:spacing w:after="0"/>
              <w:rPr>
                <w:sz w:val="18"/>
                <w:szCs w:val="18"/>
                <w:color w:val="auto"/>
              </w:rPr>
            </w:pPr>
          </w:p>
        </w:tc>
        <w:tc>
          <w:tcPr>
            <w:tcW w:w="10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Financial L.L.C., Landmark Land Company, Gerald G. Barton and Jack E. Golsen, which the Company hereby incorporates by reference from</w:t>
            </w:r>
          </w:p>
        </w:tc>
      </w:tr>
      <w:tr>
        <w:trPr>
          <w:trHeight w:val="228"/>
        </w:trPr>
        <w:tc>
          <w:tcPr>
            <w:tcW w:w="820" w:type="dxa"/>
            <w:vAlign w:val="bottom"/>
          </w:tcPr>
          <w:p>
            <w:pPr>
              <w:spacing w:after="0"/>
              <w:rPr>
                <w:sz w:val="19"/>
                <w:szCs w:val="19"/>
                <w:color w:val="auto"/>
              </w:rPr>
            </w:pPr>
          </w:p>
        </w:tc>
        <w:tc>
          <w:tcPr>
            <w:tcW w:w="10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Exhibit 99.1 to the Company’s Form 8-K, filed December 22, 2011.</w:t>
            </w:r>
          </w:p>
        </w:tc>
      </w:tr>
      <w:tr>
        <w:trPr>
          <w:trHeight w:val="3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10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Common Stock Purchase Warrant granted by Landmark Land Company to Prime Financial, L.L.C., dated February 7, 2012, which the Company</w:t>
            </w:r>
          </w:p>
        </w:tc>
      </w:tr>
      <w:tr>
        <w:trPr>
          <w:trHeight w:val="228"/>
        </w:trPr>
        <w:tc>
          <w:tcPr>
            <w:tcW w:w="820" w:type="dxa"/>
            <w:vAlign w:val="bottom"/>
          </w:tcPr>
          <w:p>
            <w:pPr>
              <w:spacing w:after="0"/>
              <w:rPr>
                <w:sz w:val="19"/>
                <w:szCs w:val="19"/>
                <w:color w:val="auto"/>
              </w:rPr>
            </w:pPr>
          </w:p>
        </w:tc>
        <w:tc>
          <w:tcPr>
            <w:tcW w:w="10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hereby incorporates by reference from Exhibit 99.4 to the Company’s Form 8-K, filed February 16, 2012.</w:t>
            </w:r>
          </w:p>
        </w:tc>
      </w:tr>
      <w:tr>
        <w:trPr>
          <w:trHeight w:val="3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10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Geothermal Use Contract, between South Padre Island Development, LLC and Prime Financial, L.L.C., dated February 7, 2012, which the</w:t>
            </w:r>
          </w:p>
        </w:tc>
      </w:tr>
      <w:tr>
        <w:trPr>
          <w:trHeight w:val="228"/>
        </w:trPr>
        <w:tc>
          <w:tcPr>
            <w:tcW w:w="820" w:type="dxa"/>
            <w:vAlign w:val="bottom"/>
          </w:tcPr>
          <w:p>
            <w:pPr>
              <w:spacing w:after="0"/>
              <w:rPr>
                <w:sz w:val="19"/>
                <w:szCs w:val="19"/>
                <w:color w:val="auto"/>
              </w:rPr>
            </w:pPr>
          </w:p>
        </w:tc>
        <w:tc>
          <w:tcPr>
            <w:tcW w:w="10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Company hereby incorporates by reference from Exhibit 99.5 to the Company’s Form 8-K, filed February 16, 2012.</w:t>
            </w:r>
          </w:p>
        </w:tc>
      </w:tr>
      <w:tr>
        <w:trPr>
          <w:trHeight w:val="3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10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 and Sale Agreement, dated October 31, 2012, between Clearwater Enterprises, L.L.C. and Zena Energy, L.L.C., which the Company</w:t>
            </w:r>
          </w:p>
        </w:tc>
      </w:tr>
      <w:tr>
        <w:trPr>
          <w:trHeight w:val="216"/>
        </w:trPr>
        <w:tc>
          <w:tcPr>
            <w:tcW w:w="820" w:type="dxa"/>
            <w:vAlign w:val="bottom"/>
          </w:tcPr>
          <w:p>
            <w:pPr>
              <w:spacing w:after="0"/>
              <w:rPr>
                <w:sz w:val="18"/>
                <w:szCs w:val="18"/>
                <w:color w:val="auto"/>
              </w:rPr>
            </w:pPr>
          </w:p>
        </w:tc>
        <w:tc>
          <w:tcPr>
            <w:tcW w:w="10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hereby incorporates by reference from Exhibit 99.1 to the Company’s Form 8-K, filed November 2, 2012. Exhibits to the Purchase and Sale</w:t>
            </w:r>
          </w:p>
        </w:tc>
      </w:tr>
      <w:tr>
        <w:trPr>
          <w:trHeight w:val="216"/>
        </w:trPr>
        <w:tc>
          <w:tcPr>
            <w:tcW w:w="820" w:type="dxa"/>
            <w:vAlign w:val="bottom"/>
          </w:tcPr>
          <w:p>
            <w:pPr>
              <w:spacing w:after="0"/>
              <w:rPr>
                <w:sz w:val="18"/>
                <w:szCs w:val="18"/>
                <w:color w:val="auto"/>
              </w:rPr>
            </w:pPr>
          </w:p>
        </w:tc>
        <w:tc>
          <w:tcPr>
            <w:tcW w:w="10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Agreement have been omitted pursuant to Item 601(b)(2) of Regulation S-K and will be provided supplementally to the Securities and Exchange</w:t>
            </w:r>
          </w:p>
        </w:tc>
      </w:tr>
      <w:tr>
        <w:trPr>
          <w:trHeight w:val="228"/>
        </w:trPr>
        <w:tc>
          <w:tcPr>
            <w:tcW w:w="820" w:type="dxa"/>
            <w:vAlign w:val="bottom"/>
          </w:tcPr>
          <w:p>
            <w:pPr>
              <w:spacing w:after="0"/>
              <w:rPr>
                <w:sz w:val="19"/>
                <w:szCs w:val="19"/>
                <w:color w:val="auto"/>
              </w:rPr>
            </w:pPr>
          </w:p>
        </w:tc>
        <w:tc>
          <w:tcPr>
            <w:tcW w:w="10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Commission upon request.</w:t>
            </w:r>
          </w:p>
        </w:tc>
      </w:tr>
      <w:tr>
        <w:trPr>
          <w:trHeight w:val="3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10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 between Weatherly Inc. and El Dorado Chemical Company, dated November 30, 2012, which the Company hereby incorporates by</w:t>
            </w:r>
          </w:p>
        </w:tc>
      </w:tr>
      <w:tr>
        <w:trPr>
          <w:trHeight w:val="228"/>
        </w:trPr>
        <w:tc>
          <w:tcPr>
            <w:tcW w:w="820" w:type="dxa"/>
            <w:vAlign w:val="bottom"/>
          </w:tcPr>
          <w:p>
            <w:pPr>
              <w:spacing w:after="0"/>
              <w:rPr>
                <w:sz w:val="19"/>
                <w:szCs w:val="19"/>
                <w:color w:val="auto"/>
              </w:rPr>
            </w:pPr>
          </w:p>
        </w:tc>
        <w:tc>
          <w:tcPr>
            <w:tcW w:w="10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reference from Exhibit 99.2 to the Company’s Form 8-K, filed December 6, 2012.</w:t>
            </w:r>
          </w:p>
        </w:tc>
      </w:tr>
      <w:tr>
        <w:trPr>
          <w:trHeight w:val="3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10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Promissory Note, dated February 1, 2013, in the original principal amount of $35 million, issued by Zena Energy L.L.C. in favor of International</w:t>
            </w:r>
          </w:p>
        </w:tc>
      </w:tr>
      <w:tr>
        <w:trPr>
          <w:trHeight w:val="228"/>
        </w:trPr>
        <w:tc>
          <w:tcPr>
            <w:tcW w:w="820" w:type="dxa"/>
            <w:vAlign w:val="bottom"/>
          </w:tcPr>
          <w:p>
            <w:pPr>
              <w:spacing w:after="0"/>
              <w:rPr>
                <w:sz w:val="19"/>
                <w:szCs w:val="19"/>
                <w:color w:val="auto"/>
              </w:rPr>
            </w:pPr>
          </w:p>
        </w:tc>
        <w:tc>
          <w:tcPr>
            <w:tcW w:w="10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Bank of Commerce, which the Company hereby incorporates by reference from Exhibit 99.1 to the Company’s Form 8-K, filed February 7, 2013.</w:t>
            </w:r>
          </w:p>
        </w:tc>
      </w:tr>
      <w:tr>
        <w:trPr>
          <w:trHeight w:val="3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10.37</w:t>
            </w:r>
          </w:p>
        </w:tc>
        <w:tc>
          <w:tcPr>
            <w:tcW w:w="10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Leasehold Mortgage, Security Agreement, Assignment and Fixture Filing, dated February 1, 2013, from Zena Energy L.L.C. to International Bank</w:t>
            </w:r>
          </w:p>
        </w:tc>
      </w:tr>
      <w:tr>
        <w:trPr>
          <w:trHeight w:val="228"/>
        </w:trPr>
        <w:tc>
          <w:tcPr>
            <w:tcW w:w="820" w:type="dxa"/>
            <w:vAlign w:val="bottom"/>
          </w:tcPr>
          <w:p>
            <w:pPr>
              <w:spacing w:after="0"/>
              <w:rPr>
                <w:sz w:val="19"/>
                <w:szCs w:val="19"/>
                <w:color w:val="auto"/>
              </w:rPr>
            </w:pPr>
          </w:p>
        </w:tc>
        <w:tc>
          <w:tcPr>
            <w:tcW w:w="10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 Commerce, which the Company hereby incorporates by reference from Exhibit 99.2 to the Company’s Form 8-K, filed February 7, 2013.</w:t>
            </w:r>
          </w:p>
        </w:tc>
      </w:tr>
      <w:tr>
        <w:trPr>
          <w:trHeight w:val="3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10.38</w:t>
            </w:r>
          </w:p>
        </w:tc>
        <w:tc>
          <w:tcPr>
            <w:tcW w:w="10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Guaranty, dated February 1, 2013, issued by LSB Industries, Inc. in favor of International Bank of Commerce, which the Company hereby</w:t>
            </w:r>
          </w:p>
        </w:tc>
      </w:tr>
      <w:tr>
        <w:trPr>
          <w:trHeight w:val="228"/>
        </w:trPr>
        <w:tc>
          <w:tcPr>
            <w:tcW w:w="820" w:type="dxa"/>
            <w:vAlign w:val="bottom"/>
          </w:tcPr>
          <w:p>
            <w:pPr>
              <w:spacing w:after="0"/>
              <w:rPr>
                <w:sz w:val="19"/>
                <w:szCs w:val="19"/>
                <w:color w:val="auto"/>
              </w:rPr>
            </w:pPr>
          </w:p>
        </w:tc>
        <w:tc>
          <w:tcPr>
            <w:tcW w:w="10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incorporates by reference from Exhibit 99.3 to the Company’s Form 8-K, filed February 7, 2013.</w:t>
            </w:r>
          </w:p>
        </w:tc>
      </w:tr>
      <w:tr>
        <w:trPr>
          <w:trHeight w:val="32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12.1</w:t>
            </w:r>
          </w:p>
        </w:tc>
        <w:tc>
          <w:tcPr>
            <w:tcW w:w="10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Calculation of Ratios of Earnings to Fixed Charges and Combined Fixed Charges and Preferred Stock Dividends.</w:t>
            </w:r>
          </w:p>
        </w:tc>
      </w:tr>
      <w:tr>
        <w:trPr>
          <w:trHeight w:val="32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0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Subsidiaries of the Company.</w:t>
            </w:r>
          </w:p>
        </w:tc>
      </w:tr>
      <w:tr>
        <w:trPr>
          <w:trHeight w:val="32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0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tc>
      </w:tr>
      <w:tr>
        <w:trPr>
          <w:trHeight w:val="32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Certification of Jack E. Golsen, Chief Executive Officer, pursuant to Sarbanes-Oxley Act of 2002, Section 302.</w:t>
            </w:r>
          </w:p>
        </w:tc>
      </w:tr>
      <w:tr>
        <w:trPr>
          <w:trHeight w:val="32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Certification of Tony M. Shelby, Chief Financial Officer, pursuant to Sarbanes-Oxley Act of 2002, Section 302.</w:t>
            </w:r>
          </w:p>
        </w:tc>
      </w:tr>
      <w:tr>
        <w:trPr>
          <w:trHeight w:val="32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Certification of Jack E. Golsen, Chief Executive Officer, furnished pursuant to Sarbanes-Oxley Act of 2002, Section 906.</w:t>
            </w:r>
          </w:p>
        </w:tc>
      </w:tr>
      <w:tr>
        <w:trPr>
          <w:trHeight w:val="32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Certification of Tony M. Shelby, Chief Financial Officer, furnished pursuant to Sarbanes-Oxley Act of 2002, Section 906.</w:t>
            </w:r>
          </w:p>
        </w:tc>
      </w:tr>
      <w:tr>
        <w:trPr>
          <w:trHeight w:val="32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65"/>
        </w:trPr>
        <w:tc>
          <w:tcPr>
            <w:tcW w:w="820" w:type="dxa"/>
            <w:vAlign w:val="bottom"/>
          </w:tcPr>
          <w:p>
            <w:pPr>
              <w:spacing w:after="0"/>
              <w:rPr>
                <w:sz w:val="24"/>
                <w:szCs w:val="24"/>
                <w:color w:val="auto"/>
              </w:rPr>
            </w:pPr>
          </w:p>
        </w:tc>
        <w:tc>
          <w:tcPr>
            <w:tcW w:w="10540" w:type="dxa"/>
            <w:vAlign w:val="bottom"/>
          </w:tcPr>
          <w:p>
            <w:pPr>
              <w:ind w:left="4800"/>
              <w:spacing w:after="0"/>
              <w:rPr>
                <w:sz w:val="20"/>
                <w:szCs w:val="20"/>
                <w:color w:val="auto"/>
              </w:rPr>
            </w:pPr>
            <w:r>
              <w:rPr>
                <w:rFonts w:ascii="Times New Roman" w:cs="Times New Roman" w:eastAsia="Times New Roman" w:hAnsi="Times New Roman"/>
                <w:sz w:val="18"/>
                <w:szCs w:val="18"/>
                <w:color w:val="auto"/>
              </w:rPr>
              <w:t>89</w:t>
            </w:r>
          </w:p>
        </w:tc>
      </w:tr>
    </w:tbl>
    <w:p>
      <w:pPr>
        <w:sectPr>
          <w:pgSz w:w="11900" w:h="16838" w:orient="portrait"/>
          <w:cols w:equalWidth="0" w:num="1">
            <w:col w:w="11360"/>
          </w:cols>
          <w:pgMar w:left="240" w:top="455" w:right="29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XBRL Taxonomy Extension Calculation Linkbase Document*</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XBRL Taxonomy Extension Definition Linkbase Document*</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6"/>
              </w:rPr>
              <w:t>XBRL Taxonomy Extension Presentation Linkbase Document*</w:t>
            </w:r>
          </w:p>
        </w:tc>
      </w:tr>
    </w:tbl>
    <w:p>
      <w:pPr>
        <w:spacing w:after="0" w:line="190" w:lineRule="exact"/>
        <w:rPr>
          <w:sz w:val="20"/>
          <w:szCs w:val="20"/>
          <w:color w:val="auto"/>
        </w:rPr>
      </w:pPr>
    </w:p>
    <w:p>
      <w:pPr>
        <w:ind w:left="460" w:hanging="452"/>
        <w:spacing w:after="0" w:line="262" w:lineRule="auto"/>
        <w:tabs>
          <w:tab w:leader="none" w:pos="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6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60"/>
          </w:cols>
          <w:pgMar w:left="240" w:top="455" w:right="49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3"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780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By: /s/ Jack E. Golsen</w:t>
            </w:r>
          </w:p>
        </w:tc>
      </w:tr>
      <w:tr>
        <w:trPr>
          <w:trHeight w:val="22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February 28, 2013</w:t>
            </w:r>
          </w:p>
        </w:tc>
        <w:tc>
          <w:tcPr>
            <w:tcW w:w="2560" w:type="dxa"/>
            <w:vAlign w:val="bottom"/>
          </w:tcPr>
          <w:p>
            <w:pPr>
              <w:spacing w:after="0"/>
              <w:rPr>
                <w:sz w:val="19"/>
                <w:szCs w:val="19"/>
                <w:color w:val="auto"/>
              </w:rPr>
            </w:pPr>
          </w:p>
        </w:tc>
        <w:tc>
          <w:tcPr>
            <w:tcW w:w="52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Jack E. Golsen, Chief Executive Officer</w:t>
            </w:r>
          </w:p>
        </w:tc>
      </w:tr>
    </w:tbl>
    <w:p>
      <w:pPr>
        <w:spacing w:after="0" w:line="135"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7960" w:type="dxa"/>
            <w:vAlign w:val="bottom"/>
            <w:gridSpan w:val="2"/>
          </w:tcPr>
          <w:p>
            <w:pPr>
              <w:ind w:left="2460"/>
              <w:spacing w:after="0"/>
              <w:rPr>
                <w:sz w:val="20"/>
                <w:szCs w:val="20"/>
                <w:color w:val="auto"/>
              </w:rPr>
            </w:pPr>
            <w:r>
              <w:rPr>
                <w:rFonts w:ascii="Times New Roman" w:cs="Times New Roman" w:eastAsia="Times New Roman" w:hAnsi="Times New Roman"/>
                <w:sz w:val="18"/>
                <w:szCs w:val="18"/>
                <w:color w:val="auto"/>
              </w:rPr>
              <w:t>By: /s/ Jack E. Golsen</w:t>
            </w:r>
          </w:p>
        </w:tc>
      </w:tr>
      <w:tr>
        <w:trPr>
          <w:trHeight w:val="197"/>
        </w:trPr>
        <w:tc>
          <w:tcPr>
            <w:tcW w:w="346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February 28, 2013</w:t>
            </w:r>
          </w:p>
        </w:tc>
        <w:tc>
          <w:tcPr>
            <w:tcW w:w="2720" w:type="dxa"/>
            <w:vAlign w:val="bottom"/>
          </w:tcPr>
          <w:p>
            <w:pPr>
              <w:spacing w:after="0"/>
              <w:rPr>
                <w:sz w:val="17"/>
                <w:szCs w:val="17"/>
                <w:color w:val="auto"/>
              </w:rPr>
            </w:pPr>
          </w:p>
        </w:tc>
        <w:tc>
          <w:tcPr>
            <w:tcW w:w="5240" w:type="dxa"/>
            <w:vAlign w:val="bottom"/>
            <w:tcBorders>
              <w:top w:val="single" w:sz="8" w:color="auto"/>
            </w:tcBorders>
          </w:tcPr>
          <w:p>
            <w:pPr>
              <w:ind w:left="100"/>
              <w:spacing w:after="0" w:line="197" w:lineRule="exact"/>
              <w:rPr>
                <w:sz w:val="20"/>
                <w:szCs w:val="20"/>
                <w:color w:val="auto"/>
              </w:rPr>
            </w:pPr>
            <w:r>
              <w:rPr>
                <w:rFonts w:ascii="Times New Roman" w:cs="Times New Roman" w:eastAsia="Times New Roman" w:hAnsi="Times New Roman"/>
                <w:sz w:val="18"/>
                <w:szCs w:val="18"/>
                <w:color w:val="auto"/>
              </w:rPr>
              <w:t>Jack E. Golsen, Chief Executive Officer and Chairman of the Board</w:t>
            </w:r>
          </w:p>
        </w:tc>
      </w:tr>
      <w:tr>
        <w:trPr>
          <w:trHeight w:val="228"/>
        </w:trPr>
        <w:tc>
          <w:tcPr>
            <w:tcW w:w="34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7960" w:type="dxa"/>
            <w:vAlign w:val="bottom"/>
            <w:gridSpan w:val="2"/>
          </w:tcPr>
          <w:p>
            <w:pPr>
              <w:ind w:left="2460"/>
              <w:spacing w:after="0"/>
              <w:rPr>
                <w:sz w:val="20"/>
                <w:szCs w:val="20"/>
                <w:color w:val="auto"/>
              </w:rPr>
            </w:pPr>
            <w:r>
              <w:rPr>
                <w:rFonts w:ascii="Times New Roman" w:cs="Times New Roman" w:eastAsia="Times New Roman" w:hAnsi="Times New Roman"/>
                <w:sz w:val="18"/>
                <w:szCs w:val="18"/>
                <w:color w:val="auto"/>
              </w:rPr>
              <w:t>By: /s/ Tony M. Shelby</w:t>
            </w:r>
          </w:p>
        </w:tc>
      </w:tr>
      <w:tr>
        <w:trPr>
          <w:trHeight w:val="197"/>
        </w:trPr>
        <w:tc>
          <w:tcPr>
            <w:tcW w:w="346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February 28, 2013</w:t>
            </w:r>
          </w:p>
        </w:tc>
        <w:tc>
          <w:tcPr>
            <w:tcW w:w="2720" w:type="dxa"/>
            <w:vAlign w:val="bottom"/>
          </w:tcPr>
          <w:p>
            <w:pPr>
              <w:spacing w:after="0"/>
              <w:rPr>
                <w:sz w:val="17"/>
                <w:szCs w:val="17"/>
                <w:color w:val="auto"/>
              </w:rPr>
            </w:pPr>
          </w:p>
        </w:tc>
        <w:tc>
          <w:tcPr>
            <w:tcW w:w="5240" w:type="dxa"/>
            <w:vAlign w:val="bottom"/>
            <w:tcBorders>
              <w:top w:val="single" w:sz="8" w:color="auto"/>
            </w:tcBorders>
          </w:tcPr>
          <w:p>
            <w:pPr>
              <w:ind w:left="100"/>
              <w:spacing w:after="0" w:line="197" w:lineRule="exact"/>
              <w:rPr>
                <w:sz w:val="20"/>
                <w:szCs w:val="20"/>
                <w:color w:val="auto"/>
              </w:rPr>
            </w:pPr>
            <w:r>
              <w:rPr>
                <w:rFonts w:ascii="Times New Roman" w:cs="Times New Roman" w:eastAsia="Times New Roman" w:hAnsi="Times New Roman"/>
                <w:sz w:val="18"/>
                <w:szCs w:val="18"/>
                <w:color w:val="auto"/>
              </w:rPr>
              <w:t>Tony M. Shelby, Executive Vice President of Finance, Chief Financial</w:t>
            </w:r>
          </w:p>
        </w:tc>
      </w:tr>
      <w:tr>
        <w:trPr>
          <w:trHeight w:val="228"/>
        </w:trPr>
        <w:tc>
          <w:tcPr>
            <w:tcW w:w="34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Officer and Director (Principal Financial Officer)</w:t>
            </w: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7960" w:type="dxa"/>
            <w:vAlign w:val="bottom"/>
            <w:gridSpan w:val="2"/>
          </w:tcPr>
          <w:p>
            <w:pPr>
              <w:ind w:left="2460"/>
              <w:spacing w:after="0"/>
              <w:rPr>
                <w:sz w:val="20"/>
                <w:szCs w:val="20"/>
                <w:color w:val="auto"/>
              </w:rPr>
            </w:pPr>
            <w:r>
              <w:rPr>
                <w:rFonts w:ascii="Times New Roman" w:cs="Times New Roman" w:eastAsia="Times New Roman" w:hAnsi="Times New Roman"/>
                <w:sz w:val="18"/>
                <w:szCs w:val="18"/>
                <w:color w:val="auto"/>
              </w:rPr>
              <w:t>By: /s/ Harold L. Rieker Jr.</w:t>
            </w:r>
          </w:p>
        </w:tc>
      </w:tr>
      <w:tr>
        <w:trPr>
          <w:trHeight w:val="22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February 28, 2013</w:t>
            </w:r>
          </w:p>
        </w:tc>
        <w:tc>
          <w:tcPr>
            <w:tcW w:w="2720" w:type="dxa"/>
            <w:vAlign w:val="bottom"/>
          </w:tcPr>
          <w:p>
            <w:pPr>
              <w:spacing w:after="0"/>
              <w:rPr>
                <w:sz w:val="19"/>
                <w:szCs w:val="19"/>
                <w:color w:val="auto"/>
              </w:rPr>
            </w:pPr>
          </w:p>
        </w:tc>
        <w:tc>
          <w:tcPr>
            <w:tcW w:w="52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Harold L. Rieker Jr., Vice President and Principal Accounting Officer</w:t>
            </w:r>
          </w:p>
        </w:tc>
      </w:tr>
      <w:tr>
        <w:trPr>
          <w:trHeight w:val="41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7960" w:type="dxa"/>
            <w:vAlign w:val="bottom"/>
            <w:gridSpan w:val="2"/>
          </w:tcPr>
          <w:p>
            <w:pPr>
              <w:ind w:left="2460"/>
              <w:spacing w:after="0"/>
              <w:rPr>
                <w:sz w:val="20"/>
                <w:szCs w:val="20"/>
                <w:color w:val="auto"/>
              </w:rPr>
            </w:pPr>
            <w:r>
              <w:rPr>
                <w:rFonts w:ascii="Times New Roman" w:cs="Times New Roman" w:eastAsia="Times New Roman" w:hAnsi="Times New Roman"/>
                <w:sz w:val="18"/>
                <w:szCs w:val="18"/>
                <w:color w:val="auto"/>
              </w:rPr>
              <w:t>By: /s/ Barry H. Golsen</w:t>
            </w:r>
          </w:p>
        </w:tc>
      </w:tr>
      <w:tr>
        <w:trPr>
          <w:trHeight w:val="22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February 28, 2013</w:t>
            </w:r>
          </w:p>
        </w:tc>
        <w:tc>
          <w:tcPr>
            <w:tcW w:w="2720" w:type="dxa"/>
            <w:vAlign w:val="bottom"/>
          </w:tcPr>
          <w:p>
            <w:pPr>
              <w:spacing w:after="0"/>
              <w:rPr>
                <w:sz w:val="19"/>
                <w:szCs w:val="19"/>
                <w:color w:val="auto"/>
              </w:rPr>
            </w:pPr>
          </w:p>
        </w:tc>
        <w:tc>
          <w:tcPr>
            <w:tcW w:w="52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Barry H. Golsen, Director</w:t>
            </w:r>
          </w:p>
        </w:tc>
      </w:tr>
      <w:tr>
        <w:trPr>
          <w:trHeight w:val="41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7960" w:type="dxa"/>
            <w:vAlign w:val="bottom"/>
            <w:gridSpan w:val="2"/>
          </w:tcPr>
          <w:p>
            <w:pPr>
              <w:ind w:left="2460"/>
              <w:spacing w:after="0"/>
              <w:rPr>
                <w:sz w:val="20"/>
                <w:szCs w:val="20"/>
                <w:color w:val="auto"/>
              </w:rPr>
            </w:pPr>
            <w:r>
              <w:rPr>
                <w:rFonts w:ascii="Times New Roman" w:cs="Times New Roman" w:eastAsia="Times New Roman" w:hAnsi="Times New Roman"/>
                <w:sz w:val="18"/>
                <w:szCs w:val="18"/>
                <w:color w:val="auto"/>
              </w:rPr>
              <w:t>By: /s/ David R. Goss</w:t>
            </w:r>
          </w:p>
        </w:tc>
      </w:tr>
      <w:tr>
        <w:trPr>
          <w:trHeight w:val="22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February 28, 2013</w:t>
            </w:r>
          </w:p>
        </w:tc>
        <w:tc>
          <w:tcPr>
            <w:tcW w:w="2720" w:type="dxa"/>
            <w:vAlign w:val="bottom"/>
          </w:tcPr>
          <w:p>
            <w:pPr>
              <w:spacing w:after="0"/>
              <w:rPr>
                <w:sz w:val="19"/>
                <w:szCs w:val="19"/>
                <w:color w:val="auto"/>
              </w:rPr>
            </w:pPr>
          </w:p>
        </w:tc>
        <w:tc>
          <w:tcPr>
            <w:tcW w:w="52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David R. Goss, Director</w:t>
            </w:r>
          </w:p>
        </w:tc>
      </w:tr>
      <w:tr>
        <w:trPr>
          <w:trHeight w:val="41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7960" w:type="dxa"/>
            <w:vAlign w:val="bottom"/>
            <w:gridSpan w:val="2"/>
          </w:tcPr>
          <w:p>
            <w:pPr>
              <w:ind w:left="2460"/>
              <w:spacing w:after="0"/>
              <w:rPr>
                <w:sz w:val="20"/>
                <w:szCs w:val="20"/>
                <w:color w:val="auto"/>
              </w:rPr>
            </w:pPr>
            <w:r>
              <w:rPr>
                <w:rFonts w:ascii="Times New Roman" w:cs="Times New Roman" w:eastAsia="Times New Roman" w:hAnsi="Times New Roman"/>
                <w:sz w:val="18"/>
                <w:szCs w:val="18"/>
                <w:color w:val="auto"/>
              </w:rPr>
              <w:t>By: /s/ Steven J. Golsen</w:t>
            </w:r>
          </w:p>
        </w:tc>
      </w:tr>
      <w:tr>
        <w:trPr>
          <w:trHeight w:val="22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February 28, 2013</w:t>
            </w:r>
          </w:p>
        </w:tc>
        <w:tc>
          <w:tcPr>
            <w:tcW w:w="2720" w:type="dxa"/>
            <w:vAlign w:val="bottom"/>
          </w:tcPr>
          <w:p>
            <w:pPr>
              <w:spacing w:after="0"/>
              <w:rPr>
                <w:sz w:val="19"/>
                <w:szCs w:val="19"/>
                <w:color w:val="auto"/>
              </w:rPr>
            </w:pPr>
          </w:p>
        </w:tc>
        <w:tc>
          <w:tcPr>
            <w:tcW w:w="52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Steven J. Golsen, Director</w:t>
            </w:r>
          </w:p>
        </w:tc>
      </w:tr>
      <w:tr>
        <w:trPr>
          <w:trHeight w:val="41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7960" w:type="dxa"/>
            <w:vAlign w:val="bottom"/>
            <w:gridSpan w:val="2"/>
          </w:tcPr>
          <w:p>
            <w:pPr>
              <w:ind w:left="2460"/>
              <w:spacing w:after="0"/>
              <w:rPr>
                <w:sz w:val="20"/>
                <w:szCs w:val="20"/>
                <w:color w:val="auto"/>
              </w:rPr>
            </w:pPr>
            <w:r>
              <w:rPr>
                <w:rFonts w:ascii="Times New Roman" w:cs="Times New Roman" w:eastAsia="Times New Roman" w:hAnsi="Times New Roman"/>
                <w:sz w:val="18"/>
                <w:szCs w:val="18"/>
                <w:color w:val="auto"/>
              </w:rPr>
              <w:t>By: /s/ Robert C. Brown MD</w:t>
            </w:r>
          </w:p>
        </w:tc>
      </w:tr>
      <w:tr>
        <w:trPr>
          <w:trHeight w:val="22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February 28, 2013</w:t>
            </w:r>
          </w:p>
        </w:tc>
        <w:tc>
          <w:tcPr>
            <w:tcW w:w="2720" w:type="dxa"/>
            <w:vAlign w:val="bottom"/>
          </w:tcPr>
          <w:p>
            <w:pPr>
              <w:spacing w:after="0"/>
              <w:rPr>
                <w:sz w:val="19"/>
                <w:szCs w:val="19"/>
                <w:color w:val="auto"/>
              </w:rPr>
            </w:pPr>
          </w:p>
        </w:tc>
        <w:tc>
          <w:tcPr>
            <w:tcW w:w="52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Robert C. Brown MD, Director</w:t>
            </w:r>
          </w:p>
        </w:tc>
      </w:tr>
      <w:tr>
        <w:trPr>
          <w:trHeight w:val="41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7960" w:type="dxa"/>
            <w:vAlign w:val="bottom"/>
            <w:gridSpan w:val="2"/>
          </w:tcPr>
          <w:p>
            <w:pPr>
              <w:ind w:left="2460"/>
              <w:spacing w:after="0"/>
              <w:rPr>
                <w:sz w:val="20"/>
                <w:szCs w:val="20"/>
                <w:color w:val="auto"/>
              </w:rPr>
            </w:pPr>
            <w:r>
              <w:rPr>
                <w:rFonts w:ascii="Times New Roman" w:cs="Times New Roman" w:eastAsia="Times New Roman" w:hAnsi="Times New Roman"/>
                <w:sz w:val="18"/>
                <w:szCs w:val="18"/>
                <w:color w:val="auto"/>
              </w:rPr>
              <w:t>By: /s/ Charles A. Burtch</w:t>
            </w:r>
          </w:p>
        </w:tc>
      </w:tr>
      <w:tr>
        <w:trPr>
          <w:trHeight w:val="22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February 28, 2013</w:t>
            </w:r>
          </w:p>
        </w:tc>
        <w:tc>
          <w:tcPr>
            <w:tcW w:w="2720" w:type="dxa"/>
            <w:vAlign w:val="bottom"/>
          </w:tcPr>
          <w:p>
            <w:pPr>
              <w:spacing w:after="0"/>
              <w:rPr>
                <w:sz w:val="19"/>
                <w:szCs w:val="19"/>
                <w:color w:val="auto"/>
              </w:rPr>
            </w:pPr>
          </w:p>
        </w:tc>
        <w:tc>
          <w:tcPr>
            <w:tcW w:w="52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Charles A. Burtch, Director</w:t>
            </w:r>
          </w:p>
        </w:tc>
      </w:tr>
      <w:tr>
        <w:trPr>
          <w:trHeight w:val="41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7960" w:type="dxa"/>
            <w:vAlign w:val="bottom"/>
            <w:gridSpan w:val="2"/>
          </w:tcPr>
          <w:p>
            <w:pPr>
              <w:ind w:left="2460"/>
              <w:spacing w:after="0"/>
              <w:rPr>
                <w:sz w:val="20"/>
                <w:szCs w:val="20"/>
                <w:color w:val="auto"/>
              </w:rPr>
            </w:pPr>
            <w:r>
              <w:rPr>
                <w:rFonts w:ascii="Times New Roman" w:cs="Times New Roman" w:eastAsia="Times New Roman" w:hAnsi="Times New Roman"/>
                <w:sz w:val="18"/>
                <w:szCs w:val="18"/>
                <w:color w:val="auto"/>
              </w:rPr>
              <w:t>By: /s/ Robert A. Butkin</w:t>
            </w:r>
          </w:p>
        </w:tc>
      </w:tr>
      <w:tr>
        <w:trPr>
          <w:trHeight w:val="22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February 28, 2013</w:t>
            </w:r>
          </w:p>
        </w:tc>
        <w:tc>
          <w:tcPr>
            <w:tcW w:w="2720" w:type="dxa"/>
            <w:vAlign w:val="bottom"/>
          </w:tcPr>
          <w:p>
            <w:pPr>
              <w:spacing w:after="0"/>
              <w:rPr>
                <w:sz w:val="19"/>
                <w:szCs w:val="19"/>
                <w:color w:val="auto"/>
              </w:rPr>
            </w:pPr>
          </w:p>
        </w:tc>
        <w:tc>
          <w:tcPr>
            <w:tcW w:w="52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Robert A. Butkin, Director</w:t>
            </w:r>
          </w:p>
        </w:tc>
      </w:tr>
      <w:tr>
        <w:trPr>
          <w:trHeight w:val="41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7960" w:type="dxa"/>
            <w:vAlign w:val="bottom"/>
            <w:gridSpan w:val="2"/>
          </w:tcPr>
          <w:p>
            <w:pPr>
              <w:ind w:left="2460"/>
              <w:spacing w:after="0"/>
              <w:rPr>
                <w:sz w:val="20"/>
                <w:szCs w:val="20"/>
                <w:color w:val="auto"/>
              </w:rPr>
            </w:pPr>
            <w:r>
              <w:rPr>
                <w:rFonts w:ascii="Times New Roman" w:cs="Times New Roman" w:eastAsia="Times New Roman" w:hAnsi="Times New Roman"/>
                <w:sz w:val="18"/>
                <w:szCs w:val="18"/>
                <w:color w:val="auto"/>
              </w:rPr>
              <w:t>By: /s/ Bernard G. Ille</w:t>
            </w:r>
          </w:p>
        </w:tc>
      </w:tr>
      <w:tr>
        <w:trPr>
          <w:trHeight w:val="22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February 28, 2013</w:t>
            </w:r>
          </w:p>
        </w:tc>
        <w:tc>
          <w:tcPr>
            <w:tcW w:w="2720" w:type="dxa"/>
            <w:vAlign w:val="bottom"/>
          </w:tcPr>
          <w:p>
            <w:pPr>
              <w:spacing w:after="0"/>
              <w:rPr>
                <w:sz w:val="19"/>
                <w:szCs w:val="19"/>
                <w:color w:val="auto"/>
              </w:rPr>
            </w:pPr>
          </w:p>
        </w:tc>
        <w:tc>
          <w:tcPr>
            <w:tcW w:w="52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Bernard G. Ille, Director</w:t>
            </w:r>
          </w:p>
        </w:tc>
      </w:tr>
      <w:tr>
        <w:trPr>
          <w:trHeight w:val="41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7960" w:type="dxa"/>
            <w:vAlign w:val="bottom"/>
            <w:gridSpan w:val="2"/>
          </w:tcPr>
          <w:p>
            <w:pPr>
              <w:ind w:left="2460"/>
              <w:spacing w:after="0"/>
              <w:rPr>
                <w:sz w:val="20"/>
                <w:szCs w:val="20"/>
                <w:color w:val="auto"/>
              </w:rPr>
            </w:pPr>
            <w:r>
              <w:rPr>
                <w:rFonts w:ascii="Times New Roman" w:cs="Times New Roman" w:eastAsia="Times New Roman" w:hAnsi="Times New Roman"/>
                <w:sz w:val="18"/>
                <w:szCs w:val="18"/>
                <w:color w:val="auto"/>
              </w:rPr>
              <w:t>By: /s/ Gail P. Lapidus</w:t>
            </w:r>
          </w:p>
        </w:tc>
      </w:tr>
      <w:tr>
        <w:trPr>
          <w:trHeight w:val="22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February 28, 2013</w:t>
            </w:r>
          </w:p>
        </w:tc>
        <w:tc>
          <w:tcPr>
            <w:tcW w:w="2720" w:type="dxa"/>
            <w:vAlign w:val="bottom"/>
          </w:tcPr>
          <w:p>
            <w:pPr>
              <w:spacing w:after="0"/>
              <w:rPr>
                <w:sz w:val="19"/>
                <w:szCs w:val="19"/>
                <w:color w:val="auto"/>
              </w:rPr>
            </w:pPr>
          </w:p>
        </w:tc>
        <w:tc>
          <w:tcPr>
            <w:tcW w:w="52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Gail P. Lapidus, Director</w:t>
            </w:r>
          </w:p>
        </w:tc>
      </w:tr>
      <w:tr>
        <w:trPr>
          <w:trHeight w:val="41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7960" w:type="dxa"/>
            <w:vAlign w:val="bottom"/>
            <w:gridSpan w:val="2"/>
          </w:tcPr>
          <w:p>
            <w:pPr>
              <w:ind w:left="2460"/>
              <w:spacing w:after="0"/>
              <w:rPr>
                <w:sz w:val="20"/>
                <w:szCs w:val="20"/>
                <w:color w:val="auto"/>
              </w:rPr>
            </w:pPr>
            <w:r>
              <w:rPr>
                <w:rFonts w:ascii="Times New Roman" w:cs="Times New Roman" w:eastAsia="Times New Roman" w:hAnsi="Times New Roman"/>
                <w:sz w:val="18"/>
                <w:szCs w:val="18"/>
                <w:color w:val="auto"/>
              </w:rPr>
              <w:t>By: /s/ Donald W. Munson</w:t>
            </w:r>
          </w:p>
        </w:tc>
      </w:tr>
      <w:tr>
        <w:trPr>
          <w:trHeight w:val="22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February 28, 2013</w:t>
            </w:r>
          </w:p>
        </w:tc>
        <w:tc>
          <w:tcPr>
            <w:tcW w:w="2720" w:type="dxa"/>
            <w:vAlign w:val="bottom"/>
          </w:tcPr>
          <w:p>
            <w:pPr>
              <w:spacing w:after="0"/>
              <w:rPr>
                <w:sz w:val="19"/>
                <w:szCs w:val="19"/>
                <w:color w:val="auto"/>
              </w:rPr>
            </w:pPr>
          </w:p>
        </w:tc>
        <w:tc>
          <w:tcPr>
            <w:tcW w:w="52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Donald W. Munson, Director</w:t>
            </w:r>
          </w:p>
        </w:tc>
      </w:tr>
      <w:tr>
        <w:trPr>
          <w:trHeight w:val="41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7960" w:type="dxa"/>
            <w:vAlign w:val="bottom"/>
            <w:gridSpan w:val="2"/>
          </w:tcPr>
          <w:p>
            <w:pPr>
              <w:ind w:left="2460"/>
              <w:spacing w:after="0"/>
              <w:rPr>
                <w:sz w:val="20"/>
                <w:szCs w:val="20"/>
                <w:color w:val="auto"/>
              </w:rPr>
            </w:pPr>
            <w:r>
              <w:rPr>
                <w:rFonts w:ascii="Times New Roman" w:cs="Times New Roman" w:eastAsia="Times New Roman" w:hAnsi="Times New Roman"/>
                <w:sz w:val="18"/>
                <w:szCs w:val="18"/>
                <w:color w:val="auto"/>
              </w:rPr>
              <w:t>By: /s/ Ronald V. Perry</w:t>
            </w:r>
          </w:p>
        </w:tc>
      </w:tr>
      <w:tr>
        <w:trPr>
          <w:trHeight w:val="22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February 28, 2013</w:t>
            </w:r>
          </w:p>
        </w:tc>
        <w:tc>
          <w:tcPr>
            <w:tcW w:w="2720" w:type="dxa"/>
            <w:vAlign w:val="bottom"/>
          </w:tcPr>
          <w:p>
            <w:pPr>
              <w:spacing w:after="0"/>
              <w:rPr>
                <w:sz w:val="19"/>
                <w:szCs w:val="19"/>
                <w:color w:val="auto"/>
              </w:rPr>
            </w:pPr>
          </w:p>
        </w:tc>
        <w:tc>
          <w:tcPr>
            <w:tcW w:w="52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Ronald V. Perry, Director</w:t>
            </w:r>
          </w:p>
        </w:tc>
      </w:tr>
      <w:tr>
        <w:trPr>
          <w:trHeight w:val="41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7960" w:type="dxa"/>
            <w:vAlign w:val="bottom"/>
            <w:gridSpan w:val="2"/>
          </w:tcPr>
          <w:p>
            <w:pPr>
              <w:ind w:left="2460"/>
              <w:spacing w:after="0"/>
              <w:rPr>
                <w:sz w:val="20"/>
                <w:szCs w:val="20"/>
                <w:color w:val="auto"/>
              </w:rPr>
            </w:pPr>
            <w:r>
              <w:rPr>
                <w:rFonts w:ascii="Times New Roman" w:cs="Times New Roman" w:eastAsia="Times New Roman" w:hAnsi="Times New Roman"/>
                <w:sz w:val="18"/>
                <w:szCs w:val="18"/>
                <w:color w:val="auto"/>
              </w:rPr>
              <w:t>By: /s/ John A. Shelley</w:t>
            </w:r>
          </w:p>
        </w:tc>
      </w:tr>
      <w:tr>
        <w:trPr>
          <w:trHeight w:val="22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February 28, 2013</w:t>
            </w:r>
          </w:p>
        </w:tc>
        <w:tc>
          <w:tcPr>
            <w:tcW w:w="2720" w:type="dxa"/>
            <w:vAlign w:val="bottom"/>
          </w:tcPr>
          <w:p>
            <w:pPr>
              <w:spacing w:after="0"/>
              <w:rPr>
                <w:sz w:val="19"/>
                <w:szCs w:val="19"/>
                <w:color w:val="auto"/>
              </w:rPr>
            </w:pPr>
          </w:p>
        </w:tc>
        <w:tc>
          <w:tcPr>
            <w:tcW w:w="52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John A. Shelley, Director</w:t>
            </w:r>
          </w:p>
        </w:tc>
      </w:tr>
      <w:tr>
        <w:trPr>
          <w:trHeight w:val="350"/>
        </w:trPr>
        <w:tc>
          <w:tcPr>
            <w:tcW w:w="3460" w:type="dxa"/>
            <w:vAlign w:val="bottom"/>
          </w:tcPr>
          <w:p>
            <w:pPr>
              <w:spacing w:after="0"/>
              <w:rPr>
                <w:sz w:val="24"/>
                <w:szCs w:val="24"/>
                <w:color w:val="auto"/>
              </w:rPr>
            </w:pPr>
          </w:p>
        </w:tc>
        <w:tc>
          <w:tcPr>
            <w:tcW w:w="27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91</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Consolidated Financial Statements</w:t>
      </w:r>
    </w:p>
    <w:p>
      <w:pPr>
        <w:spacing w:after="0" w:line="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And Schedules for Inclusion in Form 10-K</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For the Fiscal Year ended December 31, 2012</w:t>
      </w:r>
    </w:p>
    <w:p>
      <w:pPr>
        <w:spacing w:after="0" w:line="1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6"/>
              </w:rPr>
              <w:t>Financial Statements</w:t>
            </w:r>
          </w:p>
        </w:tc>
        <w:tc>
          <w:tcPr>
            <w:tcW w:w="3440" w:type="dxa"/>
            <w:vAlign w:val="bottom"/>
            <w:gridSpan w:val="11"/>
            <w:vMerge w:val="restart"/>
          </w:tcPr>
          <w:p>
            <w:pPr>
              <w:spacing w:after="0"/>
              <w:rPr>
                <w:sz w:val="14"/>
                <w:szCs w:val="14"/>
                <w:color w:val="auto"/>
              </w:rPr>
            </w:pPr>
          </w:p>
        </w:tc>
        <w:tc>
          <w:tcPr>
            <w:tcW w:w="5900" w:type="dxa"/>
            <w:vAlign w:val="bottom"/>
          </w:tcPr>
          <w:p>
            <w:pPr>
              <w:spacing w:after="0"/>
              <w:rPr>
                <w:sz w:val="14"/>
                <w:szCs w:val="14"/>
                <w:color w:val="auto"/>
              </w:rPr>
            </w:pPr>
          </w:p>
        </w:tc>
        <w:tc>
          <w:tcPr>
            <w:tcW w:w="5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1"/>
        </w:trPr>
        <w:tc>
          <w:tcPr>
            <w:tcW w:w="1480" w:type="dxa"/>
            <w:vAlign w:val="bottom"/>
            <w:tcBorders>
              <w:bottom w:val="single" w:sz="8" w:color="auto"/>
            </w:tcBorders>
            <w:vMerge w:val="continue"/>
          </w:tcPr>
          <w:p>
            <w:pPr>
              <w:spacing w:after="0"/>
              <w:rPr>
                <w:sz w:val="13"/>
                <w:szCs w:val="13"/>
                <w:color w:val="auto"/>
              </w:rPr>
            </w:pPr>
          </w:p>
        </w:tc>
        <w:tc>
          <w:tcPr>
            <w:tcW w:w="3440" w:type="dxa"/>
            <w:vAlign w:val="bottom"/>
            <w:gridSpan w:val="11"/>
            <w:vMerge w:val="continue"/>
          </w:tcPr>
          <w:p>
            <w:pPr>
              <w:spacing w:after="0"/>
              <w:rPr>
                <w:sz w:val="13"/>
                <w:szCs w:val="13"/>
                <w:color w:val="auto"/>
              </w:rPr>
            </w:pPr>
          </w:p>
        </w:tc>
        <w:tc>
          <w:tcPr>
            <w:tcW w:w="5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4920" w:type="dxa"/>
            <w:vAlign w:val="bottom"/>
            <w:gridSpan w:val="12"/>
          </w:tcPr>
          <w:p>
            <w:pPr>
              <w:spacing w:after="0"/>
              <w:rPr>
                <w:rFonts w:ascii="Times New Roman" w:cs="Times New Roman" w:eastAsia="Times New Roman" w:hAnsi="Times New Roman"/>
                <w:sz w:val="18"/>
                <w:szCs w:val="18"/>
                <w:color w:val="0000EE"/>
              </w:rPr>
            </w:pPr>
            <w:hyperlink w:anchor="page94">
              <w:r>
                <w:rPr>
                  <w:rFonts w:ascii="Times New Roman" w:cs="Times New Roman" w:eastAsia="Times New Roman" w:hAnsi="Times New Roman"/>
                  <w:sz w:val="18"/>
                  <w:szCs w:val="18"/>
                  <w:color w:val="0000EE"/>
                </w:rPr>
                <w:t>Report of Independent Registered Public Accounting Firm</w:t>
              </w:r>
            </w:hyperlink>
          </w:p>
        </w:tc>
        <w:tc>
          <w:tcPr>
            <w:tcW w:w="59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 – 2</w:t>
            </w:r>
          </w:p>
        </w:tc>
        <w:tc>
          <w:tcPr>
            <w:tcW w:w="0" w:type="dxa"/>
            <w:vAlign w:val="bottom"/>
          </w:tcPr>
          <w:p>
            <w:pPr>
              <w:spacing w:after="0"/>
              <w:rPr>
                <w:sz w:val="1"/>
                <w:szCs w:val="1"/>
                <w:color w:val="auto"/>
              </w:rPr>
            </w:pPr>
          </w:p>
        </w:tc>
      </w:tr>
      <w:tr>
        <w:trPr>
          <w:trHeight w:val="304"/>
        </w:trPr>
        <w:tc>
          <w:tcPr>
            <w:tcW w:w="4120" w:type="dxa"/>
            <w:vAlign w:val="bottom"/>
            <w:tcBorders>
              <w:top w:val="single" w:sz="8" w:color="0000EE"/>
            </w:tcBorders>
            <w:gridSpan w:val="10"/>
          </w:tcPr>
          <w:p>
            <w:pPr>
              <w:spacing w:after="0"/>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Consolidated Balance Sheets</w:t>
              </w:r>
            </w:hyperlink>
          </w:p>
        </w:tc>
        <w:tc>
          <w:tcPr>
            <w:tcW w:w="800" w:type="dxa"/>
            <w:vAlign w:val="bottom"/>
            <w:gridSpan w:val="2"/>
          </w:tcPr>
          <w:p>
            <w:pPr>
              <w:spacing w:after="0"/>
              <w:rPr>
                <w:sz w:val="24"/>
                <w:szCs w:val="24"/>
                <w:color w:val="auto"/>
              </w:rPr>
            </w:pPr>
          </w:p>
        </w:tc>
        <w:tc>
          <w:tcPr>
            <w:tcW w:w="59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 – 3</w:t>
            </w:r>
          </w:p>
        </w:tc>
        <w:tc>
          <w:tcPr>
            <w:tcW w:w="0" w:type="dxa"/>
            <w:vAlign w:val="bottom"/>
          </w:tcPr>
          <w:p>
            <w:pPr>
              <w:spacing w:after="0"/>
              <w:rPr>
                <w:sz w:val="1"/>
                <w:szCs w:val="1"/>
                <w:color w:val="auto"/>
              </w:rPr>
            </w:pPr>
          </w:p>
        </w:tc>
      </w:tr>
      <w:tr>
        <w:trPr>
          <w:trHeight w:val="20"/>
        </w:trPr>
        <w:tc>
          <w:tcPr>
            <w:tcW w:w="20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920" w:type="dxa"/>
            <w:vAlign w:val="bottom"/>
            <w:gridSpan w:val="12"/>
          </w:tcPr>
          <w:p>
            <w:pPr>
              <w:spacing w:after="0"/>
              <w:rPr>
                <w:rFonts w:ascii="Times New Roman" w:cs="Times New Roman" w:eastAsia="Times New Roman" w:hAnsi="Times New Roman"/>
                <w:sz w:val="18"/>
                <w:szCs w:val="18"/>
                <w:color w:val="0000EE"/>
              </w:rPr>
            </w:pPr>
            <w:hyperlink w:anchor="page97">
              <w:r>
                <w:rPr>
                  <w:rFonts w:ascii="Times New Roman" w:cs="Times New Roman" w:eastAsia="Times New Roman" w:hAnsi="Times New Roman"/>
                  <w:sz w:val="18"/>
                  <w:szCs w:val="18"/>
                  <w:color w:val="0000EE"/>
                </w:rPr>
                <w:t>Consolidated Statements of Income</w:t>
              </w:r>
            </w:hyperlink>
          </w:p>
        </w:tc>
        <w:tc>
          <w:tcPr>
            <w:tcW w:w="59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 – 5</w:t>
            </w:r>
          </w:p>
        </w:tc>
        <w:tc>
          <w:tcPr>
            <w:tcW w:w="0" w:type="dxa"/>
            <w:vAlign w:val="bottom"/>
          </w:tcPr>
          <w:p>
            <w:pPr>
              <w:spacing w:after="0"/>
              <w:rPr>
                <w:sz w:val="1"/>
                <w:szCs w:val="1"/>
                <w:color w:val="auto"/>
              </w:rPr>
            </w:pPr>
          </w:p>
        </w:tc>
      </w:tr>
      <w:tr>
        <w:trPr>
          <w:trHeight w:val="20"/>
        </w:trPr>
        <w:tc>
          <w:tcPr>
            <w:tcW w:w="21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4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7"/>
              </w:rPr>
            </w:pPr>
            <w:hyperlink w:anchor="page98">
              <w:r>
                <w:rPr>
                  <w:rFonts w:ascii="Times New Roman" w:cs="Times New Roman" w:eastAsia="Times New Roman" w:hAnsi="Times New Roman"/>
                  <w:sz w:val="18"/>
                  <w:szCs w:val="18"/>
                  <w:color w:val="0000EE"/>
                  <w:w w:val="97"/>
                </w:rPr>
                <w:t>Consolidated Statements of Stockholders’ Equity</w:t>
              </w:r>
            </w:hyperlink>
          </w:p>
        </w:tc>
        <w:tc>
          <w:tcPr>
            <w:tcW w:w="1440" w:type="dxa"/>
            <w:vAlign w:val="bottom"/>
            <w:gridSpan w:val="3"/>
          </w:tcPr>
          <w:p>
            <w:pPr>
              <w:spacing w:after="0"/>
              <w:rPr>
                <w:sz w:val="24"/>
                <w:szCs w:val="24"/>
                <w:color w:val="auto"/>
              </w:rPr>
            </w:pPr>
          </w:p>
        </w:tc>
        <w:tc>
          <w:tcPr>
            <w:tcW w:w="59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 – 6</w:t>
            </w:r>
          </w:p>
        </w:tc>
        <w:tc>
          <w:tcPr>
            <w:tcW w:w="0" w:type="dxa"/>
            <w:vAlign w:val="bottom"/>
          </w:tcPr>
          <w:p>
            <w:pPr>
              <w:spacing w:after="0"/>
              <w:rPr>
                <w:sz w:val="1"/>
                <w:szCs w:val="1"/>
                <w:color w:val="auto"/>
              </w:rPr>
            </w:pPr>
          </w:p>
        </w:tc>
      </w:tr>
      <w:tr>
        <w:trPr>
          <w:trHeight w:val="304"/>
        </w:trPr>
        <w:tc>
          <w:tcPr>
            <w:tcW w:w="4920" w:type="dxa"/>
            <w:vAlign w:val="bottom"/>
            <w:gridSpan w:val="12"/>
          </w:tcPr>
          <w:p>
            <w:pPr>
              <w:spacing w:after="0"/>
              <w:rPr>
                <w:rFonts w:ascii="Times New Roman" w:cs="Times New Roman" w:eastAsia="Times New Roman" w:hAnsi="Times New Roman"/>
                <w:sz w:val="18"/>
                <w:szCs w:val="18"/>
                <w:color w:val="0000EE"/>
              </w:rPr>
            </w:pPr>
            <w:hyperlink w:anchor="page99">
              <w:r>
                <w:rPr>
                  <w:rFonts w:ascii="Times New Roman" w:cs="Times New Roman" w:eastAsia="Times New Roman" w:hAnsi="Times New Roman"/>
                  <w:sz w:val="18"/>
                  <w:szCs w:val="18"/>
                  <w:color w:val="0000EE"/>
                </w:rPr>
                <w:t>Consolidated Statements of Cash Flows</w:t>
              </w:r>
            </w:hyperlink>
          </w:p>
        </w:tc>
        <w:tc>
          <w:tcPr>
            <w:tcW w:w="59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 – 7</w:t>
            </w:r>
          </w:p>
        </w:tc>
        <w:tc>
          <w:tcPr>
            <w:tcW w:w="0" w:type="dxa"/>
            <w:vAlign w:val="bottom"/>
          </w:tcPr>
          <w:p>
            <w:pPr>
              <w:spacing w:after="0"/>
              <w:rPr>
                <w:sz w:val="1"/>
                <w:szCs w:val="1"/>
                <w:color w:val="auto"/>
              </w:rPr>
            </w:pPr>
          </w:p>
        </w:tc>
      </w:tr>
      <w:tr>
        <w:trPr>
          <w:trHeight w:val="20"/>
        </w:trPr>
        <w:tc>
          <w:tcPr>
            <w:tcW w:w="216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920" w:type="dxa"/>
            <w:vAlign w:val="bottom"/>
            <w:gridSpan w:val="12"/>
          </w:tcPr>
          <w:p>
            <w:pPr>
              <w:spacing w:after="0"/>
              <w:rPr>
                <w:rFonts w:ascii="Times New Roman" w:cs="Times New Roman" w:eastAsia="Times New Roman" w:hAnsi="Times New Roman"/>
                <w:sz w:val="18"/>
                <w:szCs w:val="18"/>
                <w:color w:val="0000EE"/>
              </w:rPr>
            </w:pPr>
            <w:hyperlink w:anchor="page102">
              <w:r>
                <w:rPr>
                  <w:rFonts w:ascii="Times New Roman" w:cs="Times New Roman" w:eastAsia="Times New Roman" w:hAnsi="Times New Roman"/>
                  <w:sz w:val="18"/>
                  <w:szCs w:val="18"/>
                  <w:color w:val="0000EE"/>
                </w:rPr>
                <w:t>Notes to Consolidated Financial Statements</w:t>
              </w:r>
            </w:hyperlink>
          </w:p>
        </w:tc>
        <w:tc>
          <w:tcPr>
            <w:tcW w:w="59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 – 10</w:t>
            </w:r>
          </w:p>
        </w:tc>
        <w:tc>
          <w:tcPr>
            <w:tcW w:w="0" w:type="dxa"/>
            <w:vAlign w:val="bottom"/>
          </w:tcPr>
          <w:p>
            <w:pPr>
              <w:spacing w:after="0"/>
              <w:rPr>
                <w:sz w:val="1"/>
                <w:szCs w:val="1"/>
                <w:color w:val="auto"/>
              </w:rPr>
            </w:pPr>
          </w:p>
        </w:tc>
      </w:tr>
      <w:tr>
        <w:trPr>
          <w:trHeight w:val="304"/>
        </w:trPr>
        <w:tc>
          <w:tcPr>
            <w:tcW w:w="308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143">
              <w:r>
                <w:rPr>
                  <w:rFonts w:ascii="Times New Roman" w:cs="Times New Roman" w:eastAsia="Times New Roman" w:hAnsi="Times New Roman"/>
                  <w:sz w:val="18"/>
                  <w:szCs w:val="18"/>
                  <w:color w:val="0000EE"/>
                </w:rPr>
                <w:t>Quarterly Financial Data (Unaudited)</w:t>
              </w:r>
            </w:hyperlink>
          </w:p>
        </w:tc>
        <w:tc>
          <w:tcPr>
            <w:tcW w:w="1840" w:type="dxa"/>
            <w:vAlign w:val="bottom"/>
            <w:gridSpan w:val="5"/>
          </w:tcPr>
          <w:p>
            <w:pPr>
              <w:spacing w:after="0"/>
              <w:rPr>
                <w:sz w:val="24"/>
                <w:szCs w:val="24"/>
                <w:color w:val="auto"/>
              </w:rPr>
            </w:pPr>
          </w:p>
        </w:tc>
        <w:tc>
          <w:tcPr>
            <w:tcW w:w="59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 – 51</w:t>
            </w:r>
          </w:p>
        </w:tc>
        <w:tc>
          <w:tcPr>
            <w:tcW w:w="0" w:type="dxa"/>
            <w:vAlign w:val="bottom"/>
          </w:tcPr>
          <w:p>
            <w:pPr>
              <w:spacing w:after="0"/>
              <w:rPr>
                <w:sz w:val="1"/>
                <w:szCs w:val="1"/>
                <w:color w:val="auto"/>
              </w:rPr>
            </w:pPr>
          </w:p>
        </w:tc>
      </w:tr>
      <w:tr>
        <w:trPr>
          <w:trHeight w:val="304"/>
        </w:trPr>
        <w:tc>
          <w:tcPr>
            <w:tcW w:w="264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auto"/>
              </w:rPr>
              <w:t>Financial Statement Schedules</w:t>
            </w:r>
          </w:p>
        </w:tc>
        <w:tc>
          <w:tcPr>
            <w:tcW w:w="2280" w:type="dxa"/>
            <w:vAlign w:val="bottom"/>
            <w:gridSpan w:val="7"/>
          </w:tcPr>
          <w:p>
            <w:pPr>
              <w:spacing w:after="0"/>
              <w:rPr>
                <w:sz w:val="24"/>
                <w:szCs w:val="24"/>
                <w:color w:val="auto"/>
              </w:rPr>
            </w:pPr>
          </w:p>
        </w:tc>
        <w:tc>
          <w:tcPr>
            <w:tcW w:w="5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60" w:type="dxa"/>
            <w:vAlign w:val="bottom"/>
            <w:gridSpan w:val="3"/>
            <w:shd w:val="clear" w:color="auto" w:fill="000000"/>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920" w:type="dxa"/>
            <w:vAlign w:val="bottom"/>
            <w:gridSpan w:val="12"/>
          </w:tcPr>
          <w:p>
            <w:pPr>
              <w:spacing w:after="0"/>
              <w:rPr>
                <w:rFonts w:ascii="Times New Roman" w:cs="Times New Roman" w:eastAsia="Times New Roman" w:hAnsi="Times New Roman"/>
                <w:sz w:val="18"/>
                <w:szCs w:val="18"/>
                <w:color w:val="0000EE"/>
              </w:rPr>
            </w:pPr>
            <w:hyperlink w:anchor="page145">
              <w:r>
                <w:rPr>
                  <w:rFonts w:ascii="Times New Roman" w:cs="Times New Roman" w:eastAsia="Times New Roman" w:hAnsi="Times New Roman"/>
                  <w:sz w:val="18"/>
                  <w:szCs w:val="18"/>
                  <w:color w:val="0000EE"/>
                </w:rPr>
                <w:t>Schedule I – Condensed Financial Information of Registrant</w:t>
              </w:r>
            </w:hyperlink>
          </w:p>
        </w:tc>
        <w:tc>
          <w:tcPr>
            <w:tcW w:w="59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 – 53</w:t>
            </w:r>
          </w:p>
        </w:tc>
        <w:tc>
          <w:tcPr>
            <w:tcW w:w="0" w:type="dxa"/>
            <w:vAlign w:val="bottom"/>
          </w:tcPr>
          <w:p>
            <w:pPr>
              <w:spacing w:after="0"/>
              <w:rPr>
                <w:sz w:val="1"/>
                <w:szCs w:val="1"/>
                <w:color w:val="auto"/>
              </w:rPr>
            </w:pPr>
          </w:p>
        </w:tc>
      </w:tr>
      <w:tr>
        <w:trPr>
          <w:trHeight w:val="304"/>
        </w:trPr>
        <w:tc>
          <w:tcPr>
            <w:tcW w:w="4240" w:type="dxa"/>
            <w:vAlign w:val="bottom"/>
            <w:tcBorders>
              <w:top w:val="single" w:sz="8" w:color="0000EE"/>
            </w:tcBorders>
            <w:gridSpan w:val="11"/>
          </w:tcPr>
          <w:p>
            <w:pPr>
              <w:spacing w:after="0"/>
              <w:rPr>
                <w:rFonts w:ascii="Times New Roman" w:cs="Times New Roman" w:eastAsia="Times New Roman" w:hAnsi="Times New Roman"/>
                <w:sz w:val="18"/>
                <w:szCs w:val="18"/>
                <w:color w:val="0000EE"/>
              </w:rPr>
            </w:pPr>
            <w:hyperlink w:anchor="page149">
              <w:r>
                <w:rPr>
                  <w:rFonts w:ascii="Times New Roman" w:cs="Times New Roman" w:eastAsia="Times New Roman" w:hAnsi="Times New Roman"/>
                  <w:sz w:val="18"/>
                  <w:szCs w:val="18"/>
                  <w:color w:val="0000EE"/>
                </w:rPr>
                <w:t>Schedule II – Valuation and Qualifying Accounts</w:t>
              </w:r>
            </w:hyperlink>
          </w:p>
        </w:tc>
        <w:tc>
          <w:tcPr>
            <w:tcW w:w="68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 – 57</w:t>
            </w:r>
          </w:p>
        </w:tc>
        <w:tc>
          <w:tcPr>
            <w:tcW w:w="0" w:type="dxa"/>
            <w:vAlign w:val="bottom"/>
          </w:tcPr>
          <w:p>
            <w:pPr>
              <w:spacing w:after="0"/>
              <w:rPr>
                <w:sz w:val="1"/>
                <w:szCs w:val="1"/>
                <w:color w:val="auto"/>
              </w:rPr>
            </w:pPr>
          </w:p>
        </w:tc>
      </w:tr>
      <w:tr>
        <w:trPr>
          <w:trHeight w:val="383"/>
        </w:trPr>
        <w:tc>
          <w:tcPr>
            <w:tcW w:w="148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0" w:type="dxa"/>
            <w:vAlign w:val="bottom"/>
            <w:gridSpan w:val="2"/>
          </w:tcPr>
          <w:p>
            <w:pPr>
              <w:jc w:val="right"/>
              <w:ind w:right="5394"/>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5" w:right="3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540" w:firstLine="3648"/>
        <w:spacing w:after="0" w:line="438" w:lineRule="auto"/>
        <w:rPr>
          <w:sz w:val="20"/>
          <w:szCs w:val="20"/>
          <w:color w:val="auto"/>
        </w:rPr>
      </w:pPr>
      <w:r>
        <w:rPr>
          <w:rFonts w:ascii="Times New Roman" w:cs="Times New Roman" w:eastAsia="Times New Roman" w:hAnsi="Times New Roman"/>
          <w:sz w:val="18"/>
          <w:szCs w:val="18"/>
          <w:color w:val="auto"/>
        </w:rPr>
        <w:t>Report of Independent Registered Public Accounting Firm The Board of Directors and Stockholders of LSB Industries, Inc.</w:t>
      </w:r>
    </w:p>
    <w:p>
      <w:pPr>
        <w:spacing w:after="0" w:line="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LSB Industries, Inc. as of December 31, 2012 and 2011, and the related consolidated statements of income, stockholders’ equity, and cash flows for each of the three years in the period ended December 31, 2012. Our audits also included the financial statement schedules listed in the Index at Item 15(a)(2). These financial statements and schedules are the responsibility of the Company’s management. Our responsibility is to express an opinion on these financial statements and schedules based on our audits.</w:t>
      </w:r>
    </w:p>
    <w:p>
      <w:pPr>
        <w:spacing w:after="0" w:line="13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consolidated financial position of LSB Industries, Inc. at December 31, 2012 and 2011, and the consolidated results of its operations and its cash flows for each of the three years in the period ended December 31, 2012, in conformity with U.S. generally accepted accounting principles. Also, in our opinion, the related financial statement schedules, when considered in relation to the basic financial statements taken as a whole, present fairly in all material respects the information set forth therein.</w:t>
      </w:r>
    </w:p>
    <w:p>
      <w:pPr>
        <w:spacing w:after="0" w:line="136"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LSB Industries, Inc.’s internal control over financial reporting as of December 31, 2012, based on criteria established in Internal Control-Integrated Framework issued by the Committee of Sponsoring Organizations of the Treadway Commission and our report dated February 28, 2013 expressed an unqualified opinion thereon.</w:t>
      </w:r>
    </w:p>
    <w:p>
      <w:pPr>
        <w:spacing w:after="0" w:line="13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Oklahoma City, Oklahoma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2013</w:t>
      </w:r>
    </w:p>
    <w:p>
      <w:pPr>
        <w:spacing w:after="0" w:line="1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320"/>
          </w:cols>
          <w:pgMar w:left="240" w:top="455" w:right="3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2012</w:t>
            </w: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4"/>
          </w:tcPr>
          <w:p>
            <w:pPr>
              <w:ind w:left="320"/>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98,020</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$124,929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Restricted cash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Short-term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82,801</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Inventories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64,973</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Supplies, prepaid items and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Prepaid insurance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10,049</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Precious metals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13,528</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Supplies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9,855</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Fair value of derivatives and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170</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Prepaid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2,096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Total supplies, prepaid items and 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35,698</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Deferred income taxes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3,224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5"/>
              </w:rPr>
              <w:t>284,747</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5"/>
              </w:rPr>
              <w:t>281,871</w:t>
            </w:r>
          </w:p>
        </w:tc>
        <w:tc>
          <w:tcPr>
            <w:tcW w:w="3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164,547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Investment in affiliate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1,809</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1,724</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net</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6,461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9,994</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576,612</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502,009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 on following page)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420"/>
          </w:cols>
          <w:pgMar w:left="240" w:top="455" w:right="23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 (continued)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2012</w:t>
            </w: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5"/>
          </w:tcPr>
          <w:p>
            <w:pPr>
              <w:jc w:val="right"/>
              <w:ind w:right="333"/>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68,333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Short-term financing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9,254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34,698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4,798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5"/>
              </w:rPr>
              <w:t>117,083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67,643</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accrued and other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16,369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21,020</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Series B 12% cumulative, convertible preferred stock, $100 par value; 20,000 shares issued and outstanding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2,000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Series D 6% cumulative, convertible Class C preferred stock, no par value; 1,000,000 shares issued and outstanding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40" w:type="dxa"/>
            <w:vAlign w:val="bottom"/>
            <w:shd w:val="clear" w:color="auto" w:fill="CCEEFF"/>
          </w:tcPr>
          <w:p>
            <w:pPr>
              <w:ind w:left="420"/>
              <w:spacing w:after="0" w:line="201" w:lineRule="exact"/>
              <w:rPr>
                <w:sz w:val="20"/>
                <w:szCs w:val="20"/>
                <w:color w:val="auto"/>
              </w:rPr>
            </w:pPr>
            <w:r>
              <w:rPr>
                <w:rFonts w:ascii="Times New Roman" w:cs="Times New Roman" w:eastAsia="Times New Roman" w:hAnsi="Times New Roman"/>
                <w:sz w:val="18"/>
                <w:szCs w:val="18"/>
                <w:color w:val="auto"/>
              </w:rPr>
              <w:t>Common stock, $.10 par value; 75,000,000 shares authorized, 26,731,360 shares issued (26,638,285 shares at December 31,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2,673</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2011)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gridSpan w:val="2"/>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5"/>
              </w:rPr>
              <w:t>165,006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162,092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Retained earnings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5"/>
              </w:rPr>
              <w:t>212,192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153,888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382,871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321,644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Less treasury stock, at cost: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Common stock, 4,320,462 shares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28,374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5"/>
              </w:rPr>
              <w:t>354,497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293,270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576,612</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502,009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420"/>
          </w:cols>
          <w:pgMar w:left="240" w:top="455" w:right="23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Income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20" w:type="dxa"/>
            <w:vAlign w:val="bottom"/>
            <w:gridSpan w:val="9"/>
          </w:tcPr>
          <w:p>
            <w:pPr>
              <w:jc w:val="center"/>
              <w:ind w:left="434"/>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2012</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2011</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20" w:type="dxa"/>
            <w:vAlign w:val="bottom"/>
            <w:gridSpan w:val="10"/>
          </w:tcPr>
          <w:p>
            <w:pPr>
              <w:jc w:val="center"/>
              <w:spacing w:after="0" w:line="142" w:lineRule="exact"/>
              <w:rPr>
                <w:sz w:val="20"/>
                <w:szCs w:val="20"/>
                <w:color w:val="auto"/>
              </w:rPr>
            </w:pPr>
            <w:r>
              <w:rPr>
                <w:rFonts w:ascii="Times New Roman" w:cs="Times New Roman" w:eastAsia="Times New Roman" w:hAnsi="Times New Roman"/>
                <w:sz w:val="14"/>
                <w:szCs w:val="14"/>
                <w:color w:val="auto"/>
                <w:w w:val="96"/>
              </w:rPr>
              <w:t>(In Thousands, Except Per Share Amounts)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5"/>
              </w:rPr>
              <w:t>759,031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805,256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609,905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575,295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5"/>
              </w:rPr>
              <w:t>582,238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471,280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183,736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223,018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138,625</w:t>
            </w:r>
          </w:p>
        </w:tc>
        <w:tc>
          <w:tcPr>
            <w:tcW w:w="0" w:type="dxa"/>
            <w:vAlign w:val="bottom"/>
          </w:tcPr>
          <w:p>
            <w:pPr>
              <w:spacing w:after="0"/>
              <w:rPr>
                <w:sz w:val="1"/>
                <w:szCs w:val="1"/>
                <w:color w:val="auto"/>
              </w:rPr>
            </w:pPr>
          </w:p>
        </w:tc>
      </w:tr>
      <w:tr>
        <w:trPr>
          <w:trHeight w:val="322"/>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89,988</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86,343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89,720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Provisions for (recovery of) losses on accounts receivable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2,118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(3,811)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(8,427)</w:t>
            </w:r>
          </w:p>
        </w:tc>
        <w:tc>
          <w:tcPr>
            <w:tcW w:w="0" w:type="dxa"/>
            <w:vAlign w:val="bottom"/>
          </w:tcPr>
          <w:p>
            <w:pPr>
              <w:spacing w:after="0"/>
              <w:rPr>
                <w:sz w:val="1"/>
                <w:szCs w:val="1"/>
                <w:color w:val="auto"/>
              </w:rPr>
            </w:pPr>
          </w:p>
        </w:tc>
      </w:tr>
      <w:tr>
        <w:trPr>
          <w:trHeight w:val="224"/>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95,655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136,443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86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4,237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Losses on extinguishment of debt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other income,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3"/>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continuing operations before provisions for income taxes and equity in earnings of affiliate</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91,699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129,649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Provisions for income taxes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33,594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46,208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Equity in earnings of affiliate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58,786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83,984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29,715</w:t>
            </w:r>
          </w:p>
        </w:tc>
        <w:tc>
          <w:tcPr>
            <w:tcW w:w="0" w:type="dxa"/>
            <w:vAlign w:val="bottom"/>
          </w:tcPr>
          <w:p>
            <w:pPr>
              <w:spacing w:after="0"/>
              <w:rPr>
                <w:sz w:val="1"/>
                <w:szCs w:val="1"/>
                <w:color w:val="auto"/>
              </w:rPr>
            </w:pPr>
          </w:p>
        </w:tc>
      </w:tr>
      <w:tr>
        <w:trPr>
          <w:trHeight w:val="323"/>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58,604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83,842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29,574</w:t>
            </w:r>
          </w:p>
        </w:tc>
        <w:tc>
          <w:tcPr>
            <w:tcW w:w="0" w:type="dxa"/>
            <w:vAlign w:val="bottom"/>
          </w:tcPr>
          <w:p>
            <w:pPr>
              <w:spacing w:after="0"/>
              <w:rPr>
                <w:sz w:val="1"/>
                <w:szCs w:val="1"/>
                <w:color w:val="auto"/>
              </w:rPr>
            </w:pPr>
          </w:p>
        </w:tc>
      </w:tr>
      <w:tr>
        <w:trPr>
          <w:trHeight w:val="323"/>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on preferred stocks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applicable to common stock</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58,304</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83,537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29,269</w:t>
            </w:r>
          </w:p>
        </w:tc>
        <w:tc>
          <w:tcPr>
            <w:tcW w:w="0" w:type="dxa"/>
            <w:vAlign w:val="bottom"/>
          </w:tcPr>
          <w:p>
            <w:pPr>
              <w:spacing w:after="0"/>
              <w:rPr>
                <w:sz w:val="1"/>
                <w:szCs w:val="1"/>
                <w:color w:val="auto"/>
              </w:rPr>
            </w:pPr>
          </w:p>
        </w:tc>
      </w:tr>
      <w:tr>
        <w:trPr>
          <w:trHeight w:val="20"/>
        </w:trPr>
        <w:tc>
          <w:tcPr>
            <w:tcW w:w="8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Income (loss) per common share:</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2.62</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2.50</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420"/>
          </w:cols>
          <w:pgMar w:left="240" w:top="455" w:right="2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Stockholders’ Equity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4"/>
              </w:rPr>
              <w:t>Non-</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82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Common</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2"/>
              </w:rPr>
              <w:t>Redeemable</w:t>
            </w:r>
          </w:p>
        </w:tc>
        <w:tc>
          <w:tcPr>
            <w:tcW w:w="280" w:type="dxa"/>
            <w:vAlign w:val="bottom"/>
          </w:tcPr>
          <w:p>
            <w:pPr>
              <w:spacing w:after="0"/>
              <w:rPr>
                <w:sz w:val="12"/>
                <w:szCs w:val="12"/>
                <w:color w:val="auto"/>
              </w:rPr>
            </w:pPr>
          </w:p>
        </w:tc>
        <w:tc>
          <w:tcPr>
            <w:tcW w:w="8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9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Capital in</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w w:val="94"/>
              </w:rPr>
              <w:t>Treasury</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82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Preferred</w:t>
            </w:r>
          </w:p>
        </w:tc>
        <w:tc>
          <w:tcPr>
            <w:tcW w:w="28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 Par</w:t>
            </w:r>
          </w:p>
        </w:tc>
        <w:tc>
          <w:tcPr>
            <w:tcW w:w="9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Excess of</w:t>
            </w:r>
          </w:p>
        </w:tc>
        <w:tc>
          <w:tcPr>
            <w:tcW w:w="86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820" w:type="dxa"/>
            <w:vAlign w:val="bottom"/>
            <w:gridSpan w:val="2"/>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w w:val="94"/>
              </w:rPr>
              <w:t>Stock-</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8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40" w:type="dxa"/>
            <w:vAlign w:val="bottom"/>
          </w:tcPr>
          <w:p>
            <w:pPr>
              <w:spacing w:after="0"/>
              <w:rPr>
                <w:sz w:val="14"/>
                <w:szCs w:val="14"/>
                <w:color w:val="auto"/>
              </w:rPr>
            </w:pPr>
          </w:p>
        </w:tc>
        <w:tc>
          <w:tcPr>
            <w:tcW w:w="58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8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4"/>
                <w:szCs w:val="14"/>
                <w:color w:val="auto"/>
              </w:rPr>
            </w:pPr>
          </w:p>
        </w:tc>
        <w:tc>
          <w:tcPr>
            <w:tcW w:w="820" w:type="dxa"/>
            <w:vAlign w:val="bottom"/>
            <w:gridSpan w:val="2"/>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12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2009</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25,369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2,537</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7"/>
              </w:rPr>
              <w:t>$129,941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41,082</w:t>
            </w:r>
          </w:p>
        </w:tc>
        <w:tc>
          <w:tcPr>
            <w:tcW w:w="940" w:type="dxa"/>
            <w:vAlign w:val="bottom"/>
            <w:gridSpan w:val="3"/>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 (25,953)</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29,574</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 on preferred stocks</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Excess income tax benefit associated with stock-based compensation</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177,100 shares of common stock</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(2,421)</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Conversion of 37 shares of redeemable preferred stock to common</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2010</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2,548</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131,845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70,351</w:t>
            </w:r>
          </w:p>
        </w:tc>
        <w:tc>
          <w:tcPr>
            <w:tcW w:w="940" w:type="dxa"/>
            <w:vAlign w:val="bottom"/>
            <w:gridSpan w:val="3"/>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(28,374)</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83,842</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83,842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 on preferred stocks</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convertible debt to common stock</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98</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26,806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1,179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Excess income tax benefit associated with stock-based compensation</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Conversion of 13 shares of redeemable preferred stock to common</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2011</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2,664</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162,092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5"/>
              </w:rPr>
              <w:t>153,888</w:t>
            </w:r>
          </w:p>
        </w:tc>
        <w:tc>
          <w:tcPr>
            <w:tcW w:w="940" w:type="dxa"/>
            <w:vAlign w:val="bottom"/>
            <w:gridSpan w:val="3"/>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(28,374)</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58,604</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58,604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 on preferred stocks</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(300)</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1,652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9</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758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Excess income tax benefit associated with stock-based compensation</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498</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Conversion of 68 shares of redeemable preferred stock to common</w:t>
            </w:r>
          </w:p>
        </w:tc>
        <w:tc>
          <w:tcPr>
            <w:tcW w:w="5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w:t>
            </w:r>
          </w:p>
        </w:tc>
        <w:tc>
          <w:tcPr>
            <w:tcW w:w="560" w:type="dxa"/>
            <w:vAlign w:val="bottom"/>
            <w:gridSpan w:val="2"/>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December 31, 2012</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26,731</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3,000</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2,673</w:t>
            </w: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7"/>
              </w:rPr>
              <w:t>$</w:t>
            </w:r>
            <w:r>
              <w:rPr>
                <w:rFonts w:ascii="Times New Roman" w:cs="Times New Roman" w:eastAsia="Times New Roman" w:hAnsi="Times New Roman"/>
                <w:sz w:val="18"/>
                <w:szCs w:val="18"/>
                <w:b w:val="1"/>
                <w:bCs w:val="1"/>
                <w:color w:val="auto"/>
                <w:w w:val="97"/>
              </w:rPr>
              <w:t>165,006</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212,192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(28,374</w:t>
            </w:r>
          </w:p>
        </w:tc>
        <w:tc>
          <w:tcPr>
            <w:tcW w:w="180" w:type="dxa"/>
            <w:vAlign w:val="bottom"/>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7"/>
              </w:rPr>
              <w:t>$</w:t>
            </w:r>
            <w:r>
              <w:rPr>
                <w:rFonts w:ascii="Times New Roman" w:cs="Times New Roman" w:eastAsia="Times New Roman" w:hAnsi="Times New Roman"/>
                <w:sz w:val="18"/>
                <w:szCs w:val="18"/>
                <w:b w:val="1"/>
                <w:bCs w:val="1"/>
                <w:color w:val="auto"/>
                <w:w w:val="97"/>
              </w:rPr>
              <w:t>354,497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 on following page)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420"/>
          </w:cols>
          <w:pgMar w:left="240" w:top="455" w:right="23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8400" w:type="dxa"/>
            <w:vAlign w:val="bottom"/>
          </w:tcPr>
          <w:p>
            <w:pPr>
              <w:spacing w:after="0"/>
              <w:rPr>
                <w:sz w:val="14"/>
                <w:szCs w:val="14"/>
                <w:color w:val="auto"/>
              </w:rPr>
            </w:pPr>
          </w:p>
        </w:tc>
        <w:tc>
          <w:tcPr>
            <w:tcW w:w="58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2012</w:t>
            </w:r>
          </w:p>
        </w:tc>
        <w:tc>
          <w:tcPr>
            <w:tcW w:w="80" w:type="dxa"/>
            <w:vAlign w:val="bottom"/>
          </w:tcPr>
          <w:p>
            <w:pPr>
              <w:spacing w:after="0"/>
              <w:rPr>
                <w:sz w:val="14"/>
                <w:szCs w:val="14"/>
                <w:color w:val="auto"/>
              </w:rPr>
            </w:pPr>
          </w:p>
        </w:tc>
        <w:tc>
          <w:tcPr>
            <w:tcW w:w="1180" w:type="dxa"/>
            <w:vAlign w:val="bottom"/>
            <w:gridSpan w:val="2"/>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2011</w:t>
            </w:r>
          </w:p>
        </w:tc>
        <w:tc>
          <w:tcPr>
            <w:tcW w:w="400" w:type="dxa"/>
            <w:vAlign w:val="bottom"/>
          </w:tcPr>
          <w:p>
            <w:pPr>
              <w:spacing w:after="0"/>
              <w:rPr>
                <w:sz w:val="14"/>
                <w:szCs w:val="14"/>
                <w:color w:val="auto"/>
              </w:rPr>
            </w:pPr>
          </w:p>
        </w:tc>
        <w:tc>
          <w:tcPr>
            <w:tcW w:w="680" w:type="dxa"/>
            <w:vAlign w:val="bottom"/>
            <w:gridSpan w:val="2"/>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14"/>
                <w:szCs w:val="14"/>
                <w:color w:val="auto"/>
              </w:rPr>
            </w:pPr>
          </w:p>
        </w:tc>
      </w:tr>
      <w:tr>
        <w:trPr>
          <w:trHeight w:val="142"/>
        </w:trPr>
        <w:tc>
          <w:tcPr>
            <w:tcW w:w="84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3"/>
              </w:rPr>
              <w:t>(In Thousands)</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continuing operating activities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5"/>
              </w:rPr>
              <w:t>$58,604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83,842</w:t>
            </w:r>
          </w:p>
        </w:tc>
        <w:tc>
          <w:tcPr>
            <w:tcW w:w="40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$ 29,574</w:t>
            </w: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continuing operating activities: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182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40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84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Deferred income taxes</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245</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8,688</w:t>
            </w:r>
          </w:p>
        </w:tc>
        <w:tc>
          <w:tcPr>
            <w:tcW w:w="4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2,310</w:t>
            </w:r>
          </w:p>
        </w:tc>
      </w:tr>
      <w:tr>
        <w:trPr>
          <w:trHeight w:val="216"/>
        </w:trPr>
        <w:tc>
          <w:tcPr>
            <w:tcW w:w="8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Losses on extinguishment of debt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40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4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Expense associated with modification of secured term loan</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Expense associated with induced conversion of 5.5% convertible debentures</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gains on carbon credits</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(155)</w:t>
            </w:r>
          </w:p>
        </w:tc>
        <w:tc>
          <w:tcPr>
            <w:tcW w:w="15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(151)</w:t>
            </w: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Losses on sales and disposals of property and equipment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996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40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460</w:t>
            </w:r>
          </w:p>
        </w:tc>
      </w:tr>
      <w:tr>
        <w:trPr>
          <w:trHeight w:val="216"/>
        </w:trPr>
        <w:tc>
          <w:tcPr>
            <w:tcW w:w="84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Gains on property insurance recoveries associated with property, plant and equipment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(7,500)</w:t>
            </w:r>
          </w:p>
        </w:tc>
      </w:tr>
      <w:tr>
        <w:trPr>
          <w:trHeight w:val="216"/>
        </w:trPr>
        <w:tc>
          <w:tcPr>
            <w:tcW w:w="8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Depreciation, depletion and amortization of property, plant and equipment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20,681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18,762</w:t>
            </w:r>
          </w:p>
        </w:tc>
        <w:tc>
          <w:tcPr>
            <w:tcW w:w="40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17,329</w:t>
            </w:r>
          </w:p>
        </w:tc>
      </w:tr>
      <w:tr>
        <w:trPr>
          <w:trHeight w:val="216"/>
        </w:trPr>
        <w:tc>
          <w:tcPr>
            <w:tcW w:w="84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Amortization of other assets</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328</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4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651</w:t>
            </w:r>
          </w:p>
        </w:tc>
      </w:tr>
      <w:tr>
        <w:trPr>
          <w:trHeight w:val="216"/>
        </w:trPr>
        <w:tc>
          <w:tcPr>
            <w:tcW w:w="8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Stock-based compensation</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1,652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40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1,005</w:t>
            </w:r>
          </w:p>
        </w:tc>
      </w:tr>
      <w:tr>
        <w:trPr>
          <w:trHeight w:val="216"/>
        </w:trPr>
        <w:tc>
          <w:tcPr>
            <w:tcW w:w="84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Provisions for (recovery of) losses on accounts receivable</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(214)</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4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8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Provisions for losses on inventory</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1,140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40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84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Provision for (realization of) losses on firm sales commitments</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212</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(371)</w:t>
            </w:r>
          </w:p>
        </w:tc>
      </w:tr>
      <w:tr>
        <w:trPr>
          <w:trHeight w:val="216"/>
        </w:trPr>
        <w:tc>
          <w:tcPr>
            <w:tcW w:w="8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Equity in earnings of affiliate</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(681)</w:t>
            </w:r>
          </w:p>
        </w:tc>
        <w:tc>
          <w:tcPr>
            <w:tcW w:w="15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(543)</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(1,003)</w:t>
            </w:r>
          </w:p>
        </w:tc>
      </w:tr>
      <w:tr>
        <w:trPr>
          <w:trHeight w:val="216"/>
        </w:trPr>
        <w:tc>
          <w:tcPr>
            <w:tcW w:w="84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Distributions received from affiliate</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1,782</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4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825</w:t>
            </w:r>
          </w:p>
        </w:tc>
      </w:tr>
      <w:tr>
        <w:trPr>
          <w:trHeight w:val="216"/>
        </w:trPr>
        <w:tc>
          <w:tcPr>
            <w:tcW w:w="8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Changes in fair value of commodities contracts</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(79)</w:t>
            </w:r>
          </w:p>
        </w:tc>
        <w:tc>
          <w:tcPr>
            <w:tcW w:w="15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(11)</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(761)</w:t>
            </w:r>
          </w:p>
        </w:tc>
      </w:tr>
      <w:tr>
        <w:trPr>
          <w:trHeight w:val="216"/>
        </w:trPr>
        <w:tc>
          <w:tcPr>
            <w:tcW w:w="84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Changes in fair value of interest rate contracts</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(367)</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4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8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4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Cash provided (used) by changes in assets and liabilities (net of effects of discontinued operations):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Accounts receivable</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7,935</w:t>
            </w:r>
          </w:p>
        </w:tc>
        <w:tc>
          <w:tcPr>
            <w:tcW w:w="15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(13,451)</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(17,340)</w:t>
            </w:r>
          </w:p>
        </w:tc>
      </w:tr>
      <w:tr>
        <w:trPr>
          <w:trHeight w:val="216"/>
        </w:trPr>
        <w:tc>
          <w:tcPr>
            <w:tcW w:w="84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Inventories</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(6,607)</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(9,277)</w:t>
            </w:r>
          </w:p>
        </w:tc>
      </w:tr>
      <w:tr>
        <w:trPr>
          <w:trHeight w:val="216"/>
        </w:trPr>
        <w:tc>
          <w:tcPr>
            <w:tcW w:w="84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Prepaid and accrued income taxes</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11,013</w:t>
            </w:r>
          </w:p>
        </w:tc>
        <w:tc>
          <w:tcPr>
            <w:tcW w:w="15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(12,805)</w:t>
            </w: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5,947</w:t>
            </w:r>
          </w:p>
        </w:tc>
      </w:tr>
      <w:tr>
        <w:trPr>
          <w:trHeight w:val="216"/>
        </w:trPr>
        <w:tc>
          <w:tcPr>
            <w:tcW w:w="84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Other supplies, prepaid items and other</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(2,254)</w:t>
            </w:r>
          </w:p>
        </w:tc>
        <w:tc>
          <w:tcPr>
            <w:tcW w:w="15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(8,755)</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(1,585)</w:t>
            </w:r>
          </w:p>
        </w:tc>
      </w:tr>
      <w:tr>
        <w:trPr>
          <w:trHeight w:val="216"/>
        </w:trPr>
        <w:tc>
          <w:tcPr>
            <w:tcW w:w="84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Accounts payable</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980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40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15,556</w:t>
            </w:r>
          </w:p>
        </w:tc>
      </w:tr>
      <w:tr>
        <w:trPr>
          <w:trHeight w:val="216"/>
        </w:trPr>
        <w:tc>
          <w:tcPr>
            <w:tcW w:w="84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Commodities contracts</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11</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4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84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Customer deposits</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3,684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40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1,951</w:t>
            </w:r>
          </w:p>
        </w:tc>
      </w:tr>
      <w:tr>
        <w:trPr>
          <w:trHeight w:val="216"/>
        </w:trPr>
        <w:tc>
          <w:tcPr>
            <w:tcW w:w="84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Other current and noncurrent liabilities</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383</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4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5,802</w:t>
            </w:r>
          </w:p>
        </w:tc>
      </w:tr>
      <w:tr>
        <w:trPr>
          <w:trHeight w:val="224"/>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continuing operating activities</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99,471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89,971</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44,201</w:t>
            </w:r>
          </w:p>
        </w:tc>
        <w:tc>
          <w:tcPr>
            <w:tcW w:w="100" w:type="dxa"/>
            <w:vAlign w:val="bottom"/>
          </w:tcPr>
          <w:p>
            <w:pPr>
              <w:spacing w:after="0"/>
              <w:rPr>
                <w:sz w:val="19"/>
                <w:szCs w:val="19"/>
                <w:color w:val="auto"/>
              </w:rPr>
            </w:pPr>
          </w:p>
        </w:tc>
      </w:tr>
    </w:tbl>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 on following page)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420"/>
          </w:cols>
          <w:pgMar w:left="240" w:top="455" w:right="23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 (continued)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4"/>
              </w:rPr>
              <w:t>Year Ended December 31,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2012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2011</w:t>
            </w: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w w:val="93"/>
              </w:rPr>
              <w:t>(In Thousands)</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continuing investing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Capital expenditures</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(92,644)</w:t>
            </w:r>
          </w:p>
        </w:tc>
        <w:tc>
          <w:tcPr>
            <w:tcW w:w="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(44,221)</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Acquisition of working interests in natural gas properties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(50,219)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property insurance recovery associated with property, plant and equipment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11,415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sales of property and equipment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(10,032)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(10,014)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short-term investments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20,037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10,012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(deposits of) restricted cash</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sales of carbon credits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2,597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Payments on contractual obligations - carbon credits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(786)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(2,266)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(508)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(816)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224"/>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by continuing investing activities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(121,669)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(44,596)</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8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continuing financing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revolving debt facility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209,238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669,739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540,098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Payments on revolving debt facility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6"/>
              </w:rPr>
              <w:t>(209,238)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(669,739)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(540,098)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secured term loan, net of fees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14,766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modification of secured term loan, net of fees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10,347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other long-term debt, net of fees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Payments associated with induced conversion of 5.5% convertible debentures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Acquisitions of 5.5% convertible debentures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Payments on other long-term debt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(7,019)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(15,345)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Payments on loans secured by cash value of life insurance policies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(1,918)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short-term financing</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11,192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6,775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Payments on short-term financing</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(7,584)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(4,950)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exercises of stock options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1,197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Excess income tax benefit associated with stock-based compensation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1,160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Acquisition of redeemable preferred stock</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Dividends paid on preferred stocks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(used) by continuing financing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(4,491)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12,891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Cash flows of discontinued operations: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Operating cash flows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(220)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24"/>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(26,909)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57,983</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8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124,929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66,946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61,739</w:t>
            </w:r>
          </w:p>
        </w:tc>
        <w:tc>
          <w:tcPr>
            <w:tcW w:w="0" w:type="dxa"/>
            <w:vAlign w:val="bottom"/>
          </w:tcPr>
          <w:p>
            <w:pPr>
              <w:spacing w:after="0"/>
              <w:rPr>
                <w:sz w:val="1"/>
                <w:szCs w:val="1"/>
                <w:color w:val="auto"/>
              </w:rPr>
            </w:pPr>
          </w:p>
        </w:tc>
      </w:tr>
      <w:tr>
        <w:trPr>
          <w:trHeight w:val="223"/>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98,020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124,929</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 on following page)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420"/>
          </w:cols>
          <w:pgMar w:left="240" w:top="455" w:right="23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 (continued)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2012</w:t>
            </w: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2011</w:t>
            </w: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w w:val="93"/>
              </w:rPr>
              <w:t>(In Thousands)</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 for:</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on long-term debt and other</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4,325</w:t>
            </w:r>
          </w:p>
        </w:tc>
        <w:tc>
          <w:tcPr>
            <w:tcW w:w="5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3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2"/>
              </w:rPr>
              <w:t>21,766</w:t>
            </w:r>
          </w:p>
        </w:tc>
        <w:tc>
          <w:tcPr>
            <w:tcW w:w="5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49,129</w:t>
            </w:r>
          </w:p>
        </w:tc>
        <w:tc>
          <w:tcPr>
            <w:tcW w:w="38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11,373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8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Insurance claims receivable associated with property, plant and equipment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546</w:t>
            </w:r>
          </w:p>
        </w:tc>
        <w:tc>
          <w:tcPr>
            <w:tcW w:w="5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40" w:type="dxa"/>
            <w:vAlign w:val="bottom"/>
            <w:shd w:val="clear" w:color="auto" w:fill="CCEEFF"/>
          </w:tcPr>
          <w:p>
            <w:pPr>
              <w:ind w:left="420"/>
              <w:spacing w:after="0" w:line="201" w:lineRule="exact"/>
              <w:rPr>
                <w:sz w:val="20"/>
                <w:szCs w:val="20"/>
                <w:color w:val="auto"/>
              </w:rPr>
            </w:pPr>
            <w:r>
              <w:rPr>
                <w:rFonts w:ascii="Times New Roman" w:cs="Times New Roman" w:eastAsia="Times New Roman" w:hAnsi="Times New Roman"/>
                <w:sz w:val="18"/>
                <w:szCs w:val="18"/>
                <w:color w:val="auto"/>
              </w:rPr>
              <w:t>Other assets, accounts payable, other liabilities, and long-term debt associated with additions of property,</w:t>
            </w:r>
          </w:p>
        </w:tc>
        <w:tc>
          <w:tcPr>
            <w:tcW w:w="4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2"/>
              </w:rPr>
              <w:t>15,522</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plant and equipment</w:t>
            </w:r>
          </w:p>
        </w:tc>
        <w:tc>
          <w:tcPr>
            <w:tcW w:w="440" w:type="dxa"/>
            <w:vAlign w:val="bottom"/>
            <w:gridSpan w:val="2"/>
            <w:vMerge w:val="continue"/>
            <w:shd w:val="clear" w:color="auto" w:fill="CCEEFF"/>
          </w:tcPr>
          <w:p>
            <w:pPr>
              <w:spacing w:after="0"/>
              <w:rPr>
                <w:sz w:val="20"/>
                <w:szCs w:val="20"/>
                <w:color w:val="auto"/>
              </w:rPr>
            </w:pPr>
          </w:p>
        </w:tc>
        <w:tc>
          <w:tcPr>
            <w:tcW w:w="520" w:type="dxa"/>
            <w:vAlign w:val="bottom"/>
            <w:gridSpan w:val="2"/>
            <w:vMerge w:val="continue"/>
            <w:shd w:val="clear" w:color="auto" w:fill="CCEEFF"/>
          </w:tcPr>
          <w:p>
            <w:pPr>
              <w:spacing w:after="0"/>
              <w:rPr>
                <w:sz w:val="20"/>
                <w:szCs w:val="20"/>
                <w:color w:val="auto"/>
              </w:rPr>
            </w:pPr>
          </w:p>
        </w:tc>
        <w:tc>
          <w:tcPr>
            <w:tcW w:w="5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6,289</w:t>
            </w:r>
          </w:p>
        </w:tc>
        <w:tc>
          <w:tcPr>
            <w:tcW w:w="38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Debt issuance costs incurred associated with secured term loan</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3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Debt issuance costs written off associated with 5.5% debentures</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3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liabilities extinguished associated with 5.5% debentures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3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5.5% debentures converted to common stock</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26,900</w:t>
            </w:r>
          </w:p>
        </w:tc>
        <w:tc>
          <w:tcPr>
            <w:tcW w:w="3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420"/>
          </w:cols>
          <w:pgMar w:left="240" w:top="455" w:right="23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9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Basis of Consolidation—</w:t>
      </w:r>
      <w:r>
        <w:rPr>
          <w:rFonts w:ascii="Times New Roman" w:cs="Times New Roman" w:eastAsia="Times New Roman" w:hAnsi="Times New Roman"/>
          <w:sz w:val="18"/>
          <w:szCs w:val="18"/>
          <w:color w:val="auto"/>
        </w:rPr>
        <w:t>LSB Industries, Inc. (“LSB”) and its subsidiaries (the “Company”, “We”, “Us”, or “Our”) are consolidated in the accompanying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consolidated financial statements. We are involved in manufacturing and marketing operations. We are primarily engaged in the manufacture and sale of chemical products (the “Chemical Business”) and the manufacture and sale of geothermal and water source heat pumps and air handling products (the “Climate Control Business”). LSB is a holding company with no significant operations or assets other than cash, cash equivalents, and investments in its subsidiaries. Our Chemical Business’ ownership of working interests in natural gas properties is accounted for as an undivided interest, whereby we reflect our proportionate share of the underlying assets, liabilities, revenues and expenses. Entities that are 20% to 50% owned and for which we have significant influence are accounted for on the equity method. All material intercompany accounts and transactions have been eliminated.</w:t>
      </w:r>
    </w:p>
    <w:p>
      <w:pPr>
        <w:spacing w:after="0" w:line="13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Use of Estimates—</w:t>
      </w:r>
      <w:r>
        <w:rPr>
          <w:rFonts w:ascii="Times New Roman" w:cs="Times New Roman" w:eastAsia="Times New Roman" w:hAnsi="Times New Roman"/>
          <w:sz w:val="18"/>
          <w:szCs w:val="18"/>
          <w:color w:val="auto"/>
        </w:rPr>
        <w:t>The preparation of consolidated financial statements in conformity with United States generally accepted accounting principles (“GAAP”)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33"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6"/>
          <w:szCs w:val="16"/>
          <w:b w:val="1"/>
          <w:bCs w:val="1"/>
          <w:color w:val="auto"/>
        </w:rPr>
        <w:t>Business Combinations—</w:t>
      </w:r>
      <w:r>
        <w:rPr>
          <w:rFonts w:ascii="Times New Roman" w:cs="Times New Roman" w:eastAsia="Times New Roman" w:hAnsi="Times New Roman"/>
          <w:sz w:val="16"/>
          <w:szCs w:val="16"/>
          <w:color w:val="auto"/>
        </w:rPr>
        <w:t>We account for an acquired business using the acquisition method of accounting, which requires that the assets acquired and liabilities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assumed be recorded at the date of acquisition at their respective fair values. If applicable, any excess of the purchase price over the estimated fair values of the net assets acquired is recorded as goodwill. Acquisition-related costs are recognized separately from the business combination and are expensed as incurred.</w:t>
      </w:r>
    </w:p>
    <w:p>
      <w:pPr>
        <w:spacing w:after="0" w:line="93" w:lineRule="exact"/>
        <w:rPr>
          <w:sz w:val="20"/>
          <w:szCs w:val="20"/>
          <w:color w:val="auto"/>
        </w:rPr>
      </w:pPr>
    </w:p>
    <w:p>
      <w:pPr>
        <w:ind w:right="460"/>
        <w:spacing w:after="0" w:line="277" w:lineRule="auto"/>
        <w:rPr>
          <w:sz w:val="20"/>
          <w:szCs w:val="20"/>
          <w:color w:val="auto"/>
        </w:rPr>
      </w:pPr>
      <w:r>
        <w:rPr>
          <w:rFonts w:ascii="Times New Roman" w:cs="Times New Roman" w:eastAsia="Times New Roman" w:hAnsi="Times New Roman"/>
          <w:sz w:val="18"/>
          <w:szCs w:val="18"/>
          <w:b w:val="1"/>
          <w:bCs w:val="1"/>
          <w:color w:val="auto"/>
        </w:rPr>
        <w:t>Cash and Cash Equivalents—</w:t>
      </w:r>
      <w:r>
        <w:rPr>
          <w:rFonts w:ascii="Times New Roman" w:cs="Times New Roman" w:eastAsia="Times New Roman" w:hAnsi="Times New Roman"/>
          <w:sz w:val="18"/>
          <w:szCs w:val="18"/>
          <w:color w:val="auto"/>
        </w:rPr>
        <w:t>Investments, which consist of highly liquid investments with original maturities of three months or less, are considered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equivalents.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r>
        <w:rPr>
          <w:rFonts w:ascii="Times New Roman" w:cs="Times New Roman" w:eastAsia="Times New Roman" w:hAnsi="Times New Roman"/>
          <w:sz w:val="18"/>
          <w:szCs w:val="18"/>
          <w:color w:val="auto"/>
        </w:rPr>
        <w:t>—Restricted cash consists of cash balances that are legally restricted or designated by us for specific purposes.</w:t>
      </w:r>
    </w:p>
    <w:p>
      <w:pPr>
        <w:spacing w:after="0" w:line="171" w:lineRule="exact"/>
        <w:rPr>
          <w:sz w:val="20"/>
          <w:szCs w:val="20"/>
          <w:color w:val="auto"/>
        </w:rPr>
      </w:pPr>
    </w:p>
    <w:p>
      <w:pPr>
        <w:jc w:val="both"/>
        <w:ind w:right="60"/>
        <w:spacing w:after="0" w:line="264" w:lineRule="auto"/>
        <w:rPr>
          <w:sz w:val="20"/>
          <w:szCs w:val="20"/>
          <w:color w:val="auto"/>
        </w:rPr>
      </w:pPr>
      <w:r>
        <w:rPr>
          <w:rFonts w:ascii="Times New Roman" w:cs="Times New Roman" w:eastAsia="Times New Roman" w:hAnsi="Times New Roman"/>
          <w:sz w:val="18"/>
          <w:szCs w:val="18"/>
          <w:b w:val="1"/>
          <w:bCs w:val="1"/>
          <w:color w:val="auto"/>
        </w:rPr>
        <w:t>Short-Term Investments</w:t>
      </w:r>
      <w:r>
        <w:rPr>
          <w:rFonts w:ascii="Times New Roman" w:cs="Times New Roman" w:eastAsia="Times New Roman" w:hAnsi="Times New Roman"/>
          <w:sz w:val="18"/>
          <w:szCs w:val="18"/>
          <w:color w:val="auto"/>
        </w:rPr>
        <w:t>—Investments, which consisted of certificates of deposit with an original maturity of 13 weeks, are considered short-term investments.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investments are carried at cost which approximates fair value. All of these investments were held by financial institutions within the United States (“U.S.”) and none of these investments were in excess of the federally insured limits.</w:t>
      </w:r>
    </w:p>
    <w:p>
      <w:pPr>
        <w:spacing w:after="0" w:line="127"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b w:val="1"/>
          <w:bCs w:val="1"/>
          <w:color w:val="auto"/>
        </w:rPr>
        <w:t>Accounts Receivable</w:t>
      </w:r>
      <w:r>
        <w:rPr>
          <w:rFonts w:ascii="Times New Roman" w:cs="Times New Roman" w:eastAsia="Times New Roman" w:hAnsi="Times New Roman"/>
          <w:sz w:val="18"/>
          <w:szCs w:val="18"/>
          <w:color w:val="auto"/>
        </w:rPr>
        <w:t>—Our accounts receivable are stated at net realizable value. This value includes an appropriate allowance for estimated uncollectible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to reflect any loss anticipated on accounts receivable balances. Our estimate is based on historical experience and periodic assessment of outstanding accounts receivable, particularly those accounts that are past due (based upon the terms of the sale). Our periodic assessment of our accounts receivable is based on our best estimate of amounts that are not recoverable.</w:t>
      </w:r>
    </w:p>
    <w:p>
      <w:pPr>
        <w:spacing w:after="0" w:line="133"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8"/>
          <w:szCs w:val="18"/>
          <w:b w:val="1"/>
          <w:bCs w:val="1"/>
          <w:color w:val="auto"/>
        </w:rPr>
        <w:t>Inventories—</w:t>
      </w:r>
      <w:r>
        <w:rPr>
          <w:rFonts w:ascii="Times New Roman" w:cs="Times New Roman" w:eastAsia="Times New Roman" w:hAnsi="Times New Roman"/>
          <w:sz w:val="18"/>
          <w:szCs w:val="18"/>
          <w:color w:val="auto"/>
        </w:rPr>
        <w:t>Inventories are stated at the lower of cost (determined using the first-in, first-out (“FIFO”) basis) or market (net realizable value). Finished goods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work-in-process inventories include material, labor, and manufacturing overhead costs. Additionally, we review inventories and record inventory reserves for slow-moving inventory items.</w:t>
      </w:r>
    </w:p>
    <w:p>
      <w:pPr>
        <w:spacing w:after="0" w:line="1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Precious Metals—</w:t>
      </w:r>
      <w:r>
        <w:rPr>
          <w:rFonts w:ascii="Times New Roman" w:cs="Times New Roman" w:eastAsia="Times New Roman" w:hAnsi="Times New Roman"/>
          <w:sz w:val="18"/>
          <w:szCs w:val="18"/>
          <w:color w:val="auto"/>
        </w:rPr>
        <w:t>Precious metals are used as a catalyst in the Chemical Business manufacturing process. Precious metals are carried at cost, with cost being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using the FIFO basis. Because some of the catalyst consumed in the production process cannot be readily recovered and the amount and timing of recoveries are not predictable, we follow the practice of expensing precious metals as they are consumed. Occasionally, during major maintenance or capital projects, we may be able to perform procedures to recover precious metals (previously expensed) which have accumulated over time within the manufacturing equipment. Recoveries of precious metals are recognized at historical FIFO costs. When we accumulate precious metals in excess of our production requirements, we may sell a portion of the excess metals.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420"/>
          </w:cols>
          <w:pgMar w:left="240" w:top="455" w:right="23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 (continued)</w:t>
      </w:r>
    </w:p>
    <w:p>
      <w:pPr>
        <w:spacing w:after="0" w:line="15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color w:val="auto"/>
        </w:rPr>
        <w:t>Property, Plant and Equipment—</w:t>
      </w:r>
      <w:r>
        <w:rPr>
          <w:rFonts w:ascii="Times New Roman" w:cs="Times New Roman" w:eastAsia="Times New Roman" w:hAnsi="Times New Roman"/>
          <w:sz w:val="18"/>
          <w:szCs w:val="18"/>
          <w:color w:val="auto"/>
        </w:rPr>
        <w:t>Property, plant and equipment (“PP&amp;E”) are stated at cost, net of accumulated depreciation, depletion and amortization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(“DD&amp;A”). Leases meeting capital lease criteria are capitalized in PP&amp;E. Major renewals and improvements that increase the life, value, or productive capacity of assets are capitalized in PP&amp;E while maintenance, repairs and minor renewals are expensed as incurred. In addition, maintenance, repairs and minor renewal costs relating to planned major maintenance activities (“Turnarounds”) in our Chemical Business are expensed as they are incurred. As it relates to natural gas properties, leasehold costs, intangible drilling and other costs of successful wells and development dry holes are capitalized in PP&amp;E based on successful efforts accounting. The costs of exploratory wells are initially capitalized in PP&amp;E, but expensed if and when the well is determined to be nonproductive. Interest cost on borrowings incurred during a significant construction or development project is capitalized in PP&amp;E. Capitalized interest is added to the underlying asset and amortized over the estimated useful lives of the assets. Fully depreciated assets are retained in PP&amp;E and accumulated DD&amp;A accounts until disposal. When PP&amp;E are retired, sold, or otherwise disposed, the asset’s carrying amount and related accumulated DD&amp;A are removed from the accounts and any gain or loss is included in other income or expense.</w:t>
      </w:r>
    </w:p>
    <w:p>
      <w:pPr>
        <w:spacing w:after="0" w:line="14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For financial reporting purposes, depreciation of the costs of PP&amp;E is primarily computed using the straight-line method over the estimated useful lives of the assets. DD&amp;A of the costs of producing natural gas properties are computed using the units of production method primarily on a field-by-field basis using proved or proved developed reserves, as applicable, as estimated by our independent consulting petroleum engineer. No provision for depreciation is made on construction in progress or capital spare parts until such time as the relevant assets are put into service. No provision for DD&amp;A is made on nonproducing leasehold costs and exploratory wells in progress until such time as the relevant assets relate to proven resources.</w:t>
      </w:r>
    </w:p>
    <w:p>
      <w:pPr>
        <w:spacing w:after="0" w:line="13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natural gas reserves are based on estimates and assumptions, which affect our DD&amp;A calculations. Our independent consulting petroleum engineer, with our assistance, prepares estimates of natural gas reserves based on available relevant data and information. For DD&amp;A purposes, and as required by the guidelines and definitions established by the Securities and Exchange Commission (“SEC”), the reserve estimates are based on average natural gas prices during the 12-month period, determined as an unweighted arithmetic average of the first-day-of-the-month price for each month.</w:t>
      </w:r>
    </w:p>
    <w:p>
      <w:pPr>
        <w:spacing w:after="0" w:line="13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b w:val="1"/>
          <w:bCs w:val="1"/>
          <w:color w:val="auto"/>
        </w:rPr>
        <w:t>Impairment of Long-Lived Assets—</w:t>
      </w:r>
      <w:r>
        <w:rPr>
          <w:rFonts w:ascii="Times New Roman" w:cs="Times New Roman" w:eastAsia="Times New Roman" w:hAnsi="Times New Roman"/>
          <w:sz w:val="18"/>
          <w:szCs w:val="18"/>
          <w:color w:val="auto"/>
        </w:rPr>
        <w:t>Long-lived assets are reviewed for impairment whenever events or changes in circumstances indicate that the carrying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 of an asset (asset group) may not be recoverable. An impairment loss would be recognized when the carrying amount of an asset (asset group) exceeds the estimated undiscounted future cash flows expected to result from the use of the asset (asset group) and its eventual disposition. If assets to be held and used are considered to be impaired, the impairment to be recognized is the amount by which the carrying amounts of the assets exceed the fair values of the assets as measured by the present value of future net cash flows expected to be generated by the assets or their appraised value. As it relates to natural gas properties, proven natural gas properties are reviewed for impairment on a field-by-field basis and nonproducing leasehold costs are reviewed for impairment on a property-by-property basis.</w:t>
      </w:r>
    </w:p>
    <w:p>
      <w:pPr>
        <w:spacing w:after="0" w:line="137"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In general, assets held for sale are reported at the lower of the carrying amounts of the assets or fair values less costs to sell. At December 31, 2012 and 2011, we had no long-lived assets classified as assets held for sale.</w:t>
      </w:r>
    </w:p>
    <w:p>
      <w:pPr>
        <w:spacing w:after="0" w:line="118"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8"/>
          <w:szCs w:val="18"/>
          <w:b w:val="1"/>
          <w:bCs w:val="1"/>
          <w:color w:val="auto"/>
        </w:rPr>
        <w:t>Debt Issuance Costs—</w:t>
      </w:r>
      <w:r>
        <w:rPr>
          <w:rFonts w:ascii="Times New Roman" w:cs="Times New Roman" w:eastAsia="Times New Roman" w:hAnsi="Times New Roman"/>
          <w:sz w:val="18"/>
          <w:szCs w:val="18"/>
          <w:color w:val="auto"/>
        </w:rPr>
        <w:t>Debt issuance costs are amortized over the term of the associated debt instrument. In general, if debt is extinguished prior to maturity,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associated debt issuance costs, if any, are written off and included in the gain or loss on extinguishment of debt.</w:t>
      </w:r>
    </w:p>
    <w:p>
      <w:pPr>
        <w:spacing w:after="0" w:line="116"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8"/>
          <w:szCs w:val="18"/>
          <w:b w:val="1"/>
          <w:bCs w:val="1"/>
          <w:color w:val="auto"/>
        </w:rPr>
        <w:t>Goodwill</w:t>
      </w:r>
      <w:r>
        <w:rPr>
          <w:rFonts w:ascii="Times New Roman" w:cs="Times New Roman" w:eastAsia="Times New Roman" w:hAnsi="Times New Roman"/>
          <w:sz w:val="18"/>
          <w:szCs w:val="18"/>
          <w:color w:val="auto"/>
        </w:rPr>
        <w:t>—Goodwill is reviewed for impairment at least annually. An impairment loss generally would be recognized when the carrying amount of the reporting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unit’s net assets exceeds the estimated fair value of the reporting unit. Reporting units are one level below the business segment level. No impairments of goodwill were incurred in 2012, 2011 or 2010. Goodwill relates to business acquisitions in prior periods in the following business segments:</w:t>
      </w:r>
    </w:p>
    <w:p>
      <w:pPr>
        <w:spacing w:after="0" w:line="15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8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54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5"/>
        </w:trPr>
        <w:tc>
          <w:tcPr>
            <w:tcW w:w="2820" w:type="dxa"/>
            <w:vAlign w:val="bottom"/>
          </w:tcPr>
          <w:p>
            <w:pPr>
              <w:spacing w:after="0"/>
              <w:rPr>
                <w:sz w:val="14"/>
                <w:szCs w:val="14"/>
                <w:color w:val="auto"/>
              </w:rPr>
            </w:pPr>
          </w:p>
        </w:tc>
        <w:tc>
          <w:tcPr>
            <w:tcW w:w="4820" w:type="dxa"/>
            <w:vAlign w:val="bottom"/>
            <w:gridSpan w:val="2"/>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2012</w:t>
            </w:r>
          </w:p>
        </w:tc>
        <w:tc>
          <w:tcPr>
            <w:tcW w:w="94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4"/>
                <w:szCs w:val="14"/>
                <w:color w:val="auto"/>
              </w:rPr>
            </w:pPr>
          </w:p>
        </w:tc>
      </w:tr>
      <w:tr>
        <w:trPr>
          <w:trHeight w:val="142"/>
        </w:trPr>
        <w:tc>
          <w:tcPr>
            <w:tcW w:w="28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440" w:type="dxa"/>
            <w:vAlign w:val="bottom"/>
            <w:tcBorders>
              <w:top w:val="single" w:sz="8" w:color="auto"/>
            </w:tcBorders>
            <w:gridSpan w:val="3"/>
          </w:tcPr>
          <w:p>
            <w:pPr>
              <w:jc w:val="right"/>
              <w:ind w:right="232"/>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2"/>
                <w:szCs w:val="12"/>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Chemical</w:t>
            </w:r>
          </w:p>
        </w:tc>
        <w:tc>
          <w:tcPr>
            <w:tcW w:w="4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00" w:type="dxa"/>
            <w:vAlign w:val="bottom"/>
            <w:shd w:val="clear" w:color="auto" w:fill="CCEEFF"/>
          </w:tcPr>
          <w:p>
            <w:pPr>
              <w:spacing w:after="0"/>
              <w:rPr>
                <w:sz w:val="18"/>
                <w:szCs w:val="18"/>
                <w:color w:val="auto"/>
              </w:rPr>
            </w:pPr>
          </w:p>
        </w:tc>
      </w:tr>
      <w:tr>
        <w:trPr>
          <w:trHeight w:val="22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Climate Control</w:t>
            </w:r>
          </w:p>
        </w:tc>
        <w:tc>
          <w:tcPr>
            <w:tcW w:w="43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4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r>
      <w:tr>
        <w:trPr>
          <w:trHeight w:val="216"/>
        </w:trPr>
        <w:tc>
          <w:tcPr>
            <w:tcW w:w="2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goodwill</w:t>
            </w:r>
          </w:p>
        </w:tc>
        <w:tc>
          <w:tcPr>
            <w:tcW w:w="4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1,724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1,724</w:t>
            </w:r>
          </w:p>
        </w:tc>
        <w:tc>
          <w:tcPr>
            <w:tcW w:w="100" w:type="dxa"/>
            <w:vAlign w:val="bottom"/>
            <w:shd w:val="clear" w:color="auto" w:fill="CCEEFF"/>
          </w:tcPr>
          <w:p>
            <w:pPr>
              <w:spacing w:after="0"/>
              <w:rPr>
                <w:sz w:val="18"/>
                <w:szCs w:val="18"/>
                <w:color w:val="auto"/>
              </w:rPr>
            </w:pPr>
          </w:p>
        </w:tc>
      </w:tr>
      <w:tr>
        <w:trPr>
          <w:trHeight w:val="20"/>
        </w:trPr>
        <w:tc>
          <w:tcPr>
            <w:tcW w:w="28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2820" w:type="dxa"/>
            <w:vAlign w:val="bottom"/>
          </w:tcPr>
          <w:p>
            <w:pPr>
              <w:spacing w:after="0"/>
              <w:rPr>
                <w:sz w:val="24"/>
                <w:szCs w:val="24"/>
                <w:color w:val="auto"/>
              </w:rPr>
            </w:pPr>
          </w:p>
        </w:tc>
        <w:tc>
          <w:tcPr>
            <w:tcW w:w="4820" w:type="dxa"/>
            <w:vAlign w:val="bottom"/>
            <w:gridSpan w:val="2"/>
          </w:tcPr>
          <w:p>
            <w:pPr>
              <w:jc w:val="right"/>
              <w:ind w:right="3062"/>
              <w:spacing w:after="0"/>
              <w:rPr>
                <w:sz w:val="20"/>
                <w:szCs w:val="20"/>
                <w:color w:val="auto"/>
              </w:rPr>
            </w:pPr>
            <w:r>
              <w:rPr>
                <w:rFonts w:ascii="Times New Roman" w:cs="Times New Roman" w:eastAsia="Times New Roman" w:hAnsi="Times New Roman"/>
                <w:sz w:val="18"/>
                <w:szCs w:val="18"/>
                <w:color w:val="auto"/>
              </w:rPr>
              <w:t>F-11</w:t>
            </w: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55" w:right="25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 (continued)</w:t>
      </w:r>
    </w:p>
    <w:p>
      <w:pPr>
        <w:spacing w:after="0" w:line="15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b w:val="1"/>
          <w:bCs w:val="1"/>
          <w:color w:val="auto"/>
        </w:rPr>
        <w:t>Accrued Insurance Liabilities—</w:t>
      </w:r>
      <w:r>
        <w:rPr>
          <w:rFonts w:ascii="Times New Roman" w:cs="Times New Roman" w:eastAsia="Times New Roman" w:hAnsi="Times New Roman"/>
          <w:sz w:val="18"/>
          <w:szCs w:val="18"/>
          <w:color w:val="auto"/>
        </w:rPr>
        <w:t>We are self-insured up to certain limits for group health, workers’ compensation and general liability claims. Above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limits, we have commercial stop-loss insurance coverage for our contractual exposure on group health claims and statutory limits under workers’ compensation obligations. We also carry umbrella insurance of $100 million for most general liability and auto liability risks. We have a separate $50 million insurance policy covering pollution liability at our Chemical Business facilities. Additional pollution liability coverage for our other facilities is provided in our general liability and umbrella policies. As it relates to our natural gas properties within our Chemical Business that we do not operate but only own a working interest, insurance policies are maintained by the operator, which we are responsible for our proportionate share of the costs involved.</w:t>
      </w:r>
    </w:p>
    <w:p>
      <w:pPr>
        <w:spacing w:after="0" w:line="141" w:lineRule="exact"/>
        <w:rPr>
          <w:sz w:val="20"/>
          <w:szCs w:val="20"/>
          <w:color w:val="auto"/>
        </w:rPr>
      </w:pPr>
    </w:p>
    <w:p>
      <w:pPr>
        <w:ind w:right="200"/>
        <w:spacing w:after="0" w:line="293" w:lineRule="auto"/>
        <w:rPr>
          <w:sz w:val="20"/>
          <w:szCs w:val="20"/>
          <w:color w:val="auto"/>
        </w:rPr>
      </w:pPr>
      <w:r>
        <w:rPr>
          <w:rFonts w:ascii="Times New Roman" w:cs="Times New Roman" w:eastAsia="Times New Roman" w:hAnsi="Times New Roman"/>
          <w:sz w:val="16"/>
          <w:szCs w:val="16"/>
          <w:color w:val="auto"/>
        </w:rPr>
        <w:t>Our accrued self-insurance liabilities are based on estimates of claims, which include the reported incurred claims amounts plus the reserves established by our insurance adjustors and/or estimates provided by attorneys handling the claims, if any, up to the amount of our self-insurance limits. In addition, our accrued insurance liabilities include estimates of incurred, but not reported, claims based on historical claims experience. The determination of such claims and the appropriateness of the related liability is periodically reviewed and revised, if needed. Changes in these estimated liabilities are charged to operations. Potential legal fees and other directly related costs associated with insurance claims are not accrued but rather are expensed as incurred. Accrued insurance liabilities are included in accrued and other liabilities. It is reasonably possible that the actual development of claims could be different than our estimates.</w:t>
      </w:r>
    </w:p>
    <w:p>
      <w:pPr>
        <w:spacing w:after="0" w:line="109"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8"/>
          <w:szCs w:val="18"/>
          <w:b w:val="1"/>
          <w:bCs w:val="1"/>
          <w:color w:val="auto"/>
        </w:rPr>
        <w:t>Product Warranty—</w:t>
      </w:r>
      <w:r>
        <w:rPr>
          <w:rFonts w:ascii="Times New Roman" w:cs="Times New Roman" w:eastAsia="Times New Roman" w:hAnsi="Times New Roman"/>
          <w:sz w:val="18"/>
          <w:szCs w:val="18"/>
          <w:color w:val="auto"/>
        </w:rPr>
        <w:t>Our Climate Control Business sells equipment that has an expected life, under normal circumstances and use, which extends over several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years. As such, we provide warranties after equipment shipment/start up covering defects in materials and workmanship.</w:t>
      </w:r>
    </w:p>
    <w:p>
      <w:pPr>
        <w:spacing w:after="0" w:line="11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accounting policy and methodology for warranty arrangements is to measure and recognize the expense and liability for such warranty obligations at the time of sale using a percentage of sales and cost per unit of equipment, based upon our historical and estimated future warranty costs. We also recognize the additional warranty expense and liability to cover atypical costs associated with a specific product, or component thereof, or project installation, when such costs are probable and reasonably estimable. It is reasonably possible that our estimated accrued warranty costs could change in the near term.</w:t>
      </w:r>
    </w:p>
    <w:p>
      <w:pPr>
        <w:spacing w:after="0" w:line="134"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8"/>
          <w:szCs w:val="18"/>
          <w:b w:val="1"/>
          <w:bCs w:val="1"/>
          <w:color w:val="auto"/>
        </w:rPr>
        <w:t>Executive Benefit Agreements—</w:t>
      </w:r>
      <w:r>
        <w:rPr>
          <w:rFonts w:ascii="Times New Roman" w:cs="Times New Roman" w:eastAsia="Times New Roman" w:hAnsi="Times New Roman"/>
          <w:sz w:val="18"/>
          <w:szCs w:val="18"/>
          <w:color w:val="auto"/>
        </w:rPr>
        <w:t>We have entered into benefit agreements with certain key executives. Costs associated with these individual benefit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accrued based on the estimated remaining service period when such benefits become probable they will be paid. Total costs accrued equal the present value of specified payments to be made after benefits become payable.</w:t>
      </w:r>
    </w:p>
    <w:p>
      <w:pPr>
        <w:spacing w:after="0" w:line="127"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6"/>
          <w:szCs w:val="16"/>
          <w:b w:val="1"/>
          <w:bCs w:val="1"/>
          <w:color w:val="auto"/>
        </w:rPr>
        <w:t>Income Taxes</w:t>
      </w:r>
      <w:r>
        <w:rPr>
          <w:rFonts w:ascii="Times New Roman" w:cs="Times New Roman" w:eastAsia="Times New Roman" w:hAnsi="Times New Roman"/>
          <w:sz w:val="16"/>
          <w:szCs w:val="16"/>
          <w:color w:val="auto"/>
        </w:rPr>
        <w:t>—We recognize deferred tax assets and liabilities for the expected future tax consequences attributable to tax net operating loss (“NOL”)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carryforwards, tax credit carryforwards, and differences between the financial statement carrying amounts and the tax basis of our assets and liabilities. We establish valuation allowances if we believe it is more-likely-than-not that some or all of deferred tax assets will not be realized.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we do not recognize a tax benefit unless we conclude that it is more-likely-than-not that the benefit will be sustained on audit by the taxing authority based solely on the technical merits of the associated tax position. If the recognition threshold is met, we recognize a tax benefit measured at the largest amount of the tax benefit that, in our judgment, is greater than 50% likely to be realized. We also record interest related to unrecognized tax positions in interest expense and penalties in operating other expense.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reduce income tax expense for investment tax credits in the year the credit arises and is earned.</w:t>
      </w:r>
    </w:p>
    <w:p>
      <w:pPr>
        <w:spacing w:after="0" w:line="171"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Income tax benefits associated with amounts that are deductible for income tax purposes but that do not affect earnings are credited to equity. These benefits are principally generated from exercises of non-qualified stock options.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400"/>
          </w:cols>
          <w:pgMar w:left="240" w:top="455" w:right="25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 (continued)</w:t>
      </w:r>
    </w:p>
    <w:p>
      <w:pPr>
        <w:spacing w:after="0" w:line="15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Contingencies</w:t>
      </w:r>
      <w:r>
        <w:rPr>
          <w:rFonts w:ascii="Times New Roman" w:cs="Times New Roman" w:eastAsia="Times New Roman" w:hAnsi="Times New Roman"/>
          <w:sz w:val="18"/>
          <w:szCs w:val="18"/>
          <w:color w:val="auto"/>
        </w:rPr>
        <w:t>—Certain conditions may exist which may result in a loss, but which will only be resolved when future events occur. We and our legal counsel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assess such contingent liabilities, and such assessment inherently involves an exercise of judgment. If the assessment of a contingency indicates that it is probable that a loss has been incurred, we would accrue for such contingent losses when such losses can be reasonably estimated. If the assessment indicates that a potentially material loss contingency is not probable but reasonably possible, or is probable but cannot be estimated, the nature of the contingent liability, together with an estimate of the range of possible loss if determinable and material, would be disclosed. Estimates of potential legal fees and other directly related costs associated with contingencies are not accrued but rather are expensed as incurred. Loss contingency liabilities are included in current and noncurrent accrued and other liabilities and are based on current estimates that may be revised in the near term. In addition, we recognize contingent gains when such gains are realized or realizable and earned.</w:t>
      </w:r>
    </w:p>
    <w:p>
      <w:pPr>
        <w:spacing w:after="0" w:line="138"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b w:val="1"/>
          <w:bCs w:val="1"/>
          <w:color w:val="auto"/>
        </w:rPr>
        <w:t>Assets Retirement Obligations—</w:t>
      </w:r>
      <w:r>
        <w:rPr>
          <w:rFonts w:ascii="Times New Roman" w:cs="Times New Roman" w:eastAsia="Times New Roman" w:hAnsi="Times New Roman"/>
          <w:sz w:val="18"/>
          <w:szCs w:val="18"/>
          <w:color w:val="auto"/>
        </w:rPr>
        <w:t>In general, we record the estimated fair value of an asset retirement obligation (“ARO”) associated with tangible long-lived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in the period it is incurred and when there is sufficient information available to estimate the fair value. An ARO associated with long-lived assets is an obligation for which there is a legal obligation to settle under existing or enacted law, statute, written or oral contract or legal construction. AROs, which are initially recorded based on estimated discounted cash flows, are accreted to full value over time through charges to cost of sales. In addition, we capitalize the corresponding asset retirement cost as PP&amp;E, which cost is depreciated or depleted over the related asset’s respective useful life. We do not have any assets restricted for the purpose of settling our AROs.</w:t>
      </w:r>
    </w:p>
    <w:p>
      <w:pPr>
        <w:spacing w:after="0" w:line="139" w:lineRule="exact"/>
        <w:rPr>
          <w:sz w:val="20"/>
          <w:szCs w:val="20"/>
          <w:color w:val="auto"/>
        </w:rPr>
      </w:pPr>
    </w:p>
    <w:p>
      <w:pPr>
        <w:jc w:val="both"/>
        <w:ind w:right="180"/>
        <w:spacing w:after="0" w:line="264" w:lineRule="auto"/>
        <w:rPr>
          <w:sz w:val="20"/>
          <w:szCs w:val="20"/>
          <w:color w:val="auto"/>
        </w:rPr>
      </w:pPr>
      <w:r>
        <w:rPr>
          <w:rFonts w:ascii="Times New Roman" w:cs="Times New Roman" w:eastAsia="Times New Roman" w:hAnsi="Times New Roman"/>
          <w:sz w:val="18"/>
          <w:szCs w:val="18"/>
          <w:b w:val="1"/>
          <w:bCs w:val="1"/>
          <w:color w:val="auto"/>
        </w:rPr>
        <w:t>Stock Options—</w:t>
      </w:r>
      <w:r>
        <w:rPr>
          <w:rFonts w:ascii="Times New Roman" w:cs="Times New Roman" w:eastAsia="Times New Roman" w:hAnsi="Times New Roman"/>
          <w:sz w:val="18"/>
          <w:szCs w:val="18"/>
          <w:color w:val="auto"/>
        </w:rPr>
        <w:t>Equity award transactions with employees are measured based on the estimated fair value of the equity awards issued. For equity awards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only service conditions that have a graded vesting period, we recognize compensation cost on a straight-line basis over the requisite service period for the entire award. In addition, we issue new shares of common stock upon the exercise of stock options.</w:t>
      </w:r>
    </w:p>
    <w:p>
      <w:pPr>
        <w:spacing w:after="0" w:line="12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Revenue Recognition—</w:t>
      </w:r>
      <w:r>
        <w:rPr>
          <w:rFonts w:ascii="Times New Roman" w:cs="Times New Roman" w:eastAsia="Times New Roman" w:hAnsi="Times New Roman"/>
          <w:sz w:val="18"/>
          <w:szCs w:val="18"/>
          <w:color w:val="auto"/>
        </w:rPr>
        <w:t>We recognize revenue for substantially all of our operations at the time title to the goods transfers to the buyer and there remain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significant future performance obligations by us. Revenue relating to construction contracts is recognized using the percentage-of-completion method based primarily on contract costs incurred to date compared with total estimated contract costs. Changes to total estimated contract costs or losses, if any, are recognized in the period in which they are determined. Sales of warranty contracts are recognized as revenue ratably over the life of the contract. See discussion above under “Product Warranty” for our accounting policy for recognizing warranty expense.</w:t>
      </w:r>
    </w:p>
    <w:p>
      <w:pPr>
        <w:spacing w:after="0" w:line="134" w:lineRule="exact"/>
        <w:rPr>
          <w:sz w:val="20"/>
          <w:szCs w:val="20"/>
          <w:color w:val="auto"/>
        </w:rPr>
      </w:pPr>
    </w:p>
    <w:p>
      <w:pPr>
        <w:jc w:val="both"/>
        <w:ind w:right="200"/>
        <w:spacing w:after="0" w:line="264" w:lineRule="auto"/>
        <w:rPr>
          <w:sz w:val="20"/>
          <w:szCs w:val="20"/>
          <w:color w:val="auto"/>
        </w:rPr>
      </w:pPr>
      <w:r>
        <w:rPr>
          <w:rFonts w:ascii="Times New Roman" w:cs="Times New Roman" w:eastAsia="Times New Roman" w:hAnsi="Times New Roman"/>
          <w:sz w:val="18"/>
          <w:szCs w:val="18"/>
          <w:b w:val="1"/>
          <w:bCs w:val="1"/>
          <w:color w:val="auto"/>
        </w:rPr>
        <w:t>Recognition of Insurance Recoveries—</w:t>
      </w:r>
      <w:r>
        <w:rPr>
          <w:rFonts w:ascii="Times New Roman" w:cs="Times New Roman" w:eastAsia="Times New Roman" w:hAnsi="Times New Roman"/>
          <w:sz w:val="18"/>
          <w:szCs w:val="18"/>
          <w:color w:val="auto"/>
        </w:rPr>
        <w:t>If an insurance claim relates to a recovery of our losses, we recognize the recovery when it is probable and reasonably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estimable. If our insurance claim relates to a contingent gain, we recognize the recovery when it is realized or realizable and earned. Amounts recoverable from our insurance carriers, if any, are included in accounts receivable.</w:t>
      </w:r>
    </w:p>
    <w:p>
      <w:pPr>
        <w:spacing w:after="0" w:line="1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Cost of Sales—</w:t>
      </w:r>
      <w:r>
        <w:rPr>
          <w:rFonts w:ascii="Times New Roman" w:cs="Times New Roman" w:eastAsia="Times New Roman" w:hAnsi="Times New Roman"/>
          <w:sz w:val="18"/>
          <w:szCs w:val="18"/>
          <w:color w:val="auto"/>
        </w:rPr>
        <w:t>Cost of sales includes materials, labor and overhead costs to manufacture the products sold plus inbound freight, purchasing and receiving costs,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inspection costs, internal transfer costs and warehousing costs (excluding certain handling costs directly related to loading product being shipped to customers in our Chemical Business which are included in selling, general and administrative expense). Maintenance, repairs and minor renewal costs relating to planned major maintenance activities (“Turnarounds”) in our Chemical Business are included in cost of sales as they are incurred. Precious metals used as a catalyst (Chemical Business) and consumed during the manufacturing process are included in cost of sales. Recoveries and gains from precious metals (Chemical Business), sales of material scrap (Climate Control Business), and business interruption insurance claims are reductions to cost of sales. Provisions for (realization of) losses associated with inventory reserves, gains and losses (realized and unrealized) from our commodities and foreign currency futures/forward contracts, and provision for losses, if any, on firm sales commitments are included in cost of sales.</w:t>
      </w:r>
    </w:p>
    <w:p>
      <w:pPr>
        <w:spacing w:after="0" w:line="13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color w:val="auto"/>
        </w:rPr>
        <w:t>Selling, General and Administrative Expense—</w:t>
      </w:r>
      <w:r>
        <w:rPr>
          <w:rFonts w:ascii="Times New Roman" w:cs="Times New Roman" w:eastAsia="Times New Roman" w:hAnsi="Times New Roman"/>
          <w:sz w:val="18"/>
          <w:szCs w:val="18"/>
          <w:color w:val="auto"/>
        </w:rPr>
        <w:t>Selling, general and administrative expense (“SG&amp;A”) includes costs associated with the sales, marketing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administrative functions. Such costs include personnel costs, including benefits, advertising costs, commission expenses, warranty costs, office and occupancy costs associated with the sales, marketing and administrative functions. SG&amp;A also includes certain handling costs directly related to product being shipped to customers in our Chemical Business and outbound freight in our Climate Control Business. These handling costs primarily consist of personnel costs for loading product into transportation equipment, rent and maintenance costs related to the transportation equipment, and certain indirect costs. In addition, professional fees are included in SG&amp;A. Also, while our previously idled chemical production facility located in Pryor, Oklahoma (the “Pryor Facility”) was not in production in 2010, most of the expenses associated with this facility were included in SG&amp;A.</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420"/>
          </w:cols>
          <w:pgMar w:left="240" w:top="455" w:right="23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Shipping and Handling Costs – </w:t>
      </w:r>
      <w:r>
        <w:rPr>
          <w:rFonts w:ascii="Times New Roman" w:cs="Times New Roman" w:eastAsia="Times New Roman" w:hAnsi="Times New Roman"/>
          <w:sz w:val="18"/>
          <w:szCs w:val="18"/>
          <w:color w:val="auto"/>
        </w:rPr>
        <w:t>Shipping and handling costs included in net sales and SG&amp;A for each business segment are as follows:</w:t>
      </w:r>
    </w:p>
    <w:p>
      <w:pPr>
        <w:spacing w:after="0" w:line="211"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6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2012</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2011</w:t>
            </w: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w w:val="93"/>
              </w:rPr>
              <w:t>(In Thousands)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Chemical:</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Shipping costs—Net sales (1)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2"/>
              </w:rPr>
              <w:t>23,395</w:t>
            </w: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26,179</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22,436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Handling costs—SG&amp;A (2)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5,746</w:t>
            </w:r>
          </w:p>
        </w:tc>
        <w:tc>
          <w:tcPr>
            <w:tcW w:w="4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Climate Control: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Shipping and handling costs—SG&amp;A (2)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8,897</w:t>
            </w:r>
          </w:p>
        </w:tc>
        <w:tc>
          <w:tcPr>
            <w:tcW w:w="4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8,564</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costs relate to amounts billed to our customers.</w:t>
      </w:r>
    </w:p>
    <w:p>
      <w:pPr>
        <w:spacing w:after="0" w:line="2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discussions above under “Selling, General and Administrative Expense.”</w:t>
      </w:r>
    </w:p>
    <w:p>
      <w:pPr>
        <w:spacing w:after="0" w:line="157" w:lineRule="exact"/>
        <w:rPr>
          <w:sz w:val="20"/>
          <w:szCs w:val="20"/>
          <w:color w:val="auto"/>
        </w:rPr>
      </w:pPr>
    </w:p>
    <w:p>
      <w:pPr>
        <w:jc w:val="both"/>
        <w:ind w:right="60"/>
        <w:spacing w:after="0" w:line="277" w:lineRule="auto"/>
        <w:rPr>
          <w:sz w:val="20"/>
          <w:szCs w:val="20"/>
          <w:color w:val="auto"/>
        </w:rPr>
      </w:pPr>
      <w:r>
        <w:rPr>
          <w:rFonts w:ascii="Times New Roman" w:cs="Times New Roman" w:eastAsia="Times New Roman" w:hAnsi="Times New Roman"/>
          <w:sz w:val="18"/>
          <w:szCs w:val="18"/>
          <w:b w:val="1"/>
          <w:bCs w:val="1"/>
          <w:color w:val="auto"/>
        </w:rPr>
        <w:t>Advertising Costs—</w:t>
      </w:r>
      <w:r>
        <w:rPr>
          <w:rFonts w:ascii="Times New Roman" w:cs="Times New Roman" w:eastAsia="Times New Roman" w:hAnsi="Times New Roman"/>
          <w:sz w:val="18"/>
          <w:szCs w:val="18"/>
          <w:color w:val="auto"/>
        </w:rPr>
        <w:t>Costs in connection with advertising and promotion of our products are expensed as incurred. These costs, primarily relating to our Climate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Business, are as follows.</w:t>
      </w:r>
    </w:p>
    <w:p>
      <w:pPr>
        <w:spacing w:after="0" w:line="157"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6440" w:type="dxa"/>
            <w:vAlign w:val="bottom"/>
          </w:tcPr>
          <w:p>
            <w:pPr>
              <w:spacing w:after="0"/>
              <w:rPr>
                <w:sz w:val="14"/>
                <w:szCs w:val="14"/>
                <w:color w:val="auto"/>
              </w:rPr>
            </w:pPr>
          </w:p>
        </w:tc>
        <w:tc>
          <w:tcPr>
            <w:tcW w:w="50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2012</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2011</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14"/>
                <w:szCs w:val="14"/>
                <w:color w:val="auto"/>
              </w:rPr>
            </w:pPr>
          </w:p>
        </w:tc>
      </w:tr>
      <w:tr>
        <w:trPr>
          <w:trHeight w:val="142"/>
        </w:trPr>
        <w:tc>
          <w:tcPr>
            <w:tcW w:w="64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w w:val="93"/>
              </w:rPr>
              <w:t>(In Thousands)</w:t>
            </w:r>
          </w:p>
        </w:tc>
        <w:tc>
          <w:tcPr>
            <w:tcW w:w="6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 costs</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3,365</w:t>
            </w:r>
          </w:p>
        </w:tc>
        <w:tc>
          <w:tcPr>
            <w:tcW w:w="8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4,528</w:t>
            </w:r>
          </w:p>
        </w:tc>
        <w:tc>
          <w:tcPr>
            <w:tcW w:w="11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5,149</w:t>
            </w:r>
          </w:p>
        </w:tc>
        <w:tc>
          <w:tcPr>
            <w:tcW w:w="100" w:type="dxa"/>
            <w:vAlign w:val="bottom"/>
            <w:shd w:val="clear" w:color="auto" w:fill="CCEEFF"/>
          </w:tcPr>
          <w:p>
            <w:pPr>
              <w:spacing w:after="0"/>
              <w:rPr>
                <w:sz w:val="18"/>
                <w:szCs w:val="18"/>
                <w:color w:val="auto"/>
              </w:rPr>
            </w:pPr>
          </w:p>
        </w:tc>
      </w:tr>
      <w:tr>
        <w:trPr>
          <w:trHeight w:val="20"/>
        </w:trPr>
        <w:tc>
          <w:tcPr>
            <w:tcW w:w="6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9"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b w:val="1"/>
          <w:bCs w:val="1"/>
          <w:color w:val="auto"/>
        </w:rPr>
        <w:t>Derivatives, Hedges, Financial Instruments and Carbon Credits—</w:t>
      </w:r>
      <w:r>
        <w:rPr>
          <w:rFonts w:ascii="Times New Roman" w:cs="Times New Roman" w:eastAsia="Times New Roman" w:hAnsi="Times New Roman"/>
          <w:sz w:val="18"/>
          <w:szCs w:val="18"/>
          <w:color w:val="auto"/>
        </w:rPr>
        <w:t>Derivatives are recognized in the balance sheet and are measured at fair value. Changes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fair value of derivatives are recorded in results of operations unless the normal purchase or sale exceptions apply or hedge accounting is elected.</w:t>
      </w:r>
    </w:p>
    <w:p>
      <w:pPr>
        <w:spacing w:after="0" w:line="118"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8"/>
          <w:szCs w:val="18"/>
          <w:color w:val="auto"/>
        </w:rPr>
        <w:t>Climate reserve tonnes (“carbon credits”) are recognized in the balance sheet and are measured at fair value. Changes in fair value of carbon credits are recorded in results of operations. Contractual obligations associated with carbon credits are recognized in the balance sheet and are measured at fair value unless we enter into a firm sales commitment to sell the associated carbon credits. When we enter into a firm sales commitment, the sales price, pursuant to the terms of the firm sales commitment, establishes the amount of the associated contractual obligation. Changes in fair value of contractual obligations associated with carbon credits are recorded in results of operations.</w:t>
      </w:r>
    </w:p>
    <w:p>
      <w:pPr>
        <w:spacing w:after="0" w:line="13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Income per Common Share—</w:t>
      </w:r>
      <w:r>
        <w:rPr>
          <w:rFonts w:ascii="Times New Roman" w:cs="Times New Roman" w:eastAsia="Times New Roman" w:hAnsi="Times New Roman"/>
          <w:sz w:val="18"/>
          <w:szCs w:val="18"/>
          <w:color w:val="auto"/>
        </w:rPr>
        <w:t>Net income applicable to common stock is computed by adjusting net income by the amount of preferred stock dividends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dividend requirements, if applicable. Basic income per common share is based upon net income applicable to common stock and the weighted-average number of common shares outstanding during each year. Diluted income per share is based on net income applicable to common stock plus preferred stock dividends and dividend requirements on preferred stock assumed to be converted, if dilutive, and interest expense including amortization of debt issuance cost, net of income taxes, on convertible debt assumed to be converted, if dilutive, and the weighted-average number of common shares and dilutive common equivalent shares outstanding, and the assumed conversion of dilutive convertible securities outstanding.</w:t>
      </w:r>
    </w:p>
    <w:p>
      <w:pPr>
        <w:spacing w:after="0" w:line="139" w:lineRule="exact"/>
        <w:rPr>
          <w:sz w:val="20"/>
          <w:szCs w:val="20"/>
          <w:color w:val="auto"/>
        </w:rPr>
      </w:pPr>
    </w:p>
    <w:p>
      <w:pPr>
        <w:jc w:val="both"/>
        <w:ind w:right="80"/>
        <w:spacing w:after="0" w:line="264" w:lineRule="auto"/>
        <w:rPr>
          <w:sz w:val="20"/>
          <w:szCs w:val="20"/>
          <w:color w:val="auto"/>
        </w:rPr>
      </w:pPr>
      <w:r>
        <w:rPr>
          <w:rFonts w:ascii="Times New Roman" w:cs="Times New Roman" w:eastAsia="Times New Roman" w:hAnsi="Times New Roman"/>
          <w:sz w:val="18"/>
          <w:szCs w:val="18"/>
          <w:b w:val="1"/>
          <w:bCs w:val="1"/>
          <w:color w:val="auto"/>
        </w:rPr>
        <w:t>Recently Issued Accounting Pronouncements—</w:t>
      </w:r>
      <w:r>
        <w:rPr>
          <w:rFonts w:ascii="Times New Roman" w:cs="Times New Roman" w:eastAsia="Times New Roman" w:hAnsi="Times New Roman"/>
          <w:sz w:val="18"/>
          <w:szCs w:val="18"/>
          <w:color w:val="auto"/>
        </w:rPr>
        <w:t>In 2011, the Financial Accounting Standards Board (“FASB”) issued an accounting standards update (“ASU”)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clarifying how to measure and disclose fair value. The requirements under this ASU became effective for us on January 1, 2012 and were applied prospectively. See Note 13—Derivatives, Hedges, Financial Instruments and Carbon Credits.</w:t>
      </w:r>
    </w:p>
    <w:p>
      <w:pPr>
        <w:spacing w:after="0" w:line="129"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18"/>
          <w:szCs w:val="18"/>
          <w:color w:val="auto"/>
        </w:rPr>
        <w:t>In 2011, the FASB issued ASUs amending comprehensive income guidance, which eliminate the option to present the components of other comprehensive income as part of the statement of stockholders’ equity. Instead, we must report comprehensive income, if any, in either a single continuous statement of comprehensive income which contains two sections, net income and other comprehensive income, or in two separate but consecutive statements. The requirements under these ASUs became effective for us on January 1, 2012; however, because we did not have any items of other comprehensive income to report for the periods presented, the adoption of these ASUs did not impact the accompanying financial statements.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380"/>
          </w:cols>
          <w:pgMar w:left="240" w:top="455" w:right="27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 (continued)</w:t>
      </w:r>
    </w:p>
    <w:p>
      <w:pPr>
        <w:spacing w:after="0" w:line="16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 2011, the FASB issued an ASU requiring additional disclosures about an entity’s offsetting (netting) of certain assets and liabilities for the purpose of improving the transparency of financial reporting. Entities are required to disclose both gross information and net information about both instruments and transactions eligible for offset in the balance sheet and instruments and transactions subject to an agreement similar to a master netting arrangement. The new disclosure requirements become effective for us on January 1, 2013. The disclosure requirements are to be applied retrospectively. We currently do not expect a significant impact from adopting this ASU.</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 of Working Interests in Natural Gas Properties</w:t>
      </w:r>
    </w:p>
    <w:p>
      <w:pPr>
        <w:spacing w:after="0" w:line="92"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6"/>
          <w:szCs w:val="16"/>
          <w:color w:val="auto"/>
        </w:rPr>
        <w:t>On October 31, 2012, Zena Energy LLC, a subsidiary within our Chemical Business, acquired working interests (“Working Interests”) in certain natural gas properties located in Wyoming County, Pennsylvania, within the Marcellus Shale. Our Chemical Business acquired from Clearwater Enterprises, LLC an average working interest of 9.7% (7.7% net revenue interest) in 14 proved, developed producing natural gas wells, 7 proved, developed non-producing natural gas wells and 36 proved undeveloped future drilling locations identified on the leasehold. Our Chemical Business purchases a significant amount of natural gas as a feedstock for the production of anhydrous ammonia. Management considers this acquisition as an economic hedge against a potential rise in natural gas prices in the future for a portion of our future natural gas production requirements. This acquisition was accounted for in accordance with ASC 805 – Business Combinations. The purchase price was approximately $50 million. The purchase price and acquisition-related costs were funded by utilizing cash on hand. Subsequently, we financed a portion of the acquisition price (see discussion in Note 21 – Subsequent Events). Our 2012 operating results include net sales of $1.4 million and pre-tax income of $0.9 million (including $0.2 million of acquisition-related costs classified as SG&amp;A) associated with the Working Interests for the two-month period following the date of acquisition. We report the Working Interests as part of the Chemical Business reportable segment.</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estimated fair values of the assets acquired and liabilities assumed at the acquisition date (in thousands):</w:t>
      </w:r>
    </w:p>
    <w:p>
      <w:pPr>
        <w:spacing w:after="0" w:line="226"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shd w:val="clear" w:color="auto" w:fill="CCEEFF"/>
          </w:tcPr>
          <w:p>
            <w:pPr>
              <w:spacing w:after="0"/>
              <w:rPr>
                <w:sz w:val="18"/>
                <w:szCs w:val="18"/>
                <w:color w:val="auto"/>
              </w:rPr>
            </w:pPr>
          </w:p>
        </w:tc>
      </w:tr>
      <w:tr>
        <w:trPr>
          <w:trHeight w:val="22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49,317</w:t>
            </w:r>
          </w:p>
        </w:tc>
        <w:tc>
          <w:tcPr>
            <w:tcW w:w="100" w:type="dxa"/>
            <w:vAlign w:val="bottom"/>
          </w:tcPr>
          <w:p>
            <w:pPr>
              <w:spacing w:after="0"/>
              <w:rPr>
                <w:sz w:val="19"/>
                <w:szCs w:val="19"/>
                <w:color w:val="auto"/>
              </w:rPr>
            </w:pPr>
          </w:p>
        </w:tc>
      </w:tr>
      <w:tr>
        <w:trPr>
          <w:trHeight w:val="216"/>
        </w:trPr>
        <w:tc>
          <w:tcPr>
            <w:tcW w:w="4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assets acquired</w:t>
            </w: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50,424</w:t>
            </w:r>
          </w:p>
        </w:tc>
        <w:tc>
          <w:tcPr>
            <w:tcW w:w="100" w:type="dxa"/>
            <w:vAlign w:val="bottom"/>
            <w:shd w:val="clear" w:color="auto" w:fill="CCEEFF"/>
          </w:tcPr>
          <w:p>
            <w:pPr>
              <w:spacing w:after="0"/>
              <w:rPr>
                <w:sz w:val="18"/>
                <w:szCs w:val="18"/>
                <w:color w:val="auto"/>
              </w:rPr>
            </w:pPr>
          </w:p>
        </w:tc>
      </w:tr>
      <w:tr>
        <w:trPr>
          <w:trHeight w:val="322"/>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4"/>
                <w:szCs w:val="24"/>
                <w:color w:val="auto"/>
              </w:rPr>
            </w:pPr>
          </w:p>
        </w:tc>
      </w:tr>
      <w:tr>
        <w:trPr>
          <w:trHeight w:val="218"/>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accrued and other liabilities</w:t>
            </w:r>
          </w:p>
        </w:tc>
        <w:tc>
          <w:tcPr>
            <w:tcW w:w="2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8"/>
                <w:szCs w:val="18"/>
                <w:color w:val="auto"/>
              </w:rPr>
            </w:pPr>
          </w:p>
        </w:tc>
      </w:tr>
      <w:tr>
        <w:trPr>
          <w:trHeight w:val="230"/>
        </w:trPr>
        <w:tc>
          <w:tcPr>
            <w:tcW w:w="4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20"/>
                <w:szCs w:val="20"/>
                <w:color w:val="auto"/>
              </w:rPr>
            </w:pPr>
          </w:p>
        </w:tc>
      </w:tr>
      <w:tr>
        <w:trPr>
          <w:trHeight w:val="216"/>
        </w:trPr>
        <w:tc>
          <w:tcPr>
            <w:tcW w:w="4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assets acquired</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50,219</w:t>
            </w:r>
          </w:p>
        </w:tc>
        <w:tc>
          <w:tcPr>
            <w:tcW w:w="100" w:type="dxa"/>
            <w:vAlign w:val="bottom"/>
            <w:shd w:val="clear" w:color="auto" w:fill="CCEEFF"/>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660"/>
        <w:spacing w:after="0" w:line="275" w:lineRule="auto"/>
        <w:rPr>
          <w:sz w:val="20"/>
          <w:szCs w:val="20"/>
          <w:color w:val="auto"/>
        </w:rPr>
      </w:pPr>
      <w:r>
        <w:rPr>
          <w:rFonts w:ascii="Times New Roman" w:cs="Times New Roman" w:eastAsia="Times New Roman" w:hAnsi="Times New Roman"/>
          <w:sz w:val="18"/>
          <w:szCs w:val="18"/>
          <w:color w:val="auto"/>
        </w:rPr>
        <w:t>For financial reporting and income tax purposes, no goodwill was recognized relating to this acquisition. In addition, this acquisition did not include any identifiable intangible assets.</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380"/>
          </w:cols>
          <w:pgMar w:left="240" w:top="455" w:right="27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 of Working Interests in Natural Gas Properties (continued)</w:t>
      </w:r>
    </w:p>
    <w:p>
      <w:pPr>
        <w:spacing w:after="0" w:line="16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following table summarizes unaudited pro forma information for the periods presented as if the acquisition of the Working Interests occurred on January 1, 2011. These amounts have been calculated after applying our accounting policies and adjusting the results of the Working Interests to reflect the acquisition-related costs in 2011, and after including the impact of adjustments for additional DD&amp;A assuming the acquisition price paid at October 31, 2012 would have been paid at January 1, 2011 and, in each case, the related income tax effects using the respective effective rate in 2012 and 2011.</w:t>
      </w:r>
    </w:p>
    <w:p>
      <w:pPr>
        <w:spacing w:after="0" w:line="174"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6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2012</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00" w:type="dxa"/>
            <w:vAlign w:val="bottom"/>
            <w:gridSpan w:val="4"/>
          </w:tcPr>
          <w:p>
            <w:pPr>
              <w:jc w:val="center"/>
              <w:ind w:right="14"/>
              <w:spacing w:after="0" w:line="129" w:lineRule="exact"/>
              <w:rPr>
                <w:sz w:val="20"/>
                <w:szCs w:val="20"/>
                <w:color w:val="auto"/>
              </w:rPr>
            </w:pPr>
            <w:r>
              <w:rPr>
                <w:rFonts w:ascii="Times New Roman" w:cs="Times New Roman" w:eastAsia="Times New Roman" w:hAnsi="Times New Roman"/>
                <w:sz w:val="14"/>
                <w:szCs w:val="14"/>
                <w:color w:val="auto"/>
                <w:w w:val="96"/>
              </w:rPr>
              <w:t>(In Thousands, Except Per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color w:val="auto"/>
                <w:w w:val="96"/>
              </w:rPr>
              <w:t>Share Amounts)</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sales—as reported</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759,031</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805,256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sales—pro forma</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764,362</w:t>
            </w:r>
          </w:p>
        </w:tc>
        <w:tc>
          <w:tcPr>
            <w:tcW w:w="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808,710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operations—as reported</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58,786</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from continuing operations—pro forma</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60,750</w:t>
            </w:r>
          </w:p>
        </w:tc>
        <w:tc>
          <w:tcPr>
            <w:tcW w:w="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income per common share—as reported</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income per common share—pro forma</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income per common share—as reported</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 income per common share—pro forma</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 forma results are not necessarily indicative of our operating results had we owned the Working Interests for the entire periods presented.</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200"/>
          </w:cols>
          <w:pgMar w:left="240" w:top="455" w:right="45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Income Per Common Share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common share:</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5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2012</w:t>
            </w: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2011</w:t>
            </w: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900" w:type="dxa"/>
            <w:vAlign w:val="bottom"/>
            <w:gridSpan w:val="9"/>
          </w:tcPr>
          <w:p>
            <w:pPr>
              <w:jc w:val="right"/>
              <w:ind w:right="533"/>
              <w:spacing w:after="0" w:line="142" w:lineRule="exact"/>
              <w:rPr>
                <w:sz w:val="20"/>
                <w:szCs w:val="20"/>
                <w:color w:val="auto"/>
              </w:rPr>
            </w:pPr>
            <w:r>
              <w:rPr>
                <w:rFonts w:ascii="Times New Roman" w:cs="Times New Roman" w:eastAsia="Times New Roman" w:hAnsi="Times New Roman"/>
                <w:sz w:val="14"/>
                <w:szCs w:val="14"/>
                <w:color w:val="auto"/>
              </w:rPr>
              <w:t>(Dollars In Thousands, Except Per Share Amounts)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58,604</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83,842</w:t>
            </w:r>
          </w:p>
        </w:tc>
        <w:tc>
          <w:tcPr>
            <w:tcW w:w="3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29,574</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Dividends on Series B Preferred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(240)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16"/>
        </w:trPr>
        <w:tc>
          <w:tcPr>
            <w:tcW w:w="54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Dividends on Series D Preferred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(60)</w:t>
            </w:r>
          </w:p>
        </w:tc>
        <w:tc>
          <w:tcPr>
            <w:tcW w:w="1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Dividends on Noncumulative Preferred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54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Total dividends on preferred stocks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480" w:type="dxa"/>
            <w:vAlign w:val="bottom"/>
            <w:shd w:val="clear" w:color="auto" w:fill="CCEEFF"/>
          </w:tcPr>
          <w:p>
            <w:pPr>
              <w:ind w:left="440"/>
              <w:spacing w:after="0" w:line="201" w:lineRule="exact"/>
              <w:rPr>
                <w:sz w:val="20"/>
                <w:szCs w:val="20"/>
                <w:color w:val="auto"/>
              </w:rPr>
            </w:pPr>
            <w:r>
              <w:rPr>
                <w:rFonts w:ascii="Times New Roman" w:cs="Times New Roman" w:eastAsia="Times New Roman" w:hAnsi="Times New Roman"/>
                <w:sz w:val="18"/>
                <w:szCs w:val="18"/>
                <w:color w:val="auto"/>
              </w:rPr>
              <w:t>Numerator for basic net income per common share—net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58,304</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income applicable to common stock</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2"/>
            <w:vMerge w:val="continue"/>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83,537</w:t>
            </w:r>
          </w:p>
        </w:tc>
        <w:tc>
          <w:tcPr>
            <w:tcW w:w="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29,269</w:t>
            </w:r>
          </w:p>
        </w:tc>
        <w:tc>
          <w:tcPr>
            <w:tcW w:w="0" w:type="dxa"/>
            <w:vAlign w:val="bottom"/>
          </w:tcPr>
          <w:p>
            <w:pPr>
              <w:spacing w:after="0"/>
              <w:rPr>
                <w:sz w:val="1"/>
                <w:szCs w:val="1"/>
                <w:color w:val="auto"/>
              </w:rPr>
            </w:pPr>
          </w:p>
        </w:tc>
      </w:tr>
      <w:tr>
        <w:trPr>
          <w:trHeight w:val="202"/>
        </w:trPr>
        <w:tc>
          <w:tcPr>
            <w:tcW w:w="5480" w:type="dxa"/>
            <w:vAlign w:val="bottom"/>
          </w:tcPr>
          <w:p>
            <w:pPr>
              <w:ind w:left="880"/>
              <w:spacing w:after="0" w:line="201" w:lineRule="exact"/>
              <w:rPr>
                <w:sz w:val="20"/>
                <w:szCs w:val="20"/>
                <w:color w:val="auto"/>
              </w:rPr>
            </w:pPr>
            <w:r>
              <w:rPr>
                <w:rFonts w:ascii="Times New Roman" w:cs="Times New Roman" w:eastAsia="Times New Roman" w:hAnsi="Times New Roman"/>
                <w:sz w:val="18"/>
                <w:szCs w:val="18"/>
                <w:color w:val="auto"/>
              </w:rPr>
              <w:t>Dividends on preferred stocks assumed to be converted,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300</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if dilutive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880"/>
              <w:spacing w:after="0" w:line="203" w:lineRule="exact"/>
              <w:rPr>
                <w:sz w:val="20"/>
                <w:szCs w:val="20"/>
                <w:color w:val="auto"/>
              </w:rPr>
            </w:pPr>
            <w:r>
              <w:rPr>
                <w:rFonts w:ascii="Times New Roman" w:cs="Times New Roman" w:eastAsia="Times New Roman" w:hAnsi="Times New Roman"/>
                <w:sz w:val="18"/>
                <w:szCs w:val="18"/>
                <w:color w:val="auto"/>
              </w:rPr>
              <w:t>Interest expense including amortization of debt issuance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costs, net of income taxes, on convertible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3"/>
            <w:vMerge w:val="restart"/>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assumed to be converted, if dilutive</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40" w:type="dxa"/>
            <w:vAlign w:val="bottom"/>
            <w:gridSpan w:val="3"/>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1,061</w:t>
            </w:r>
          </w:p>
        </w:tc>
        <w:tc>
          <w:tcPr>
            <w:tcW w:w="0" w:type="dxa"/>
            <w:vAlign w:val="bottom"/>
          </w:tcPr>
          <w:p>
            <w:pPr>
              <w:spacing w:after="0"/>
              <w:rPr>
                <w:sz w:val="1"/>
                <w:szCs w:val="1"/>
                <w:color w:val="auto"/>
              </w:rPr>
            </w:pPr>
          </w:p>
        </w:tc>
      </w:tr>
      <w:tr>
        <w:trPr>
          <w:trHeight w:val="223"/>
        </w:trPr>
        <w:tc>
          <w:tcPr>
            <w:tcW w:w="5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Numerator for diluted net income per common share</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58,604</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84,141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80" w:type="dxa"/>
            <w:vAlign w:val="bottom"/>
          </w:tcPr>
          <w:p>
            <w:pPr>
              <w:ind w:left="440"/>
              <w:spacing w:after="0" w:line="201" w:lineRule="exact"/>
              <w:rPr>
                <w:sz w:val="20"/>
                <w:szCs w:val="20"/>
                <w:color w:val="auto"/>
              </w:rPr>
            </w:pPr>
            <w:r>
              <w:rPr>
                <w:rFonts w:ascii="Times New Roman" w:cs="Times New Roman" w:eastAsia="Times New Roman" w:hAnsi="Times New Roman"/>
                <w:sz w:val="18"/>
                <w:szCs w:val="18"/>
                <w:color w:val="auto"/>
              </w:rPr>
              <w:t>Denominator for basic net income per common share—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3"/>
              </w:rPr>
              <w:t>22,359,967</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weighted-average shares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21,962,294</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21,168,184</w:t>
            </w:r>
          </w:p>
        </w:tc>
        <w:tc>
          <w:tcPr>
            <w:tcW w:w="0" w:type="dxa"/>
            <w:vAlign w:val="bottom"/>
          </w:tcPr>
          <w:p>
            <w:pPr>
              <w:spacing w:after="0"/>
              <w:rPr>
                <w:sz w:val="1"/>
                <w:szCs w:val="1"/>
                <w:color w:val="auto"/>
              </w:rPr>
            </w:pPr>
          </w:p>
        </w:tc>
      </w:tr>
      <w:tr>
        <w:trPr>
          <w:trHeight w:val="217"/>
        </w:trPr>
        <w:tc>
          <w:tcPr>
            <w:tcW w:w="54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Convertible preferred stocks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917,006</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935,432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936,292</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Stock options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261,596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325,752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186,258</w:t>
            </w:r>
          </w:p>
        </w:tc>
        <w:tc>
          <w:tcPr>
            <w:tcW w:w="0" w:type="dxa"/>
            <w:vAlign w:val="bottom"/>
          </w:tcPr>
          <w:p>
            <w:pPr>
              <w:spacing w:after="0"/>
              <w:rPr>
                <w:sz w:val="1"/>
                <w:szCs w:val="1"/>
                <w:color w:val="auto"/>
              </w:rPr>
            </w:pPr>
          </w:p>
        </w:tc>
      </w:tr>
      <w:tr>
        <w:trPr>
          <w:trHeight w:val="223"/>
        </w:trPr>
        <w:tc>
          <w:tcPr>
            <w:tcW w:w="54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Convertible notes payable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275,764</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983,160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Dilutive potential common shares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1,178,602</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1,536,948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2,105,710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Denominator for dilutive net income per common share—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3"/>
              </w:rPr>
              <w:t>23,538,569</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adjusted weighted-average shares and assumed conversions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23,499,242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23,273,894</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per common share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2.61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 net income per common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w:t>
            </w:r>
          </w:p>
        </w:tc>
        <w:tc>
          <w:tcPr>
            <w:tcW w:w="2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following weighted-average shares of securities were not included in the computation of diluted net income per common share as their effect would have been antidilutive:</w:t>
      </w:r>
    </w:p>
    <w:p>
      <w:pPr>
        <w:spacing w:after="0" w:line="158"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2800" w:type="dxa"/>
            <w:vAlign w:val="bottom"/>
          </w:tcPr>
          <w:p>
            <w:pPr>
              <w:spacing w:after="0"/>
              <w:rPr>
                <w:sz w:val="14"/>
                <w:szCs w:val="14"/>
                <w:color w:val="auto"/>
              </w:rPr>
            </w:pPr>
          </w:p>
        </w:tc>
        <w:tc>
          <w:tcPr>
            <w:tcW w:w="4940" w:type="dxa"/>
            <w:vAlign w:val="bottom"/>
            <w:gridSpan w:val="2"/>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2012</w:t>
            </w:r>
          </w:p>
        </w:tc>
        <w:tc>
          <w:tcPr>
            <w:tcW w:w="82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2011</w:t>
            </w:r>
          </w:p>
        </w:tc>
        <w:tc>
          <w:tcPr>
            <w:tcW w:w="300" w:type="dxa"/>
            <w:vAlign w:val="bottom"/>
          </w:tcPr>
          <w:p>
            <w:pPr>
              <w:spacing w:after="0"/>
              <w:rPr>
                <w:sz w:val="14"/>
                <w:szCs w:val="14"/>
                <w:color w:val="auto"/>
              </w:rPr>
            </w:pPr>
          </w:p>
        </w:tc>
        <w:tc>
          <w:tcPr>
            <w:tcW w:w="62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2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4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254,000</w:t>
            </w: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35,701</w:t>
            </w:r>
          </w:p>
        </w:tc>
        <w:tc>
          <w:tcPr>
            <w:tcW w:w="3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28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2800" w:type="dxa"/>
            <w:vAlign w:val="bottom"/>
          </w:tcPr>
          <w:p>
            <w:pPr>
              <w:spacing w:after="0"/>
              <w:rPr>
                <w:sz w:val="24"/>
                <w:szCs w:val="24"/>
                <w:color w:val="auto"/>
              </w:rPr>
            </w:pPr>
          </w:p>
        </w:tc>
        <w:tc>
          <w:tcPr>
            <w:tcW w:w="4940" w:type="dxa"/>
            <w:vAlign w:val="bottom"/>
            <w:gridSpan w:val="2"/>
          </w:tcPr>
          <w:p>
            <w:pPr>
              <w:jc w:val="right"/>
              <w:ind w:right="2692"/>
              <w:spacing w:after="0"/>
              <w:rPr>
                <w:sz w:val="20"/>
                <w:szCs w:val="20"/>
                <w:color w:val="auto"/>
              </w:rPr>
            </w:pPr>
            <w:r>
              <w:rPr>
                <w:rFonts w:ascii="Times New Roman" w:cs="Times New Roman" w:eastAsia="Times New Roman" w:hAnsi="Times New Roman"/>
                <w:sz w:val="18"/>
                <w:szCs w:val="18"/>
                <w:color w:val="auto"/>
              </w:rPr>
              <w:t>F-17</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80"/>
          </w:cols>
          <w:pgMar w:left="240" w:top="455" w:right="57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Accounts Receivable, net</w:t>
      </w:r>
    </w:p>
    <w:p>
      <w:pPr>
        <w:spacing w:after="0" w:line="19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8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5"/>
        </w:trPr>
        <w:tc>
          <w:tcPr>
            <w:tcW w:w="6880" w:type="dxa"/>
            <w:vAlign w:val="bottom"/>
          </w:tcPr>
          <w:p>
            <w:pPr>
              <w:spacing w:after="0"/>
              <w:rPr>
                <w:sz w:val="14"/>
                <w:szCs w:val="14"/>
                <w:color w:val="auto"/>
              </w:rPr>
            </w:pPr>
          </w:p>
        </w:tc>
        <w:tc>
          <w:tcPr>
            <w:tcW w:w="600" w:type="dxa"/>
            <w:vAlign w:val="bottom"/>
            <w:gridSpan w:val="2"/>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2012</w:t>
            </w:r>
          </w:p>
        </w:tc>
        <w:tc>
          <w:tcPr>
            <w:tcW w:w="280" w:type="dxa"/>
            <w:vAlign w:val="bottom"/>
          </w:tcPr>
          <w:p>
            <w:pPr>
              <w:spacing w:after="0"/>
              <w:rPr>
                <w:sz w:val="14"/>
                <w:szCs w:val="14"/>
                <w:color w:val="auto"/>
              </w:rPr>
            </w:pPr>
          </w:p>
        </w:tc>
        <w:tc>
          <w:tcPr>
            <w:tcW w:w="800" w:type="dxa"/>
            <w:vAlign w:val="bottom"/>
            <w:gridSpan w:val="2"/>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2011</w:t>
            </w:r>
          </w:p>
        </w:tc>
        <w:tc>
          <w:tcPr>
            <w:tcW w:w="120" w:type="dxa"/>
            <w:vAlign w:val="bottom"/>
          </w:tcPr>
          <w:p>
            <w:pPr>
              <w:spacing w:after="0"/>
              <w:rPr>
                <w:sz w:val="14"/>
                <w:szCs w:val="14"/>
                <w:color w:val="auto"/>
              </w:rPr>
            </w:pPr>
          </w:p>
        </w:tc>
      </w:tr>
      <w:tr>
        <w:trPr>
          <w:trHeight w:val="142"/>
        </w:trPr>
        <w:tc>
          <w:tcPr>
            <w:tcW w:w="6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tcBorders>
              <w:top w:val="single" w:sz="8" w:color="auto"/>
            </w:tcBorders>
            <w:gridSpan w:val="4"/>
          </w:tcPr>
          <w:p>
            <w:pPr>
              <w:jc w:val="right"/>
              <w:ind w:right="332"/>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2"/>
                <w:szCs w:val="12"/>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$72,505</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$87,303</w:t>
            </w:r>
          </w:p>
        </w:tc>
        <w:tc>
          <w:tcPr>
            <w:tcW w:w="12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Insurance claims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10,059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873</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20" w:type="dxa"/>
            <w:vAlign w:val="bottom"/>
            <w:shd w:val="clear" w:color="auto" w:fill="CCEEFF"/>
          </w:tcPr>
          <w:p>
            <w:pPr>
              <w:spacing w:after="0"/>
              <w:rPr>
                <w:sz w:val="18"/>
                <w:szCs w:val="18"/>
                <w:color w:val="auto"/>
              </w:rPr>
            </w:pPr>
          </w:p>
        </w:tc>
      </w:tr>
      <w:tr>
        <w:trPr>
          <w:trHeight w:val="223"/>
        </w:trPr>
        <w:tc>
          <w:tcPr>
            <w:tcW w:w="6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83,437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88,306</w:t>
            </w:r>
          </w:p>
        </w:tc>
        <w:tc>
          <w:tcPr>
            <w:tcW w:w="120" w:type="dxa"/>
            <w:vAlign w:val="bottom"/>
          </w:tcPr>
          <w:p>
            <w:pPr>
              <w:spacing w:after="0"/>
              <w:rPr>
                <w:sz w:val="19"/>
                <w:szCs w:val="19"/>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8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(636)</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(955)</w:t>
            </w:r>
          </w:p>
        </w:tc>
      </w:tr>
      <w:tr>
        <w:trPr>
          <w:trHeight w:val="223"/>
        </w:trPr>
        <w:tc>
          <w:tcPr>
            <w:tcW w:w="68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2"/>
              </w:rPr>
              <w:t>$</w:t>
            </w:r>
            <w:r>
              <w:rPr>
                <w:rFonts w:ascii="Times New Roman" w:cs="Times New Roman" w:eastAsia="Times New Roman" w:hAnsi="Times New Roman"/>
                <w:sz w:val="18"/>
                <w:szCs w:val="18"/>
                <w:b w:val="1"/>
                <w:bCs w:val="1"/>
                <w:color w:val="auto"/>
                <w:w w:val="92"/>
              </w:rPr>
              <w:t>82,801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87,351</w:t>
            </w:r>
          </w:p>
        </w:tc>
        <w:tc>
          <w:tcPr>
            <w:tcW w:w="120" w:type="dxa"/>
            <w:vAlign w:val="bottom"/>
          </w:tcPr>
          <w:p>
            <w:pPr>
              <w:spacing w:after="0"/>
              <w:rPr>
                <w:sz w:val="19"/>
                <w:szCs w:val="19"/>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sales to contractors and independent sales representatives are generally subject to a mechanic’s lien in the Climate Control Business. Sales to other customers are generally unsecured. Credit is extended to customers based on an evaluation of the customer’s financial condition and other factors. Concentrations of credit risk with respect to trade receivables are monitored and this risk is reduced due to the large number of customers comprising our customer bases and their dispersion across many different industries and geographic areas (primarily as it relates to the Climate Control Business) and payment terms of 15 days or less relating to most of our significant customers in the Chemical Business. Twelve customers (including their affiliates), relating to the Chemical and Climate Control Businesses, account for approximately 36% of our total net receivables at December 31, 2012.</w:t>
      </w:r>
    </w:p>
    <w:p>
      <w:pPr>
        <w:spacing w:after="0" w:line="139"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6"/>
          <w:szCs w:val="16"/>
          <w:color w:val="auto"/>
        </w:rPr>
        <w:t>During August 2012, El Dorado Chemical Company (“EDC”) entered into an agreement with Bank of America, N.A. (the “Bank”) to sell our accounts receivables generated from product sales to a certain customer. We agreed to enter into this agreement as a courtesy to this customer. The initial term of this agreement is for one year, with renewal options, but either party has an option to terminate the agreement pursuant to the terms of the agreement. In addition, we amended our sales agreement with the customer to offer extended payment terms under the condition that they pay an extended payment terms premium equal to the discount taken by the Bank when the accounts receivables are sold. Thus, there is no gain or loss from the sale of these receivables to the Bank. We have no continuing involvement or risks associated with the transferred accounts receivable. Pursuant to the terms of the agreement, EDC is to receive payment from the Bank no later than one business day after the Bank’s acceptance of EDC’s offer to sell the accounts receivables. As of December 31, 2012, EDC has been paid by the Bank for the accounts receivables sold to the Bank. We account for these transfers as sales under ASC 860 – Transfers and Servicing.</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Inventories</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Finished</w:t>
            </w:r>
          </w:p>
        </w:tc>
        <w:tc>
          <w:tcPr>
            <w:tcW w:w="400" w:type="dxa"/>
            <w:vAlign w:val="bottom"/>
          </w:tcPr>
          <w:p>
            <w:pPr>
              <w:spacing w:after="0"/>
              <w:rPr>
                <w:sz w:val="13"/>
                <w:szCs w:val="13"/>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2"/>
              </w:rPr>
              <w:t>Work-in-</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Raw</w:t>
            </w: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940" w:type="dxa"/>
            <w:vAlign w:val="bottom"/>
          </w:tcPr>
          <w:p>
            <w:pPr>
              <w:spacing w:after="0"/>
              <w:rPr>
                <w:sz w:val="14"/>
                <w:szCs w:val="14"/>
                <w:color w:val="auto"/>
              </w:rPr>
            </w:pPr>
          </w:p>
        </w:tc>
        <w:tc>
          <w:tcPr>
            <w:tcW w:w="58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Goods</w:t>
            </w:r>
          </w:p>
        </w:tc>
        <w:tc>
          <w:tcPr>
            <w:tcW w:w="4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Process</w:t>
            </w:r>
          </w:p>
        </w:tc>
        <w:tc>
          <w:tcPr>
            <w:tcW w:w="4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Materials</w:t>
            </w:r>
          </w:p>
        </w:tc>
        <w:tc>
          <w:tcPr>
            <w:tcW w:w="380" w:type="dxa"/>
            <w:vAlign w:val="bottom"/>
          </w:tcPr>
          <w:p>
            <w:pPr>
              <w:spacing w:after="0"/>
              <w:rPr>
                <w:sz w:val="14"/>
                <w:szCs w:val="14"/>
                <w:color w:val="auto"/>
              </w:rPr>
            </w:pP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69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4"/>
          </w:tcPr>
          <w:p>
            <w:pPr>
              <w:jc w:val="right"/>
              <w:ind w:right="274"/>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3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2012:</w:t>
            </w: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Chemical products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$25,487</w:t>
            </w:r>
          </w:p>
        </w:tc>
        <w:tc>
          <w:tcPr>
            <w:tcW w:w="5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Climate Control products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3,576</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20,352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Industrial machinery and components</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36,851</w:t>
            </w:r>
          </w:p>
        </w:tc>
        <w:tc>
          <w:tcPr>
            <w:tcW w:w="5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3,576</w:t>
            </w:r>
          </w:p>
        </w:tc>
        <w:tc>
          <w:tcPr>
            <w:tcW w:w="4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24,546</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64,973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December 31, 2011:</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Chemical products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$18,509</w:t>
            </w:r>
          </w:p>
        </w:tc>
        <w:tc>
          <w:tcPr>
            <w:tcW w:w="5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Climate Control products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4,855</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21,579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Industrial machinery and components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29,009</w:t>
            </w: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4,855</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25,642</w:t>
            </w:r>
          </w:p>
        </w:tc>
        <w:tc>
          <w:tcPr>
            <w:tcW w:w="3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59,506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420"/>
        <w:spacing w:after="0" w:line="262" w:lineRule="auto"/>
        <w:rPr>
          <w:sz w:val="20"/>
          <w:szCs w:val="20"/>
          <w:color w:val="auto"/>
        </w:rPr>
      </w:pPr>
      <w:r>
        <w:rPr>
          <w:rFonts w:ascii="Times New Roman" w:cs="Times New Roman" w:eastAsia="Times New Roman" w:hAnsi="Times New Roman"/>
          <w:sz w:val="18"/>
          <w:szCs w:val="18"/>
          <w:color w:val="auto"/>
        </w:rPr>
        <w:t>At December 31, 2012 and 2011, inventory reserves for certain slow-moving inventory items (Climate Control products) were $1,818,000 and $1,767,000, respectively. In addition, because cost exceeded the net realizable value, inventory reserves for certain nitrogen-based inventories provided by our Chemical Business were $975,000 and $16,000 at December 31, 2012 and 2011, respectively.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400"/>
          </w:cols>
          <w:pgMar w:left="240" w:top="455" w:right="25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Inventories (continued)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our inventory reserves are as follows:</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6440" w:type="dxa"/>
            <w:vAlign w:val="bottom"/>
          </w:tcPr>
          <w:p>
            <w:pPr>
              <w:spacing w:after="0"/>
              <w:rPr>
                <w:sz w:val="14"/>
                <w:szCs w:val="14"/>
                <w:color w:val="auto"/>
              </w:rPr>
            </w:pPr>
          </w:p>
        </w:tc>
        <w:tc>
          <w:tcPr>
            <w:tcW w:w="50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2012</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2011</w:t>
            </w:r>
          </w:p>
        </w:tc>
        <w:tc>
          <w:tcPr>
            <w:tcW w:w="340" w:type="dxa"/>
            <w:vAlign w:val="bottom"/>
          </w:tcPr>
          <w:p>
            <w:pPr>
              <w:spacing w:after="0"/>
              <w:rPr>
                <w:sz w:val="14"/>
                <w:szCs w:val="14"/>
                <w:color w:val="auto"/>
              </w:rPr>
            </w:pPr>
          </w:p>
        </w:tc>
        <w:tc>
          <w:tcPr>
            <w:tcW w:w="78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14"/>
                <w:szCs w:val="14"/>
                <w:color w:val="auto"/>
              </w:rPr>
            </w:pPr>
          </w:p>
        </w:tc>
      </w:tr>
      <w:tr>
        <w:trPr>
          <w:trHeight w:val="142"/>
        </w:trPr>
        <w:tc>
          <w:tcPr>
            <w:tcW w:w="6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w w:val="93"/>
              </w:rPr>
              <w:t>(In Thousands)</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5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6"/>
              </w:rPr>
              <w:t>$1,783</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1,793</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$1,676</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Provisions for losses</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1,140</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590</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 and disposals</w:t>
            </w:r>
          </w:p>
        </w:tc>
        <w:tc>
          <w:tcPr>
            <w:tcW w:w="1100" w:type="dxa"/>
            <w:vAlign w:val="bottom"/>
            <w:gridSpan w:val="4"/>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(130)</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(600)</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r>
      <w:tr>
        <w:trPr>
          <w:trHeight w:val="223"/>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2"/>
              </w:rPr>
              <w:t>$</w:t>
            </w:r>
            <w:r>
              <w:rPr>
                <w:rFonts w:ascii="Times New Roman" w:cs="Times New Roman" w:eastAsia="Times New Roman" w:hAnsi="Times New Roman"/>
                <w:sz w:val="18"/>
                <w:szCs w:val="18"/>
                <w:b w:val="1"/>
                <w:bCs w:val="1"/>
                <w:color w:val="auto"/>
                <w:w w:val="92"/>
              </w:rPr>
              <w:t>2,793</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1,793</w:t>
            </w:r>
          </w:p>
        </w:tc>
        <w:tc>
          <w:tcPr>
            <w:tcW w:w="10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provisions for losses are included in cost of sales in the accompanying consolidated statements of income.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Plant and Equipment</w:t>
      </w:r>
    </w:p>
    <w:p>
      <w:pPr>
        <w:spacing w:after="0" w:line="19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3"/>
              </w:rPr>
              <w:t>Useful lives</w:t>
            </w:r>
          </w:p>
        </w:tc>
        <w:tc>
          <w:tcPr>
            <w:tcW w:w="198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5"/>
        </w:trPr>
        <w:tc>
          <w:tcPr>
            <w:tcW w:w="648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3"/>
              </w:rPr>
              <w:t>in years</w:t>
            </w:r>
          </w:p>
        </w:tc>
        <w:tc>
          <w:tcPr>
            <w:tcW w:w="68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2012</w:t>
            </w:r>
          </w:p>
        </w:tc>
        <w:tc>
          <w:tcPr>
            <w:tcW w:w="20" w:type="dxa"/>
            <w:vAlign w:val="bottom"/>
          </w:tcPr>
          <w:p>
            <w:pPr>
              <w:spacing w:after="0"/>
              <w:rPr>
                <w:sz w:val="14"/>
                <w:szCs w:val="14"/>
                <w:color w:val="auto"/>
              </w:rPr>
            </w:pPr>
          </w:p>
        </w:tc>
        <w:tc>
          <w:tcPr>
            <w:tcW w:w="1180" w:type="dxa"/>
            <w:vAlign w:val="bottom"/>
            <w:gridSpan w:val="2"/>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4"/>
                <w:szCs w:val="14"/>
                <w:color w:val="auto"/>
              </w:rPr>
            </w:pPr>
          </w:p>
        </w:tc>
      </w:tr>
      <w:tr>
        <w:trPr>
          <w:trHeight w:val="142"/>
        </w:trPr>
        <w:tc>
          <w:tcPr>
            <w:tcW w:w="64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880" w:type="dxa"/>
            <w:vAlign w:val="bottom"/>
            <w:tcBorders>
              <w:top w:val="single" w:sz="8" w:color="auto"/>
            </w:tcBorders>
            <w:gridSpan w:val="4"/>
          </w:tcPr>
          <w:p>
            <w:pPr>
              <w:jc w:val="right"/>
              <w:ind w:right="432"/>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2"/>
                <w:szCs w:val="12"/>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equipment and automotive</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3 - 30</w:t>
            </w:r>
          </w:p>
        </w:tc>
        <w:tc>
          <w:tcPr>
            <w:tcW w:w="4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7"/>
              </w:rPr>
              <w:t>$253,317</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$239,322</w:t>
            </w:r>
          </w:p>
        </w:tc>
        <w:tc>
          <w:tcPr>
            <w:tcW w:w="10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Proved natural gas properties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49,801</w:t>
            </w:r>
          </w:p>
        </w:tc>
        <w:tc>
          <w:tcPr>
            <w:tcW w:w="52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8 - 30</w:t>
            </w:r>
          </w:p>
        </w:tc>
        <w:tc>
          <w:tcPr>
            <w:tcW w:w="4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44,248</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39,381</w:t>
            </w:r>
          </w:p>
        </w:tc>
        <w:tc>
          <w:tcPr>
            <w:tcW w:w="10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store equipment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3 - 10</w:t>
            </w:r>
          </w:p>
        </w:tc>
        <w:tc>
          <w:tcPr>
            <w:tcW w:w="4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6,718</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10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under capital leases</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10</w:t>
            </w:r>
          </w:p>
        </w:tc>
        <w:tc>
          <w:tcPr>
            <w:tcW w:w="4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1,468</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10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Land improvements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10</w:t>
            </w:r>
          </w:p>
        </w:tc>
        <w:tc>
          <w:tcPr>
            <w:tcW w:w="4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1,148</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12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N/A</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52,673</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23,714</w:t>
            </w:r>
          </w:p>
        </w:tc>
        <w:tc>
          <w:tcPr>
            <w:tcW w:w="10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Capital spare parts</w:t>
            </w: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N/A</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5,430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7,407</w:t>
            </w:r>
          </w:p>
        </w:tc>
        <w:tc>
          <w:tcPr>
            <w:tcW w:w="10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12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N/A</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10,386</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100" w:type="dxa"/>
            <w:vAlign w:val="bottom"/>
            <w:shd w:val="clear" w:color="auto" w:fill="CCEEFF"/>
          </w:tcPr>
          <w:p>
            <w:pPr>
              <w:spacing w:after="0"/>
              <w:rPr>
                <w:sz w:val="18"/>
                <w:szCs w:val="18"/>
                <w:color w:val="auto"/>
              </w:rPr>
            </w:pPr>
          </w:p>
        </w:tc>
      </w:tr>
      <w:tr>
        <w:trPr>
          <w:trHeight w:val="223"/>
        </w:trPr>
        <w:tc>
          <w:tcPr>
            <w:tcW w:w="6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425,189</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326,177</w:t>
            </w:r>
          </w:p>
        </w:tc>
        <w:tc>
          <w:tcPr>
            <w:tcW w:w="100" w:type="dxa"/>
            <w:vAlign w:val="bottom"/>
          </w:tcPr>
          <w:p>
            <w:pPr>
              <w:spacing w:after="0"/>
              <w:rPr>
                <w:sz w:val="19"/>
                <w:szCs w:val="19"/>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depletion and amortization</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143,318</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161,630</w:t>
            </w:r>
          </w:p>
        </w:tc>
        <w:tc>
          <w:tcPr>
            <w:tcW w:w="100" w:type="dxa"/>
            <w:vAlign w:val="bottom"/>
            <w:shd w:val="clear" w:color="auto" w:fill="CCEEFF"/>
          </w:tcPr>
          <w:p>
            <w:pPr>
              <w:spacing w:after="0"/>
              <w:rPr>
                <w:sz w:val="18"/>
                <w:szCs w:val="18"/>
                <w:color w:val="auto"/>
              </w:rPr>
            </w:pPr>
          </w:p>
        </w:tc>
      </w:tr>
      <w:tr>
        <w:trPr>
          <w:trHeight w:val="223"/>
        </w:trPr>
        <w:tc>
          <w:tcPr>
            <w:tcW w:w="6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7"/>
              </w:rPr>
              <w:t>$</w:t>
            </w:r>
            <w:r>
              <w:rPr>
                <w:rFonts w:ascii="Times New Roman" w:cs="Times New Roman" w:eastAsia="Times New Roman" w:hAnsi="Times New Roman"/>
                <w:sz w:val="18"/>
                <w:szCs w:val="18"/>
                <w:b w:val="1"/>
                <w:bCs w:val="1"/>
                <w:color w:val="auto"/>
                <w:w w:val="97"/>
              </w:rPr>
              <w:t>281,871</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164,547</w:t>
            </w:r>
          </w:p>
        </w:tc>
        <w:tc>
          <w:tcPr>
            <w:tcW w:w="100" w:type="dxa"/>
            <w:vAlign w:val="bottom"/>
          </w:tcPr>
          <w:p>
            <w:pPr>
              <w:spacing w:after="0"/>
              <w:rPr>
                <w:sz w:val="19"/>
                <w:szCs w:val="19"/>
                <w:color w:val="auto"/>
              </w:rPr>
            </w:pPr>
          </w:p>
        </w:tc>
      </w:tr>
      <w:tr>
        <w:trPr>
          <w:trHeight w:val="20"/>
        </w:trPr>
        <w:tc>
          <w:tcPr>
            <w:tcW w:w="6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Machinery, equipment and automotive primarily includes the categories of property and equipment and estimated useful lives as follows: chemical processing plants and plant infrastructure (15-30 years); production, fabrication, and assembly equipment (7-15 years); certain processing plant components (3-10 years); and trucks, automobiles, trailers, and other rolling stock (3-7 years). At December 31, 2012 and 2011, assets capitalized under capital leases consist of machinery and equipment. Accumulated amortization for assets capitalized under capital leases were $567,000 and $718,000 at December 31, 2012 and 2011, respectively. During 2012, interest cost capitalized in PP&amp;E was $398,000 (none during 2011).</w:t>
      </w:r>
    </w:p>
    <w:p>
      <w:pPr>
        <w:spacing w:after="0" w:line="58" w:lineRule="exact"/>
        <w:rPr>
          <w:sz w:val="20"/>
          <w:szCs w:val="20"/>
          <w:color w:val="auto"/>
        </w:rPr>
      </w:pPr>
    </w:p>
    <w:p>
      <w:pPr>
        <w:ind w:left="460" w:right="200" w:hanging="452"/>
        <w:spacing w:after="0" w:line="275" w:lineRule="auto"/>
        <w:tabs>
          <w:tab w:leader="none" w:pos="4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information concerning natural gas properties included in PP&amp;E in Note 1- Summary of Significant Accounting Policies and Note 2 – Acquisition of Working Interests in Natural Gas Properties.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420"/>
          </w:cols>
          <w:pgMar w:left="240" w:top="455" w:right="23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Current and Noncurrent Accrued and Other Liabilities</w:t>
      </w:r>
    </w:p>
    <w:p>
      <w:pPr>
        <w:spacing w:after="0" w:line="19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5"/>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2012</w:t>
            </w: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4"/>
          </w:tcPr>
          <w:p>
            <w:pPr>
              <w:jc w:val="right"/>
              <w:ind w:right="313"/>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deposits</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8,189</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on extended warranty contracts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7,007</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6,612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Accrued warranty costs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6,172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death benefits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4,185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Accrued income taxes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3,043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contractual manufacturing obligations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Accrued group health and workers’ compensation insurance claims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2,175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derivatives and other</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Accrued executive benefits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commissions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Accrued property taxes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contractual profit-sharing obligation</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4,731</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51,067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43,916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Less noncurrent portion</w:t>
            </w:r>
          </w:p>
        </w:tc>
        <w:tc>
          <w:tcPr>
            <w:tcW w:w="1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16,369</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15,239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accrued and other liabilities</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34,698</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28,677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Warranty Costs</w:t>
      </w:r>
    </w:p>
    <w:p>
      <w:pPr>
        <w:spacing w:after="0" w:line="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Climate Control Business sells equipment that has an expected life, under normal circumstances and use, which extends over several years. As such, we provide warranties after equipment shipment/start up covering defects in materials and workmanship. Generally for commercial/institutional products, the base warranty coverage for most of the manufactured equipment in the Climate Control Business is limited to eighteen months from the date of shipment or twelve months from the date of start up, whichever is shorter, and to ninety days for spare parts. For residential products, the base warranty coverage for manufactured equipment in the Climate Control Business is limited to ten years from the date of shipment for material and to five years from the date of shipment for labor associated with the repair. The warranty provides that most equipment is required to be returned to the factory or an authorized representative and the warranty is limited to the repair and replacement of the defective product, with a maximum warranty of the refund of the purchase price. Furthermore, companies within the Climate Control Business generally disclaim and exclude warranties related to merchantability or fitness for any particular purpose and disclaim and exclude any liability for consequential or incidental damages. In some cases, the customer may purchase or a specific product may be sold with an extended warranty. The above discussion is generally applicable to such extended warranties, but variations do occur depending upon specific contractual obligations, certain system components, and local laws.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our product warranty obligation (accrued warranty costs) are as follows:</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3720" w:type="dxa"/>
            <w:vAlign w:val="bottom"/>
          </w:tcPr>
          <w:p>
            <w:pPr>
              <w:spacing w:after="0"/>
              <w:rPr>
                <w:sz w:val="14"/>
                <w:szCs w:val="14"/>
                <w:color w:val="auto"/>
              </w:rPr>
            </w:pPr>
          </w:p>
        </w:tc>
        <w:tc>
          <w:tcPr>
            <w:tcW w:w="316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2012</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2011</w:t>
            </w:r>
          </w:p>
        </w:tc>
        <w:tc>
          <w:tcPr>
            <w:tcW w:w="320" w:type="dxa"/>
            <w:vAlign w:val="bottom"/>
          </w:tcPr>
          <w:p>
            <w:pPr>
              <w:spacing w:after="0"/>
              <w:rPr>
                <w:sz w:val="14"/>
                <w:szCs w:val="14"/>
                <w:color w:val="auto"/>
              </w:rPr>
            </w:pPr>
          </w:p>
        </w:tc>
        <w:tc>
          <w:tcPr>
            <w:tcW w:w="84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14"/>
                <w:szCs w:val="14"/>
                <w:color w:val="auto"/>
              </w:rPr>
            </w:pPr>
          </w:p>
        </w:tc>
      </w:tr>
      <w:tr>
        <w:trPr>
          <w:trHeight w:val="142"/>
        </w:trPr>
        <w:tc>
          <w:tcPr>
            <w:tcW w:w="37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w w:val="93"/>
              </w:rPr>
              <w:t>(In Thousands)</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5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$ 5,370</w:t>
            </w:r>
          </w:p>
        </w:tc>
        <w:tc>
          <w:tcPr>
            <w:tcW w:w="4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3,996</w:t>
            </w: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$ 3,138</w:t>
            </w: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Amounts charged to costs and expenses</w:t>
            </w:r>
          </w:p>
        </w:tc>
        <w:tc>
          <w:tcPr>
            <w:tcW w:w="35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6,710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6,539</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4,479</w:t>
            </w: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incurred</w:t>
            </w:r>
          </w:p>
        </w:tc>
        <w:tc>
          <w:tcPr>
            <w:tcW w:w="35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(5,908)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(5,165)</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(3,621)</w:t>
            </w:r>
          </w:p>
        </w:tc>
      </w:tr>
      <w:tr>
        <w:trPr>
          <w:trHeight w:val="22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26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$ 6,172</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$ 3,996</w:t>
            </w:r>
          </w:p>
        </w:tc>
        <w:tc>
          <w:tcPr>
            <w:tcW w:w="100" w:type="dxa"/>
            <w:vAlign w:val="bottom"/>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3720" w:type="dxa"/>
            <w:vAlign w:val="bottom"/>
          </w:tcPr>
          <w:p>
            <w:pPr>
              <w:spacing w:after="0"/>
              <w:rPr>
                <w:sz w:val="24"/>
                <w:szCs w:val="24"/>
                <w:color w:val="auto"/>
              </w:rPr>
            </w:pPr>
          </w:p>
        </w:tc>
        <w:tc>
          <w:tcPr>
            <w:tcW w:w="3500" w:type="dxa"/>
            <w:vAlign w:val="bottom"/>
            <w:gridSpan w:val="3"/>
          </w:tcPr>
          <w:p>
            <w:pPr>
              <w:jc w:val="right"/>
              <w:ind w:right="2260"/>
              <w:spacing w:after="0"/>
              <w:rPr>
                <w:sz w:val="20"/>
                <w:szCs w:val="20"/>
                <w:color w:val="auto"/>
              </w:rPr>
            </w:pPr>
            <w:r>
              <w:rPr>
                <w:rFonts w:ascii="Times New Roman" w:cs="Times New Roman" w:eastAsia="Times New Roman" w:hAnsi="Times New Roman"/>
                <w:sz w:val="18"/>
                <w:szCs w:val="18"/>
                <w:color w:val="auto"/>
              </w:rPr>
              <w:t>F-20</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40"/>
          </w:cols>
          <w:pgMar w:left="240" w:top="455" w:right="31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Asset Retirement Obligations</w:t>
      </w:r>
    </w:p>
    <w:p>
      <w:pPr>
        <w:spacing w:after="0" w:line="9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Currently, we have an obligation to plug and abandon a waste water injection well at one of our Chemical Business facilities when the permit expires. We are also contractually obligated through at least December 2053 to pay a portion of the operating costs of a municipally owned wastewater pipeline currently being constructed, which will serve our chemical production facility located in El Dorado, Arkansas (the “El Dorado Facility”). Additionally, we have certain facilities in our Chemical Business that contain asbestos insulation around certain piping and heated surfaces, which we plan to maintain or replace, as needed, with non-asbestos insulation through our standard repair and maintenance activities to prevent deterioration. Currently, there is insufficient information to estimate the fair value for most of our AROs. In addition, we currently have no plans to discontinue the use of these facilities and the remaining life of the facilities is indeterminable. As a result, a liability for only a minimal amount relating to AROs associated with these facilities has been established. However, we will continue to review these obligations and record a liability when a reasonable estimate of the fair value can be made. As discussed in Note 2—Acquisition of Working Interests in Natural Gas Properties, our Chemical Business acquired working interests in certain natural gas properties. As a result of this acquisition, we recognized AROs associated with the obligation to plug and abandon wells when the natural gas reserves in the wells are depleted. At December 31, 2012 and 2011, our accrued liability for AROs was $154,000 and $75,000, respectively.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Long-Term Debt</w:t>
      </w:r>
    </w:p>
    <w:p>
      <w:pPr>
        <w:spacing w:after="0" w:line="19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6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2012</w:t>
            </w: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4"/>
          </w:tcPr>
          <w:p>
            <w:pPr>
              <w:jc w:val="right"/>
              <w:ind w:right="315"/>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 Revolver Loan (A)</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Secured Term Loan (B)</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68,438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72,188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9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Other, with a current weighted-average interest rate of 6.85%,most of which is secured by</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4,003</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machinery, equipment and real estate (C)</w:t>
            </w:r>
          </w:p>
        </w:tc>
        <w:tc>
          <w:tcPr>
            <w:tcW w:w="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72,441</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79,460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long-term debt (D)</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4,798</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due after one year (D)</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67,643</w:t>
            </w:r>
          </w:p>
        </w:tc>
        <w:tc>
          <w:tcPr>
            <w:tcW w:w="4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74,525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60" w:firstLine="8"/>
        <w:spacing w:after="0" w:line="291" w:lineRule="auto"/>
        <w:tabs>
          <w:tab w:leader="none" w:pos="287" w:val="left"/>
        </w:tabs>
        <w:numPr>
          <w:ilvl w:val="0"/>
          <w:numId w:val="6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Since the $50 million revolving credit facility (the “Working Capital Revolver Loan”) was scheduled to mature on April 13, 2012, our wholly-owned subsidiary, ThermaClime, LLC (“ThermaClime”) and its subsidiaries (collectively, the “Borrowers”) and the lender entered into an amendment to the Working Capital Revolver Loan, dated April 4, 2012, that continues to provide for advances based on specified percentages of eligible accounts receivable and inventories for ThermaClime and its subsidiaries. As amended, the Working Capital Revolver Loan matures on March 29, 2016, but could be extended to April 13, 2017 under certain conditions. The Working Capital Revolver Loan, as amended, accrues interest at a base rate (generally equivalent to the prime rate) plus .50% if borrowing availability is greater than $25 million, otherwise plus .75% or, at our option, accrues interest at LIBOR plus 1.50% if borrowing availability is greater than $25 million, otherwise plus 1.75%. The interest rate at December 31, 2012 was 3.75% based on LIBOR. Interest continues to be paid monthly, if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amended, the Working Capital Revolver Loan provides for up to $15 million of letters of credit. All letters of credit outstanding reduce availability under 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Working Capital Revolver Loan. As of December 31, 2012, amounts available for borrowing under the Working Capital Revolver Loan were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$48.4 million. Under the Working Capital Revolver Loan, as amended, the lender also requires the Borrowers to pay a letter of credit fee equal to 1% per annum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 the undrawn amount of all outstanding letters of credit, an unused line fee equal to ..25% per annum for the excess amount available under the Working Capital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Revolver Loan not drawn and various other audit, appraisal and valuation charges.</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lender has the ability to, upon an event of default, as defined, terminate the Working Capital Revolver Loan and make the balance outstanding, if any, due and payable in full. The Working Capital Revolver Loan is secured by the assets of all the ThermaClime entities other than El Dorado Nitric Company and its subsidiaries (“EDN”), but excluding the assets securing the Secured Term Loan, certain production equipment and facilities utilized by the Climate Control Business, and certain distribution-related assets of EDC. In addition, EDN is neither a borrower under, nor guarantor of, the Working Capital Revolver Loan. At December 31, 2012, the carrying value of the pledged assets was approximately $232 million.</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420"/>
          </w:cols>
          <w:pgMar w:left="240" w:top="455" w:right="23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Long-Term Debt (continued)</w:t>
      </w:r>
    </w:p>
    <w:p>
      <w:pPr>
        <w:spacing w:after="0" w:line="160"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The Working Capital Revolver Loan requires ThermaClime to meet a minimum fixed charge coverage ratio of not less than 1.10 to 1 measured on an annual basis. This requirement is to be measured on a fiscal year-end basis and as defined in the agreement. The Working Capital Revolver Loan contains covenants that, among other things, limit the Borrowers’ (which does not include LSB) ability, without consent of the lender and with certain exceptions, to:</w:t>
      </w:r>
    </w:p>
    <w:p>
      <w:pPr>
        <w:spacing w:after="0" w:line="51" w:lineRule="exact"/>
        <w:rPr>
          <w:sz w:val="20"/>
          <w:szCs w:val="20"/>
          <w:color w:val="auto"/>
        </w:rPr>
      </w:pPr>
    </w:p>
    <w:p>
      <w:pPr>
        <w:ind w:left="900" w:hanging="325"/>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restricted payments or loans to affiliates who are not Borrowers,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consolidations or other forms of recapitalization, or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assets.</w:t>
      </w:r>
    </w:p>
    <w:p>
      <w:pPr>
        <w:spacing w:after="0" w:line="17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Borrowers were in compliance with these financial covenants for the year ended December 31, 2012. Pursuant to certain agreements with the lender, all collections on accounts receivable are no longer made through a bank account in the name of the lender or their agent. As a result and compared to previous periods, this change has reduced the amount of cash flow activity associated with the Working Capital Revolver Loan, which is also reported as cash flows from continuing financing activities.</w:t>
      </w:r>
    </w:p>
    <w:p>
      <w:pPr>
        <w:spacing w:after="0" w:line="136" w:lineRule="exact"/>
        <w:rPr>
          <w:sz w:val="20"/>
          <w:szCs w:val="20"/>
          <w:color w:val="auto"/>
        </w:rPr>
      </w:pPr>
    </w:p>
    <w:p>
      <w:pPr>
        <w:ind w:right="80" w:firstLine="8"/>
        <w:spacing w:after="0" w:line="255" w:lineRule="auto"/>
        <w:tabs>
          <w:tab w:leader="none" w:pos="278"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29, 2011, ThermaClime and certain of its subsidiaries entered into an amended and restated term loan agreement (the “Amended Agreement”), which amended ThermaClime’s existing term loan agreement (the “Original Agreement”). Pursuant to the terms of the Amended Agreement, the maximum principal amount of ThermaClime’s term loan facility (the “Secured Term Loan”) was increased from $50 million to $60 million. On May 26, 2011, the principal amount of the Secured Term Loan was increased an additional $15 million to $75 million pursuant to the terms of the Amended Agreement. The Amended Agreement also extended the maturity of the Secured Term Loan from November 2, 2012, to March 29, 2016. For financial reporting purposes, this transaction was considered a non-substantial modification of the Original Agreement.</w:t>
      </w:r>
    </w:p>
    <w:p>
      <w:pPr>
        <w:spacing w:after="0" w:line="139" w:lineRule="exact"/>
        <w:rPr>
          <w:sz w:val="20"/>
          <w:szCs w:val="20"/>
          <w:color w:val="auto"/>
        </w:rPr>
      </w:pPr>
    </w:p>
    <w:p>
      <w:pPr>
        <w:jc w:val="both"/>
        <w:ind w:right="240"/>
        <w:spacing w:after="0" w:line="262" w:lineRule="auto"/>
        <w:rPr>
          <w:sz w:val="20"/>
          <w:szCs w:val="20"/>
          <w:color w:val="auto"/>
        </w:rPr>
      </w:pPr>
      <w:r>
        <w:rPr>
          <w:rFonts w:ascii="Times New Roman" w:cs="Times New Roman" w:eastAsia="Times New Roman" w:hAnsi="Times New Roman"/>
          <w:sz w:val="18"/>
          <w:szCs w:val="18"/>
          <w:color w:val="auto"/>
        </w:rPr>
        <w:t>The Secured Term Loan requires quarterly principal payments of approximately $0.9 million, plus interest and a final balloon payment of $56.3 million due on March 29, 2016. The stated interest rate on the Secured Term Loan includes a variable interest rate (based on three-month LIBOR plus 300 basis points, which rate is adjusted quarterly) and a fixed interest rate as detailed below:</w:t>
      </w:r>
    </w:p>
    <w:p>
      <w:pPr>
        <w:spacing w:after="0" w:line="171"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28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260" w:type="dxa"/>
            <w:vAlign w:val="bottom"/>
            <w:tcBorders>
              <w:top w:val="single" w:sz="8" w:color="auto"/>
            </w:tcBorders>
          </w:tcPr>
          <w:p>
            <w:pPr>
              <w:jc w:val="center"/>
              <w:ind w:right="432"/>
              <w:spacing w:after="0" w:line="125" w:lineRule="exact"/>
              <w:rPr>
                <w:sz w:val="20"/>
                <w:szCs w:val="20"/>
                <w:color w:val="auto"/>
              </w:rPr>
            </w:pPr>
            <w:r>
              <w:rPr>
                <w:rFonts w:ascii="Times New Roman" w:cs="Times New Roman" w:eastAsia="Times New Roman" w:hAnsi="Times New Roman"/>
                <w:sz w:val="14"/>
                <w:szCs w:val="14"/>
                <w:b w:val="1"/>
                <w:bCs w:val="1"/>
                <w:color w:val="auto"/>
                <w:w w:val="94"/>
              </w:rPr>
              <w:t>Stated</w:t>
            </w:r>
          </w:p>
        </w:tc>
        <w:tc>
          <w:tcPr>
            <w:tcW w:w="3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Principal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3380" w:type="dxa"/>
            <w:vAlign w:val="bottom"/>
            <w:gridSpan w:val="2"/>
          </w:tcPr>
          <w:p>
            <w:pPr>
              <w:jc w:val="center"/>
              <w:ind w:left="1537"/>
              <w:spacing w:after="0"/>
              <w:rPr>
                <w:sz w:val="20"/>
                <w:szCs w:val="20"/>
                <w:color w:val="auto"/>
              </w:rPr>
            </w:pPr>
            <w:r>
              <w:rPr>
                <w:rFonts w:ascii="Times New Roman" w:cs="Times New Roman" w:eastAsia="Times New Roman" w:hAnsi="Times New Roman"/>
                <w:sz w:val="14"/>
                <w:szCs w:val="14"/>
                <w:b w:val="1"/>
                <w:bCs w:val="1"/>
                <w:color w:val="auto"/>
                <w:w w:val="97"/>
              </w:rPr>
              <w:t>Interest Rate</w:t>
            </w:r>
          </w:p>
        </w:tc>
        <w:tc>
          <w:tcPr>
            <w:tcW w:w="34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180" w:type="dxa"/>
            <w:vAlign w:val="bottom"/>
            <w:tcBorders>
              <w:top w:val="single" w:sz="8" w:color="auto"/>
            </w:tcBorders>
            <w:gridSpan w:val="3"/>
          </w:tcPr>
          <w:p>
            <w:pPr>
              <w:ind w:left="460"/>
              <w:spacing w:after="0" w:line="142" w:lineRule="exact"/>
              <w:rPr>
                <w:sz w:val="20"/>
                <w:szCs w:val="20"/>
                <w:color w:val="auto"/>
              </w:rPr>
            </w:pPr>
            <w:r>
              <w:rPr>
                <w:rFonts w:ascii="Times New Roman" w:cs="Times New Roman" w:eastAsia="Times New Roman" w:hAnsi="Times New Roman"/>
                <w:sz w:val="14"/>
                <w:szCs w:val="14"/>
                <w:color w:val="auto"/>
              </w:rPr>
              <w:t>(Dollars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interest rate</w:t>
            </w:r>
          </w:p>
        </w:tc>
        <w:tc>
          <w:tcPr>
            <w:tcW w:w="3380" w:type="dxa"/>
            <w:vAlign w:val="bottom"/>
            <w:gridSpan w:val="2"/>
            <w:shd w:val="clear" w:color="auto" w:fill="CCEEFF"/>
          </w:tcPr>
          <w:p>
            <w:pPr>
              <w:ind w:left="2560"/>
              <w:spacing w:after="0"/>
              <w:rPr>
                <w:sz w:val="20"/>
                <w:szCs w:val="20"/>
                <w:color w:val="auto"/>
              </w:rPr>
            </w:pPr>
            <w:r>
              <w:rPr>
                <w:rFonts w:ascii="Times New Roman" w:cs="Times New Roman" w:eastAsia="Times New Roman" w:hAnsi="Times New Roman"/>
                <w:sz w:val="18"/>
                <w:szCs w:val="18"/>
                <w:b w:val="1"/>
                <w:bCs w:val="1"/>
                <w:color w:val="auto"/>
              </w:rPr>
              <w:t>3.31%</w:t>
            </w:r>
          </w:p>
        </w:tc>
        <w:tc>
          <w:tcPr>
            <w:tcW w:w="920" w:type="dxa"/>
            <w:vAlign w:val="bottom"/>
            <w:gridSpan w:val="2"/>
            <w:shd w:val="clear" w:color="auto" w:fill="CCEEFF"/>
          </w:tcPr>
          <w:p>
            <w:pPr>
              <w:jc w:val="center"/>
              <w:ind w:left="252"/>
              <w:spacing w:after="0"/>
              <w:rPr>
                <w:sz w:val="20"/>
                <w:szCs w:val="20"/>
                <w:color w:val="auto"/>
              </w:rPr>
            </w:pPr>
            <w:r>
              <w:rPr>
                <w:rFonts w:ascii="Times New Roman" w:cs="Times New Roman" w:eastAsia="Times New Roman" w:hAnsi="Times New Roman"/>
                <w:sz w:val="18"/>
                <w:szCs w:val="18"/>
                <w:b w:val="1"/>
                <w:bCs w:val="1"/>
                <w:color w:val="auto"/>
                <w:w w:val="99"/>
              </w:rPr>
              <w:t>$45,625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Fixed interest rate</w:t>
            </w:r>
          </w:p>
        </w:tc>
        <w:tc>
          <w:tcPr>
            <w:tcW w:w="3380" w:type="dxa"/>
            <w:vAlign w:val="bottom"/>
            <w:gridSpan w:val="2"/>
          </w:tcPr>
          <w:p>
            <w:pPr>
              <w:ind w:left="2560"/>
              <w:spacing w:after="0"/>
              <w:rPr>
                <w:sz w:val="20"/>
                <w:szCs w:val="20"/>
                <w:color w:val="auto"/>
              </w:rPr>
            </w:pPr>
            <w:r>
              <w:rPr>
                <w:rFonts w:ascii="Times New Roman" w:cs="Times New Roman" w:eastAsia="Times New Roman" w:hAnsi="Times New Roman"/>
                <w:sz w:val="18"/>
                <w:szCs w:val="18"/>
                <w:b w:val="1"/>
                <w:bCs w:val="1"/>
                <w:color w:val="auto"/>
              </w:rPr>
              <w:t>5.15%</w:t>
            </w:r>
          </w:p>
        </w:tc>
        <w:tc>
          <w:tcPr>
            <w:tcW w:w="920" w:type="dxa"/>
            <w:vAlign w:val="bottom"/>
            <w:gridSpan w:val="2"/>
          </w:tcPr>
          <w:p>
            <w:pPr>
              <w:jc w:val="center"/>
              <w:ind w:left="252"/>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22,813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interest rate</w:t>
            </w:r>
          </w:p>
        </w:tc>
        <w:tc>
          <w:tcPr>
            <w:tcW w:w="3380" w:type="dxa"/>
            <w:vAlign w:val="bottom"/>
            <w:gridSpan w:val="2"/>
            <w:shd w:val="clear" w:color="auto" w:fill="CCEEFF"/>
          </w:tcPr>
          <w:p>
            <w:pPr>
              <w:ind w:left="2560"/>
              <w:spacing w:after="0"/>
              <w:rPr>
                <w:sz w:val="20"/>
                <w:szCs w:val="20"/>
                <w:color w:val="auto"/>
              </w:rPr>
            </w:pPr>
            <w:r>
              <w:rPr>
                <w:rFonts w:ascii="Times New Roman" w:cs="Times New Roman" w:eastAsia="Times New Roman" w:hAnsi="Times New Roman"/>
                <w:sz w:val="18"/>
                <w:szCs w:val="18"/>
                <w:b w:val="1"/>
                <w:bCs w:val="1"/>
                <w:color w:val="auto"/>
              </w:rPr>
              <w:t>3.92%</w:t>
            </w:r>
          </w:p>
        </w:tc>
        <w:tc>
          <w:tcPr>
            <w:tcW w:w="920" w:type="dxa"/>
            <w:vAlign w:val="bottom"/>
            <w:gridSpan w:val="2"/>
            <w:shd w:val="clear" w:color="auto" w:fill="CCEEFF"/>
          </w:tcPr>
          <w:p>
            <w:pPr>
              <w:jc w:val="center"/>
              <w:ind w:left="252"/>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68,438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8"/>
          <w:szCs w:val="18"/>
          <w:color w:val="auto"/>
        </w:rPr>
        <w:t>The Secured Term Loan is secured by the real property and equipment located at our chemical production facilities located in the El Dorado Facility and in Cherokee, Alabama (the “Cherokee Facility”). The carrying value of the pledged assets is approximately $103 million at December 31, 2012. In addition, the Secured Term Loan is guaranteed by LSB.</w:t>
      </w:r>
    </w:p>
    <w:p>
      <w:pPr>
        <w:spacing w:after="0" w:line="13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Secured Term Loan borrowers are subject to numerous covenants under the Amended Agreement including, but not limited to, limitation on the incurrence of certain additional indebtedness and liens; limitations on mergers, acquisitions, dissolution and sale of assets; and limitations on declaration of dividends and distributions to LSB, all with certain exceptions. At December 31, 2012, the carrying value of the restricted net assets (including pledged assets) of ThermaClime and its subsidiaries was approximately $122 million. As defined in the agreement, the Secured Term Loan borrowers are also subject to a minimum fixed charge coverage ratio of not less than 1.10 to 1 and a maximum leverage ratio of not greater than 4.50 to 1.</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420"/>
          </w:cols>
          <w:pgMar w:left="240" w:top="455" w:right="23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Long-Term Debt (continued)</w:t>
      </w:r>
    </w:p>
    <w:p>
      <w:pPr>
        <w:spacing w:after="0" w:line="160"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Both of these requirements are measured quarterly on a trailing twelve-month basis. The Secured Term Loan borrowers were in compliance with these financial covenants for the twelve-month period ended December 31, 2012.</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maturity date of the Secured Term Loan can be accelerated by the lender upon the occurrence of a continuing event of default, as defined.</w:t>
      </w:r>
    </w:p>
    <w:p>
      <w:pPr>
        <w:spacing w:after="0" w:line="171"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The Working Capital Revolver Loan agreement (discussed in (A) above) and the Secured Term Loan contain cross-default provisions. If ThermaClime fails to meet the financial covenants of either of these agreements, the lenders may declare an event of default.</w:t>
      </w:r>
    </w:p>
    <w:p>
      <w:pPr>
        <w:spacing w:after="0" w:line="120"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A prepayment premium equal to 1.0% of the principal amount prepaid is due to the lenders should the borrowers elect to prepay on or prior to March 29, 2014, however, this premium is eliminated thereafter.</w:t>
      </w:r>
    </w:p>
    <w:p>
      <w:pPr>
        <w:spacing w:after="0" w:line="120" w:lineRule="exact"/>
        <w:rPr>
          <w:sz w:val="20"/>
          <w:szCs w:val="20"/>
          <w:color w:val="auto"/>
        </w:rPr>
      </w:pPr>
    </w:p>
    <w:p>
      <w:pPr>
        <w:ind w:left="300" w:hanging="292"/>
        <w:spacing w:after="0"/>
        <w:tabs>
          <w:tab w:leader="none" w:pos="30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long-term debt includes capital lease obligations of $370,000 and $749,000 at December 31, 2012 and 2011, respectively.</w:t>
      </w:r>
    </w:p>
    <w:p>
      <w:pPr>
        <w:spacing w:after="0" w:line="171" w:lineRule="exact"/>
        <w:rPr>
          <w:rFonts w:ascii="Times New Roman" w:cs="Times New Roman" w:eastAsia="Times New Roman" w:hAnsi="Times New Roman"/>
          <w:sz w:val="18"/>
          <w:szCs w:val="18"/>
          <w:b w:val="1"/>
          <w:bCs w:val="1"/>
          <w:color w:val="auto"/>
        </w:rPr>
      </w:pPr>
    </w:p>
    <w:p>
      <w:pPr>
        <w:ind w:left="300" w:hanging="292"/>
        <w:spacing w:after="0"/>
        <w:tabs>
          <w:tab w:leader="none" w:pos="30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Maturities of long-term debt for each of the five years after December 31, 2012 are as follows (in thousands):</w:t>
      </w:r>
    </w:p>
    <w:p>
      <w:pPr>
        <w:spacing w:after="0" w:line="226"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2013</w:t>
            </w:r>
          </w:p>
        </w:tc>
        <w:tc>
          <w:tcPr>
            <w:tcW w:w="3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4,798</w:t>
            </w:r>
          </w:p>
        </w:tc>
        <w:tc>
          <w:tcPr>
            <w:tcW w:w="100" w:type="dxa"/>
            <w:vAlign w:val="bottom"/>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2014</w:t>
            </w: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10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w:t>
            </w: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100" w:type="dxa"/>
            <w:vAlign w:val="bottom"/>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57,705</w:t>
            </w:r>
          </w:p>
        </w:tc>
        <w:tc>
          <w:tcPr>
            <w:tcW w:w="10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8"/>
                <w:szCs w:val="18"/>
                <w:color w:val="auto"/>
              </w:rPr>
            </w:pPr>
          </w:p>
        </w:tc>
      </w:tr>
      <w:tr>
        <w:trPr>
          <w:trHeight w:val="223"/>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Pr>
          <w:p>
            <w:pPr>
              <w:spacing w:after="0"/>
              <w:rPr>
                <w:sz w:val="19"/>
                <w:szCs w:val="19"/>
                <w:color w:val="auto"/>
              </w:rPr>
            </w:pPr>
          </w:p>
        </w:tc>
      </w:tr>
      <w:tr>
        <w:trPr>
          <w:trHeight w:val="216"/>
        </w:trPr>
        <w:tc>
          <w:tcPr>
            <w:tcW w:w="390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72,441</w:t>
            </w:r>
          </w:p>
        </w:tc>
        <w:tc>
          <w:tcPr>
            <w:tcW w:w="100" w:type="dxa"/>
            <w:vAlign w:val="bottom"/>
            <w:shd w:val="clear" w:color="auto" w:fill="CCEEFF"/>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firstLine="8"/>
        <w:spacing w:after="0" w:line="285" w:lineRule="auto"/>
        <w:tabs>
          <w:tab w:leader="none" w:pos="278" w:val="left"/>
        </w:tabs>
        <w:numPr>
          <w:ilvl w:val="0"/>
          <w:numId w:val="6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During 2010, we acquired a certain portion of the 5.5% convertible debentures (“2007 Debentures”), with each purchase being negotiated. During 2011, the remaining 2007 Debentures were converted into shares of LSB common stock including the portion of 2007 debentures held by Jack E. Golsen (“Golsen”), our chairman of the board and chief executive officer (“CEO”), members of his immediate family, entities owned by them and trusts for which they possess voting or dispositive power as trustee (collectively, the “Golsen Group”) as discussed in Note 20-Related Party Transactions. In addition for financial reporting purposes, one of the conversion transactions with an unrelated third party was considered an induced conversion. The following is a summary of transactions relating to the</w:t>
      </w:r>
    </w:p>
    <w:p>
      <w:pPr>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2007 Debentures for each respective year:</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3740" w:type="dxa"/>
            <w:vAlign w:val="bottom"/>
          </w:tcPr>
          <w:p>
            <w:pPr>
              <w:spacing w:after="0"/>
              <w:rPr>
                <w:sz w:val="14"/>
                <w:szCs w:val="14"/>
                <w:color w:val="auto"/>
              </w:rPr>
            </w:pPr>
          </w:p>
        </w:tc>
        <w:tc>
          <w:tcPr>
            <w:tcW w:w="378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2012</w:t>
            </w:r>
          </w:p>
        </w:tc>
        <w:tc>
          <w:tcPr>
            <w:tcW w:w="440" w:type="dxa"/>
            <w:vAlign w:val="bottom"/>
          </w:tcPr>
          <w:p>
            <w:pPr>
              <w:spacing w:after="0"/>
              <w:rPr>
                <w:sz w:val="14"/>
                <w:szCs w:val="14"/>
                <w:color w:val="auto"/>
              </w:rPr>
            </w:pPr>
          </w:p>
        </w:tc>
        <w:tc>
          <w:tcPr>
            <w:tcW w:w="9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2011</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2010</w:t>
            </w:r>
          </w:p>
        </w:tc>
        <w:tc>
          <w:tcPr>
            <w:tcW w:w="100" w:type="dxa"/>
            <w:vAlign w:val="bottom"/>
          </w:tcPr>
          <w:p>
            <w:pPr>
              <w:spacing w:after="0"/>
              <w:rPr>
                <w:sz w:val="14"/>
                <w:szCs w:val="14"/>
                <w:color w:val="auto"/>
              </w:rPr>
            </w:pPr>
          </w:p>
        </w:tc>
      </w:tr>
      <w:tr>
        <w:trPr>
          <w:trHeight w:val="142"/>
        </w:trPr>
        <w:tc>
          <w:tcPr>
            <w:tcW w:w="37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(Dollars in Thousands)</w:t>
            </w: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amounts converted or acquired</w:t>
            </w:r>
          </w:p>
        </w:tc>
        <w:tc>
          <w:tcPr>
            <w:tcW w:w="33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96"/>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8"/>
                <w:szCs w:val="18"/>
                <w:color w:val="auto"/>
              </w:rPr>
              <w:t>26,900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acquisitions</w:t>
            </w:r>
          </w:p>
        </w:tc>
        <w:tc>
          <w:tcPr>
            <w:tcW w:w="3320" w:type="dxa"/>
            <w:vAlign w:val="bottom"/>
          </w:tcPr>
          <w:p>
            <w:pPr>
              <w:spacing w:after="0"/>
              <w:rPr>
                <w:sz w:val="18"/>
                <w:szCs w:val="18"/>
                <w:color w:val="auto"/>
              </w:rPr>
            </w:pP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96"/>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97"/>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$2,494</w:t>
            </w: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LSB common stock issued</w:t>
            </w:r>
          </w:p>
        </w:tc>
        <w:tc>
          <w:tcPr>
            <w:tcW w:w="33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8"/>
                <w:szCs w:val="18"/>
                <w:color w:val="auto"/>
                <w:w w:val="95"/>
              </w:rPr>
              <w:t>979,160</w:t>
            </w:r>
          </w:p>
        </w:tc>
        <w:tc>
          <w:tcPr>
            <w:tcW w:w="6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r>
      <w:tr>
        <w:trPr>
          <w:trHeight w:val="363"/>
        </w:trPr>
        <w:tc>
          <w:tcPr>
            <w:tcW w:w="3740" w:type="dxa"/>
            <w:vAlign w:val="bottom"/>
          </w:tcPr>
          <w:p>
            <w:pPr>
              <w:spacing w:after="0"/>
              <w:rPr>
                <w:sz w:val="24"/>
                <w:szCs w:val="24"/>
                <w:color w:val="auto"/>
              </w:rPr>
            </w:pPr>
          </w:p>
        </w:tc>
        <w:tc>
          <w:tcPr>
            <w:tcW w:w="3780" w:type="dxa"/>
            <w:vAlign w:val="bottom"/>
            <w:gridSpan w:val="2"/>
          </w:tcPr>
          <w:p>
            <w:pPr>
              <w:jc w:val="right"/>
              <w:ind w:right="2472"/>
              <w:spacing w:after="0"/>
              <w:rPr>
                <w:sz w:val="20"/>
                <w:szCs w:val="20"/>
                <w:color w:val="auto"/>
              </w:rPr>
            </w:pPr>
            <w:r>
              <w:rPr>
                <w:rFonts w:ascii="Times New Roman" w:cs="Times New Roman" w:eastAsia="Times New Roman" w:hAnsi="Times New Roman"/>
                <w:sz w:val="18"/>
                <w:szCs w:val="18"/>
                <w:color w:val="auto"/>
              </w:rPr>
              <w:t>F-23</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60"/>
          </w:cols>
          <w:pgMar w:left="240" w:top="455" w:right="29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for income taxes are as follows:</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50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2011</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14"/>
                <w:szCs w:val="14"/>
                <w:color w:val="auto"/>
              </w:rPr>
            </w:pPr>
          </w:p>
        </w:tc>
      </w:tr>
      <w:tr>
        <w:trPr>
          <w:trHeight w:val="142"/>
        </w:trPr>
        <w:tc>
          <w:tcPr>
            <w:tcW w:w="50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4"/>
          </w:tcPr>
          <w:p>
            <w:pPr>
              <w:ind w:left="140"/>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Federal</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2"/>
              </w:rPr>
              <w:t>28,654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33,006</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13,723</w:t>
            </w:r>
          </w:p>
        </w:tc>
        <w:tc>
          <w:tcPr>
            <w:tcW w:w="100" w:type="dxa"/>
            <w:vAlign w:val="bottom"/>
          </w:tcPr>
          <w:p>
            <w:pPr>
              <w:spacing w:after="0"/>
              <w:rPr>
                <w:sz w:val="18"/>
                <w:szCs w:val="18"/>
                <w:color w:val="auto"/>
              </w:rPr>
            </w:pPr>
          </w:p>
        </w:tc>
      </w:tr>
      <w:tr>
        <w:trPr>
          <w:trHeight w:val="216"/>
        </w:trPr>
        <w:tc>
          <w:tcPr>
            <w:tcW w:w="5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State</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4,695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100" w:type="dxa"/>
            <w:vAlign w:val="bottom"/>
            <w:shd w:val="clear" w:color="auto" w:fill="CCEEFF"/>
          </w:tcPr>
          <w:p>
            <w:pPr>
              <w:spacing w:after="0"/>
              <w:rPr>
                <w:sz w:val="18"/>
                <w:szCs w:val="18"/>
                <w:color w:val="auto"/>
              </w:rPr>
            </w:pPr>
          </w:p>
        </w:tc>
      </w:tr>
      <w:tr>
        <w:trPr>
          <w:trHeight w:val="230"/>
        </w:trPr>
        <w:tc>
          <w:tcPr>
            <w:tcW w:w="50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Current</w:t>
            </w:r>
          </w:p>
        </w:tc>
        <w:tc>
          <w:tcPr>
            <w:tcW w:w="18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33,349</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37,520</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17,477</w:t>
            </w:r>
          </w:p>
        </w:tc>
        <w:tc>
          <w:tcPr>
            <w:tcW w:w="100" w:type="dxa"/>
            <w:vAlign w:val="bottom"/>
          </w:tcPr>
          <w:p>
            <w:pPr>
              <w:spacing w:after="0"/>
              <w:rPr>
                <w:sz w:val="20"/>
                <w:szCs w:val="20"/>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Federal</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559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7,543</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00" w:type="dxa"/>
            <w:vAlign w:val="bottom"/>
          </w:tcPr>
          <w:p>
            <w:pPr>
              <w:spacing w:after="0"/>
              <w:rPr>
                <w:sz w:val="18"/>
                <w:szCs w:val="18"/>
                <w:color w:val="auto"/>
              </w:rPr>
            </w:pPr>
          </w:p>
        </w:tc>
      </w:tr>
      <w:tr>
        <w:trPr>
          <w:trHeight w:val="216"/>
        </w:trPr>
        <w:tc>
          <w:tcPr>
            <w:tcW w:w="5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State</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(314)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shd w:val="clear" w:color="auto" w:fill="CCEEFF"/>
          </w:tcPr>
          <w:p>
            <w:pPr>
              <w:spacing w:after="0"/>
              <w:rPr>
                <w:sz w:val="18"/>
                <w:szCs w:val="18"/>
                <w:color w:val="auto"/>
              </w:rPr>
            </w:pPr>
          </w:p>
        </w:tc>
      </w:tr>
      <w:tr>
        <w:trPr>
          <w:trHeight w:val="230"/>
        </w:trPr>
        <w:tc>
          <w:tcPr>
            <w:tcW w:w="50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Deferred</w:t>
            </w:r>
          </w:p>
        </w:tc>
        <w:tc>
          <w:tcPr>
            <w:tcW w:w="18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245</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8,688</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100" w:type="dxa"/>
            <w:vAlign w:val="bottom"/>
          </w:tcPr>
          <w:p>
            <w:pPr>
              <w:spacing w:after="0"/>
              <w:rPr>
                <w:sz w:val="20"/>
                <w:szCs w:val="20"/>
                <w:color w:val="auto"/>
              </w:rPr>
            </w:pPr>
          </w:p>
        </w:tc>
      </w:tr>
      <w:tr>
        <w:trPr>
          <w:trHeight w:val="216"/>
        </w:trPr>
        <w:tc>
          <w:tcPr>
            <w:tcW w:w="50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Provisions for income taxes</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2"/>
              </w:rPr>
              <w:t>33,594</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46,208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19,787</w:t>
            </w:r>
          </w:p>
        </w:tc>
        <w:tc>
          <w:tcPr>
            <w:tcW w:w="100" w:type="dxa"/>
            <w:vAlign w:val="bottom"/>
            <w:shd w:val="clear" w:color="auto" w:fill="CCEEFF"/>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current provision for federal income taxes shown above includes regular federal income tax after the consideration of permanent and temporary differences between income for GAAP and tax purposes. The current provision for state income taxes includes regular state income tax and provisions for uncertain income tax positions. In addition to the income tax provision from continuing operations, we allocated an income tax benefit of approximately $105,000, $80,000 and $78,000 to discontinued operations for 2012, 2011 and 2010, respectively.</w:t>
      </w:r>
    </w:p>
    <w:p>
      <w:pPr>
        <w:spacing w:after="0" w:line="13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During June 2010, we determined that certain nondeductible expenses had not been properly identified relating to the 2007-2009 provisions for income taxes. As a result, we recorded an additional income tax provision of approximately $800,000 for 2010. For 2010, the effect of this adjustment decreased basic and diluted net income per share by $.04 and $.03, respectively. Management of the Company evaluated the impact of this accounting error and concluded the effect of this adjustment was immaterial to our 2007-2010 consolidated financial statements.</w:t>
      </w:r>
    </w:p>
    <w:p>
      <w:pPr>
        <w:spacing w:after="0" w:line="13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deferred tax provision results from the recognition of changes in our prior year deferred tax assets and liabilities, and the utilization of state NOL carryforwards and other temporary differences. We reduce income tax expense for investment tax credits in the year they arise and are earned. At December 31, 2012, our gross amount of the investment tax credits available to offset state income taxes was minimal. These investment tax credits do not expire and carryforward indefinitely.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utilized approximately $0.1 million, $0.2 million and $0.7 million of state NOL carryforwards to reduce tax liabilities in 2012, 2011 and 2010, respectively.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2012, we have remaining state tax NOL carryforwards of approximately $7.8 million that begin expiring in 2013.</w:t>
      </w:r>
    </w:p>
    <w:p>
      <w:pPr>
        <w:spacing w:after="0" w:line="159"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auto"/>
        </w:rPr>
        <w:t>For 2012, 2011 and 2010, we determined it was more-likely-than-not that approximately $6.8 million, $6.9 million and $6.1 million, respectively, of the state NOL carryforwards would not be able to be utilized before expiration and a valuation allowance was maintained for the deferred tax assets associated with these state NOL carryforwards, net of federal benefit of approximately $0.3 million for each of the respective years. We considered both positive and negative evidence in our determination. The negative evidence considered primarily included our history of losses by certain entities and jurisdictions, both as to amount and trend and uncertainties surrounding our ability to generate sufficient taxable income in the individual jurisdictions to utilize these state NOL carryforwards.</w:t>
      </w:r>
    </w:p>
    <w:p>
      <w:pPr>
        <w:spacing w:after="0" w:line="10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When non-qualified stock options (“NSOs”) are exercised, the grantor of the options is permitted to deduct the spread between the fair market value of the stock issued and the exercise price of the NSOs as compensation expense in determining taxable income. Income tax benefits related to stock-based compensation deductions in excess of the compensation expense recorded for financial reporting purposes are not recognized in earnings as a reduction of income tax expense for financial reporting purposes. As a result, the stock-based compensation deduction recognized in our income tax return will exceed the stock-based compensation expense recognized in earnings. The excess tax benefit realized (i.e., the resulting reduction in the current tax liability) related to the excess stock-based compensation tax deduction of $0.5 million, $1.3 million and $0.6 million in 2012, 2011, and 2010, respectively, which is included in the net change in capital in excess of par value rather than a decrease in the provision for income taxes.</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380"/>
          </w:cols>
          <w:pgMar w:left="240" w:top="455" w:right="27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 (continued)</w:t>
      </w:r>
    </w:p>
    <w:p>
      <w:pPr>
        <w:spacing w:after="0" w:line="160"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6"/>
          <w:szCs w:val="16"/>
          <w:color w:val="auto"/>
        </w:rPr>
        <w:t>In addition, if the grantor of NSOs will not currently reduce its tax liability from the excess tax benefit deduction taken at the time of the taxable event (option exercised) because it has a NOL carryforward that is increased by the excess tax benefit, then the tax benefit should not be recognized until the deduction actually reduces current taxes payable. At December 31, 2012 and 2011, we had no unrecognized federal and state tax benefits resulting from the exercise of NSOs.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assets and liabilities include temporary differences and carryforwards as follows: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2012</w:t>
            </w: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5"/>
          </w:tcPr>
          <w:p>
            <w:pPr>
              <w:jc w:val="right"/>
              <w:ind w:right="413"/>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696</w:t>
            </w:r>
          </w:p>
        </w:tc>
        <w:tc>
          <w:tcPr>
            <w:tcW w:w="2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impairment</w:t>
            </w: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2,792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w:t>
            </w: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3,660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5,772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Hedging</w:t>
            </w: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8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17,695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Less valuation allowance on deferred tax assets</w:t>
            </w: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8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17,422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30,235</w:t>
            </w:r>
          </w:p>
        </w:tc>
        <w:tc>
          <w:tcPr>
            <w:tcW w:w="2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and other insurance reserves</w:t>
            </w: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3,855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unconsolidated affiliate</w:t>
            </w: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8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8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35,218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(17,796)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4"/>
              </w:rPr>
              <w:t>(17,551)</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 classification:</w:t>
            </w:r>
          </w:p>
        </w:tc>
        <w:tc>
          <w:tcPr>
            <w:tcW w:w="2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960" w:type="dxa"/>
            <w:vAlign w:val="bottom"/>
            <w:gridSpan w:val="2"/>
            <w:vMerge w:val="continue"/>
          </w:tcPr>
          <w:p>
            <w:pPr>
              <w:spacing w:after="0"/>
              <w:rPr>
                <w:sz w:val="18"/>
                <w:szCs w:val="18"/>
                <w:color w:val="auto"/>
              </w:rPr>
            </w:pP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current deferred tax assets</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3,224</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Net noncurrent deferred tax liabilities</w:t>
            </w: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(21,020)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4"/>
              </w:rPr>
              <w:t>(21,826)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(17,796)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4"/>
              </w:rPr>
              <w:t>(17,551)</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deferred tax liabilities by tax jurisdiction:</w:t>
            </w:r>
          </w:p>
        </w:tc>
        <w:tc>
          <w:tcPr>
            <w:tcW w:w="2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960" w:type="dxa"/>
            <w:vAlign w:val="bottom"/>
            <w:gridSpan w:val="2"/>
            <w:vMerge w:val="continue"/>
          </w:tcPr>
          <w:p>
            <w:pPr>
              <w:spacing w:after="0"/>
              <w:rPr>
                <w:sz w:val="18"/>
                <w:szCs w:val="18"/>
                <w:color w:val="auto"/>
              </w:rPr>
            </w:pP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(16,324)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4"/>
              </w:rPr>
              <w:t>(15,724)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(1,472)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(17,796)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4"/>
              </w:rPr>
              <w:t>(17,551)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880" w:type="dxa"/>
            <w:vAlign w:val="bottom"/>
            <w:gridSpan w:val="2"/>
          </w:tcPr>
          <w:p>
            <w:pPr>
              <w:jc w:val="right"/>
              <w:ind w:right="2258"/>
              <w:spacing w:after="0"/>
              <w:rPr>
                <w:sz w:val="20"/>
                <w:szCs w:val="20"/>
                <w:color w:val="auto"/>
              </w:rPr>
            </w:pPr>
            <w:r>
              <w:rPr>
                <w:rFonts w:ascii="Times New Roman" w:cs="Times New Roman" w:eastAsia="Times New Roman" w:hAnsi="Times New Roman"/>
                <w:sz w:val="18"/>
                <w:szCs w:val="18"/>
                <w:color w:val="auto"/>
              </w:rPr>
              <w:t>F-25</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5" w:right="27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 (continued)</w:t>
      </w:r>
    </w:p>
    <w:p>
      <w:pPr>
        <w:spacing w:after="0" w:line="160" w:lineRule="exact"/>
        <w:rPr>
          <w:sz w:val="20"/>
          <w:szCs w:val="20"/>
          <w:color w:val="auto"/>
        </w:rPr>
      </w:pPr>
    </w:p>
    <w:p>
      <w:pPr>
        <w:ind w:right="260"/>
        <w:spacing w:after="0" w:line="339" w:lineRule="auto"/>
        <w:rPr>
          <w:sz w:val="20"/>
          <w:szCs w:val="20"/>
          <w:color w:val="auto"/>
        </w:rPr>
      </w:pPr>
      <w:r>
        <w:rPr>
          <w:rFonts w:ascii="Times New Roman" w:cs="Times New Roman" w:eastAsia="Times New Roman" w:hAnsi="Times New Roman"/>
          <w:sz w:val="16"/>
          <w:szCs w:val="16"/>
          <w:color w:val="auto"/>
        </w:rPr>
        <w:t>All of our income before taxes relates to domestic operations. Detailed below are the differences between the amount of the provision for income taxes and the amount which would result from the application of the federal statutory rate to “Income from continuing operations before provision for income taxes”.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200" w:type="dxa"/>
            <w:vAlign w:val="bottom"/>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5"/>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w w:val="98"/>
              </w:rPr>
              <w:t>(In Thousands)</w:t>
            </w: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Provisions for income taxes at federal statutory rate</w:t>
            </w:r>
          </w:p>
        </w:tc>
        <w:tc>
          <w:tcPr>
            <w:tcW w:w="14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$32,391</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$17,326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State current and deferred income taxes</w:t>
            </w:r>
          </w:p>
        </w:tc>
        <w:tc>
          <w:tcPr>
            <w:tcW w:w="14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3,533</w:t>
            </w:r>
          </w:p>
        </w:tc>
        <w:tc>
          <w:tcPr>
            <w:tcW w:w="1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3,259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 production activities deduction</w:t>
            </w:r>
          </w:p>
        </w:tc>
        <w:tc>
          <w:tcPr>
            <w:tcW w:w="14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(1,933)</w:t>
            </w:r>
          </w:p>
        </w:tc>
        <w:tc>
          <w:tcPr>
            <w:tcW w:w="1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(3,091)</w:t>
            </w:r>
          </w:p>
        </w:tc>
        <w:tc>
          <w:tcPr>
            <w:tcW w:w="24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Effect of tax return to tax provision reconciliation</w:t>
            </w:r>
          </w:p>
        </w:tc>
        <w:tc>
          <w:tcPr>
            <w:tcW w:w="14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(216)</w:t>
            </w:r>
          </w:p>
        </w:tc>
        <w:tc>
          <w:tcPr>
            <w:tcW w:w="100" w:type="dxa"/>
            <w:vAlign w:val="bottom"/>
          </w:tcPr>
          <w:p>
            <w:pPr>
              <w:spacing w:after="0"/>
              <w:rPr>
                <w:sz w:val="18"/>
                <w:szCs w:val="18"/>
                <w:color w:val="auto"/>
              </w:rPr>
            </w:pPr>
          </w:p>
        </w:tc>
        <w:tc>
          <w:tcPr>
            <w:tcW w:w="8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(958)</w:t>
            </w:r>
          </w:p>
        </w:tc>
        <w:tc>
          <w:tcPr>
            <w:tcW w:w="240" w:type="dxa"/>
            <w:vAlign w:val="bottom"/>
          </w:tcPr>
          <w:p>
            <w:pPr>
              <w:spacing w:after="0"/>
              <w:rPr>
                <w:sz w:val="18"/>
                <w:szCs w:val="18"/>
                <w:color w:val="auto"/>
              </w:rPr>
            </w:pP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4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(181)</w:t>
            </w:r>
          </w:p>
        </w:tc>
        <w:tc>
          <w:tcPr>
            <w:tcW w:w="1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(398)</w:t>
            </w:r>
          </w:p>
        </w:tc>
        <w:tc>
          <w:tcPr>
            <w:tcW w:w="24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Provisions for income taxes</w:t>
            </w:r>
          </w:p>
        </w:tc>
        <w:tc>
          <w:tcPr>
            <w:tcW w:w="62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5"/>
              </w:rPr>
              <w:t>$</w:t>
            </w:r>
            <w:r>
              <w:rPr>
                <w:rFonts w:ascii="Times New Roman" w:cs="Times New Roman" w:eastAsia="Times New Roman" w:hAnsi="Times New Roman"/>
                <w:sz w:val="18"/>
                <w:szCs w:val="18"/>
                <w:b w:val="1"/>
                <w:bCs w:val="1"/>
                <w:color w:val="auto"/>
                <w:w w:val="95"/>
              </w:rPr>
              <w:t>33,594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46,208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19,787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uncertain tax positions is as follows:</w:t>
            </w:r>
          </w:p>
        </w:tc>
        <w:tc>
          <w:tcPr>
            <w:tcW w:w="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12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2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40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24"/>
                <w:szCs w:val="24"/>
                <w:color w:val="auto"/>
              </w:rPr>
            </w:pPr>
          </w:p>
        </w:tc>
        <w:tc>
          <w:tcPr>
            <w:tcW w:w="86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2011</w:t>
            </w:r>
          </w:p>
        </w:tc>
        <w:tc>
          <w:tcPr>
            <w:tcW w:w="24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4"/>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w w:val="96"/>
              </w:rPr>
              <w:t>(In Thousands)</w:t>
            </w: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4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709</w:t>
            </w:r>
          </w:p>
        </w:tc>
        <w:tc>
          <w:tcPr>
            <w:tcW w:w="10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$ 700</w:t>
            </w:r>
          </w:p>
        </w:tc>
        <w:tc>
          <w:tcPr>
            <w:tcW w:w="7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131</w:t>
            </w:r>
          </w:p>
        </w:tc>
        <w:tc>
          <w:tcPr>
            <w:tcW w:w="100" w:type="dxa"/>
            <w:vAlign w:val="bottom"/>
          </w:tcPr>
          <w:p>
            <w:pPr>
              <w:spacing w:after="0"/>
              <w:rPr>
                <w:sz w:val="18"/>
                <w:szCs w:val="18"/>
                <w:color w:val="auto"/>
              </w:rPr>
            </w:pPr>
          </w:p>
        </w:tc>
        <w:tc>
          <w:tcPr>
            <w:tcW w:w="110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217</w:t>
            </w:r>
          </w:p>
        </w:tc>
        <w:tc>
          <w:tcPr>
            <w:tcW w:w="7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based on tax positions of prior years</w:t>
            </w:r>
          </w:p>
        </w:tc>
        <w:tc>
          <w:tcPr>
            <w:tcW w:w="14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15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(485)</w:t>
            </w:r>
          </w:p>
        </w:tc>
        <w:tc>
          <w:tcPr>
            <w:tcW w:w="110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(51)</w:t>
            </w: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Settlements</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(157)</w:t>
            </w:r>
          </w:p>
        </w:tc>
        <w:tc>
          <w:tcPr>
            <w:tcW w:w="7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920" w:type="dxa"/>
            <w:vAlign w:val="bottom"/>
            <w:gridSpan w:val="2"/>
          </w:tcPr>
          <w:p>
            <w:pPr>
              <w:spacing w:after="0"/>
              <w:rPr>
                <w:sz w:val="19"/>
                <w:szCs w:val="19"/>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2"/>
              </w:rPr>
              <w:t>$</w:t>
            </w:r>
            <w:r>
              <w:rPr>
                <w:rFonts w:ascii="Times New Roman" w:cs="Times New Roman" w:eastAsia="Times New Roman" w:hAnsi="Times New Roman"/>
                <w:sz w:val="18"/>
                <w:szCs w:val="18"/>
                <w:b w:val="1"/>
                <w:bCs w:val="1"/>
                <w:color w:val="auto"/>
                <w:w w:val="92"/>
              </w:rPr>
              <w:t>2,292</w:t>
            </w:r>
          </w:p>
        </w:tc>
        <w:tc>
          <w:tcPr>
            <w:tcW w:w="10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3"/>
              </w:rPr>
              <w:t>$ 709</w:t>
            </w:r>
          </w:p>
        </w:tc>
        <w:tc>
          <w:tcPr>
            <w:tcW w:w="240" w:type="dxa"/>
            <w:vAlign w:val="bottom"/>
          </w:tcPr>
          <w:p>
            <w:pPr>
              <w:spacing w:after="0"/>
              <w:rPr>
                <w:sz w:val="19"/>
                <w:szCs w:val="19"/>
                <w:color w:val="auto"/>
              </w:rPr>
            </w:pPr>
          </w:p>
        </w:tc>
        <w:tc>
          <w:tcPr>
            <w:tcW w:w="300" w:type="dxa"/>
            <w:vAlign w:val="bottom"/>
            <w:gridSpan w:val="2"/>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700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expect that the amount of unrecognized tax benefits may change as the result of ongoing operations, the outcomes of audits, and the expiration of statute of limitations. This change is not expected to have a significant impact on our results of operations or the financial condition. The total amount of unrecognized tax benefits that would impact the effective tax rate, if recognized, was $ 236,000, $461,000 and $455,000, net of federal expense, in 2012, 2011, and 2010, respectively.</w:t>
      </w:r>
    </w:p>
    <w:p>
      <w:pPr>
        <w:spacing w:after="0" w:line="136"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We record interest related to unrecognized tax positions in interest expense and penalties in operating other expense. During 2012, 2011, and 2010, we recognized $430,000, $42,000 and $104,000, respectively, in interest and penalties associated with unrecognized tax benefits. We had approximately $464,000, and $213,000 accrued for interest and penalties at December 31, 2012 and 2011, respectively.</w:t>
      </w:r>
    </w:p>
    <w:p>
      <w:pPr>
        <w:spacing w:after="0" w:line="13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LSB and certain of its subsidiaries file income tax returns in the U.S. federal jurisdiction and various state jurisdictions. With few exceptions, the 2009-2011 years remain open for all purposes of examination by the U.S. Internal Revenue Service (“IRS”) and other major tax jurisdictions. We are under examination by the IRS for the tax years 2008-2010. As of December 31, 2012, the IRS has proposed certain adjustments, which we are protesting. We anticipate that the adjustments, if any, will not result in a material change to our financial position.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21 – Subsequent Events concerning the American Taxpayer Relief Act of 2012 and a related income tax benefit.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90" w:lineRule="exact"/>
        <w:rPr>
          <w:sz w:val="20"/>
          <w:szCs w:val="20"/>
          <w:color w:val="auto"/>
        </w:rPr>
      </w:pPr>
    </w:p>
    <w:p>
      <w:pPr>
        <w:ind w:right="280"/>
        <w:spacing w:after="0" w:line="264" w:lineRule="auto"/>
        <w:rPr>
          <w:sz w:val="20"/>
          <w:szCs w:val="20"/>
          <w:color w:val="auto"/>
        </w:rPr>
      </w:pPr>
      <w:r>
        <w:rPr>
          <w:rFonts w:ascii="Times New Roman" w:cs="Times New Roman" w:eastAsia="Times New Roman" w:hAnsi="Times New Roman"/>
          <w:sz w:val="18"/>
          <w:szCs w:val="18"/>
          <w:b w:val="1"/>
          <w:bCs w:val="1"/>
          <w:color w:val="auto"/>
        </w:rPr>
        <w:t>Capital and Operating Leases—</w:t>
      </w:r>
      <w:r>
        <w:rPr>
          <w:rFonts w:ascii="Times New Roman" w:cs="Times New Roman" w:eastAsia="Times New Roman" w:hAnsi="Times New Roman"/>
          <w:sz w:val="18"/>
          <w:szCs w:val="18"/>
          <w:color w:val="auto"/>
        </w:rPr>
        <w:t>We lease certain PP&amp;E under capital leases and non-cancelable operating leases. Leased assets meeting capital lease criteria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been capitalized and the present value of the related lease payments is included in long-term debt. Future minimum payments on leases with initial or remaining terms of one year or more at December 31, 2012, are as follows: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420"/>
          </w:cols>
          <w:pgMar w:left="240" w:top="455" w:right="23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 (continued)</w:t>
      </w:r>
    </w:p>
    <w:p>
      <w:pPr>
        <w:spacing w:after="0" w:line="14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4"/>
              </w:rPr>
              <w:t>Capital</w:t>
            </w:r>
          </w:p>
        </w:tc>
        <w:tc>
          <w:tcPr>
            <w:tcW w:w="240" w:type="dxa"/>
            <w:vAlign w:val="bottom"/>
          </w:tcPr>
          <w:p>
            <w:pPr>
              <w:spacing w:after="0"/>
              <w:rPr>
                <w:sz w:val="13"/>
                <w:szCs w:val="13"/>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98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0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4"/>
          </w:tcPr>
          <w:p>
            <w:pPr>
              <w:ind w:left="200"/>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2013</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$ 349</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2014</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w:t>
            </w: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384</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13,067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13,451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80" w:type="dxa"/>
            <w:vAlign w:val="bottom"/>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9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minimum lease payments included in long-term debt</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$ 370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340"/>
        <w:spacing w:after="0" w:line="339" w:lineRule="auto"/>
        <w:rPr>
          <w:sz w:val="20"/>
          <w:szCs w:val="20"/>
          <w:color w:val="auto"/>
        </w:rPr>
      </w:pPr>
      <w:r>
        <w:rPr>
          <w:rFonts w:ascii="Times New Roman" w:cs="Times New Roman" w:eastAsia="Times New Roman" w:hAnsi="Times New Roman"/>
          <w:sz w:val="16"/>
          <w:szCs w:val="16"/>
          <w:color w:val="auto"/>
        </w:rPr>
        <w:t>Expenses associated with our operating lease agreements, including month-to-month leases, were $6,830,000 in 2012, $7,773,000 in 2011 and $6,079,000 in 2010. Renewal options are available under certain of the lease agreements for various periods at approximately the existing annual rental amounts.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and Sales Commitments—</w:t>
      </w:r>
      <w:r>
        <w:rPr>
          <w:rFonts w:ascii="Times New Roman" w:cs="Times New Roman" w:eastAsia="Times New Roman" w:hAnsi="Times New Roman"/>
          <w:sz w:val="18"/>
          <w:szCs w:val="18"/>
          <w:color w:val="auto"/>
        </w:rPr>
        <w:t>We have the following significant purchase and sales commitments.</w:t>
      </w:r>
    </w:p>
    <w:p>
      <w:pPr>
        <w:spacing w:after="0" w:line="17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Bayer Agreement—Subsidiaries within our Chemical Business, EDN and EDC, are party to an agreement (the “Bayer Agreement”) with Bayer Material Science LLC (“Bayer”). EDN operates Bayer’s nitric acid plant (the “Baytown Facility”) located within Bayer’s chemical manufacturing complex. The initial term of the Bayer Agreement is through June 2014, with certain renewal options. Under the terms of the Bayer Agreement, Bayer purchases from EDN all of Bayer’s requirements for nitric acid for use in Bayer’s chemical manufacturing complex located in Baytown, Texas that provides a pass-through of certain costs plus a profit. In addition, EDN is responsible for the maintenance and operation of the Baytown Facility. If there is a change in control of EDN, Bayer has the right to terminate the Bayer Agreement upon payment of certain fees to EDN.</w:t>
      </w:r>
    </w:p>
    <w:p>
      <w:pPr>
        <w:spacing w:after="0" w:line="13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Anhydrous ammonia purchase agreement—During August 2012, EDC entered into an amendment to EDC’s anhydrous ammonia purchase agreement with Koch Nitrogen International Sarl (“Koch”). Under the amendment, Koch agrees to supply certain of EDC’s requirements of anhydrous ammonia through December 31, 2015. The terms of this agreement do not include minimum volumes or take-or-pay provisions.</w:t>
      </w:r>
    </w:p>
    <w:p>
      <w:pPr>
        <w:spacing w:after="0" w:line="132"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Ammonium nitrate supply agreement—During February 2010, EDC entered into a cost-plus supply agreement with Orica International Pte Ltd. (“Orica International”) to supply Orica International with 240,000 tons per year of industrial grade ammonium nitrate (“AN”) through December 2014. This agreement replaced EDC’s previous agreement with Orica USA, Inc.</w:t>
      </w:r>
    </w:p>
    <w:p>
      <w:pPr>
        <w:spacing w:after="0" w:line="132" w:lineRule="exact"/>
        <w:rPr>
          <w:sz w:val="20"/>
          <w:szCs w:val="20"/>
          <w:color w:val="auto"/>
        </w:rPr>
      </w:pPr>
    </w:p>
    <w:p>
      <w:pPr>
        <w:jc w:val="both"/>
        <w:ind w:right="160"/>
        <w:spacing w:after="0" w:line="310" w:lineRule="auto"/>
        <w:rPr>
          <w:sz w:val="20"/>
          <w:szCs w:val="20"/>
          <w:color w:val="auto"/>
        </w:rPr>
      </w:pPr>
      <w:r>
        <w:rPr>
          <w:rFonts w:ascii="Times New Roman" w:cs="Times New Roman" w:eastAsia="Times New Roman" w:hAnsi="Times New Roman"/>
          <w:sz w:val="16"/>
          <w:szCs w:val="16"/>
          <w:color w:val="auto"/>
        </w:rPr>
        <w:t>UAN supply agreement – A subsidiary within our Chemical Business, Pryor Chemical Company (“PCC”), is party to a contract with Koch Nitrogen Company, LLC (“Koch Nitrogen”) under which Koch Nitrogen agrees to purchase and distribute at market prices substantially all of the urea ammonium nitrate (“UAN”) produced at the Pryor Facility through June 30, 2014, but either party has an option to terminate the agreement pursuant to the terms of the contract.</w:t>
      </w:r>
    </w:p>
    <w:p>
      <w:pPr>
        <w:spacing w:after="0" w:line="97" w:lineRule="exact"/>
        <w:rPr>
          <w:sz w:val="20"/>
          <w:szCs w:val="20"/>
          <w:color w:val="auto"/>
        </w:rPr>
      </w:pPr>
    </w:p>
    <w:p>
      <w:pPr>
        <w:ind w:right="580"/>
        <w:spacing w:after="0" w:line="258" w:lineRule="auto"/>
        <w:rPr>
          <w:sz w:val="20"/>
          <w:szCs w:val="20"/>
          <w:color w:val="auto"/>
        </w:rPr>
      </w:pPr>
      <w:r>
        <w:rPr>
          <w:rFonts w:ascii="Times New Roman" w:cs="Times New Roman" w:eastAsia="Times New Roman" w:hAnsi="Times New Roman"/>
          <w:sz w:val="18"/>
          <w:szCs w:val="18"/>
          <w:color w:val="auto"/>
        </w:rPr>
        <w:t>Other purchase and sales commitments—See Note 13—Derivatives, Hedges, Financial Instruments and Carbon Credits for our commitments relating to derivative contracts and carbon credits at December 31, 2012. In addition, we had standby letters of credit outstanding of approximately $2.0 million at December 31, 2012. We also had deposits from customers of $8.2 million for forward sales commitments including $7.9 million relating to our Chemical Business and $0.2 million relating to our Climate Control Business at December 31, 2012.</w:t>
      </w:r>
    </w:p>
    <w:p>
      <w:pPr>
        <w:spacing w:after="0" w:line="13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Capital Project Commitment – </w:t>
      </w:r>
      <w:r>
        <w:rPr>
          <w:rFonts w:ascii="Times New Roman" w:cs="Times New Roman" w:eastAsia="Times New Roman" w:hAnsi="Times New Roman"/>
          <w:sz w:val="18"/>
          <w:szCs w:val="18"/>
          <w:color w:val="auto"/>
        </w:rPr>
        <w:t>During November 2012, EDC entered into an agreement with Weatherly Inc. for the licensing, engineering, and procurement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major manufacturing equipment for a new 65% strength nitric acid plant to be constructed at the El Dorado Facility. In addition, EDC plans to construct a separate nitric acid concentrator plant. The estimated cost for this project is up to approximately $120 million of which a portion will be paid by property insurance as discussed in Note 17 – Property and Business Interruption Insurance Claims and Recovery.</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360"/>
          </w:cols>
          <w:pgMar w:left="240" w:top="455" w:right="29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 (continued)</w:t>
      </w:r>
    </w:p>
    <w:p>
      <w:pPr>
        <w:spacing w:after="0" w:line="15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Performance and Payment Bonds – </w:t>
      </w:r>
      <w:r>
        <w:rPr>
          <w:rFonts w:ascii="Times New Roman" w:cs="Times New Roman" w:eastAsia="Times New Roman" w:hAnsi="Times New Roman"/>
          <w:sz w:val="18"/>
          <w:szCs w:val="18"/>
          <w:color w:val="auto"/>
        </w:rPr>
        <w:t>We are contingently liable to sureties in respect of certain insurance bonds issued by the sureties in connection with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contracts entered into by certain subsidiaries in the normal course of business. These insurance bonds primarily represent guarantees of future performance of our subsidiaries. As of December 31, 2012, we have agreed to indemnify the sureties for payments, up to $12.7 million, made by them in respect of such bonds. All of these insurance bonds are expected to expire or be renewed in 2013.</w:t>
      </w:r>
    </w:p>
    <w:p>
      <w:pPr>
        <w:spacing w:after="0" w:line="133"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6"/>
          <w:szCs w:val="16"/>
          <w:b w:val="1"/>
          <w:bCs w:val="1"/>
          <w:color w:val="auto"/>
        </w:rPr>
        <w:t>Universal Shelf Registration Statement—</w:t>
      </w:r>
      <w:r>
        <w:rPr>
          <w:rFonts w:ascii="Times New Roman" w:cs="Times New Roman" w:eastAsia="Times New Roman" w:hAnsi="Times New Roman"/>
          <w:sz w:val="16"/>
          <w:szCs w:val="16"/>
          <w:color w:val="auto"/>
        </w:rPr>
        <w:t>In November 2012, we filed a universal shelf registration statement on Form S-3, with the SEC. The shelf registration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statement provides that we could offer and sell up to $200 million of our securities consisting of equity (common and preferred), debt (senior and subordinated), warrants and units, or a combination thereof. The shelf registration statement expires in November 2015 unless we decide to file a post effective amendment.</w:t>
      </w:r>
    </w:p>
    <w:p>
      <w:pPr>
        <w:spacing w:after="0" w:line="93"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8"/>
          <w:szCs w:val="18"/>
          <w:b w:val="1"/>
          <w:bCs w:val="1"/>
          <w:color w:val="auto"/>
        </w:rPr>
        <w:t>Employment and Severance Agreements—</w:t>
      </w:r>
      <w:r>
        <w:rPr>
          <w:rFonts w:ascii="Times New Roman" w:cs="Times New Roman" w:eastAsia="Times New Roman" w:hAnsi="Times New Roman"/>
          <w:sz w:val="18"/>
          <w:szCs w:val="18"/>
          <w:color w:val="auto"/>
        </w:rPr>
        <w:t>We have an employment agreement and severance agreements with several of our officers. The agreements,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provide for annual base salaries, bonuses and other benefits commonly found in such agreements. In the event of termination of employment due to a change in control (as defined in the agreements), the agreements provide for payments aggregating $13.6 million at December 31, 2012.</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r>
        <w:rPr>
          <w:rFonts w:ascii="Times New Roman" w:cs="Times New Roman" w:eastAsia="Times New Roman" w:hAnsi="Times New Roman"/>
          <w:sz w:val="18"/>
          <w:szCs w:val="18"/>
          <w:color w:val="auto"/>
        </w:rPr>
        <w:t>Following is a summary of certain legal matters involving the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Environmental Matters</w:t>
      </w:r>
    </w:p>
    <w:p>
      <w:pPr>
        <w:spacing w:after="0" w:line="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operations are subject to numerous environmental laws (“Environmental Laws”) and to other federal, state and local laws regarding health and safety matters (“Health Laws”). In particular, the manufacture, production and distribution of products by our Chemical Business are activities which entail environmental risks and impose obligations under the Environmental Laws and the Health Laws, many of which provide for certain performance obligations, substantial fines and criminal sanctions for violations. There can be no assurance that we will not incur material costs or liabilities in complying with such laws or in paying fines or penalties for violation of such laws. The Environmental Laws and Health Laws and enforcement policies thereunder relating to our Chemical Business have in the past resulted, and could in the future result, in compliance expenses, cleanup costs, penalties or other liabilities relating to the handling, manufacture, use, emission, discharge or disposal of effluents at or from our facilities or the use or disposal of certain of its chemical products. Historically, significant expenditures have been incurred by subsidiaries within our Chemical Business in order to comply with the Environmental Laws and Health Laws and are reasonably expected to be incurred in the future. We will also be obligated to manage certain discharge water outlets and monitor groundwater contaminants at our Chemical Business facilities should we discontinue the operations of a facility. We do not operate the natural gas wells where we own an interest and compliance with environmental laws is controlled by others, with our Chemical Business being responsible for its proportionate share of the costs involved. Also see discussion in Note 9 – Asset Retirement Obligations.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Discharge Water Matters</w:t>
      </w:r>
    </w:p>
    <w:p>
      <w:pPr>
        <w:spacing w:after="0" w:line="9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Each of our chemical manufacturing facilities generate process wastewater, which may include cooling tower and boiler water quality control streams, contact storm water (rain water inside the facility area which picks up contaminants) and miscellaneous spills and leaks from process equipment. The process water discharge, storm-water runoff and miscellaneous spills and leaks are governed by various permits generally issued by the respective state environmental agencies as authorized by the United States Environmental Protection Agency (“EPA”), subject to oversight by the EPA. These permits limit the type and amount of effluents that can be discharged and controls the method of such discharge. We believe that all of our chemical facilities are in compliance with the respective permits, except as discussed below.</w:t>
      </w:r>
    </w:p>
    <w:p>
      <w:pPr>
        <w:spacing w:after="0" w:line="13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El Dorado Facility is subject to a state National Pollutant Discharge Elimination System (“NPDES”) discharge water permit issued by the Arkansas Department of Environmental Quality (“ADEQ”). The El Dorado Facility is currently operating under a NPDES discharge water permit, which became effective in 2004 (“2004 NPDES permit”). In November 2010, a preliminary draft of a discharge water permit renewal for the El Dorado Facility, which contains more restrictive limits, was issued by the ADEQ.</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420"/>
          </w:cols>
          <w:pgMar w:left="240" w:top="455" w:right="23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 (continued)</w:t>
      </w:r>
    </w:p>
    <w:p>
      <w:pPr>
        <w:spacing w:after="0" w:line="16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EDC believes that the El Dorado Facility has generally demonstrated its ability to comply with applicable ammonia and nitrate permit limits, but has, from time to time, had difficulty demonstrating consistent compliance with the more restrictive dissolved minerals permit levels. As part of the El Dorado Facility’s long-term compliance plan, EDC has pursued a rulemaking and permit modification with the ADEQ as to the discharge requirements relating to its dissolved minerals. The ADEQ approved a rule change, but on August 31, 2011, the EPA formally disapproved the rule change. On October 7, 2011, EDC filed a lawsuit against the EPA in the United States District Court, El Dorado, Arkansas, appealing the EPA’s decision disapproving the rule change. We do not believe this matter regarding the dissolved minerals will be an issue once the pipeline discussed below is operational.</w:t>
      </w:r>
    </w:p>
    <w:p>
      <w:pPr>
        <w:spacing w:after="0" w:line="13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During 2012, EDC settled an Administrative Complaint issued by the EPA, and thereafter handled by the United States Department of Justice (“DOJ”), relating to certain alleged violations of EDC’s 2004 NPDES permit. Initially the Administrative Complaint sought a penalty of $124,000 for alleged violations through December 31, 2010, but was settled by EDC for $100,000 and the EPA/DOJ indicated that any alleged violations from and after January 1, 2011, would be addressed at a later date. Thereafter, the DOJ advised that some action would be taken for alleged violations occurring after December 31, 2010. As of the date of this report, nothing has been filed by the DOJ and we have not received further communications from the DOJ regarding this matter. Costs (or range of costs) cannot currently be reasonably estimated regarding this matter. Therefore, no liability has been established at December 31, 2012.</w:t>
      </w:r>
    </w:p>
    <w:p>
      <w:pPr>
        <w:spacing w:after="0" w:line="13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City of El Dorado, Arkansas (the “City”) is constructing a pipeline for disposal of wastewater generated by the City and by certain companies in the El Dorado area. EDC and other companies in the El Dorado area have entered into a funding agreement and operating agreement with the City, pursuant to which each party has agreed to contribute to the cost of construction and the annual operating costs of the pipeline for the right to use the pipeline to dispose its wastewater. EDC is participating in the construction of the pipeline that will be owned by the City in order to ensure that EDC will be able to comply with future permit limits. EDC anticipates its capital cost in connection with the construction of the pipeline will be approximately $3.7 million, of which $3.3 million has been capitalized as of December 31, 2012. The City plans to complete the construction of the pipeline by mid-2013. Once the pipeline is completed, EDC’s estimated share of the annual operating costs is to be $100,000 to $150,000. The initial term of the operating agreement is through December 2053. Although construction of the pipeline is nearly complete, a group opposing the City’s construction of the pipeline has sued the Corps of Engineers for issuing the permit to the City to construct and operate the pipeline.</w:t>
      </w:r>
    </w:p>
    <w:p>
      <w:pPr>
        <w:spacing w:after="0" w:line="143"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color w:val="auto"/>
        </w:rPr>
        <w:t>In addition, the El Dorado Facility is currently operating under a consent administrative order (“2006 CAO”) that recognizes the presence of nitrate contamination in the shallow groundwater. The 2006 CAO required EDC to continue semi-annual groundwater monitoring, to continue operation of a groundwater recovery system and to submit a human health and ecological risk assessment to the ADEQ relating to the El Dorado Facility. The final remedy for shallow groundwater contamination, should any remediation be required, will be selected pursuant to a new consent administrative order and based upon the risk assessment. The cost of any additional remediation that may be required will be determined based on the results of the investigation and risk assessment, which costs (or range of costs) cannot currently be reasonably estimated. Therefore, no liability has been established at December 31, 2012, in connection with this matter.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Air Matters</w:t>
      </w:r>
    </w:p>
    <w:p>
      <w:pPr>
        <w:spacing w:after="0" w:line="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EPA has sent information requests to most, if not all, of the operators of nitric acid plants in the United States, including our El Dorado and Cherokee Facilities and the Baytown Facility operated by our subsidiary, EDN, under Section 114 of the Clean Air Act as to construction and modification activities at each of these facilities over a period of years. These information requests were to enable the EPA to determine whether these facilities are in compliance with certain provisions of the Clean Air Act.</w:t>
      </w:r>
    </w:p>
    <w:p>
      <w:pPr>
        <w:spacing w:after="0" w:line="13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After a review by our Chemical Business of these facilities in obtaining information for the EPA pursuant to the EPA’s request, our Chemical Business management believes that certain facilities within our Chemical Business will be required to make capital improvements to emission equipment in order to comply with the requirements of the Clean Air Act. During 2012, our Chemical Business has been in negotiations with the EPA to reach a global settlement in connection with this matter, which settlement offer would require implementation of additional pollution controls to be installed over a period of time in each of our eight affected nitric acid plants to achieve certain proposed emission rates, two of which are already complete. The proposals also offered to include a modest civil penalty but did not provide an amount of any proposed civil penalty. The estimated capital cost to achieve the proposed emission rates is $2 million to $3 million per plant for the remaining six plants and these capital investments are proposed to be made over a period of several years.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420"/>
          </w:cols>
          <w:pgMar w:left="240" w:top="455" w:right="23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 (continued)</w:t>
      </w:r>
    </w:p>
    <w:p>
      <w:pPr>
        <w:spacing w:after="0" w:line="16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DOJ, on behalf of the EPA, has responded in writing to our proposed global settlement offer and advised in its response which of our proposals are acceptable and not acceptable and certain other provisions that the United States would require in a global settlement. The DOJ’s response also provided that they will require, among other things, that we pay an appropriate civil penalty to the United States and participating state parties, with the amount to be determined after the parties have reached agreement on the core components of a consent decree, and that any settlement is contingent upon the incorporation of the settlement terms into a definitive consent decree acceptable to the parties. Therefore a liability of $100,000 for potential civil penalties has been established at December 31, 2012, in connection with this matter. We are currently corresponding with the DOJ in an effort to resolve this matter. If the EPA were successful in establishing that any of our chemical facilities were in violation of the Clean Air Act, the EPA could assess civil penalties of up to $27,500 per day and require the facility to retrofit with the “best available control technology.”</w:t>
      </w:r>
    </w:p>
    <w:p>
      <w:pPr>
        <w:spacing w:after="0" w:line="138" w:lineRule="exact"/>
        <w:rPr>
          <w:sz w:val="20"/>
          <w:szCs w:val="20"/>
          <w:color w:val="auto"/>
        </w:rPr>
      </w:pPr>
    </w:p>
    <w:p>
      <w:pPr>
        <w:ind w:right="80"/>
        <w:spacing w:after="0" w:line="291" w:lineRule="auto"/>
        <w:rPr>
          <w:sz w:val="20"/>
          <w:szCs w:val="20"/>
          <w:color w:val="auto"/>
        </w:rPr>
      </w:pPr>
      <w:r>
        <w:rPr>
          <w:rFonts w:ascii="Times New Roman" w:cs="Times New Roman" w:eastAsia="Times New Roman" w:hAnsi="Times New Roman"/>
          <w:sz w:val="16"/>
          <w:szCs w:val="16"/>
          <w:color w:val="auto"/>
        </w:rPr>
        <w:t>PCC, one of our subsidiaries within our Chemical Business, has been advised that the Oklahoma Department of Environmental Quality (“ODEQ”) is conducting an investigation into whether the Pryor Facility was in compliance with certain rules and regulations of the ODEQ and whether the Pryor Facility’s reports of certain air emissions were intentionally reported incorrectly to the ODEQ. Pursuant to the request of the ODEQ, PCC has submitted information and a report to the ODEQ as to the reports filed by the Pryor Facility relating to the air emissions in question. The Company and the Pryor Facility are cooperating with the ODEQ in connection with this investigation and have retained an environmental consulting firm to conduct an environmental compliance audit at PCC. As of the date of this report, we are not aware of recommendations made or to be made by the ODEQ as a result of the pending investigation. Therefore, no liability has been established at December 31, 2012 in connection with this matter. See additional discussion in Note 21 – Subsequent Events.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Other Environmental Matters</w:t>
      </w:r>
    </w:p>
    <w:p>
      <w:pPr>
        <w:spacing w:after="0" w:line="92"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color w:val="auto"/>
        </w:rPr>
        <w:t>In 2002, two subsidiaries within our Chemical Business, sold substantially all of their operating assets relating to a Kansas chemical facility (“Hallowell Facility”) but retained ownership of the real property. At December 31, 2002, even though we continued to own the real property, we did not assess our continuing involvement with our former Hallowell Facility to be significant and therefore accounted for the sale as discontinued operations. In connection with this sale, our subsidiary leased the real property to the buyer under a triple net long-term lease agreement. However, our subsidiary retained the obligation to be responsible for, and perform the activities under, a previously executed consent order to investigate the surface and subsurface contamination at the real property and a corrective action strategy based on the investigation. In addition, certain of our subsidiaries agreed to indemnify the buyer of such assets for these environmental matters. Based on the assessment discussed above, we account for transactions associated with the Hallowell Facility as discontinued operations.</w:t>
      </w:r>
    </w:p>
    <w:p>
      <w:pPr>
        <w:spacing w:after="0" w:line="113"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The successor (“Chevron”) of a prior owner of the Hallowell Facility has agreed in writing, on a nonbinding basis and within certain other limitations, to pay and has been paying one-half of the costs of the interim measures relating to this matter as approved by the Kansas Department of Environmental Quality, subject to reallocation.</w:t>
      </w:r>
    </w:p>
    <w:p>
      <w:pPr>
        <w:spacing w:after="0" w:line="132" w:lineRule="exact"/>
        <w:rPr>
          <w:sz w:val="20"/>
          <w:szCs w:val="20"/>
          <w:color w:val="auto"/>
        </w:rPr>
      </w:pPr>
    </w:p>
    <w:p>
      <w:pPr>
        <w:jc w:val="both"/>
        <w:ind w:right="480"/>
        <w:spacing w:after="0" w:line="262" w:lineRule="auto"/>
        <w:rPr>
          <w:sz w:val="20"/>
          <w:szCs w:val="20"/>
          <w:color w:val="auto"/>
        </w:rPr>
      </w:pPr>
      <w:r>
        <w:rPr>
          <w:rFonts w:ascii="Times New Roman" w:cs="Times New Roman" w:eastAsia="Times New Roman" w:hAnsi="Times New Roman"/>
          <w:sz w:val="18"/>
          <w:szCs w:val="18"/>
          <w:color w:val="auto"/>
        </w:rPr>
        <w:t>Our subsidiary and Chevron are pursuing with the state of Kansas a course of long-term surface and groundwater monitoring to track the natural decline in contamination. Currently, our subsidiary and Chevron are in the process of performing additional surface and groundwater testing. We have accrued for our allocable portion of costs for the additional testing, monitoring and risk assessments that could be reasonably estimated.</w:t>
      </w:r>
    </w:p>
    <w:p>
      <w:pPr>
        <w:spacing w:after="0" w:line="13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the Kansas Department of Health and Environment (“KDHE”) notified our subsidiary and Chevron that the Hallowell Facility has been referred to the KDHE’s Natural Resources Trustee, who is to consider and recommend restoration, replacement and/or whether to seek compensation. KDHE will consider the recommendations in their evaluation. Currently, it is unknown what damages the KDHE would claim, if any. The ultimate required remediation, if any, is unknown. The nature and extent of a portion of the requirements are not currently defined and the associated costs (or range of costs) are not reasonably estimable.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420"/>
          </w:cols>
          <w:pgMar w:left="240" w:top="455" w:right="23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 (continued)</w:t>
      </w:r>
    </w:p>
    <w:p>
      <w:pPr>
        <w:spacing w:after="0" w:line="160"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At December 31, 2012, our allocable portion of the total estimated liability related to the Hallowell Facility of $173,000 has been established in connection with this matter. The estimated amount is not discounted to its present value. It is reasonably possible that a change in the estimate of our liability could occur in the near term.</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Other Pending, Threatened or Settled Litigation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Pryor Chemical Company</w:t>
      </w:r>
    </w:p>
    <w:p>
      <w:pPr>
        <w:spacing w:after="0" w:line="90" w:lineRule="exact"/>
        <w:rPr>
          <w:sz w:val="20"/>
          <w:szCs w:val="20"/>
          <w:color w:val="auto"/>
        </w:rPr>
      </w:pPr>
    </w:p>
    <w:p>
      <w:pPr>
        <w:ind w:right="20"/>
        <w:spacing w:after="0" w:line="296" w:lineRule="auto"/>
        <w:rPr>
          <w:sz w:val="20"/>
          <w:szCs w:val="20"/>
          <w:color w:val="auto"/>
        </w:rPr>
      </w:pPr>
      <w:r>
        <w:rPr>
          <w:rFonts w:ascii="Times New Roman" w:cs="Times New Roman" w:eastAsia="Times New Roman" w:hAnsi="Times New Roman"/>
          <w:sz w:val="16"/>
          <w:szCs w:val="16"/>
          <w:color w:val="auto"/>
        </w:rPr>
        <w:t>PCC has filed lawsuits against certain vendors of PCC related to work performed at the Pryor Facility. The claims allege certain damages resulting from improperly performed work by the vendors and for lost profits and other costs as the result of downtime at the Pryor Facility. During 2012, one of the vendors reached a settlement with PCC. As a result, we recognized a gain of $2,303,000 from this settlement, which amount is included in other income. The remaining amount of lawsuit claims for damages and lost profits is not substantial and the probability, amount and timing of the ultimate recovery are uncertain. As a result, any recovery from litigation or settlement of these claims is a gain contingency and will be recognized if, and when, realized or realizable and earned.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Claims and Legal Actions</w:t>
      </w:r>
    </w:p>
    <w:p>
      <w:pPr>
        <w:spacing w:after="0" w:line="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also involved in various other claims and legal actions including claims for damages resulting from water leaks related to our Climate Control products and other product liability occurrences. Most of the product liability claims are covered by our general liability insurance, which generally includes a deductible of $250,000 per claim. For any claims or legal actions that we have assessed the likelihood of our liability as probable, we have recognized our estimated liability up to the applicable deductible. At December 31, 2012, our accrued general liability insurance claims were $628,000 and are included in accrued and other liabilities. It is possible that the actual development of claims could be different from our estimates but, after consultation with legal counsel, if those general liability insurance claims for which we have not recognized a liability were determined adversely to us, it would not have a material effect on our business, financial condition or results of operations.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Derivatives, Hedges, Financial Instruments and Carbon Credits</w:t>
      </w:r>
    </w:p>
    <w:p>
      <w:pPr>
        <w:spacing w:after="0" w:line="92"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We have three classes of contracts that are accounted for on a fair value basis, which are commodities futures/forward contracts (“commodities contracts”), foreign exchange contracts and interest rate contracts as discussed below. All of these contracts are used as economic hedges for risk management purposes but are not designated as hedging instruments. In addition as discussed below, we are issued climate reserve tonnes (“carbon credits”), of which a certain portion of the carbon credits are to be sold and the proceeds given to Bayer. The carbon credits are accounted for on a fair value basis as discussed below. Also the contractual obligations associated with these carbon credits are accounted for on a fair value basis (as discussed below) unless we enter into a firm sales commitment to sell the carbon credits as discussed in Note 1—Summary of Significant Accounting Policies. The valuations of these assets and liabilities were determined based on quoted market prices or, in instances where market quotes are not available, other valuation techniques or models used to estimate fair values.</w:t>
      </w:r>
    </w:p>
    <w:p>
      <w:pPr>
        <w:spacing w:after="0" w:line="13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valuations of contracts classified as Level 1 are based on quoted prices in active markets for identical contracts. The valuations of contracts classified as Level 2 are based on quoted prices for similar contracts and valuation inputs other than quoted prices that are observable for these contracts. At December 31, 2012 and 2011, the valuations of contracts classified as Level 2 related to interest rate swap contracts. For interest rate swap contracts, we utilize valuation software and market data from a third-party provider. These contracts are valued using a discounted cash flow model that calculates the present value of future cash flows pursuant to the terms of the contracts and using market information for forward interest-rate yield curves. At December 31, 2012, the valuation inputs included the contractual weighted-average pay rate of 3.23% and the estimated market weighted-average receive rate of 0.49%. No valuation input adjustments were considered necessary relating to nonperformance risk for the contracts.</w:t>
      </w:r>
    </w:p>
    <w:p>
      <w:pPr>
        <w:spacing w:after="0" w:line="14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valuations of assets and liabilities classified as Level 3 are based on prices or valuation techniques that require inputs that are both unobservable and significant to the overall fair value measurement. At December 31, 2012, the valuations ($0.50 per carbon credit) of the carbon credits and the contractual obligations associated with these carbon credits are classified as Level 3 and are based on the range of ask/bid prices obtained from a broker adjusted downward due to minimal market volume activity.</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360"/>
          </w:cols>
          <w:pgMar w:left="240" w:top="455" w:right="29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Derivatives, Hedges, Financial Instruments and Carbon Credits (continued)</w:t>
      </w:r>
    </w:p>
    <w:p>
      <w:pPr>
        <w:spacing w:after="0" w:line="160"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auto"/>
        </w:rPr>
        <w:t>At December 31, 2011, the valuations ($3.15 per carbon credit) of the carbon credits and the contractual obligations associated with these carbon credits are classified as Level 3 and are based on the range of ask/bid prices ($1.00 to $3.00) per carbon credit obtained from a broker involved in this low volume market, the sales price of a December 2011 transaction and an offer received from a potential customer. The valuations are using undiscounted cash flows based on management’s assumption that the carbon credits would be sold and the associated contractual obligations would be extinguished in the near term. In addition, no valuation input adjustments were considered necessary relating to nonperformance risk for the carbon credits and associated contractual obligations.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Commodities Contracts</w:t>
      </w:r>
    </w:p>
    <w:p>
      <w:pPr>
        <w:spacing w:after="0" w:line="90"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6"/>
          <w:szCs w:val="16"/>
          <w:color w:val="auto"/>
        </w:rPr>
        <w:t>Raw materials for use in our manufacturing processes include copper used by our Climate Control Business and anhydrous ammonia and natural gas used by our Chemical Business. As part of our raw material price risk management, we periodically enter into futures/forward contracts for these materials, which contracts may be required to be accounted for on a mark-to-market basis. At December 31, 2012, our futures/forward copper contracts were for 625,000 pounds of copper through May 2013 at a weighted-average cost of $3.53 per pound. At December 31, 2011, our futures/forward copper contracts were for 375,000 pounds of copper through May 2012 at a weighted-average cost of $3.42 per pound. At December 31, 2012 and 2011, we did not have any futures/forward natural gas contracts requiring mark-to-market accounting. The cash flows relating to these contracts are included in cash flows from continuing operating activities.</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Foreign Exchange Contracts</w:t>
      </w:r>
    </w:p>
    <w:p>
      <w:pPr>
        <w:spacing w:after="0" w:line="9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One of our business operations purchases industrial machinery and related components from vendors outside of the United States. As part of our foreign currency risk management, we periodically enter into foreign exchange contracts, which set the U.S. Dollar/Euro exchange rates. These contracts are free-standing derivatives and are accounted for on a mark-to-market basis. At December 31, 2012 and 2011, we did not have any foreign exchange contracts. The cash flows relating to these contracts are included in cash flows from continuing operating activities.</w:t>
      </w:r>
    </w:p>
    <w:p>
      <w:pPr>
        <w:spacing w:after="0" w:line="2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 Rate Contracts</w:t>
      </w:r>
    </w:p>
    <w:p>
      <w:pPr>
        <w:spacing w:after="0" w:line="90" w:lineRule="exact"/>
        <w:rPr>
          <w:sz w:val="20"/>
          <w:szCs w:val="20"/>
          <w:color w:val="auto"/>
        </w:rPr>
      </w:pPr>
    </w:p>
    <w:p>
      <w:pPr>
        <w:jc w:val="both"/>
        <w:ind w:right="100"/>
        <w:spacing w:after="0" w:line="310" w:lineRule="auto"/>
        <w:rPr>
          <w:sz w:val="20"/>
          <w:szCs w:val="20"/>
          <w:color w:val="auto"/>
        </w:rPr>
      </w:pPr>
      <w:r>
        <w:rPr>
          <w:rFonts w:ascii="Times New Roman" w:cs="Times New Roman" w:eastAsia="Times New Roman" w:hAnsi="Times New Roman"/>
          <w:sz w:val="16"/>
          <w:szCs w:val="16"/>
          <w:color w:val="auto"/>
        </w:rPr>
        <w:t>As part of our interest rate risk management, we periodically purchase and/or enter into various interest rate contracts. In April 2008, we entered into an interest rate swap at no cost, which set a fixed three-month LIBOR rate of 3.24% on $25 million and matured in April 2012. In September 2008, we acquired an interest rate swap at a cost basis of $0.4 million, which set a fixed three-month LIBOR rate of 3.595% on $25 million and matured in April 2012.</w:t>
      </w:r>
    </w:p>
    <w:p>
      <w:pPr>
        <w:spacing w:after="0" w:line="97"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In February 2011, we entered into an interest rate swap at no cost, which sets a fixed three-month LIBOR rate of 3.23% on a declining balance (from $23.8 million to $18.8 million) for the period beginning in April 2012 through March 2016. This contract is a free-standing derivative and is accounted for on a mark-to-market basis.</w:t>
      </w:r>
    </w:p>
    <w:p>
      <w:pPr>
        <w:spacing w:after="0" w:line="132" w:lineRule="exact"/>
        <w:rPr>
          <w:sz w:val="20"/>
          <w:szCs w:val="20"/>
          <w:color w:val="auto"/>
        </w:rPr>
      </w:pPr>
    </w:p>
    <w:p>
      <w:pPr>
        <w:ind w:right="560"/>
        <w:spacing w:after="0" w:line="275" w:lineRule="auto"/>
        <w:rPr>
          <w:sz w:val="20"/>
          <w:szCs w:val="20"/>
          <w:color w:val="auto"/>
        </w:rPr>
      </w:pPr>
      <w:r>
        <w:rPr>
          <w:rFonts w:ascii="Times New Roman" w:cs="Times New Roman" w:eastAsia="Times New Roman" w:hAnsi="Times New Roman"/>
          <w:sz w:val="18"/>
          <w:szCs w:val="18"/>
          <w:color w:val="auto"/>
        </w:rPr>
        <w:t>During each of the three years ended December 31, 2012, no cash flows occurred relating to the purchase or sale of interest rate contracts. The cash flows associated with the interest rate swap payments are included in cash flows from continuing operating activities.</w:t>
      </w:r>
    </w:p>
    <w:p>
      <w:pPr>
        <w:spacing w:after="0" w:line="2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Carbon Credits and Associated Contractual Obligation</w:t>
      </w:r>
    </w:p>
    <w:p>
      <w:pPr>
        <w:spacing w:after="0" w:line="90" w:lineRule="exact"/>
        <w:rPr>
          <w:sz w:val="20"/>
          <w:szCs w:val="20"/>
          <w:color w:val="auto"/>
        </w:rPr>
      </w:pPr>
    </w:p>
    <w:p>
      <w:pPr>
        <w:ind w:right="120"/>
        <w:spacing w:after="0" w:line="291" w:lineRule="auto"/>
        <w:rPr>
          <w:sz w:val="20"/>
          <w:szCs w:val="20"/>
          <w:color w:val="auto"/>
        </w:rPr>
      </w:pPr>
      <w:r>
        <w:rPr>
          <w:rFonts w:ascii="Times New Roman" w:cs="Times New Roman" w:eastAsia="Times New Roman" w:hAnsi="Times New Roman"/>
          <w:sz w:val="16"/>
          <w:szCs w:val="16"/>
          <w:color w:val="auto"/>
        </w:rPr>
        <w:t>Periodically, we are issued carbon credits by the Climate Action Reserve in relation to a greenhouse gas reduction project (“Project”) performed at the Baytown Facility. Pursuant to the terms of the agreement with Bayer, a certain portion of the carbon credits are to be used to recover the costs of the Project, and any balance thereafter to be allocated between Bayer and EDN. We have no obligation to reimburse Bayer for their costs associated with the Project, except through the transfer or sale of the carbon credits when such credits are issued to us. The carbon credits are accounted for on a fair value basis and the contractual obligations associated with these carbon credits are also accounted for on a fair value basis (unless we enter into a firm sales commitment to sell the carbon credits). At December 31, 2012 and 2011, we had a minimal amount of carbon credits, all of which were subject to contractual obligations. The cash flows associated with the carbon credits and the associated contractual obligations are included in cash flows from continuing investing activities.</w:t>
      </w:r>
    </w:p>
    <w:p>
      <w:pPr>
        <w:spacing w:after="0" w:line="1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360"/>
          </w:cols>
          <w:pgMar w:left="240" w:top="455" w:right="29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Derivatives, Hedges, Financial Instruments and Carbon Credits (continued)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details our assets and liabilities that are measured at fair value on a recurring basis at December 31, 2012 and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0" w:type="dxa"/>
            <w:vAlign w:val="bottom"/>
            <w:gridSpan w:val="8"/>
          </w:tcPr>
          <w:p>
            <w:pPr>
              <w:jc w:val="center"/>
              <w:ind w:right="37"/>
              <w:spacing w:after="0"/>
              <w:rPr>
                <w:sz w:val="20"/>
                <w:szCs w:val="20"/>
                <w:color w:val="auto"/>
              </w:rPr>
            </w:pPr>
            <w:r>
              <w:rPr>
                <w:rFonts w:ascii="Times New Roman" w:cs="Times New Roman" w:eastAsia="Times New Roman" w:hAnsi="Times New Roman"/>
                <w:sz w:val="14"/>
                <w:szCs w:val="14"/>
                <w:color w:val="auto"/>
                <w:w w:val="95"/>
              </w:rPr>
              <w:t>Fair Value Measurements at December 31, 2012</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color w:val="auto"/>
                <w:w w:val="95"/>
              </w:rPr>
              <w:t>Using</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6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color w:val="auto"/>
              </w:rPr>
              <w:t>Quoted Prices</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color w:val="auto"/>
                <w:w w:val="96"/>
              </w:rPr>
              <w:t>in Active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color w:val="auto"/>
                <w:w w:val="97"/>
              </w:rPr>
              <w:t>Significant</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color w:val="auto"/>
                <w:w w:val="93"/>
              </w:rPr>
              <w:t>Total Fair</w:t>
            </w:r>
          </w:p>
        </w:tc>
        <w:tc>
          <w:tcPr>
            <w:tcW w:w="580" w:type="dxa"/>
            <w:vAlign w:val="bottom"/>
          </w:tcPr>
          <w:p>
            <w:pPr>
              <w:spacing w:after="0"/>
              <w:rPr>
                <w:sz w:val="12"/>
                <w:szCs w:val="12"/>
                <w:color w:val="auto"/>
              </w:rPr>
            </w:pPr>
          </w:p>
        </w:tc>
        <w:tc>
          <w:tcPr>
            <w:tcW w:w="106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w w:val="94"/>
              </w:rPr>
              <w:t>Markets for</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color w:val="auto"/>
                <w:w w:val="93"/>
              </w:rPr>
              <w:t>Other</w:t>
            </w:r>
          </w:p>
        </w:tc>
        <w:tc>
          <w:tcPr>
            <w:tcW w:w="58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Significant</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w w:val="93"/>
              </w:rPr>
              <w:t>Total Fair</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color w:val="auto"/>
                <w:w w:val="93"/>
              </w:rPr>
              <w:t>Value at</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color w:val="auto"/>
                <w:w w:val="93"/>
              </w:rPr>
              <w:t>Identical</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color w:val="auto"/>
                <w:w w:val="97"/>
              </w:rPr>
              <w:t>Observable</w:t>
            </w:r>
          </w:p>
        </w:tc>
        <w:tc>
          <w:tcPr>
            <w:tcW w:w="580" w:type="dxa"/>
            <w:vAlign w:val="bottom"/>
          </w:tcPr>
          <w:p>
            <w:pPr>
              <w:spacing w:after="0"/>
              <w:rPr>
                <w:sz w:val="12"/>
                <w:szCs w:val="12"/>
                <w:color w:val="auto"/>
              </w:rPr>
            </w:pPr>
          </w:p>
        </w:tc>
        <w:tc>
          <w:tcPr>
            <w:tcW w:w="7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w w:val="95"/>
              </w:rPr>
              <w:t>Unobservable</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w w:val="93"/>
              </w:rPr>
              <w:t>Value at</w:t>
            </w:r>
          </w:p>
        </w:tc>
        <w:tc>
          <w:tcPr>
            <w:tcW w:w="0" w:type="dxa"/>
            <w:vAlign w:val="bottom"/>
          </w:tcPr>
          <w:p>
            <w:pPr>
              <w:spacing w:after="0"/>
              <w:rPr>
                <w:sz w:val="1"/>
                <w:szCs w:val="1"/>
                <w:color w:val="auto"/>
              </w:rPr>
            </w:pPr>
          </w:p>
        </w:tc>
      </w:tr>
      <w:tr>
        <w:trPr>
          <w:trHeight w:val="149"/>
        </w:trPr>
        <w:tc>
          <w:tcPr>
            <w:tcW w:w="4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Description</w:t>
            </w:r>
          </w:p>
        </w:tc>
        <w:tc>
          <w:tcPr>
            <w:tcW w:w="28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December 31,</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color w:val="auto"/>
                <w:w w:val="92"/>
              </w:rPr>
              <w:t>Assets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color w:val="auto"/>
                <w:w w:val="97"/>
              </w:rPr>
              <w:t>Inputs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37"/>
              <w:spacing w:after="0" w:line="149" w:lineRule="exact"/>
              <w:rPr>
                <w:sz w:val="20"/>
                <w:szCs w:val="20"/>
                <w:color w:val="auto"/>
              </w:rPr>
            </w:pPr>
            <w:r>
              <w:rPr>
                <w:rFonts w:ascii="Times New Roman" w:cs="Times New Roman" w:eastAsia="Times New Roman" w:hAnsi="Times New Roman"/>
                <w:sz w:val="14"/>
                <w:szCs w:val="14"/>
                <w:color w:val="auto"/>
              </w:rPr>
              <w:t>Inputs</w:t>
            </w:r>
          </w:p>
        </w:tc>
        <w:tc>
          <w:tcPr>
            <w:tcW w:w="58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55"/>
        </w:trPr>
        <w:tc>
          <w:tcPr>
            <w:tcW w:w="484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ind w:right="18"/>
              <w:spacing w:after="0" w:line="148" w:lineRule="exact"/>
              <w:rPr>
                <w:sz w:val="20"/>
                <w:szCs w:val="20"/>
                <w:color w:val="auto"/>
              </w:rPr>
            </w:pPr>
            <w:r>
              <w:rPr>
                <w:rFonts w:ascii="Times New Roman" w:cs="Times New Roman" w:eastAsia="Times New Roman" w:hAnsi="Times New Roman"/>
                <w:sz w:val="14"/>
                <w:szCs w:val="14"/>
                <w:color w:val="auto"/>
                <w:w w:val="99"/>
              </w:rPr>
              <w:t>2012</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400"/>
              <w:spacing w:after="0" w:line="148" w:lineRule="exact"/>
              <w:rPr>
                <w:sz w:val="20"/>
                <w:szCs w:val="20"/>
                <w:color w:val="auto"/>
              </w:rPr>
            </w:pPr>
            <w:r>
              <w:rPr>
                <w:rFonts w:ascii="Times New Roman" w:cs="Times New Roman" w:eastAsia="Times New Roman" w:hAnsi="Times New Roman"/>
                <w:sz w:val="14"/>
                <w:szCs w:val="14"/>
                <w:color w:val="auto"/>
                <w:w w:val="96"/>
              </w:rPr>
              <w:t>(Level 1)</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ind w:right="22"/>
              <w:spacing w:after="0" w:line="148" w:lineRule="exact"/>
              <w:rPr>
                <w:sz w:val="20"/>
                <w:szCs w:val="20"/>
                <w:color w:val="auto"/>
              </w:rPr>
            </w:pPr>
            <w:r>
              <w:rPr>
                <w:rFonts w:ascii="Times New Roman" w:cs="Times New Roman" w:eastAsia="Times New Roman" w:hAnsi="Times New Roman"/>
                <w:sz w:val="14"/>
                <w:szCs w:val="14"/>
                <w:color w:val="auto"/>
                <w:w w:val="96"/>
              </w:rPr>
              <w:t>(Level 2)</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57"/>
              <w:spacing w:after="0" w:line="148" w:lineRule="exact"/>
              <w:rPr>
                <w:sz w:val="20"/>
                <w:szCs w:val="20"/>
                <w:color w:val="auto"/>
              </w:rPr>
            </w:pPr>
            <w:r>
              <w:rPr>
                <w:rFonts w:ascii="Times New Roman" w:cs="Times New Roman" w:eastAsia="Times New Roman" w:hAnsi="Times New Roman"/>
                <w:sz w:val="14"/>
                <w:szCs w:val="14"/>
                <w:color w:val="auto"/>
                <w:w w:val="96"/>
              </w:rPr>
              <w:t>(Level 3)</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ind w:right="19"/>
              <w:spacing w:after="0" w:line="148" w:lineRule="exact"/>
              <w:rPr>
                <w:sz w:val="20"/>
                <w:szCs w:val="20"/>
                <w:color w:val="auto"/>
              </w:rPr>
            </w:pPr>
            <w:r>
              <w:rPr>
                <w:rFonts w:ascii="Times New Roman" w:cs="Times New Roman" w:eastAsia="Times New Roman" w:hAnsi="Times New Roman"/>
                <w:sz w:val="14"/>
                <w:szCs w:val="14"/>
                <w:color w:val="auto"/>
                <w:w w:val="99"/>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60" w:type="dxa"/>
            <w:vAlign w:val="bottom"/>
            <w:tcBorders>
              <w:top w:val="single" w:sz="8" w:color="auto"/>
            </w:tcBorders>
          </w:tcPr>
          <w:p>
            <w:pPr>
              <w:spacing w:after="0"/>
              <w:rPr>
                <w:sz w:val="12"/>
                <w:szCs w:val="12"/>
                <w:color w:val="auto"/>
              </w:rPr>
            </w:pPr>
          </w:p>
        </w:tc>
        <w:tc>
          <w:tcPr>
            <w:tcW w:w="4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Borders>
              <w:top w:val="single" w:sz="8" w:color="auto"/>
            </w:tcBorders>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(In Thousands)</w:t>
            </w:r>
          </w:p>
        </w:tc>
        <w:tc>
          <w:tcPr>
            <w:tcW w:w="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Assets—Supplies, prepaid items and other:</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Commodities contracts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70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79</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Carbon credits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w:t>
            </w: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w w:val="88"/>
              </w:rPr>
              <w:t>79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Liabilities—Current and noncurrent accrued and other 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Contractual obligations-carbon credits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70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6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Interest rate contracts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1,874</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w w:val="93"/>
              </w:rPr>
              <w:t>1,874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1,965</w:t>
            </w: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w w:val="93"/>
              </w:rPr>
              <w:t>1,874</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F-33</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Derivatives, Hedges, Financial Instruments and Carbon Credits (continued)</w:t>
      </w:r>
    </w:p>
    <w:p>
      <w:pPr>
        <w:spacing w:after="0" w:line="16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None of our assets or liabilities measured at fair value on a recurring basis transferred between Level 1 and Level 2 classifications for the periods presented below. In addition, the following is a reconciliation of the beginning and ending balances for assets and liabilities measured at fair value on a recurring basis using significant unobservable inputs (Level 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3"/>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8"/>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rPr>
              <w:t>644</w:t>
            </w:r>
          </w:p>
        </w:tc>
        <w:tc>
          <w:tcPr>
            <w:tcW w:w="18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(42)</w:t>
            </w:r>
          </w:p>
        </w:tc>
        <w:tc>
          <w:tcPr>
            <w:tcW w:w="3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(644)</w:t>
            </w:r>
          </w:p>
        </w:tc>
        <w:tc>
          <w:tcPr>
            <w:tcW w:w="6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Transfers into Level 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Transfers out of Level 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realized and unrealized gains (losses) included in earnings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6"/>
              </w:rPr>
              <w:t>876</w:t>
            </w:r>
          </w:p>
        </w:tc>
        <w:tc>
          <w:tcPr>
            <w:tcW w:w="3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80" w:type="dxa"/>
            <w:vAlign w:val="bottom"/>
          </w:tcPr>
          <w:p>
            <w:pPr>
              <w:spacing w:after="0"/>
              <w:rPr>
                <w:sz w:val="18"/>
                <w:szCs w:val="18"/>
                <w:color w:val="auto"/>
              </w:rPr>
            </w:pPr>
          </w:p>
        </w:tc>
        <w:tc>
          <w:tcPr>
            <w:tcW w:w="5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644</w:t>
            </w:r>
          </w:p>
        </w:tc>
        <w:tc>
          <w:tcPr>
            <w:tcW w:w="7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(721)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w w:val="95"/>
              </w:rPr>
              <w:t>(1,844)</w:t>
            </w: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2"/>
              </w:rPr>
              <w:t>(827)</w:t>
            </w:r>
          </w:p>
        </w:tc>
        <w:tc>
          <w:tcPr>
            <w:tcW w:w="7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(2,597)</w:t>
            </w:r>
          </w:p>
        </w:tc>
        <w:tc>
          <w:tcPr>
            <w:tcW w:w="1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Settlements</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672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644</w:t>
            </w:r>
          </w:p>
        </w:tc>
        <w:tc>
          <w:tcPr>
            <w:tcW w:w="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(91)</w:t>
            </w:r>
          </w:p>
        </w:tc>
        <w:tc>
          <w:tcPr>
            <w:tcW w:w="3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0"/>
        </w:trPr>
        <w:tc>
          <w:tcPr>
            <w:tcW w:w="67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Total gains (losses) for the period included in earnings attributed to the change in unrealized</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60" w:type="dxa"/>
            <w:vAlign w:val="bottom"/>
            <w:gridSpan w:val="3"/>
            <w:vMerge w:val="continue"/>
          </w:tcPr>
          <w:p>
            <w:pPr>
              <w:spacing w:after="0"/>
              <w:rPr>
                <w:sz w:val="17"/>
                <w:szCs w:val="17"/>
                <w:color w:val="auto"/>
              </w:rPr>
            </w:pPr>
          </w:p>
        </w:tc>
        <w:tc>
          <w:tcPr>
            <w:tcW w:w="280" w:type="dxa"/>
            <w:vAlign w:val="bottom"/>
            <w:vMerge w:val="restart"/>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78</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(78)</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gains or losses on assets and liabilities still held at the reporting date</w:t>
            </w:r>
          </w:p>
        </w:tc>
        <w:tc>
          <w:tcPr>
            <w:tcW w:w="28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3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9"/>
                <w:szCs w:val="19"/>
                <w:color w:val="auto"/>
              </w:rPr>
            </w:pPr>
          </w:p>
        </w:tc>
        <w:tc>
          <w:tcPr>
            <w:tcW w:w="5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644</w:t>
            </w:r>
          </w:p>
        </w:tc>
        <w:tc>
          <w:tcPr>
            <w:tcW w:w="400" w:type="dxa"/>
            <w:vAlign w:val="bottom"/>
            <w:gridSpan w:val="3"/>
            <w:vMerge w:val="continue"/>
          </w:tcPr>
          <w:p>
            <w:pPr>
              <w:spacing w:after="0"/>
              <w:rPr>
                <w:sz w:val="19"/>
                <w:szCs w:val="19"/>
                <w:color w:val="auto"/>
              </w:rPr>
            </w:pPr>
          </w:p>
        </w:tc>
        <w:tc>
          <w:tcPr>
            <w:tcW w:w="360" w:type="dxa"/>
            <w:vAlign w:val="bottom"/>
            <w:gridSpan w:val="2"/>
            <w:vMerge w:val="continue"/>
          </w:tcPr>
          <w:p>
            <w:pPr>
              <w:spacing w:after="0"/>
              <w:rPr>
                <w:sz w:val="19"/>
                <w:szCs w:val="19"/>
                <w:color w:val="auto"/>
              </w:rPr>
            </w:pPr>
          </w:p>
        </w:tc>
        <w:tc>
          <w:tcPr>
            <w:tcW w:w="3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6120" w:type="dxa"/>
            <w:vAlign w:val="bottom"/>
            <w:gridSpan w:val="2"/>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0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Realized and unrealized net losses included in earnings and the income statement classifications are as follows:</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2012</w:t>
            </w:r>
          </w:p>
        </w:tc>
        <w:tc>
          <w:tcPr>
            <w:tcW w:w="180" w:type="dxa"/>
            <w:vAlign w:val="bottom"/>
          </w:tcPr>
          <w:p>
            <w:pPr>
              <w:spacing w:after="0"/>
              <w:rPr>
                <w:sz w:val="24"/>
                <w:szCs w:val="24"/>
                <w:color w:val="auto"/>
              </w:rPr>
            </w:pP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2011</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4"/>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8"/>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gains (losses) included in earnings: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Cost of sales - Commodities contracts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14</w:t>
            </w:r>
          </w:p>
        </w:tc>
        <w:tc>
          <w:tcPr>
            <w:tcW w:w="4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7"/>
              </w:rPr>
              <w:t>(523)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Cost of sales - Foreign exchange contracts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income - Carbon credits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876</w:t>
            </w:r>
          </w:p>
        </w:tc>
        <w:tc>
          <w:tcPr>
            <w:tcW w:w="8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644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expense - Contractual obligations relating to carbon credits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2"/>
              </w:rPr>
              <w:t>(721)</w:t>
            </w:r>
          </w:p>
        </w:tc>
        <w:tc>
          <w:tcPr>
            <w:tcW w:w="90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Interest expense - Interest rate contracts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2"/>
              </w:rPr>
              <w:t>(523)</w:t>
            </w:r>
          </w:p>
        </w:tc>
        <w:tc>
          <w:tcPr>
            <w:tcW w:w="90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(1,527)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u w:val="single" w:color="auto"/>
                <w:color w:val="auto"/>
                <w:w w:val="95"/>
              </w:rPr>
              <w:t>$</w:t>
            </w:r>
            <w:r>
              <w:rPr>
                <w:rFonts w:ascii="Times New Roman" w:cs="Times New Roman" w:eastAsia="Times New Roman" w:hAnsi="Times New Roman"/>
                <w:sz w:val="18"/>
                <w:szCs w:val="18"/>
                <w:b w:val="1"/>
                <w:bCs w:val="1"/>
                <w:color w:val="auto"/>
                <w:w w:val="95"/>
              </w:rPr>
              <w:t>(373)</w:t>
            </w:r>
          </w:p>
        </w:tc>
        <w:tc>
          <w:tcPr>
            <w:tcW w:w="90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(2,251)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(1,561)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40" w:type="dxa"/>
            <w:vAlign w:val="bottom"/>
            <w:vMerge w:val="restart"/>
          </w:tcPr>
          <w:p>
            <w:pPr>
              <w:ind w:left="4620"/>
              <w:spacing w:after="0"/>
              <w:rPr>
                <w:sz w:val="20"/>
                <w:szCs w:val="20"/>
                <w:color w:val="auto"/>
              </w:rPr>
            </w:pPr>
            <w:r>
              <w:rPr>
                <w:rFonts w:ascii="Times New Roman" w:cs="Times New Roman" w:eastAsia="Times New Roman" w:hAnsi="Times New Roman"/>
                <w:sz w:val="18"/>
                <w:szCs w:val="18"/>
                <w:color w:val="auto"/>
              </w:rPr>
              <w:t>F-34</w:t>
            </w: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Derivatives, Hedges, Financial Instruments and Carbon Credits (continued)</w:t>
      </w:r>
    </w:p>
    <w:p>
      <w:pPr>
        <w:spacing w:after="0" w:line="157"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7200" w:type="dxa"/>
            <w:vAlign w:val="bottom"/>
          </w:tcPr>
          <w:p>
            <w:pPr>
              <w:spacing w:after="0"/>
              <w:rPr>
                <w:sz w:val="14"/>
                <w:szCs w:val="14"/>
                <w:color w:val="auto"/>
              </w:rPr>
            </w:pP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2011</w:t>
            </w:r>
          </w:p>
        </w:tc>
        <w:tc>
          <w:tcPr>
            <w:tcW w:w="3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14"/>
                <w:szCs w:val="14"/>
                <w:color w:val="auto"/>
              </w:rPr>
            </w:pPr>
          </w:p>
        </w:tc>
      </w:tr>
      <w:tr>
        <w:trPr>
          <w:trHeight w:val="142"/>
        </w:trPr>
        <w:tc>
          <w:tcPr>
            <w:tcW w:w="7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4"/>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unrealized gains (losses) relating to contracts still held at year end:</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Cost of sales - Commodities contracts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2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w:t>
            </w: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$ 761</w:t>
            </w:r>
          </w:p>
        </w:tc>
      </w:tr>
      <w:tr>
        <w:trPr>
          <w:trHeight w:val="216"/>
        </w:trPr>
        <w:tc>
          <w:tcPr>
            <w:tcW w:w="7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Cost of sales - Foreign exchange contracts</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7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income - Carbon credits</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8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644</w:t>
            </w:r>
          </w:p>
        </w:tc>
      </w:tr>
      <w:tr>
        <w:trPr>
          <w:trHeight w:val="216"/>
        </w:trPr>
        <w:tc>
          <w:tcPr>
            <w:tcW w:w="7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expense - Contractual obligations relating to carbon credits</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w:t>
            </w: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(644)</w:t>
            </w:r>
          </w:p>
        </w:tc>
      </w:tr>
      <w:tr>
        <w:trPr>
          <w:trHeight w:val="216"/>
        </w:trPr>
        <w:tc>
          <w:tcPr>
            <w:tcW w:w="7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Interest expense - Interest rate contracts</w:t>
            </w:r>
          </w:p>
        </w:tc>
        <w:tc>
          <w:tcPr>
            <w:tcW w:w="8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7"/>
              </w:rPr>
              <w:t>(346)</w:t>
            </w: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r>
      <w:tr>
        <w:trPr>
          <w:trHeight w:val="27"/>
        </w:trPr>
        <w:tc>
          <w:tcPr>
            <w:tcW w:w="7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7"/>
              </w:rPr>
              <w:t>(335)</w:t>
            </w: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$ 844</w:t>
            </w:r>
          </w:p>
        </w:tc>
      </w:tr>
      <w:tr>
        <w:trPr>
          <w:trHeight w:val="20"/>
        </w:trPr>
        <w:tc>
          <w:tcPr>
            <w:tcW w:w="7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At December 31, 2012 and 2011, we did not have any financial instruments with fair values significantly different from their carrying amounts. These financial instruments include our long-term debt agreements, which valuations are classified as Level 3 and are based on valuation techniques that require inputs that are both unobservable and significant to the overall fair value measurement. The fair value measurement of our long-term debt agreements are valued using a discounted cash flow model that calculates the present value of future cash flows pursuant to the terms of the debt agreements and applies estimated current market interest rates. The estimated current market interest rates are based primarily on interest rates currently being offered on borrowings of similar amounts and terms. In addition, no valuation input adjustments were considered necessary relating to nonperformance risk for the debt agreements. The fair value of financial instruments is not indicative of the overall fair value of our assets and liabilities since financial instruments do not include all assets, including intangibles, and all liabilities. Also see discussions concerning certain assets and liabilities initially accounted for on a fair value basis under Note 2 – Acquisition of Working Interests in Natural Gas Properties and Note 9 – Asset Retirement Obligations.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Stockholders’ Equity</w:t>
      </w:r>
    </w:p>
    <w:p>
      <w:pPr>
        <w:spacing w:after="0" w:line="90"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b w:val="1"/>
          <w:bCs w:val="1"/>
          <w:color w:val="auto"/>
        </w:rPr>
        <w:t>2008 Stock Incentive Plan—</w:t>
      </w:r>
      <w:r>
        <w:rPr>
          <w:rFonts w:ascii="Times New Roman" w:cs="Times New Roman" w:eastAsia="Times New Roman" w:hAnsi="Times New Roman"/>
          <w:sz w:val="18"/>
          <w:szCs w:val="18"/>
          <w:color w:val="auto"/>
        </w:rPr>
        <w:t>During 2008, our board of directors adopted our 2008 Incentive Stock Plan (the “2008 Plan”), which plan was approved by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at our annual meeting of shareholders held on June 5, 2008. The number of shares of our common stock available for issuance under the 2008 Plan is 1,000,000 shares, subject to adjustment. Under the 2008 Plan, awards may be made to any employee, officer or director of the Company and its affiliated companies. An award may also be granted to any consultant, agent, advisor or independent contractor for bona fide services rendered to the Company or any affiliate (as defined in the 2008 Plan), subject to certain conditions. The 2008 Plan is being administered by the compensation and stock option committee (the “Committee”) of our board of directors.</w:t>
      </w:r>
    </w:p>
    <w:p>
      <w:pPr>
        <w:spacing w:after="0" w:line="14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board of directors or the Committee may amend the 2008 Plan, except that if any applicable statute, rule or regulation requires shareholder approval with respect to any amendment of the 2008 Plan, then to the extent so required, shareholder approval will be obtained. Shareholder approval will also be obtained for any amendment that would increase the number of shares stated as available for issuance under the 2008 Plan. Unless sooner terminated by our board of directors, the 2008 Plan expires on June 5, 2018.</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may be granted by the Committee under the 2008 Plan:</w:t>
      </w:r>
    </w:p>
    <w:p>
      <w:pPr>
        <w:spacing w:after="0" w:line="90"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Stock Options—The Committee may grant either incentive stock options or non-qualified stock options. The Committee sets option exercise prices and terms, except that the exercise price of a stock option may be no less than 100% of the fair market value, as defined in the 2008 Plan, of the shares on the date of grant. At the time of grant, the Committee will have sole discretion in determining when stock options are exercisable and when they expire, except that the term of a stock option cannot exceed 10 years.</w:t>
      </w:r>
    </w:p>
    <w:p>
      <w:pPr>
        <w:spacing w:after="0" w:line="136" w:lineRule="exact"/>
        <w:rPr>
          <w:sz w:val="20"/>
          <w:szCs w:val="20"/>
          <w:color w:val="auto"/>
        </w:rPr>
      </w:pPr>
    </w:p>
    <w:p>
      <w:pPr>
        <w:ind w:right="100" w:firstLine="456"/>
        <w:spacing w:after="0" w:line="301" w:lineRule="auto"/>
        <w:rPr>
          <w:sz w:val="20"/>
          <w:szCs w:val="20"/>
          <w:color w:val="auto"/>
        </w:rPr>
      </w:pPr>
      <w:r>
        <w:rPr>
          <w:rFonts w:ascii="Times New Roman" w:cs="Times New Roman" w:eastAsia="Times New Roman" w:hAnsi="Times New Roman"/>
          <w:sz w:val="16"/>
          <w:szCs w:val="16"/>
          <w:color w:val="auto"/>
        </w:rPr>
        <w:t>Stock Appreciation Rights (“SARs”)—The Committee may grant SARs as a right in tandem with the number of shares underlying stock options granted under the 2008 Plan or on a stand-alone basis. SARs are the right to receive payment per share of the SAR exercised in stock or in cash equal to the excess of the share’s fair market value, as defined in the 2008 Plan, on the date of exercise over its fair market value on the date the SAR was granted. Exercise of a SAR issued in tandem with stock options will result in the reduction of the number of shares underlying the related stock option to the extent of the SAR exercise.</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420"/>
          </w:cols>
          <w:pgMar w:left="240" w:top="455" w:right="23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Stockholders’ Equity (continued)</w:t>
      </w:r>
    </w:p>
    <w:p>
      <w:pPr>
        <w:spacing w:after="0" w:line="158" w:lineRule="exact"/>
        <w:rPr>
          <w:sz w:val="20"/>
          <w:szCs w:val="20"/>
          <w:color w:val="auto"/>
        </w:rPr>
      </w:pPr>
    </w:p>
    <w:p>
      <w:pPr>
        <w:ind w:firstLine="456"/>
        <w:spacing w:after="0" w:line="264" w:lineRule="auto"/>
        <w:rPr>
          <w:sz w:val="20"/>
          <w:szCs w:val="20"/>
          <w:color w:val="auto"/>
        </w:rPr>
      </w:pPr>
      <w:r>
        <w:rPr>
          <w:rFonts w:ascii="Times New Roman" w:cs="Times New Roman" w:eastAsia="Times New Roman" w:hAnsi="Times New Roman"/>
          <w:sz w:val="18"/>
          <w:szCs w:val="18"/>
          <w:color w:val="auto"/>
        </w:rPr>
        <w:t>Stock Awards, Restricted Stock, Restricted Stock Units, and Other Awards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The Committee may grant awards of restricted stock, restricted stock units, and other stock and cash-based awards, which may include the payment of stock in lieu of cash (including cash payable under other incentive or bonus programs) or the payment of cash (which may or may not be based on the price of our common stock).</w:t>
      </w:r>
    </w:p>
    <w:p>
      <w:pPr>
        <w:spacing w:after="0" w:line="127"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6"/>
          <w:szCs w:val="16"/>
          <w:b w:val="1"/>
          <w:bCs w:val="1"/>
          <w:color w:val="auto"/>
        </w:rPr>
        <w:t>Stock-Based Compensation—</w:t>
      </w:r>
      <w:r>
        <w:rPr>
          <w:rFonts w:ascii="Times New Roman" w:cs="Times New Roman" w:eastAsia="Times New Roman" w:hAnsi="Times New Roman"/>
          <w:sz w:val="16"/>
          <w:szCs w:val="16"/>
          <w:color w:val="auto"/>
        </w:rPr>
        <w:t>During 2012 and 2010, the Committee did not grant any awards under the 2008 Plan. During 2011, the Committee approved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grants under the 2008 Plan of 249,000 shares of qualified stock options (the “2011 Qualified Options”) to certain employees and our board of directors (with the recipient abstaining) approved the grant of 5,000 shares of non-qualified stock options (“2011 Non-Qualified Options”) to one of our outside directors. The exercise price of the 2011 Qualified and Non-Qualified Options was equal to the market value of our common stock at the date of grant. The 2011 Qualified and Non-Qualified Options vest at the end of each one-year period at the rate of 16.5% per year for the first five years and the remaining unvested options will vest at the end of the sixth year. Pursuant to the terms of the 2011 Non-Qualified Options, if a termination event occurs, as defined, the non-vested 2011 Non-Qualified Options will become fully vested and exercisable for a period of one year from the date of the termination event. Excluding the non-qualified stock options relating to a termination event, the 2011 Qualified and Non-Qualified Options expire in 2021. The fair value for the 2011 Qualified and Non-Qualified Options was estimated, using an option pricing model, as of the date of the grant, which date was also the service inception date.</w:t>
      </w:r>
    </w:p>
    <w:p>
      <w:pPr>
        <w:spacing w:after="0" w:line="115" w:lineRule="exact"/>
        <w:rPr>
          <w:sz w:val="20"/>
          <w:szCs w:val="20"/>
          <w:color w:val="auto"/>
        </w:rPr>
      </w:pPr>
    </w:p>
    <w:p>
      <w:pPr>
        <w:ind w:right="720"/>
        <w:spacing w:after="0" w:line="275" w:lineRule="auto"/>
        <w:rPr>
          <w:sz w:val="20"/>
          <w:szCs w:val="20"/>
          <w:color w:val="auto"/>
        </w:rPr>
      </w:pPr>
      <w:r>
        <w:rPr>
          <w:rFonts w:ascii="Times New Roman" w:cs="Times New Roman" w:eastAsia="Times New Roman" w:hAnsi="Times New Roman"/>
          <w:sz w:val="18"/>
          <w:szCs w:val="18"/>
          <w:color w:val="auto"/>
        </w:rPr>
        <w:t>The fair value for the 2011 Qualified and Non-Qualified Options was estimated using a Black-Scholes-Merton option pricing model with the following assumptions:</w:t>
      </w:r>
    </w:p>
    <w:p>
      <w:pPr>
        <w:spacing w:after="0" w:line="39" w:lineRule="exact"/>
        <w:rPr>
          <w:sz w:val="20"/>
          <w:szCs w:val="20"/>
          <w:color w:val="auto"/>
        </w:rPr>
      </w:pPr>
    </w:p>
    <w:p>
      <w:pPr>
        <w:ind w:left="440" w:hanging="324"/>
        <w:spacing w:after="0"/>
        <w:tabs>
          <w:tab w:leader="none" w:pos="4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based on an U.S. Treasury zero-coupon issue with a term approximating the estimated expected life as of the grant date;</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dividend yield based on historical data;</w:t>
      </w:r>
    </w:p>
    <w:p>
      <w:pPr>
        <w:spacing w:after="0" w:line="90" w:lineRule="exact"/>
        <w:rPr>
          <w:rFonts w:ascii="Times New Roman" w:cs="Times New Roman" w:eastAsia="Times New Roman" w:hAnsi="Times New Roman"/>
          <w:sz w:val="18"/>
          <w:szCs w:val="18"/>
          <w:color w:val="auto"/>
        </w:rPr>
      </w:pPr>
    </w:p>
    <w:p>
      <w:pPr>
        <w:ind w:left="440" w:right="240" w:hanging="324"/>
        <w:spacing w:after="0" w:line="275" w:lineRule="auto"/>
        <w:tabs>
          <w:tab w:leader="none" w:pos="4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factors of the expected market price of our common stock based on historical volatility of our common stock primarily over approximately six years from the date of grant; and</w:t>
      </w:r>
    </w:p>
    <w:p>
      <w:pPr>
        <w:spacing w:after="0" w:line="38"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weighted-average expected life of the options based on the historical exercise behavior of these employees and outside director, if applicable.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these granted stock options:</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66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2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2011</w:t>
            </w:r>
          </w:p>
        </w:tc>
        <w:tc>
          <w:tcPr>
            <w:tcW w:w="2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2010</w:t>
            </w:r>
          </w:p>
        </w:tc>
      </w:tr>
      <w:tr>
        <w:trPr>
          <w:trHeight w:val="21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risk-free interest rate</w:t>
            </w:r>
          </w:p>
        </w:tc>
        <w:tc>
          <w:tcPr>
            <w:tcW w:w="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N/A</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1.21%</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N/A</w:t>
            </w: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expected volatility</w:t>
            </w:r>
          </w:p>
        </w:tc>
        <w:tc>
          <w:tcPr>
            <w:tcW w:w="1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N/A</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48.59%</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Total weighted-average expected forfeiture rate</w:t>
            </w: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N/A</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2.97%</w:t>
            </w:r>
          </w:p>
        </w:tc>
        <w:tc>
          <w:tcPr>
            <w:tcW w:w="280" w:type="dxa"/>
            <w:vAlign w:val="bottom"/>
          </w:tcPr>
          <w:p>
            <w:pPr>
              <w:spacing w:after="0"/>
              <w:rPr>
                <w:sz w:val="18"/>
                <w:szCs w:val="18"/>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expected life (years)</w:t>
            </w:r>
          </w:p>
        </w:tc>
        <w:tc>
          <w:tcPr>
            <w:tcW w:w="1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N/A</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5.90</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Total weighted-average remaining vesting period in years (1)</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3.38</w:t>
            </w:r>
          </w:p>
        </w:tc>
        <w:tc>
          <w:tcPr>
            <w:tcW w:w="2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4.30</w:t>
            </w:r>
          </w:p>
        </w:tc>
        <w:tc>
          <w:tcPr>
            <w:tcW w:w="2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4.57</w:t>
            </w: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fair value of options granted</w:t>
            </w:r>
          </w:p>
        </w:tc>
        <w:tc>
          <w:tcPr>
            <w:tcW w:w="1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N/A</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$4,064,000</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expense—Cost of sales (1)</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$278,000</w:t>
            </w:r>
          </w:p>
        </w:tc>
        <w:tc>
          <w:tcPr>
            <w:tcW w:w="2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$60,000</w:t>
            </w:r>
          </w:p>
        </w:tc>
        <w:tc>
          <w:tcPr>
            <w:tcW w:w="2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$42,000</w:t>
            </w: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expense—SG&amp;A (1)</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$1,374,000</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$1,039,000</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$963,000</w:t>
            </w: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(1)</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$(603,000)</w:t>
            </w:r>
          </w:p>
        </w:tc>
        <w:tc>
          <w:tcPr>
            <w:tcW w:w="28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$(390,000)</w:t>
            </w:r>
          </w:p>
        </w:tc>
        <w:tc>
          <w:tcPr>
            <w:tcW w:w="28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$(402,000)</w:t>
            </w:r>
          </w:p>
        </w:tc>
      </w:tr>
    </w:tbl>
    <w:p>
      <w:pPr>
        <w:spacing w:after="0" w:line="17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w:t>
        <w:tab/>
        <w:t>Information relates to stock options granted since 2006.</w:t>
      </w:r>
    </w:p>
    <w:p>
      <w:pPr>
        <w:spacing w:after="0" w:line="171"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At December 31, 2012, the total stock-based compensation expense not yet recognized is $6,265,000 relating to non-vested stock options, which we will be amortizing (subject to adjustments for forfeitures) through the respective remaining vesting periods.</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360"/>
          </w:cols>
          <w:pgMar w:left="240" w:top="455" w:right="29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Stockholders’ Equity (continued)</w:t>
      </w:r>
    </w:p>
    <w:p>
      <w:pPr>
        <w:spacing w:after="0" w:line="158"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6"/>
          <w:szCs w:val="16"/>
          <w:b w:val="1"/>
          <w:bCs w:val="1"/>
          <w:color w:val="auto"/>
        </w:rPr>
        <w:t>Qualified Stock Option Plans—</w:t>
      </w:r>
      <w:r>
        <w:rPr>
          <w:rFonts w:ascii="Times New Roman" w:cs="Times New Roman" w:eastAsia="Times New Roman" w:hAnsi="Times New Roman"/>
          <w:sz w:val="16"/>
          <w:szCs w:val="16"/>
          <w:color w:val="auto"/>
        </w:rPr>
        <w:t>At December 31, 2012, we have options outstanding under a 1998 Stock Option Plan (“1998 Plan”) and the 2008 Plan 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discussed above. The 1998 Plan has expired, and accordingly, no additional options may be granted from these plans. Options granted prior to the expiration of this plan continue to remain valid thereafter in accordance with their terms. The exercise price of the outstanding options granted under the 1998 and 2008 Plans was equal to the market value of our common stock at the date of grant. The following information relates to our qualified stock option plans:</w:t>
      </w:r>
    </w:p>
    <w:p>
      <w:pPr>
        <w:spacing w:after="0" w:line="140"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860" w:type="dxa"/>
            <w:vAlign w:val="bottom"/>
            <w:gridSpan w:val="8"/>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December 31, 2012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1080" w:type="dxa"/>
            <w:vAlign w:val="bottom"/>
            <w:tcBorders>
              <w:top w:val="single" w:sz="8" w:color="auto"/>
            </w:tcBorders>
            <w:gridSpan w:val="3"/>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2008 Plan</w:t>
            </w: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8"/>
              </w:rPr>
              <w:t>1998 Plan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Maximum number of securities for issuance</w:t>
            </w: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1,000,000</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N/A</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Number of awards available to be granted</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349,905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qualified options outstanding</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467,915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Number of qualified options exercisable</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143,040</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11,000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10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2012</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gridSpan w:val="4"/>
          </w:tcPr>
          <w:p>
            <w:pPr>
              <w:ind w:left="80"/>
              <w:spacing w:after="0" w:line="125" w:lineRule="exact"/>
              <w:rPr>
                <w:sz w:val="20"/>
                <w:szCs w:val="20"/>
                <w:color w:val="auto"/>
              </w:rPr>
            </w:pPr>
            <w:r>
              <w:rPr>
                <w:rFonts w:ascii="Times New Roman" w:cs="Times New Roman" w:eastAsia="Times New Roman" w:hAnsi="Times New Roman"/>
                <w:sz w:val="14"/>
                <w:szCs w:val="14"/>
                <w:b w:val="1"/>
                <w:bCs w:val="1"/>
                <w:color w:val="auto"/>
                <w:w w:val="93"/>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0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516,330</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8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(31,880)</w:t>
            </w:r>
          </w:p>
        </w:tc>
        <w:tc>
          <w:tcPr>
            <w:tcW w:w="320" w:type="dxa"/>
            <w:vAlign w:val="bottom"/>
            <w:shd w:val="clear" w:color="auto" w:fill="CCEEFF"/>
          </w:tcPr>
          <w:p>
            <w:pPr>
              <w:spacing w:after="0"/>
              <w:rPr>
                <w:sz w:val="18"/>
                <w:szCs w:val="18"/>
                <w:color w:val="auto"/>
              </w:rPr>
            </w:pPr>
          </w:p>
        </w:tc>
        <w:tc>
          <w:tcPr>
            <w:tcW w:w="1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Cancelled, forfeited or expired</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(5,535)</w:t>
            </w:r>
          </w:p>
        </w:tc>
        <w:tc>
          <w:tcPr>
            <w:tcW w:w="320" w:type="dxa"/>
            <w:vAlign w:val="bottom"/>
          </w:tcPr>
          <w:p>
            <w:pPr>
              <w:spacing w:after="0"/>
              <w:rPr>
                <w:sz w:val="19"/>
                <w:szCs w:val="19"/>
                <w:color w:val="auto"/>
              </w:rPr>
            </w:pPr>
          </w:p>
        </w:tc>
        <w:tc>
          <w:tcPr>
            <w:tcW w:w="1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478,915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Exercisable at end of year</w:t>
            </w: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15.73</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gridSpan w:val="2"/>
            <w:vMerge w:val="continue"/>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154,040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gridSpan w:val="3"/>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64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2011</w:t>
            </w:r>
          </w:p>
        </w:tc>
        <w:tc>
          <w:tcPr>
            <w:tcW w:w="1120" w:type="dxa"/>
            <w:vAlign w:val="bottom"/>
            <w:gridSpan w:val="2"/>
          </w:tcPr>
          <w:p>
            <w:pPr>
              <w:jc w:val="center"/>
              <w:ind w:left="379"/>
              <w:spacing w:after="0"/>
              <w:rPr>
                <w:sz w:val="20"/>
                <w:szCs w:val="20"/>
                <w:color w:val="auto"/>
              </w:rPr>
            </w:pPr>
            <w:r>
              <w:rPr>
                <w:rFonts w:ascii="Times New Roman" w:cs="Times New Roman" w:eastAsia="Times New Roman" w:hAnsi="Times New Roman"/>
                <w:sz w:val="14"/>
                <w:szCs w:val="14"/>
                <w:b w:val="1"/>
                <w:bCs w:val="1"/>
                <w:color w:val="auto"/>
                <w:w w:val="92"/>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fair value per option granted during year</w:t>
            </w:r>
          </w:p>
        </w:tc>
        <w:tc>
          <w:tcPr>
            <w:tcW w:w="68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N/A</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4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intrinsic value of options exercised during the year</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895,000</w:t>
            </w:r>
          </w:p>
        </w:tc>
        <w:tc>
          <w:tcPr>
            <w:tcW w:w="5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gridSpan w:val="2"/>
            <w:vMerge w:val="restart"/>
          </w:tcPr>
          <w:p>
            <w:pPr>
              <w:jc w:val="center"/>
              <w:ind w:left="379"/>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441,000</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3,294,000</w:t>
            </w:r>
          </w:p>
        </w:tc>
        <w:tc>
          <w:tcPr>
            <w:tcW w:w="1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fair value of options vested during the year</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861,000</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208,000</w:t>
            </w:r>
          </w:p>
        </w:tc>
        <w:tc>
          <w:tcPr>
            <w:tcW w:w="1120" w:type="dxa"/>
            <w:vAlign w:val="bottom"/>
            <w:gridSpan w:val="2"/>
            <w:shd w:val="clear" w:color="auto" w:fill="CCEEFF"/>
          </w:tcPr>
          <w:p>
            <w:pPr>
              <w:jc w:val="center"/>
              <w:ind w:left="379"/>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214,000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qualified stock options outstanding and exercisable at December 31, 2012:</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Stock Options Outstanding</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0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3"/>
              </w:rPr>
              <w:t>Weighted-</w:t>
            </w: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Remaining</w:t>
            </w:r>
          </w:p>
        </w:tc>
        <w:tc>
          <w:tcPr>
            <w:tcW w:w="82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3"/>
              </w:rPr>
              <w:t>Contractual</w:t>
            </w:r>
          </w:p>
        </w:tc>
        <w:tc>
          <w:tcPr>
            <w:tcW w:w="820" w:type="dxa"/>
            <w:vAlign w:val="bottom"/>
          </w:tcPr>
          <w:p>
            <w:pPr>
              <w:spacing w:after="0"/>
              <w:rPr>
                <w:sz w:val="12"/>
                <w:szCs w:val="12"/>
                <w:color w:val="auto"/>
              </w:rPr>
            </w:pPr>
          </w:p>
        </w:tc>
        <w:tc>
          <w:tcPr>
            <w:tcW w:w="1420" w:type="dxa"/>
            <w:vAlign w:val="bottom"/>
            <w:gridSpan w:val="3"/>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49"/>
        </w:trPr>
        <w:tc>
          <w:tcPr>
            <w:tcW w:w="5040" w:type="dxa"/>
            <w:vAlign w:val="bottom"/>
            <w:gridSpan w:val="4"/>
            <w:vMerge w:val="restart"/>
          </w:tcPr>
          <w:p>
            <w:pPr>
              <w:jc w:val="right"/>
              <w:ind w:right="4160"/>
              <w:spacing w:after="0"/>
              <w:rPr>
                <w:sz w:val="20"/>
                <w:szCs w:val="20"/>
                <w:color w:val="auto"/>
              </w:rPr>
            </w:pPr>
            <w:r>
              <w:rPr>
                <w:rFonts w:ascii="Times New Roman" w:cs="Times New Roman" w:eastAsia="Times New Roman" w:hAnsi="Times New Roman"/>
                <w:sz w:val="14"/>
                <w:szCs w:val="14"/>
                <w:b w:val="1"/>
                <w:bCs w:val="1"/>
                <w:color w:val="auto"/>
                <w:w w:val="94"/>
              </w:rPr>
              <w:t>Exercise Prices</w:t>
            </w:r>
          </w:p>
        </w:tc>
        <w:tc>
          <w:tcPr>
            <w:tcW w:w="1560" w:type="dxa"/>
            <w:vAlign w:val="bottom"/>
            <w:gridSpan w:val="2"/>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1"/>
              </w:rPr>
              <w:t>Life</w:t>
            </w:r>
          </w:p>
        </w:tc>
        <w:tc>
          <w:tcPr>
            <w:tcW w:w="820" w:type="dxa"/>
            <w:vAlign w:val="bottom"/>
          </w:tcPr>
          <w:p>
            <w:pPr>
              <w:spacing w:after="0"/>
              <w:rPr>
                <w:sz w:val="12"/>
                <w:szCs w:val="12"/>
                <w:color w:val="auto"/>
              </w:rPr>
            </w:pPr>
          </w:p>
        </w:tc>
        <w:tc>
          <w:tcPr>
            <w:tcW w:w="1420" w:type="dxa"/>
            <w:vAlign w:val="bottom"/>
            <w:gridSpan w:val="3"/>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 Shares</w:t>
            </w:r>
          </w:p>
        </w:tc>
        <w:tc>
          <w:tcPr>
            <w:tcW w:w="0" w:type="dxa"/>
            <w:vAlign w:val="bottom"/>
          </w:tcPr>
          <w:p>
            <w:pPr>
              <w:spacing w:after="0"/>
              <w:rPr>
                <w:sz w:val="1"/>
                <w:szCs w:val="1"/>
                <w:color w:val="auto"/>
              </w:rPr>
            </w:pPr>
          </w:p>
        </w:tc>
      </w:tr>
      <w:tr>
        <w:trPr>
          <w:trHeight w:val="172"/>
        </w:trPr>
        <w:tc>
          <w:tcPr>
            <w:tcW w:w="5040" w:type="dxa"/>
            <w:vAlign w:val="bottom"/>
            <w:gridSpan w:val="4"/>
            <w:vMerge w:val="continue"/>
          </w:tcPr>
          <w:p>
            <w:pPr>
              <w:spacing w:after="0"/>
              <w:rPr>
                <w:sz w:val="14"/>
                <w:szCs w:val="14"/>
                <w:color w:val="auto"/>
              </w:rPr>
            </w:pPr>
          </w:p>
        </w:tc>
        <w:tc>
          <w:tcPr>
            <w:tcW w:w="1560" w:type="dxa"/>
            <w:vAlign w:val="bottom"/>
            <w:gridSpan w:val="2"/>
          </w:tcPr>
          <w:p>
            <w:pPr>
              <w:jc w:val="center"/>
              <w:ind w:right="840"/>
              <w:spacing w:after="0" w:line="152" w:lineRule="exact"/>
              <w:rPr>
                <w:sz w:val="20"/>
                <w:szCs w:val="20"/>
                <w:color w:val="auto"/>
              </w:rPr>
            </w:pPr>
            <w:r>
              <w:rPr>
                <w:rFonts w:ascii="Times New Roman" w:cs="Times New Roman" w:eastAsia="Times New Roman" w:hAnsi="Times New Roman"/>
                <w:sz w:val="14"/>
                <w:szCs w:val="14"/>
                <w:b w:val="1"/>
                <w:bCs w:val="1"/>
                <w:color w:val="auto"/>
                <w:w w:val="96"/>
              </w:rPr>
              <w:t>Outstanding</w:t>
            </w:r>
          </w:p>
        </w:tc>
        <w:tc>
          <w:tcPr>
            <w:tcW w:w="70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1"/>
              </w:rPr>
              <w:t>in Years</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920"/>
              <w:spacing w:after="0" w:line="152" w:lineRule="exact"/>
              <w:rPr>
                <w:sz w:val="20"/>
                <w:szCs w:val="20"/>
                <w:color w:val="auto"/>
              </w:rPr>
            </w:pPr>
            <w:r>
              <w:rPr>
                <w:rFonts w:ascii="Times New Roman" w:cs="Times New Roman" w:eastAsia="Times New Roman" w:hAnsi="Times New Roman"/>
                <w:sz w:val="14"/>
                <w:szCs w:val="14"/>
                <w:b w:val="1"/>
                <w:bCs w:val="1"/>
                <w:color w:val="auto"/>
                <w:w w:val="96"/>
              </w:rPr>
              <w:t>Price</w:t>
            </w:r>
          </w:p>
        </w:tc>
        <w:tc>
          <w:tcPr>
            <w:tcW w:w="960" w:type="dxa"/>
            <w:vAlign w:val="bottom"/>
            <w:gridSpan w:val="3"/>
          </w:tcPr>
          <w:p>
            <w:pPr>
              <w:jc w:val="center"/>
              <w:ind w:right="80"/>
              <w:spacing w:after="0" w:line="152" w:lineRule="exact"/>
              <w:rPr>
                <w:sz w:val="20"/>
                <w:szCs w:val="20"/>
                <w:color w:val="auto"/>
              </w:rPr>
            </w:pPr>
            <w:r>
              <w:rPr>
                <w:rFonts w:ascii="Times New Roman" w:cs="Times New Roman" w:eastAsia="Times New Roman" w:hAnsi="Times New Roman"/>
                <w:sz w:val="14"/>
                <w:szCs w:val="14"/>
                <w:b w:val="1"/>
                <w:bCs w:val="1"/>
                <w:color w:val="auto"/>
                <w:w w:val="96"/>
              </w:rPr>
              <w:t>Outstanding</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$5.10</w:t>
            </w:r>
          </w:p>
        </w:tc>
        <w:tc>
          <w:tcPr>
            <w:tcW w:w="180" w:type="dxa"/>
            <w:vAlign w:val="bottom"/>
            <w:tcBorders>
              <w:top w:val="single" w:sz="8" w:color="auto"/>
            </w:tcBorders>
            <w:shd w:val="clear" w:color="auto" w:fill="CCEEFF"/>
          </w:tcPr>
          <w:p>
            <w:pPr>
              <w:spacing w:after="0"/>
              <w:rPr>
                <w:sz w:val="17"/>
                <w:szCs w:val="17"/>
                <w:color w:val="auto"/>
              </w:rPr>
            </w:pPr>
          </w:p>
        </w:tc>
        <w:tc>
          <w:tcPr>
            <w:tcW w:w="4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11,000</w:t>
            </w:r>
          </w:p>
        </w:tc>
        <w:tc>
          <w:tcPr>
            <w:tcW w:w="8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2.92</w:t>
            </w:r>
          </w:p>
        </w:tc>
        <w:tc>
          <w:tcPr>
            <w:tcW w:w="8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5.10</w:t>
            </w:r>
          </w:p>
        </w:tc>
        <w:tc>
          <w:tcPr>
            <w:tcW w:w="8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333,000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$7.86 —</w:t>
            </w: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$8.17</w:t>
            </w:r>
          </w:p>
        </w:tc>
        <w:tc>
          <w:tcPr>
            <w:tcW w:w="15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42,085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5.92</w:t>
            </w:r>
          </w:p>
        </w:tc>
        <w:tc>
          <w:tcPr>
            <w:tcW w:w="94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7.87</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1,160,000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$9.69 —</w:t>
            </w:r>
          </w:p>
        </w:tc>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$9.97</w:t>
            </w:r>
          </w:p>
        </w:tc>
        <w:tc>
          <w:tcPr>
            <w:tcW w:w="156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176,830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5.83</w:t>
            </w:r>
          </w:p>
        </w:tc>
        <w:tc>
          <w:tcPr>
            <w:tcW w:w="9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9.69</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4,549,000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$29.99 —</w:t>
            </w:r>
          </w:p>
        </w:tc>
        <w:tc>
          <w:tcPr>
            <w:tcW w:w="4300" w:type="dxa"/>
            <w:vAlign w:val="bottom"/>
            <w:gridSpan w:val="2"/>
          </w:tcPr>
          <w:p>
            <w:pPr>
              <w:jc w:val="right"/>
              <w:ind w:right="3720"/>
              <w:spacing w:after="0"/>
              <w:rPr>
                <w:sz w:val="20"/>
                <w:szCs w:val="20"/>
                <w:color w:val="auto"/>
              </w:rPr>
            </w:pPr>
            <w:r>
              <w:rPr>
                <w:rFonts w:ascii="Times New Roman" w:cs="Times New Roman" w:eastAsia="Times New Roman" w:hAnsi="Times New Roman"/>
                <w:sz w:val="18"/>
                <w:szCs w:val="18"/>
                <w:b w:val="1"/>
                <w:bCs w:val="1"/>
                <w:color w:val="auto"/>
              </w:rPr>
              <w:t>$34.50</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249,000</w:t>
            </w:r>
          </w:p>
        </w:tc>
        <w:tc>
          <w:tcPr>
            <w:tcW w:w="8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8.90</w:t>
            </w:r>
          </w:p>
        </w:tc>
        <w:tc>
          <w:tcPr>
            <w:tcW w:w="94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34.41</w:t>
            </w:r>
          </w:p>
        </w:tc>
        <w:tc>
          <w:tcPr>
            <w:tcW w:w="8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252,000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$5.10 —</w:t>
            </w:r>
          </w:p>
        </w:tc>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$34.50</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478,915</w:t>
            </w: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7.37</w:t>
            </w:r>
          </w:p>
        </w:tc>
        <w:tc>
          <w:tcPr>
            <w:tcW w:w="9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22.28</w:t>
            </w:r>
          </w:p>
        </w:tc>
        <w:tc>
          <w:tcPr>
            <w:tcW w:w="8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6,294,000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F-37</w:t>
            </w: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455" w:right="37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Stockholders’ Equity (continued)</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Stock Options Exercisable</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Weighted-</w:t>
            </w: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760" w:type="dxa"/>
            <w:vAlign w:val="bottom"/>
          </w:tcPr>
          <w:p>
            <w:pPr>
              <w:spacing w:after="0"/>
              <w:rPr>
                <w:sz w:val="12"/>
                <w:szCs w:val="12"/>
                <w:color w:val="auto"/>
              </w:rPr>
            </w:pPr>
          </w:p>
        </w:tc>
        <w:tc>
          <w:tcPr>
            <w:tcW w:w="1220" w:type="dxa"/>
            <w:vAlign w:val="bottom"/>
            <w:gridSpan w:val="3"/>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Weighted-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3"/>
              </w:rPr>
              <w:t>Contractual</w:t>
            </w:r>
          </w:p>
        </w:tc>
        <w:tc>
          <w:tcPr>
            <w:tcW w:w="760" w:type="dxa"/>
            <w:vAlign w:val="bottom"/>
          </w:tcPr>
          <w:p>
            <w:pPr>
              <w:spacing w:after="0"/>
              <w:rPr>
                <w:sz w:val="12"/>
                <w:szCs w:val="12"/>
                <w:color w:val="auto"/>
              </w:rPr>
            </w:pPr>
          </w:p>
        </w:tc>
        <w:tc>
          <w:tcPr>
            <w:tcW w:w="1220" w:type="dxa"/>
            <w:vAlign w:val="bottom"/>
            <w:gridSpan w:val="3"/>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5360" w:type="dxa"/>
            <w:vAlign w:val="bottom"/>
            <w:gridSpan w:val="4"/>
            <w:vMerge w:val="restart"/>
          </w:tcPr>
          <w:p>
            <w:pPr>
              <w:jc w:val="right"/>
              <w:ind w:right="4480"/>
              <w:spacing w:after="0"/>
              <w:rPr>
                <w:sz w:val="20"/>
                <w:szCs w:val="20"/>
                <w:color w:val="auto"/>
              </w:rPr>
            </w:pPr>
            <w:r>
              <w:rPr>
                <w:rFonts w:ascii="Times New Roman" w:cs="Times New Roman" w:eastAsia="Times New Roman" w:hAnsi="Times New Roman"/>
                <w:sz w:val="14"/>
                <w:szCs w:val="14"/>
                <w:b w:val="1"/>
                <w:bCs w:val="1"/>
                <w:color w:val="auto"/>
                <w:w w:val="94"/>
              </w:rPr>
              <w:t>Exercise Prices</w:t>
            </w:r>
          </w:p>
        </w:tc>
        <w:tc>
          <w:tcPr>
            <w:tcW w:w="1460" w:type="dxa"/>
            <w:vAlign w:val="bottom"/>
            <w:gridSpan w:val="2"/>
          </w:tcPr>
          <w:p>
            <w:pPr>
              <w:jc w:val="right"/>
              <w:ind w:right="9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760" w:type="dxa"/>
            <w:vAlign w:val="bottom"/>
          </w:tcPr>
          <w:p>
            <w:pPr>
              <w:spacing w:after="0"/>
              <w:rPr>
                <w:sz w:val="12"/>
                <w:szCs w:val="12"/>
                <w:color w:val="auto"/>
              </w:rPr>
            </w:pPr>
          </w:p>
        </w:tc>
        <w:tc>
          <w:tcPr>
            <w:tcW w:w="1220" w:type="dxa"/>
            <w:vAlign w:val="bottom"/>
            <w:gridSpan w:val="3"/>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0" w:type="dxa"/>
            <w:vAlign w:val="bottom"/>
          </w:tcPr>
          <w:p>
            <w:pPr>
              <w:spacing w:after="0"/>
              <w:rPr>
                <w:sz w:val="1"/>
                <w:szCs w:val="1"/>
                <w:color w:val="auto"/>
              </w:rPr>
            </w:pPr>
          </w:p>
        </w:tc>
      </w:tr>
      <w:tr>
        <w:trPr>
          <w:trHeight w:val="172"/>
        </w:trPr>
        <w:tc>
          <w:tcPr>
            <w:tcW w:w="5360" w:type="dxa"/>
            <w:vAlign w:val="bottom"/>
            <w:gridSpan w:val="4"/>
            <w:vMerge w:val="continue"/>
          </w:tcPr>
          <w:p>
            <w:pPr>
              <w:spacing w:after="0"/>
              <w:rPr>
                <w:sz w:val="14"/>
                <w:szCs w:val="14"/>
                <w:color w:val="auto"/>
              </w:rPr>
            </w:pPr>
          </w:p>
        </w:tc>
        <w:tc>
          <w:tcPr>
            <w:tcW w:w="1460" w:type="dxa"/>
            <w:vAlign w:val="bottom"/>
            <w:gridSpan w:val="2"/>
          </w:tcPr>
          <w:p>
            <w:pPr>
              <w:jc w:val="right"/>
              <w:ind w:right="740"/>
              <w:spacing w:after="0" w:line="152" w:lineRule="exact"/>
              <w:rPr>
                <w:sz w:val="20"/>
                <w:szCs w:val="20"/>
                <w:color w:val="auto"/>
              </w:rPr>
            </w:pPr>
            <w:r>
              <w:rPr>
                <w:rFonts w:ascii="Times New Roman" w:cs="Times New Roman" w:eastAsia="Times New Roman" w:hAnsi="Times New Roman"/>
                <w:sz w:val="14"/>
                <w:szCs w:val="14"/>
                <w:b w:val="1"/>
                <w:bCs w:val="1"/>
                <w:color w:val="auto"/>
                <w:w w:val="93"/>
              </w:rPr>
              <w:t>Outstanding</w:t>
            </w:r>
          </w:p>
        </w:tc>
        <w:tc>
          <w:tcPr>
            <w:tcW w:w="70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5"/>
              </w:rPr>
              <w:t>in Years</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760"/>
              <w:spacing w:after="0" w:line="152" w:lineRule="exact"/>
              <w:rPr>
                <w:sz w:val="20"/>
                <w:szCs w:val="20"/>
                <w:color w:val="auto"/>
              </w:rPr>
            </w:pPr>
            <w:r>
              <w:rPr>
                <w:rFonts w:ascii="Times New Roman" w:cs="Times New Roman" w:eastAsia="Times New Roman" w:hAnsi="Times New Roman"/>
                <w:sz w:val="14"/>
                <w:szCs w:val="14"/>
                <w:b w:val="1"/>
                <w:bCs w:val="1"/>
                <w:color w:val="auto"/>
                <w:w w:val="96"/>
              </w:rPr>
              <w:t>Price</w:t>
            </w:r>
          </w:p>
        </w:tc>
        <w:tc>
          <w:tcPr>
            <w:tcW w:w="100" w:type="dxa"/>
            <w:vAlign w:val="bottom"/>
          </w:tcPr>
          <w:p>
            <w:pPr>
              <w:spacing w:after="0"/>
              <w:rPr>
                <w:sz w:val="14"/>
                <w:szCs w:val="14"/>
                <w:color w:val="auto"/>
              </w:rPr>
            </w:pPr>
          </w:p>
        </w:tc>
        <w:tc>
          <w:tcPr>
            <w:tcW w:w="900" w:type="dxa"/>
            <w:vAlign w:val="bottom"/>
            <w:gridSpan w:val="3"/>
          </w:tcPr>
          <w:p>
            <w:pPr>
              <w:jc w:val="center"/>
              <w:ind w:right="100"/>
              <w:spacing w:after="0" w:line="152" w:lineRule="exact"/>
              <w:rPr>
                <w:sz w:val="20"/>
                <w:szCs w:val="20"/>
                <w:color w:val="auto"/>
              </w:rPr>
            </w:pPr>
            <w:r>
              <w:rPr>
                <w:rFonts w:ascii="Times New Roman" w:cs="Times New Roman" w:eastAsia="Times New Roman" w:hAnsi="Times New Roman"/>
                <w:sz w:val="14"/>
                <w:szCs w:val="14"/>
                <w:b w:val="1"/>
                <w:bCs w:val="1"/>
                <w:color w:val="auto"/>
                <w:w w:val="96"/>
              </w:rPr>
              <w:t>Outstanding</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$5.10</w:t>
            </w:r>
          </w:p>
        </w:tc>
        <w:tc>
          <w:tcPr>
            <w:tcW w:w="180" w:type="dxa"/>
            <w:vAlign w:val="bottom"/>
            <w:tcBorders>
              <w:top w:val="single" w:sz="8" w:color="auto"/>
            </w:tcBorders>
            <w:shd w:val="clear" w:color="auto" w:fill="CCEEFF"/>
          </w:tcPr>
          <w:p>
            <w:pPr>
              <w:spacing w:after="0"/>
              <w:rPr>
                <w:sz w:val="17"/>
                <w:szCs w:val="17"/>
                <w:color w:val="auto"/>
              </w:rPr>
            </w:pPr>
          </w:p>
        </w:tc>
        <w:tc>
          <w:tcPr>
            <w:tcW w:w="44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11,000</w:t>
            </w:r>
          </w:p>
        </w:tc>
        <w:tc>
          <w:tcPr>
            <w:tcW w:w="7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2.92</w:t>
            </w:r>
          </w:p>
        </w:tc>
        <w:tc>
          <w:tcPr>
            <w:tcW w:w="7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5.10</w:t>
            </w: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333,000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$7.86 —</w:t>
            </w: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$8.17</w:t>
            </w:r>
          </w:p>
        </w:tc>
        <w:tc>
          <w:tcPr>
            <w:tcW w:w="14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19,305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7.87</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$9.69 —</w:t>
            </w: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$9.97</w:t>
            </w:r>
          </w:p>
        </w:tc>
        <w:tc>
          <w:tcPr>
            <w:tcW w:w="14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82,650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5.83</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2,126,000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$29.99 —</w:t>
            </w:r>
          </w:p>
        </w:tc>
        <w:tc>
          <w:tcPr>
            <w:tcW w:w="4620" w:type="dxa"/>
            <w:vAlign w:val="bottom"/>
            <w:gridSpan w:val="2"/>
          </w:tcPr>
          <w:p>
            <w:pPr>
              <w:jc w:val="right"/>
              <w:ind w:right="4040"/>
              <w:spacing w:after="0"/>
              <w:rPr>
                <w:sz w:val="20"/>
                <w:szCs w:val="20"/>
                <w:color w:val="auto"/>
              </w:rPr>
            </w:pPr>
            <w:r>
              <w:rPr>
                <w:rFonts w:ascii="Times New Roman" w:cs="Times New Roman" w:eastAsia="Times New Roman" w:hAnsi="Times New Roman"/>
                <w:sz w:val="18"/>
                <w:szCs w:val="18"/>
                <w:b w:val="1"/>
                <w:bCs w:val="1"/>
                <w:color w:val="auto"/>
              </w:rPr>
              <w:t>$34.50</w:t>
            </w:r>
          </w:p>
        </w:tc>
        <w:tc>
          <w:tcPr>
            <w:tcW w:w="14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41,085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34.41</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$5.10 —</w:t>
            </w: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$34.50</w:t>
            </w:r>
          </w:p>
        </w:tc>
        <w:tc>
          <w:tcPr>
            <w:tcW w:w="14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154,040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6.45</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15.73</w:t>
            </w:r>
          </w:p>
        </w:tc>
        <w:tc>
          <w:tcPr>
            <w:tcW w:w="6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3,033,000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Non-Qualified Stock Option Plans—</w:t>
      </w:r>
      <w:r>
        <w:rPr>
          <w:rFonts w:ascii="Times New Roman" w:cs="Times New Roman" w:eastAsia="Times New Roman" w:hAnsi="Times New Roman"/>
          <w:sz w:val="18"/>
          <w:szCs w:val="18"/>
          <w:color w:val="auto"/>
        </w:rPr>
        <w:t>Our board of directors approved the grants of non-qualified stock options to our outside directors and certain key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including the grant of 450,000 shares of non-qualified stock options (the “2006 Options”) to certain Climate Control Business employees, which were subject to shareholders’ approval. The exercise price of the 2006 Options is $8.01 per share, which is based on the market value of our common stock at the date the board of directors granted the shares (June 19, 2006). The fair value for the 2006 Options was estimated, using an option pricing model, as of the date we received shareholders’ approval, which occurred during our 2007 annual shareholders’ meeting on June 14, 2007. For accounting purposes, the grant date and service inception date is June 14, 2007. Generally, the exercise prices of our non-qualified stock options are based on the market value of our common stock at the dates of grants.</w:t>
      </w:r>
    </w:p>
    <w:p>
      <w:pPr>
        <w:spacing w:after="0" w:line="13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addition to the 2008 Plan as discussed above, we have an Outside Directors Stock Option Plan (the “Outside Director Plan”). The Outside Director Plan authorizes the grant of non-qualified stock options to each member of our board of directors who is not an officer or employee of LSB or its subsidiaries. The maximum number of options that may be issued under the Outside Director Plan is 400,000 of which 280,000 were available for grant at December 31, 2012. At December 31, 2012, there were 38,050 options outstanding related to the 2008 Plan, of which 20,275 are exercisable, and no options outstanding related to the Outside Director Plan.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relates to our non-qualified stock option plans:</w:t>
      </w:r>
    </w:p>
    <w:p>
      <w:pPr>
        <w:spacing w:after="0" w:line="209"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3"/>
          </w:tcPr>
          <w:p>
            <w:pPr>
              <w:ind w:left="500"/>
              <w:spacing w:after="0" w:line="125" w:lineRule="exact"/>
              <w:rPr>
                <w:sz w:val="20"/>
                <w:szCs w:val="20"/>
                <w:color w:val="auto"/>
              </w:rPr>
            </w:pPr>
            <w:r>
              <w:rPr>
                <w:rFonts w:ascii="Times New Roman" w:cs="Times New Roman" w:eastAsia="Times New Roman" w:hAnsi="Times New Roman"/>
                <w:sz w:val="14"/>
                <w:szCs w:val="14"/>
                <w:b w:val="1"/>
                <w:bCs w:val="1"/>
                <w:color w:val="auto"/>
                <w:w w:val="93"/>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35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316,525</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35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4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(58,475)</w:t>
            </w:r>
          </w:p>
        </w:tc>
        <w:tc>
          <w:tcPr>
            <w:tcW w:w="6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Surrendered, forfeited or expired</w:t>
            </w:r>
          </w:p>
        </w:tc>
        <w:tc>
          <w:tcPr>
            <w:tcW w:w="3520" w:type="dxa"/>
            <w:vAlign w:val="bottom"/>
          </w:tcPr>
          <w:p>
            <w:pPr>
              <w:spacing w:after="0"/>
              <w:rPr>
                <w:sz w:val="19"/>
                <w:szCs w:val="19"/>
                <w:color w:val="auto"/>
              </w:rPr>
            </w:pPr>
          </w:p>
        </w:tc>
        <w:tc>
          <w:tcPr>
            <w:tcW w:w="6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35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258,050</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Exercisable at end of year</w:t>
            </w:r>
          </w:p>
        </w:tc>
        <w:tc>
          <w:tcPr>
            <w:tcW w:w="4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8.32</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40" w:type="dxa"/>
            <w:vAlign w:val="bottom"/>
            <w:gridSpan w:val="2"/>
            <w:vMerge w:val="continue"/>
          </w:tcPr>
          <w:p>
            <w:pPr>
              <w:spacing w:after="0"/>
              <w:rPr>
                <w:sz w:val="18"/>
                <w:szCs w:val="18"/>
                <w:color w:val="auto"/>
              </w:rPr>
            </w:pPr>
          </w:p>
        </w:tc>
        <w:tc>
          <w:tcPr>
            <w:tcW w:w="352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60,275</w:t>
            </w:r>
          </w:p>
        </w:tc>
        <w:tc>
          <w:tcPr>
            <w:tcW w:w="8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240" w:type="dxa"/>
            <w:vAlign w:val="bottom"/>
            <w:gridSpan w:val="3"/>
          </w:tcPr>
          <w:p>
            <w:pPr>
              <w:jc w:val="right"/>
              <w:ind w:right="2980"/>
              <w:spacing w:after="0"/>
              <w:rPr>
                <w:sz w:val="20"/>
                <w:szCs w:val="20"/>
                <w:color w:val="auto"/>
              </w:rPr>
            </w:pPr>
            <w:r>
              <w:rPr>
                <w:rFonts w:ascii="Times New Roman" w:cs="Times New Roman" w:eastAsia="Times New Roman" w:hAnsi="Times New Roman"/>
                <w:sz w:val="18"/>
                <w:szCs w:val="18"/>
                <w:color w:val="auto"/>
              </w:rPr>
              <w:t>F-38</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Stockholders’ Equity (continued)</w:t>
      </w:r>
    </w:p>
    <w:p>
      <w:pPr>
        <w:spacing w:after="0" w:line="157"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5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2012</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2011</w:t>
            </w:r>
          </w:p>
        </w:tc>
        <w:tc>
          <w:tcPr>
            <w:tcW w:w="1120" w:type="dxa"/>
            <w:vAlign w:val="bottom"/>
            <w:gridSpan w:val="2"/>
          </w:tcPr>
          <w:p>
            <w:pPr>
              <w:jc w:val="center"/>
              <w:ind w:left="379"/>
              <w:spacing w:after="0"/>
              <w:rPr>
                <w:sz w:val="20"/>
                <w:szCs w:val="20"/>
                <w:color w:val="auto"/>
              </w:rPr>
            </w:pPr>
            <w:r>
              <w:rPr>
                <w:rFonts w:ascii="Times New Roman" w:cs="Times New Roman" w:eastAsia="Times New Roman" w:hAnsi="Times New Roman"/>
                <w:sz w:val="14"/>
                <w:szCs w:val="14"/>
                <w:b w:val="1"/>
                <w:bCs w:val="1"/>
                <w:color w:val="auto"/>
                <w:w w:val="92"/>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fair value per option granted during year</w:t>
            </w:r>
          </w:p>
        </w:tc>
        <w:tc>
          <w:tcPr>
            <w:tcW w:w="1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b w:val="1"/>
                <w:bCs w:val="1"/>
                <w:color w:val="auto"/>
              </w:rPr>
              <w:t>N/A</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4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intrinsic value of options exercised during the year</w:t>
            </w:r>
          </w:p>
        </w:tc>
        <w:tc>
          <w:tcPr>
            <w:tcW w:w="11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1,574,000</w:t>
            </w:r>
          </w:p>
        </w:tc>
        <w:tc>
          <w:tcPr>
            <w:tcW w:w="5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gridSpan w:val="2"/>
            <w:vMerge w:val="restart"/>
          </w:tcPr>
          <w:p>
            <w:pPr>
              <w:jc w:val="center"/>
              <w:ind w:left="379"/>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805,000</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2,110,000</w:t>
            </w:r>
          </w:p>
        </w:tc>
        <w:tc>
          <w:tcPr>
            <w:tcW w:w="1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fair value of options vested during the year</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731,000</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730,000</w:t>
            </w:r>
          </w:p>
        </w:tc>
        <w:tc>
          <w:tcPr>
            <w:tcW w:w="1120" w:type="dxa"/>
            <w:vAlign w:val="bottom"/>
            <w:gridSpan w:val="2"/>
            <w:shd w:val="clear" w:color="auto" w:fill="CCEEFF"/>
          </w:tcPr>
          <w:p>
            <w:pPr>
              <w:jc w:val="center"/>
              <w:ind w:left="379"/>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721,000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information about non-qualified stock options outstanding and exercisable at December 31, 2012:</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9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Stock Options Outstanding</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92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gridSpan w:val="2"/>
          </w:tcPr>
          <w:p>
            <w:pPr>
              <w:jc w:val="center"/>
              <w:ind w:right="40"/>
              <w:spacing w:after="0" w:line="125" w:lineRule="exact"/>
              <w:rPr>
                <w:sz w:val="20"/>
                <w:szCs w:val="20"/>
                <w:color w:val="auto"/>
              </w:rPr>
            </w:pPr>
            <w:r>
              <w:rPr>
                <w:rFonts w:ascii="Times New Roman" w:cs="Times New Roman" w:eastAsia="Times New Roman" w:hAnsi="Times New Roman"/>
                <w:sz w:val="14"/>
                <w:szCs w:val="14"/>
                <w:b w:val="1"/>
                <w:bCs w:val="1"/>
                <w:color w:val="auto"/>
                <w:w w:val="96"/>
              </w:rPr>
              <w:t>Weighted-</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50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Intrinsic</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Contractual</w:t>
            </w:r>
          </w:p>
        </w:tc>
        <w:tc>
          <w:tcPr>
            <w:tcW w:w="500" w:type="dxa"/>
            <w:vAlign w:val="bottom"/>
          </w:tcPr>
          <w:p>
            <w:pPr>
              <w:spacing w:after="0"/>
              <w:rPr>
                <w:sz w:val="12"/>
                <w:szCs w:val="12"/>
                <w:color w:val="auto"/>
              </w:rPr>
            </w:pPr>
          </w:p>
        </w:tc>
        <w:tc>
          <w:tcPr>
            <w:tcW w:w="114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5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Exercise Prices</w:t>
            </w:r>
          </w:p>
        </w:tc>
        <w:tc>
          <w:tcPr>
            <w:tcW w:w="128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7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Life in</w:t>
            </w:r>
          </w:p>
        </w:tc>
        <w:tc>
          <w:tcPr>
            <w:tcW w:w="500" w:type="dxa"/>
            <w:vAlign w:val="bottom"/>
          </w:tcPr>
          <w:p>
            <w:pPr>
              <w:spacing w:after="0"/>
              <w:rPr>
                <w:sz w:val="12"/>
                <w:szCs w:val="12"/>
                <w:color w:val="auto"/>
              </w:rPr>
            </w:pPr>
          </w:p>
        </w:tc>
        <w:tc>
          <w:tcPr>
            <w:tcW w:w="114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0" w:type="dxa"/>
            <w:vAlign w:val="bottom"/>
          </w:tcPr>
          <w:p>
            <w:pPr>
              <w:spacing w:after="0"/>
              <w:rPr>
                <w:sz w:val="1"/>
                <w:szCs w:val="1"/>
                <w:color w:val="auto"/>
              </w:rPr>
            </w:pPr>
          </w:p>
        </w:tc>
      </w:tr>
      <w:tr>
        <w:trPr>
          <w:trHeight w:val="172"/>
        </w:trPr>
        <w:tc>
          <w:tcPr>
            <w:tcW w:w="5920" w:type="dxa"/>
            <w:vAlign w:val="bottom"/>
            <w:gridSpan w:val="2"/>
            <w:vMerge w:val="continue"/>
          </w:tcPr>
          <w:p>
            <w:pPr>
              <w:spacing w:after="0"/>
              <w:rPr>
                <w:sz w:val="14"/>
                <w:szCs w:val="14"/>
                <w:color w:val="auto"/>
              </w:rPr>
            </w:pPr>
          </w:p>
        </w:tc>
        <w:tc>
          <w:tcPr>
            <w:tcW w:w="1280" w:type="dxa"/>
            <w:vAlign w:val="bottom"/>
            <w:gridSpan w:val="3"/>
          </w:tcPr>
          <w:p>
            <w:pPr>
              <w:jc w:val="center"/>
              <w:ind w:right="560"/>
              <w:spacing w:after="0" w:line="152" w:lineRule="exact"/>
              <w:rPr>
                <w:sz w:val="20"/>
                <w:szCs w:val="20"/>
                <w:color w:val="auto"/>
              </w:rPr>
            </w:pPr>
            <w:r>
              <w:rPr>
                <w:rFonts w:ascii="Times New Roman" w:cs="Times New Roman" w:eastAsia="Times New Roman" w:hAnsi="Times New Roman"/>
                <w:sz w:val="14"/>
                <w:szCs w:val="14"/>
                <w:b w:val="1"/>
                <w:bCs w:val="1"/>
                <w:color w:val="auto"/>
                <w:w w:val="96"/>
              </w:rPr>
              <w:t>Outstanding</w:t>
            </w:r>
          </w:p>
        </w:tc>
        <w:tc>
          <w:tcPr>
            <w:tcW w:w="760" w:type="dxa"/>
            <w:vAlign w:val="bottom"/>
            <w:gridSpan w:val="2"/>
          </w:tcPr>
          <w:p>
            <w:pPr>
              <w:jc w:val="center"/>
              <w:ind w:right="40"/>
              <w:spacing w:after="0" w:line="152" w:lineRule="exact"/>
              <w:rPr>
                <w:sz w:val="20"/>
                <w:szCs w:val="20"/>
                <w:color w:val="auto"/>
              </w:rPr>
            </w:pPr>
            <w:r>
              <w:rPr>
                <w:rFonts w:ascii="Times New Roman" w:cs="Times New Roman" w:eastAsia="Times New Roman" w:hAnsi="Times New Roman"/>
                <w:sz w:val="14"/>
                <w:szCs w:val="14"/>
                <w:b w:val="1"/>
                <w:bCs w:val="1"/>
                <w:color w:val="auto"/>
                <w:w w:val="91"/>
              </w:rPr>
              <w:t>Years</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680"/>
              <w:spacing w:after="0" w:line="152" w:lineRule="exact"/>
              <w:rPr>
                <w:sz w:val="20"/>
                <w:szCs w:val="20"/>
                <w:color w:val="auto"/>
              </w:rPr>
            </w:pPr>
            <w:r>
              <w:rPr>
                <w:rFonts w:ascii="Times New Roman" w:cs="Times New Roman" w:eastAsia="Times New Roman" w:hAnsi="Times New Roman"/>
                <w:sz w:val="14"/>
                <w:szCs w:val="14"/>
                <w:b w:val="1"/>
                <w:bCs w:val="1"/>
                <w:color w:val="auto"/>
                <w:w w:val="96"/>
              </w:rPr>
              <w:t>Price</w:t>
            </w:r>
          </w:p>
        </w:tc>
        <w:tc>
          <w:tcPr>
            <w:tcW w:w="900" w:type="dxa"/>
            <w:vAlign w:val="bottom"/>
            <w:gridSpan w:val="3"/>
          </w:tcPr>
          <w:p>
            <w:pPr>
              <w:jc w:val="center"/>
              <w:ind w:right="100"/>
              <w:spacing w:after="0" w:line="152" w:lineRule="exact"/>
              <w:rPr>
                <w:sz w:val="20"/>
                <w:szCs w:val="20"/>
                <w:color w:val="auto"/>
              </w:rPr>
            </w:pPr>
            <w:r>
              <w:rPr>
                <w:rFonts w:ascii="Times New Roman" w:cs="Times New Roman" w:eastAsia="Times New Roman" w:hAnsi="Times New Roman"/>
                <w:sz w:val="14"/>
                <w:szCs w:val="14"/>
                <w:b w:val="1"/>
                <w:bCs w:val="1"/>
                <w:color w:val="auto"/>
                <w:w w:val="96"/>
              </w:rPr>
              <w:t>Outstanding</w:t>
            </w:r>
          </w:p>
        </w:tc>
        <w:tc>
          <w:tcPr>
            <w:tcW w:w="0" w:type="dxa"/>
            <w:vAlign w:val="bottom"/>
          </w:tcPr>
          <w:p>
            <w:pPr>
              <w:spacing w:after="0"/>
              <w:rPr>
                <w:sz w:val="1"/>
                <w:szCs w:val="1"/>
                <w:color w:val="auto"/>
              </w:rPr>
            </w:pPr>
          </w:p>
        </w:tc>
      </w:tr>
      <w:tr>
        <w:trPr>
          <w:trHeight w:val="203"/>
        </w:trPr>
        <w:tc>
          <w:tcPr>
            <w:tcW w:w="9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$7.86</w:t>
            </w:r>
          </w:p>
        </w:tc>
        <w:tc>
          <w:tcPr>
            <w:tcW w:w="50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33,050</w:t>
            </w: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400"/>
              <w:spacing w:after="0" w:line="203" w:lineRule="exact"/>
              <w:rPr>
                <w:sz w:val="20"/>
                <w:szCs w:val="20"/>
                <w:color w:val="auto"/>
              </w:rPr>
            </w:pPr>
            <w:r>
              <w:rPr>
                <w:rFonts w:ascii="Times New Roman" w:cs="Times New Roman" w:eastAsia="Times New Roman" w:hAnsi="Times New Roman"/>
                <w:sz w:val="18"/>
                <w:szCs w:val="18"/>
                <w:b w:val="1"/>
                <w:bCs w:val="1"/>
                <w:color w:val="auto"/>
                <w:w w:val="88"/>
              </w:rPr>
              <w:t>5.92</w:t>
            </w:r>
          </w:p>
        </w:tc>
        <w:tc>
          <w:tcPr>
            <w:tcW w:w="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7.86</w:t>
            </w: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911,000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$8.01</w:t>
            </w:r>
          </w:p>
        </w:tc>
        <w:tc>
          <w:tcPr>
            <w:tcW w:w="50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220,000</w:t>
            </w:r>
          </w:p>
        </w:tc>
        <w:tc>
          <w:tcPr>
            <w:tcW w:w="52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3.75</w:t>
            </w:r>
          </w:p>
        </w:tc>
        <w:tc>
          <w:tcPr>
            <w:tcW w:w="62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8.01</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6,030,000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$34.50</w:t>
            </w:r>
          </w:p>
        </w:tc>
        <w:tc>
          <w:tcPr>
            <w:tcW w:w="50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5,000</w:t>
            </w:r>
          </w:p>
        </w:tc>
        <w:tc>
          <w:tcPr>
            <w:tcW w:w="5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8.92</w:t>
            </w:r>
          </w:p>
        </w:tc>
        <w:tc>
          <w:tcPr>
            <w:tcW w:w="6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34.50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$7.86 — $ 34.50</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258,050</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4.13</w:t>
            </w:r>
          </w:p>
        </w:tc>
        <w:tc>
          <w:tcPr>
            <w:tcW w:w="62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8.50</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6,946,000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Stock Options Exercisable</w:t>
            </w: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9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92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gridSpan w:val="2"/>
          </w:tcPr>
          <w:p>
            <w:pPr>
              <w:jc w:val="center"/>
              <w:ind w:right="40"/>
              <w:spacing w:after="0" w:line="125" w:lineRule="exact"/>
              <w:rPr>
                <w:sz w:val="20"/>
                <w:szCs w:val="20"/>
                <w:color w:val="auto"/>
              </w:rPr>
            </w:pPr>
            <w:r>
              <w:rPr>
                <w:rFonts w:ascii="Times New Roman" w:cs="Times New Roman" w:eastAsia="Times New Roman" w:hAnsi="Times New Roman"/>
                <w:sz w:val="14"/>
                <w:szCs w:val="14"/>
                <w:b w:val="1"/>
                <w:bCs w:val="1"/>
                <w:color w:val="auto"/>
                <w:w w:val="96"/>
              </w:rPr>
              <w:t>Weighted-</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50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Intrinsic</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Contractual</w:t>
            </w:r>
          </w:p>
        </w:tc>
        <w:tc>
          <w:tcPr>
            <w:tcW w:w="500" w:type="dxa"/>
            <w:vAlign w:val="bottom"/>
          </w:tcPr>
          <w:p>
            <w:pPr>
              <w:spacing w:after="0"/>
              <w:rPr>
                <w:sz w:val="12"/>
                <w:szCs w:val="12"/>
                <w:color w:val="auto"/>
              </w:rPr>
            </w:pPr>
          </w:p>
        </w:tc>
        <w:tc>
          <w:tcPr>
            <w:tcW w:w="114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5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Exercise Prices</w:t>
            </w:r>
          </w:p>
        </w:tc>
        <w:tc>
          <w:tcPr>
            <w:tcW w:w="128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7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Life in</w:t>
            </w:r>
          </w:p>
        </w:tc>
        <w:tc>
          <w:tcPr>
            <w:tcW w:w="500" w:type="dxa"/>
            <w:vAlign w:val="bottom"/>
          </w:tcPr>
          <w:p>
            <w:pPr>
              <w:spacing w:after="0"/>
              <w:rPr>
                <w:sz w:val="12"/>
                <w:szCs w:val="12"/>
                <w:color w:val="auto"/>
              </w:rPr>
            </w:pPr>
          </w:p>
        </w:tc>
        <w:tc>
          <w:tcPr>
            <w:tcW w:w="114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0" w:type="dxa"/>
            <w:vAlign w:val="bottom"/>
          </w:tcPr>
          <w:p>
            <w:pPr>
              <w:spacing w:after="0"/>
              <w:rPr>
                <w:sz w:val="1"/>
                <w:szCs w:val="1"/>
                <w:color w:val="auto"/>
              </w:rPr>
            </w:pPr>
          </w:p>
        </w:tc>
      </w:tr>
      <w:tr>
        <w:trPr>
          <w:trHeight w:val="172"/>
        </w:trPr>
        <w:tc>
          <w:tcPr>
            <w:tcW w:w="5920" w:type="dxa"/>
            <w:vAlign w:val="bottom"/>
            <w:gridSpan w:val="2"/>
            <w:vMerge w:val="continue"/>
          </w:tcPr>
          <w:p>
            <w:pPr>
              <w:spacing w:after="0"/>
              <w:rPr>
                <w:sz w:val="14"/>
                <w:szCs w:val="14"/>
                <w:color w:val="auto"/>
              </w:rPr>
            </w:pPr>
          </w:p>
        </w:tc>
        <w:tc>
          <w:tcPr>
            <w:tcW w:w="1280" w:type="dxa"/>
            <w:vAlign w:val="bottom"/>
            <w:gridSpan w:val="3"/>
          </w:tcPr>
          <w:p>
            <w:pPr>
              <w:jc w:val="center"/>
              <w:ind w:right="560"/>
              <w:spacing w:after="0" w:line="152" w:lineRule="exact"/>
              <w:rPr>
                <w:sz w:val="20"/>
                <w:szCs w:val="20"/>
                <w:color w:val="auto"/>
              </w:rPr>
            </w:pPr>
            <w:r>
              <w:rPr>
                <w:rFonts w:ascii="Times New Roman" w:cs="Times New Roman" w:eastAsia="Times New Roman" w:hAnsi="Times New Roman"/>
                <w:sz w:val="14"/>
                <w:szCs w:val="14"/>
                <w:b w:val="1"/>
                <w:bCs w:val="1"/>
                <w:color w:val="auto"/>
                <w:w w:val="96"/>
              </w:rPr>
              <w:t>Outstanding</w:t>
            </w:r>
          </w:p>
        </w:tc>
        <w:tc>
          <w:tcPr>
            <w:tcW w:w="760" w:type="dxa"/>
            <w:vAlign w:val="bottom"/>
            <w:gridSpan w:val="2"/>
          </w:tcPr>
          <w:p>
            <w:pPr>
              <w:jc w:val="center"/>
              <w:ind w:right="40"/>
              <w:spacing w:after="0" w:line="152" w:lineRule="exact"/>
              <w:rPr>
                <w:sz w:val="20"/>
                <w:szCs w:val="20"/>
                <w:color w:val="auto"/>
              </w:rPr>
            </w:pPr>
            <w:r>
              <w:rPr>
                <w:rFonts w:ascii="Times New Roman" w:cs="Times New Roman" w:eastAsia="Times New Roman" w:hAnsi="Times New Roman"/>
                <w:sz w:val="14"/>
                <w:szCs w:val="14"/>
                <w:b w:val="1"/>
                <w:bCs w:val="1"/>
                <w:color w:val="auto"/>
                <w:w w:val="91"/>
              </w:rPr>
              <w:t>Years</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680"/>
              <w:spacing w:after="0" w:line="152" w:lineRule="exact"/>
              <w:rPr>
                <w:sz w:val="20"/>
                <w:szCs w:val="20"/>
                <w:color w:val="auto"/>
              </w:rPr>
            </w:pPr>
            <w:r>
              <w:rPr>
                <w:rFonts w:ascii="Times New Roman" w:cs="Times New Roman" w:eastAsia="Times New Roman" w:hAnsi="Times New Roman"/>
                <w:sz w:val="14"/>
                <w:szCs w:val="14"/>
                <w:b w:val="1"/>
                <w:bCs w:val="1"/>
                <w:color w:val="auto"/>
                <w:w w:val="96"/>
              </w:rPr>
              <w:t>Price</w:t>
            </w:r>
          </w:p>
        </w:tc>
        <w:tc>
          <w:tcPr>
            <w:tcW w:w="900" w:type="dxa"/>
            <w:vAlign w:val="bottom"/>
            <w:gridSpan w:val="3"/>
          </w:tcPr>
          <w:p>
            <w:pPr>
              <w:jc w:val="center"/>
              <w:ind w:right="100"/>
              <w:spacing w:after="0" w:line="152" w:lineRule="exact"/>
              <w:rPr>
                <w:sz w:val="20"/>
                <w:szCs w:val="20"/>
                <w:color w:val="auto"/>
              </w:rPr>
            </w:pPr>
            <w:r>
              <w:rPr>
                <w:rFonts w:ascii="Times New Roman" w:cs="Times New Roman" w:eastAsia="Times New Roman" w:hAnsi="Times New Roman"/>
                <w:sz w:val="14"/>
                <w:szCs w:val="14"/>
                <w:b w:val="1"/>
                <w:bCs w:val="1"/>
                <w:color w:val="auto"/>
                <w:w w:val="96"/>
              </w:rPr>
              <w:t>Outstanding</w:t>
            </w:r>
          </w:p>
        </w:tc>
        <w:tc>
          <w:tcPr>
            <w:tcW w:w="0" w:type="dxa"/>
            <w:vAlign w:val="bottom"/>
          </w:tcPr>
          <w:p>
            <w:pPr>
              <w:spacing w:after="0"/>
              <w:rPr>
                <w:sz w:val="1"/>
                <w:szCs w:val="1"/>
                <w:color w:val="auto"/>
              </w:rPr>
            </w:pPr>
          </w:p>
        </w:tc>
      </w:tr>
      <w:tr>
        <w:trPr>
          <w:trHeight w:val="203"/>
        </w:trPr>
        <w:tc>
          <w:tcPr>
            <w:tcW w:w="9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$7.86</w:t>
            </w:r>
          </w:p>
        </w:tc>
        <w:tc>
          <w:tcPr>
            <w:tcW w:w="50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19,450</w:t>
            </w: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400"/>
              <w:spacing w:after="0" w:line="203" w:lineRule="exact"/>
              <w:rPr>
                <w:sz w:val="20"/>
                <w:szCs w:val="20"/>
                <w:color w:val="auto"/>
              </w:rPr>
            </w:pPr>
            <w:r>
              <w:rPr>
                <w:rFonts w:ascii="Times New Roman" w:cs="Times New Roman" w:eastAsia="Times New Roman" w:hAnsi="Times New Roman"/>
                <w:sz w:val="18"/>
                <w:szCs w:val="18"/>
                <w:b w:val="1"/>
                <w:bCs w:val="1"/>
                <w:color w:val="auto"/>
                <w:w w:val="88"/>
              </w:rPr>
              <w:t>5.92</w:t>
            </w:r>
          </w:p>
        </w:tc>
        <w:tc>
          <w:tcPr>
            <w:tcW w:w="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7.86</w:t>
            </w: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536,000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$8.01</w:t>
            </w:r>
          </w:p>
        </w:tc>
        <w:tc>
          <w:tcPr>
            <w:tcW w:w="50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40,000</w:t>
            </w:r>
          </w:p>
        </w:tc>
        <w:tc>
          <w:tcPr>
            <w:tcW w:w="52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3.75</w:t>
            </w:r>
          </w:p>
        </w:tc>
        <w:tc>
          <w:tcPr>
            <w:tcW w:w="62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8.01</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1,096,000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$34.50</w:t>
            </w:r>
          </w:p>
        </w:tc>
        <w:tc>
          <w:tcPr>
            <w:tcW w:w="50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825</w:t>
            </w:r>
          </w:p>
        </w:tc>
        <w:tc>
          <w:tcPr>
            <w:tcW w:w="5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8.92</w:t>
            </w:r>
          </w:p>
        </w:tc>
        <w:tc>
          <w:tcPr>
            <w:tcW w:w="6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34.50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$7.86 — $ 34.50</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60,275</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4.52</w:t>
            </w:r>
          </w:p>
        </w:tc>
        <w:tc>
          <w:tcPr>
            <w:tcW w:w="62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8.32</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1,633,000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color w:val="auto"/>
        </w:rPr>
        <w:t>Preferred Share Rights Plan—</w:t>
      </w:r>
      <w:r>
        <w:rPr>
          <w:rFonts w:ascii="Times New Roman" w:cs="Times New Roman" w:eastAsia="Times New Roman" w:hAnsi="Times New Roman"/>
          <w:sz w:val="18"/>
          <w:szCs w:val="18"/>
          <w:color w:val="auto"/>
        </w:rPr>
        <w:t>On January 5, 2009, a renewed shareholder rights plan became effective upon the expiration of our previous shareholder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The rights plan will impact a potential acquirer unless the acquirer negotiates with our board of directors and the board of directors approves the transaction. Pursuant to the renewed plan, one preferred share purchase right (a “Right”) is attached to each currently outstanding or subsequently issued share of our common stock. Prior to becoming exercisable, the Rights trade together with our common stock. In general, if a person or group acquires or announces a tender or exchange offer for 15% or more of our common stock (except for the Golsen Group and certain other limited excluded persons), then the Rights become exercisable. Each Right entitles the holder (other than the person or group that triggers the Rights being exercisable) to purchase from us one one-hundredth of a share of Series 4 Junior Participating Preferred Stock, no par value (the “Preferred Stock”), at an exercise price of $47.75 per one one-hundredth of a share, subject to adjustment. If a person or group acquires 15% or more of our common stock, each Right will entitle the holder (other than the person or group that triggered the Rights being exercisable) to purchase shares of our common stock (or, in certain circumstances, cash or other securities) having a market value of twice the exercise price of a Right at such time. Under certain circumstances, each Right will entitle the holder (other than the person or group that triggered the Rights being exercisable) to purchase the common stock of the acquirer having a market value of twice the exercise price of a Right at such time. In addition, under certain circumstances, our board of directors may exchange each Right (other than those held by the acquirer) for one share of our common stock, subject to adjustment. Our board of directors may redeem the Rights at a price of $0.01 per Right generally at any time before 10 days after the Rights become exercisable. Our board of directors may exchange all or part of the Rights (except to the person or group that triggered the Rights being exercisable) for our common stock at an exchange ratio of one common share per Right until the person triggering the Right becomes the beneficial owner of 50% or more of our common stock.</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420"/>
          </w:cols>
          <w:pgMar w:left="240" w:top="455" w:right="23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Stockholders’ Equity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Other – </w:t>
      </w:r>
      <w:r>
        <w:rPr>
          <w:rFonts w:ascii="Times New Roman" w:cs="Times New Roman" w:eastAsia="Times New Roman" w:hAnsi="Times New Roman"/>
          <w:sz w:val="18"/>
          <w:szCs w:val="18"/>
          <w:color w:val="auto"/>
        </w:rPr>
        <w:t>During 2010, we purchased 177,100 shares of treasury stock for the average price of $13.67 per share (none in 2012 or 2011).</w:t>
      </w:r>
    </w:p>
    <w:p>
      <w:pPr>
        <w:spacing w:after="0" w:line="173" w:lineRule="exact"/>
        <w:rPr>
          <w:sz w:val="20"/>
          <w:szCs w:val="20"/>
          <w:color w:val="auto"/>
        </w:rPr>
      </w:pPr>
    </w:p>
    <w:p>
      <w:pPr>
        <w:ind w:right="600"/>
        <w:spacing w:after="0" w:line="275" w:lineRule="auto"/>
        <w:rPr>
          <w:sz w:val="20"/>
          <w:szCs w:val="20"/>
          <w:color w:val="auto"/>
        </w:rPr>
      </w:pPr>
      <w:r>
        <w:rPr>
          <w:rFonts w:ascii="Times New Roman" w:cs="Times New Roman" w:eastAsia="Times New Roman" w:hAnsi="Times New Roman"/>
          <w:sz w:val="18"/>
          <w:szCs w:val="18"/>
          <w:color w:val="auto"/>
        </w:rPr>
        <w:t>As of December 31, 2012, we have reserved 1.7 million shares of common stock issuable upon potential conversion of preferred stocks and stock options pursuant to their respective terms.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Non-Redeemable Preferred Stock</w:t>
      </w:r>
    </w:p>
    <w:p>
      <w:pPr>
        <w:spacing w:after="0" w:line="9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Series B Preferred—</w:t>
      </w:r>
      <w:r>
        <w:rPr>
          <w:rFonts w:ascii="Times New Roman" w:cs="Times New Roman" w:eastAsia="Times New Roman" w:hAnsi="Times New Roman"/>
          <w:sz w:val="18"/>
          <w:szCs w:val="18"/>
          <w:color w:val="auto"/>
        </w:rPr>
        <w:t>The 20,000 shares of Series B 12% cumulative, convertible preferred stock (“Series B Preferred”), $100 par value, are convertible, in whole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in part, into 666,666 shares of our common stock (33.3333 shares of common stock for each share of preferred stock) at any time at the option of the holder and entitle the holder to one vote per share. The Series B Preferred provides for annual cumulative dividends of 12% from date of issue, payable when and as declared. All of the outstanding shares of the Series B Preferred are owned by the Golsen Group.</w:t>
      </w:r>
    </w:p>
    <w:p>
      <w:pPr>
        <w:spacing w:after="0" w:line="133"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color w:val="auto"/>
        </w:rPr>
        <w:t>Series D Preferred—</w:t>
      </w:r>
      <w:r>
        <w:rPr>
          <w:rFonts w:ascii="Times New Roman" w:cs="Times New Roman" w:eastAsia="Times New Roman" w:hAnsi="Times New Roman"/>
          <w:sz w:val="18"/>
          <w:szCs w:val="18"/>
          <w:color w:val="auto"/>
        </w:rPr>
        <w:t>The 1,000,000 shares of Series D 6% cumulative, convertible Class C preferred stock (“Series D Preferred”) have no par value and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convertible, in whole or in part, into 250,000 shares of our common stock (1 share of common stock for 4 shares of preferred stock) at any time at the option of the holder. Dividends on the Series D Preferred are cumulative and payable annually in arrears at the rate of 6% per annum of the liquidation preference of $1.00 per share. Each holder of the Series D Preferred shall be entitled to .875 votes per share. All of the outstanding shares of Series D Preferred are owned by the Golsen Group.</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Cash Dividends Paid – </w:t>
      </w:r>
      <w:r>
        <w:rPr>
          <w:rFonts w:ascii="Times New Roman" w:cs="Times New Roman" w:eastAsia="Times New Roman" w:hAnsi="Times New Roman"/>
          <w:sz w:val="16"/>
          <w:szCs w:val="16"/>
          <w:color w:val="auto"/>
        </w:rPr>
        <w:t>During 2012, 2011 and 2010, we paid the following cash dividends on our non-redeemable preferred stock in each of the respective year:</w:t>
      </w:r>
    </w:p>
    <w:p>
      <w:pPr>
        <w:spacing w:after="0" w:line="115" w:lineRule="exact"/>
        <w:rPr>
          <w:sz w:val="20"/>
          <w:szCs w:val="20"/>
          <w:color w:val="auto"/>
        </w:rPr>
      </w:pPr>
    </w:p>
    <w:p>
      <w:pPr>
        <w:ind w:left="440" w:hanging="324"/>
        <w:spacing w:after="0"/>
        <w:tabs>
          <w:tab w:leader="none" w:pos="4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$240,000 on the Series B Preferred ($12.00 per share) and</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$60,000 on the Series D Preferred ($0.06 per share).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2012, there were no dividends in arrears.</w:t>
      </w:r>
    </w:p>
    <w:p>
      <w:pPr>
        <w:spacing w:after="0" w:line="169"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Other - </w:t>
      </w:r>
      <w:r>
        <w:rPr>
          <w:rFonts w:ascii="Times New Roman" w:cs="Times New Roman" w:eastAsia="Times New Roman" w:hAnsi="Times New Roman"/>
          <w:sz w:val="18"/>
          <w:szCs w:val="18"/>
          <w:color w:val="auto"/>
        </w:rPr>
        <w:t>At December 31, 2012, we are authorized to issue an additional 230,000 shares of $100 par value preferred stock and an additional 4,000,000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par value preferred stock. Upon issuance, our board of directors will determine the specific terms and conditions of such preferred stock.</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Executive Benefit Agreements and Employee Savings Plans</w:t>
      </w:r>
    </w:p>
    <w:p>
      <w:pPr>
        <w:spacing w:after="0" w:line="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1981, we entered into individual death benefit agreements with certain key executives (“1981 Agreements”). Under the 1981 Agreements, should the executive die while employed, we are required to pay the beneficiary named in the agreement in 120 equal monthly installments aggregating to an amount specified in the agreement. The monthly installments specified in the 1981 Agreements total $32,000. The benefits under the 1981 Agreements are forfeited if the respective executive’s employment is terminated for any reason prior to death. The 1981 Agreements may be terminated by the Company at any time and for any reason prior to the death of the employee. See table below for information about the 1981 Agreements.</w:t>
      </w:r>
    </w:p>
    <w:p>
      <w:pPr>
        <w:spacing w:after="0" w:line="13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1992, we entered into individual benefit agreements with certain key executives (“1992 Agreements”) that provide for annual benefit payments for life (in addition to salary) ranging from $16,000 to $18,000 payable in monthly installments when the employee reaches age 65. As part of the 1992 Agreements, should the executive die prior to attaining the age of 65, we will pay the beneficiary named in the agreement in 120 equal monthly installments aggregating to an amount specified in the agreement. This amount is in addition to any amount payable under the 1981 Agreement should that executive have both a 1981 and 1992 agreement. The benefits under the 1992 Agreements are forfeited if the respective executive’s employment is terminated prior to age 65 for any reason other than death. The 1992 Agreements may be terminated by the Company at any time and for any reason prior to the death of the employee. See table below for information about the 1992 Agreements.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400"/>
          </w:cols>
          <w:pgMar w:left="240" w:top="455" w:right="25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Executive Benefit Agreements and Employee Savings Plans (continued)</w:t>
      </w:r>
    </w:p>
    <w:p>
      <w:pPr>
        <w:spacing w:after="0" w:line="16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2005, we entered into a death benefit agreement (“2005 Agreement”) with our CEO. The Death Benefit Agreement provides that, upon our CEO’s death, we will pay to our CEO’s designated beneficiary, a lump-sum payment of $2,500,000 to be funded from the net proceeds received by us under certain life insurance policies on our CEO’s life that are owned by us. We are obligated to keep in existence life insurance policies with a total face amount of no less than $2,500,000 of the stated death benefit. The benefit under the 2005 Agreement is not contingent upon continued employment and may be amended at any time by written agreement executed by the CEO and the Company. The following table includes information about the 2005 Agreement.</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6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6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w w:val="92"/>
              </w:rPr>
              <w:t>2012</w:t>
            </w: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2011</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gridSpan w:val="6"/>
          </w:tcPr>
          <w:p>
            <w:pPr>
              <w:ind w:left="340"/>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undiscounted death benefits—1981 Agreements</w:t>
            </w: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3,865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$ 4,115</w:t>
            </w: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Total undiscounted death benefits—1992 Agreements</w:t>
            </w:r>
          </w:p>
        </w:tc>
        <w:tc>
          <w:tcPr>
            <w:tcW w:w="3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undiscounted death benefits—2005 Agreement</w:t>
            </w: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2,500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2,500</w:t>
            </w: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Accrued death benefits—All agreements</w:t>
            </w:r>
          </w:p>
        </w:tc>
        <w:tc>
          <w:tcPr>
            <w:tcW w:w="3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4,185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4,017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undiscounted executive benefits—1992 Agreements</w:t>
            </w: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1,928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1,950</w:t>
            </w: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Discount rates utilized—1992 Agreements</w:t>
            </w:r>
          </w:p>
        </w:tc>
        <w:tc>
          <w:tcPr>
            <w:tcW w:w="3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2.78%</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4"/>
              </w:rPr>
              <w:t>3.58%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executive benefits—1992 Agreements</w:t>
            </w: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1,365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1,262</w:t>
            </w: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46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46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2012</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2011</w:t>
            </w: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gridSpan w:val="5"/>
          </w:tcPr>
          <w:p>
            <w:pPr>
              <w:ind w:left="40"/>
              <w:spacing w:after="0" w:line="142" w:lineRule="exact"/>
              <w:rPr>
                <w:sz w:val="20"/>
                <w:szCs w:val="20"/>
                <w:color w:val="auto"/>
              </w:rPr>
            </w:pPr>
            <w:r>
              <w:rPr>
                <w:rFonts w:ascii="Times New Roman" w:cs="Times New Roman" w:eastAsia="Times New Roman" w:hAnsi="Times New Roman"/>
                <w:sz w:val="14"/>
                <w:szCs w:val="14"/>
                <w:color w:val="auto"/>
                <w:w w:val="96"/>
              </w:rPr>
              <w:t>(In Thousands)</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associated with executive benefits included in SG&amp;A</w:t>
            </w:r>
          </w:p>
        </w:tc>
        <w:tc>
          <w:tcPr>
            <w:tcW w:w="3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186</w:t>
            </w: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w:t>
            </w:r>
          </w:p>
        </w:tc>
        <w:tc>
          <w:tcPr>
            <w:tcW w:w="8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18"/>
          <w:szCs w:val="18"/>
          <w:color w:val="auto"/>
        </w:rPr>
        <w:t>Accrued death and executive benefits under the above agreements are included in current and noncurrent accrued and other liabilities. We accrue for such liabilities when they become probable and discount the liabilities to their present value.</w:t>
      </w:r>
    </w:p>
    <w:p>
      <w:pPr>
        <w:spacing w:after="0" w:line="12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To assist us in funding the benefit agreements discussed above and for other business reasons, we purchased life insurance policies on various individuals in which we are the beneficiary. Some of these life insurance policies have cash surrender values that we have borrowed against. The net cash surrender values are included in other assets. The following table summarizes certain information about these life insurance policies.</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37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2012</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4"/>
          </w:tcPr>
          <w:p>
            <w:pPr>
              <w:jc w:val="right"/>
              <w:ind w:right="336"/>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face value of life insurance policies (1)</w:t>
            </w:r>
          </w:p>
        </w:tc>
        <w:tc>
          <w:tcPr>
            <w:tcW w:w="3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21,242</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21,522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surrender values of life insurance policies</w:t>
            </w:r>
          </w:p>
        </w:tc>
        <w:tc>
          <w:tcPr>
            <w:tcW w:w="3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vMerge w:val="continue"/>
          </w:tcPr>
          <w:p>
            <w:pPr>
              <w:spacing w:after="0"/>
              <w:rPr>
                <w:sz w:val="18"/>
                <w:szCs w:val="18"/>
                <w:color w:val="auto"/>
              </w:rPr>
            </w:pPr>
          </w:p>
        </w:tc>
        <w:tc>
          <w:tcPr>
            <w:tcW w:w="3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5,439</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on cash surrender values</w:t>
            </w:r>
          </w:p>
        </w:tc>
        <w:tc>
          <w:tcPr>
            <w:tcW w:w="3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(1,890)</w:t>
            </w:r>
          </w:p>
        </w:tc>
        <w:tc>
          <w:tcPr>
            <w:tcW w:w="0" w:type="dxa"/>
            <w:vAlign w:val="bottom"/>
          </w:tcPr>
          <w:p>
            <w:pPr>
              <w:spacing w:after="0"/>
              <w:rPr>
                <w:sz w:val="1"/>
                <w:szCs w:val="1"/>
                <w:color w:val="auto"/>
              </w:rPr>
            </w:pPr>
          </w:p>
        </w:tc>
      </w:tr>
      <w:tr>
        <w:trPr>
          <w:trHeight w:val="223"/>
        </w:trPr>
        <w:tc>
          <w:tcPr>
            <w:tcW w:w="3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cash surrender values</w:t>
            </w:r>
          </w:p>
        </w:tc>
        <w:tc>
          <w:tcPr>
            <w:tcW w:w="3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5,439</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740" w:type="dxa"/>
            <w:vAlign w:val="bottom"/>
          </w:tcPr>
          <w:p>
            <w:pPr>
              <w:spacing w:after="0"/>
              <w:rPr>
                <w:sz w:val="24"/>
                <w:szCs w:val="24"/>
                <w:color w:val="auto"/>
              </w:rPr>
            </w:pPr>
          </w:p>
        </w:tc>
        <w:tc>
          <w:tcPr>
            <w:tcW w:w="3240" w:type="dxa"/>
            <w:vAlign w:val="bottom"/>
            <w:gridSpan w:val="2"/>
          </w:tcPr>
          <w:p>
            <w:pPr>
              <w:jc w:val="right"/>
              <w:ind w:right="2398"/>
              <w:spacing w:after="0"/>
              <w:rPr>
                <w:sz w:val="20"/>
                <w:szCs w:val="20"/>
                <w:color w:val="auto"/>
              </w:rPr>
            </w:pPr>
            <w:r>
              <w:rPr>
                <w:rFonts w:ascii="Times New Roman" w:cs="Times New Roman" w:eastAsia="Times New Roman" w:hAnsi="Times New Roman"/>
                <w:sz w:val="18"/>
                <w:szCs w:val="18"/>
                <w:color w:val="auto"/>
              </w:rPr>
              <w:t>F-41</w:t>
            </w: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455" w:right="39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Executive Benefit Agreements and Employee Savings Plans (continued)</w:t>
      </w:r>
    </w:p>
    <w:p>
      <w:pPr>
        <w:spacing w:after="0" w:line="157"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552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2011</w:t>
            </w:r>
          </w:p>
        </w:tc>
        <w:tc>
          <w:tcPr>
            <w:tcW w:w="36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14"/>
                <w:szCs w:val="14"/>
                <w:color w:val="auto"/>
              </w:rPr>
            </w:pPr>
          </w:p>
        </w:tc>
      </w:tr>
      <w:tr>
        <w:trPr>
          <w:trHeight w:val="142"/>
        </w:trPr>
        <w:tc>
          <w:tcPr>
            <w:tcW w:w="55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life insurance premiums</w:t>
            </w:r>
          </w:p>
        </w:tc>
        <w:tc>
          <w:tcPr>
            <w:tcW w:w="2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$ 851</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$ 851</w:t>
            </w:r>
          </w:p>
        </w:tc>
        <w:tc>
          <w:tcPr>
            <w:tcW w:w="3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$ 851</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Increases in cash surrender values</w:t>
            </w:r>
          </w:p>
        </w:tc>
        <w:tc>
          <w:tcPr>
            <w:tcW w:w="16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(479)</w:t>
            </w: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(499)</w:t>
            </w: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(496)</w:t>
            </w:r>
          </w:p>
        </w:tc>
      </w:tr>
      <w:tr>
        <w:trPr>
          <w:trHeight w:val="27"/>
        </w:trPr>
        <w:tc>
          <w:tcPr>
            <w:tcW w:w="55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cost of life insurance premiums included in SG&amp;A</w:t>
            </w:r>
          </w:p>
        </w:tc>
        <w:tc>
          <w:tcPr>
            <w:tcW w:w="2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$ 372</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$ 352</w:t>
            </w:r>
          </w:p>
        </w:tc>
        <w:tc>
          <w:tcPr>
            <w:tcW w:w="3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$ 355</w:t>
            </w:r>
          </w:p>
        </w:tc>
      </w:tr>
      <w:tr>
        <w:trPr>
          <w:trHeight w:val="20"/>
        </w:trPr>
        <w:tc>
          <w:tcPr>
            <w:tcW w:w="55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$7,000,000 on the life of our CEO, of which $2,500,000 is required to be paid under the 2005 Agreement as discussed above.</w:t>
      </w:r>
    </w:p>
    <w:p>
      <w:pPr>
        <w:spacing w:after="0" w:line="171"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color w:val="auto"/>
        </w:rPr>
        <w:t>We sponsor a savings plan under Section 401(k) of the Internal Revenue Code under which participation is available to substantially all full-time employees. We do not presently contribute to this plan except for certain employees within the Chemical Business, which amounts were not material for each of the three years ended December 31, 2012.</w:t>
      </w:r>
    </w:p>
    <w:p>
      <w:pPr>
        <w:spacing w:after="0" w:line="211" w:lineRule="exact"/>
        <w:rPr>
          <w:sz w:val="20"/>
          <w:szCs w:val="20"/>
          <w:color w:val="auto"/>
        </w:rPr>
      </w:pPr>
    </w:p>
    <w:p>
      <w:pPr>
        <w:ind w:right="6000" w:firstLine="8"/>
        <w:spacing w:after="0" w:line="345" w:lineRule="auto"/>
        <w:tabs>
          <w:tab w:leader="none" w:pos="263"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Business Interruption Insurance Claims and Recovery Pryor Facility</w:t>
      </w:r>
    </w:p>
    <w:p>
      <w:pPr>
        <w:spacing w:after="0" w:line="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June 2010, a pipe failure in the primary reformer of the ammonia plant at the Pryor Facility resulted in a fire that damaged the ammonia plant. The fire was immediately extinguished and there were no injuries. As a result of this damage, the Pryor Facility was unable to produce anhydrous ammonia or UAN during substantially all of third quarter of 2010. Our insurance policy provided, for the policy period covering this claim, for business interruption coverage for certain lost profits and extra expense with a 30-day waiting period. Therefore, we filed an insurance claim for business interruption. During 2011, we recognized an insurance recovery of $8.6 million relating to this business interruption claim, which was recorded as a reduction to cost of sales. We do not have any remaining insurance claims associated with our business interruption coverage relating to this event.</w:t>
      </w:r>
    </w:p>
    <w:p>
      <w:pPr>
        <w:spacing w:after="0" w:line="13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Beginning on February 27, 2012, the Pryor Facility experienced unplanned downtime in the urea plant due to a damaged stainless steel liner within the urea reactor. As a result, the Pryor Facility was unable to produce UAN through early July 2012. Our insurance policy provides, for the policy period covering this claim, for repair or replacement cost coverage relating to property damage with a $1.0 million deductible and provides for business interruption coverage for certain lost profits and extra expense with a 30-day waiting period. A notice of insurance claims for property damage and business interruption was filed with the insurance carrier. After an initial investigation was performed by an insurance adjuster, we received a reservation of rights letter stating that some insurance policy exclusions could apply resulting in a full or partial denial as to our claims for property damage and/or business interruption. A recovery, if any, from our insurance coverage has not been recognized since, for financial reporting purposes, it is not probable and reasonably estimable and/or it is considered a gain contingency, which will be recognized if, and when, realized or realizable and earned.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 Dorado Facility</w:t>
      </w:r>
    </w:p>
    <w:p>
      <w:pPr>
        <w:spacing w:after="0" w:line="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May 15, 2012, the El Dorado Facility suffered significant damage when a reactor in its 98% strength nitric acid plant (“DSN plant”) exploded. No employees or individuals in the surrounding area were seriously injured as a result of the explosion. In addition, several other plants and infrastructure within the El Dorado Facility sustained various degrees of damage. Our insurance policy provides, for the policy period covering this claim, for repair or replacement cost coverage relating to property damage with a $1.0 million deductible and provides for business interruption coverage for certain lost profits and extra expense with a 30-day waiting period. A notice of insurance claims for property damage and business interruption was filed with the insurance carriers but the total amounts have not been determined. The engineering firm representing our insurance carriers has determined that the DSN plant was not destroyed by the explosion and was repairable. However we have concluded that due to the extensive damage, the DSN plant should not be repaired but should be replaced with a new 65% strength nitric acid plant and a separate nitric acid concentrator plant. The total amount of insurance recoveries relating to this event will be dependent on an estimate of the costs and the length of time to repair the damaged DSN plant as if it would have been repaired, which amount has not yet been determined. Based upon our assessment that it was probable that the amount of coverage for property damages would exceed our property loss deductible, the net book value of the damaged property and other recoverable costs incurred through December 31, 2012, we did not recognize a loss relating to property damage from this explosion but we recorded an insurance claim receivable relating to this event primarily consisting of the disposal of the net book value of damaged property and certain repairs and clean-up costs incurred (“recoverable costs”).</w:t>
      </w:r>
    </w:p>
    <w:p>
      <w:pPr>
        <w:spacing w:after="0" w:line="1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380"/>
          </w:cols>
          <w:pgMar w:left="240" w:top="455" w:right="27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Property and Business Interruption Insurance Claims and Recovery (continued)</w:t>
      </w:r>
    </w:p>
    <w:p>
      <w:pPr>
        <w:spacing w:after="0" w:line="16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During 2012, our insurance carriers approved unallocated payments totaling $40 million (of which $20 million was paid in 2012). Also see Note 21 – Subsequent Events. We received correspondence associated with the $20 million received in January 2013, which stated that our insurance carriers are still investigating the circumstances surrounding this event (including the cause of this event, scope of our losses and support for our claim) under a reservation of rights. For financial reporting purposes, we allocated $28.6 million to our property insurance claim and $11.4 million to our business interruption claim primarily based on the claims information provided to our insurance carriers in relation to our requests for insurance proceeds.</w:t>
      </w:r>
    </w:p>
    <w:p>
      <w:pPr>
        <w:spacing w:after="0" w:line="139"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The $28.6 million allocated to the property insurance claim was applied against the recoverable costs totaling $21.7 million. The insurance recovery in excess of the recoverable costs of $6.9 million was not recognized since it is considered a gain contingency, which will be recognized if, and when, realized or realizable and earned.</w:t>
      </w:r>
    </w:p>
    <w:p>
      <w:pPr>
        <w:spacing w:after="0" w:line="1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insurance recovery of $11.4 million allocated to the business interruption claim was applied against recoverable costs (primarily relating to purchased product sold to our customers while certain of our nitric and sulfuric acid plants were being repaired) totaling $7.3 million as a reduction to cost of sales (see Note 21-Subsequent Events). The insurance recovery in excess of recoverable costs of $4.1 million was not recognized since a portion of this amount relates to recoverable costs, which we were unable to conclude that it was at least probable (for financial reporting purposes) that these costs would be approved and a portion of this amount relates to lost profits, which is considered a gain contingency. The unrecognized portion of this recovery, and any additional recoveries, will be recognized if, and when, realized or realizable and earned.</w:t>
      </w:r>
    </w:p>
    <w:p>
      <w:pPr>
        <w:spacing w:after="0" w:line="139"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As of December 31, 2012, the balance of the insurance claim receivable relating to this event was $9.0 million, which consists of the approved payments due from our insurance carriers and allocated to our insurance claim as discussed above.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Cherokee Facility</w:t>
      </w:r>
    </w:p>
    <w:p>
      <w:pPr>
        <w:spacing w:after="0" w:line="9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On November 13, 2012, a pipe ruptured within the Cherokee Facility causing damage primarily to the heat exchanger portion of its ammonia plant. No serious injuries or environmental impact resulted from the pipe rupture. As a result of the damage, the Cherokee Facility can only produce, on a limited basis, nitric acid and AN solution from purchased ammonia until the repairs are completed. Our insurance policy provides, for the policy period covering this claim, for repair or replacement cost coverage relating to property damage with a $2.5 million deductible and provides for business interruption coverage for certain lost profits and extra expense with a 30-day waiting period. A notice of insurance claims for property damage and business interruption was filed with the insurance carriers but the total amounts have not been determined but are expected to be substantial.</w:t>
      </w:r>
    </w:p>
    <w:p>
      <w:pPr>
        <w:spacing w:after="0" w:line="139"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Because our assessment that it was probable that the amount of coverage for property damages would exceed our property loss deductible, the net book value of the damaged property and other recoverable costs incurred through December 31, 2012, we did not recognize a loss relating to property damage from this pipe rupture but we recorded an insurance claim receivable relating to this event consisting of the recoverable costs.</w:t>
      </w:r>
    </w:p>
    <w:p>
      <w:pPr>
        <w:spacing w:after="0" w:line="132"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In addition, a recovery for certain lost profits from our business interruption coverage has not been recognized since it is considered a gain contingency, which will be recognized if, and when, realized or realizable and earned.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2012, the balance of the insurance claim receivable relating to this event was $1.1 million consisting of recoverable costs.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possible that the actual development of the insurance claims discussed above could be different from our current allocations and estimates.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420"/>
          </w:cols>
          <w:pgMar w:left="240" w:top="455" w:right="23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Other Expense, Other Income and Non-Operating Other Income, net</w:t>
      </w:r>
    </w:p>
    <w:p>
      <w:pPr>
        <w:spacing w:after="0" w:line="211"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7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2"/>
              </w:rPr>
              <w:t>2012</w:t>
            </w: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2"/>
              </w:rPr>
              <w:t>2011</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2"/>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4"/>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expense: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Losses on sales and disposals of property and equipment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996</w:t>
            </w:r>
          </w:p>
        </w:tc>
        <w:tc>
          <w:tcPr>
            <w:tcW w:w="1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1,280</w:t>
            </w:r>
          </w:p>
        </w:tc>
        <w:tc>
          <w:tcPr>
            <w:tcW w:w="3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Realized and unrealized losses on contractual obligations associated with carbon credits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1,844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23"/>
        </w:trPr>
        <w:tc>
          <w:tcPr>
            <w:tcW w:w="7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Miscellaneous expense (1)</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401</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other expense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2,118</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3,823</w:t>
            </w:r>
          </w:p>
        </w:tc>
        <w:tc>
          <w:tcPr>
            <w:tcW w:w="3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rPr>
              <w:t>1,262</w:t>
            </w: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Settlements of litigation and potential litigation (2)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2,303</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1,562</w:t>
            </w:r>
          </w:p>
        </w:tc>
        <w:tc>
          <w:tcPr>
            <w:tcW w:w="3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Realized and unrealized gains on carbon credits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1,995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Property insurance recoveries in excess of losses incurred (3)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rPr>
              <w:t>7,518</w:t>
            </w:r>
          </w:p>
        </w:tc>
        <w:tc>
          <w:tcPr>
            <w:tcW w:w="0" w:type="dxa"/>
            <w:vAlign w:val="bottom"/>
          </w:tcPr>
          <w:p>
            <w:pPr>
              <w:spacing w:after="0"/>
              <w:rPr>
                <w:sz w:val="1"/>
                <w:szCs w:val="1"/>
                <w:color w:val="auto"/>
              </w:rPr>
            </w:pPr>
          </w:p>
        </w:tc>
      </w:tr>
      <w:tr>
        <w:trPr>
          <w:trHeight w:val="223"/>
        </w:trPr>
        <w:tc>
          <w:tcPr>
            <w:tcW w:w="7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Miscellaneous income (1)</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632</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other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3,811</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3,938</w:t>
            </w:r>
          </w:p>
        </w:tc>
        <w:tc>
          <w:tcPr>
            <w:tcW w:w="3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rPr>
              <w:t>8,427</w:t>
            </w: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Non-operating other income, net: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7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Miscellaneous income (1)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Miscellaneous expense (1)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3"/>
        </w:trPr>
        <w:tc>
          <w:tcPr>
            <w:tcW w:w="70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non-operating other income, net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281</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numerous unrelated transactions, none of which are individually significant requiring separate disclosure.</w:t>
      </w:r>
    </w:p>
    <w:p>
      <w:pPr>
        <w:spacing w:after="0" w:line="2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relate primarily to settlements reached with certain vendors of our Chemical Business.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relates primarily to recoveries from property insurance claims associated with our Chemical Business.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Segment Information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Used by Management to Identify the Enterprise’s Reportable Segments and Measurement of Segment Income or Loss and Segment Assets</w:t>
      </w:r>
    </w:p>
    <w:p>
      <w:pPr>
        <w:spacing w:after="0" w:line="9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We have two reportable segments (business segments): the Chemical Business and the Climate Control Business. Our reportable segments are based on business units that offer similar products and services. The reportable segments are each managed separately because they manufacture and distribute distinct products with different production processes.</w:t>
      </w:r>
    </w:p>
    <w:p>
      <w:pPr>
        <w:spacing w:after="0" w:line="132"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We evaluate performance and allocate resources based on operating income or loss. The accounting policies of the reportable segments are the same as those described in the summary of significant accounting policies.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Each Reportable Segment</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Chemical Business </w:t>
      </w:r>
      <w:r>
        <w:rPr>
          <w:rFonts w:ascii="Times New Roman" w:cs="Times New Roman" w:eastAsia="Times New Roman" w:hAnsi="Times New Roman"/>
          <w:sz w:val="18"/>
          <w:szCs w:val="18"/>
          <w:color w:val="auto"/>
        </w:rPr>
        <w:t>- The Chemical Business segment manufactures and sells:</w:t>
      </w:r>
    </w:p>
    <w:p>
      <w:pPr>
        <w:spacing w:after="0" w:line="92" w:lineRule="exact"/>
        <w:rPr>
          <w:sz w:val="20"/>
          <w:szCs w:val="20"/>
          <w:color w:val="auto"/>
        </w:rPr>
      </w:pPr>
    </w:p>
    <w:p>
      <w:pPr>
        <w:ind w:left="1480" w:hanging="446"/>
        <w:spacing w:after="0"/>
        <w:tabs>
          <w:tab w:leader="none" w:pos="14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anhydrous ammonia, fertilizer grade AN, UAN, and AN ammonia solution for agricultural applications,</w:t>
      </w:r>
    </w:p>
    <w:p>
      <w:pPr>
        <w:spacing w:after="0" w:line="90" w:lineRule="exact"/>
        <w:rPr>
          <w:rFonts w:ascii="Times New Roman" w:cs="Times New Roman" w:eastAsia="Times New Roman" w:hAnsi="Times New Roman"/>
          <w:sz w:val="18"/>
          <w:szCs w:val="18"/>
          <w:color w:val="auto"/>
        </w:rPr>
      </w:pPr>
    </w:p>
    <w:p>
      <w:pPr>
        <w:ind w:left="1480" w:right="40" w:hanging="446"/>
        <w:spacing w:after="0" w:line="275" w:lineRule="auto"/>
        <w:tabs>
          <w:tab w:leader="none" w:pos="14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purity and commercial grade anhydrous ammonia, high purity AN, sulfuric acids, concentrated, blended and regular nitric acid, mixed nitrating acids, and diesel exhaust fluid for industrial applications, and</w:t>
      </w:r>
    </w:p>
    <w:p>
      <w:pPr>
        <w:spacing w:after="0" w:line="38"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grade AN and solutions for the mining industry.</w:t>
      </w:r>
    </w:p>
    <w:p>
      <w:pPr>
        <w:spacing w:after="0" w:line="171"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Our chemical production facilities are located in El Dorado, Arkansas; Cherokee, Alabama; Pryor, Oklahoma; and Baytown, Texas. Sales to customers of this segment primarily include farmers, ranchers, fertilizer dealers and distributors primarily in the ranch land and grain production markets in the United States; industrial users of acids throughout the United States and parts of Canada; and explosive manufacturers in the United States.</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300"/>
          </w:cols>
          <w:pgMar w:left="240" w:top="455" w:right="35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Segment Information (continued)</w:t>
      </w:r>
    </w:p>
    <w:p>
      <w:pPr>
        <w:spacing w:after="0" w:line="160"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The Pryor Facility began limited production in the first quarter of 2010 but did not reach sustained production of anhydrous ammonia until the fourth quarter of 2010. Currently, this facility’s production is predominantly agricultural products, primarily UAN and anhydrous ammonia.</w:t>
      </w:r>
    </w:p>
    <w:p>
      <w:pPr>
        <w:spacing w:after="0" w:line="1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2012, our Chemical Business encountered a number of significant issues including an explosion in one of our nitric acid plants at the El Dorado Facility in May, a pipe rupture that damaged the ammonia plant at the Cherokee Facility in November and numerous mechanical issues at the Pryor Facility, all resulting in lost production and significant adverse effects on 2012 sales and operating income. Also see Note 17 – Property and Business Interruption Insurance Claims and Recovery.</w:t>
      </w:r>
    </w:p>
    <w:p>
      <w:pPr>
        <w:spacing w:after="0" w:line="13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See Note 2—Acquisition of Working Interest in Natural Gas Properties for the discussion of an acquisition of working interests in certain natural gas properties by a subsidiary within our Chemical Business. Since our Chemical Business purchases a significant amount of natural gas as a feedstock for the production of anhydrous ammonia, management considers this acquisition as an economic hedge against a potential rise in natural gas prices in the future for a portion of our future natural gas production requirements. We report the working interests as part of the Chemical Business reportable segment. All of our natural gas producing activities are within the United States (in Pennsylvania).</w:t>
      </w:r>
    </w:p>
    <w:p>
      <w:pPr>
        <w:spacing w:after="0" w:line="139"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As of December 31, 2012, our Chemical Business employed 508 persons, with 149 represented by unions under agreements, which will expire in July through November of 2013.</w:t>
      </w:r>
    </w:p>
    <w:p>
      <w:pPr>
        <w:spacing w:after="0" w:line="118" w:lineRule="exact"/>
        <w:rPr>
          <w:sz w:val="20"/>
          <w:szCs w:val="20"/>
          <w:color w:val="auto"/>
        </w:rPr>
      </w:pPr>
    </w:p>
    <w:p>
      <w:pPr>
        <w:ind w:right="80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Climate Control Business</w:t>
      </w:r>
      <w:r>
        <w:rPr>
          <w:rFonts w:ascii="Times New Roman" w:cs="Times New Roman" w:eastAsia="Times New Roman" w:hAnsi="Times New Roman"/>
          <w:sz w:val="18"/>
          <w:szCs w:val="18"/>
          <w:color w:val="auto"/>
        </w:rPr>
        <w:t>—The Climate Control Business segment manufactures and sells the following variety of heating, ventilation, and air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conditioning (“HVAC”) products:</w:t>
      </w:r>
    </w:p>
    <w:p>
      <w:pPr>
        <w:spacing w:after="0" w:line="37" w:lineRule="exact"/>
        <w:rPr>
          <w:sz w:val="20"/>
          <w:szCs w:val="20"/>
          <w:color w:val="auto"/>
        </w:rPr>
      </w:pPr>
    </w:p>
    <w:p>
      <w:pPr>
        <w:ind w:left="1480" w:hanging="446"/>
        <w:spacing w:after="0"/>
        <w:tabs>
          <w:tab w:leader="none" w:pos="14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geothermal and water source heat pumps,</w:t>
      </w:r>
    </w:p>
    <w:p>
      <w:pPr>
        <w:spacing w:after="0" w:line="9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hydronic fan coils, and</w:t>
      </w:r>
    </w:p>
    <w:p>
      <w:pPr>
        <w:spacing w:after="0" w:line="9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HVAC products including large custom air handlers, modular geothermal and other chillers and other products and services.</w:t>
      </w:r>
    </w:p>
    <w:p>
      <w:pPr>
        <w:spacing w:after="0" w:line="171" w:lineRule="exact"/>
        <w:rPr>
          <w:sz w:val="20"/>
          <w:szCs w:val="20"/>
          <w:color w:val="auto"/>
        </w:rPr>
      </w:pPr>
    </w:p>
    <w:p>
      <w:pPr>
        <w:ind w:right="120"/>
        <w:spacing w:after="0" w:line="310" w:lineRule="auto"/>
        <w:rPr>
          <w:sz w:val="20"/>
          <w:szCs w:val="20"/>
          <w:color w:val="auto"/>
        </w:rPr>
      </w:pPr>
      <w:r>
        <w:rPr>
          <w:rFonts w:ascii="Times New Roman" w:cs="Times New Roman" w:eastAsia="Times New Roman" w:hAnsi="Times New Roman"/>
          <w:sz w:val="16"/>
          <w:szCs w:val="16"/>
          <w:color w:val="auto"/>
        </w:rPr>
        <w:t>These HVAC products are primarily for use in commercial/institutional and residential new building construction, renovation of existing buildings and replacement of existing systems. Our various facilities located in Oklahoma City comprise substantially all of the Climate Control segment’s operations. Sales to customers of this segment primarily include original equipment manufacturers, contractors and independent sales representatives located throughout the world.</w:t>
      </w:r>
    </w:p>
    <w:p>
      <w:pPr>
        <w:spacing w:after="0" w:line="95" w:lineRule="exact"/>
        <w:rPr>
          <w:sz w:val="20"/>
          <w:szCs w:val="20"/>
          <w:color w:val="auto"/>
        </w:rPr>
      </w:pPr>
    </w:p>
    <w:p>
      <w:pPr>
        <w:ind w:right="28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18"/>
          <w:szCs w:val="18"/>
          <w:color w:val="auto"/>
        </w:rPr>
        <w:t>The business operation classified as “Other” primarily sells industrial machinery and related components to machine tool dealers and end users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located primarily in North America.</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420"/>
          </w:cols>
          <w:pgMar w:left="240" w:top="455" w:right="23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Segment Information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Financial Information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continuing operations in different business segments is detailed below.</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5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2012</w:t>
            </w: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2011</w:t>
            </w: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4"/>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Chemical:</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Agricultural products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217,329</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5"/>
              </w:rPr>
              <w:t>231,599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135,598</w:t>
            </w:r>
          </w:p>
        </w:tc>
        <w:tc>
          <w:tcPr>
            <w:tcW w:w="0" w:type="dxa"/>
            <w:vAlign w:val="bottom"/>
          </w:tcPr>
          <w:p>
            <w:pPr>
              <w:spacing w:after="0"/>
              <w:rPr>
                <w:sz w:val="1"/>
                <w:szCs w:val="1"/>
                <w:color w:val="auto"/>
              </w:rPr>
            </w:pPr>
          </w:p>
        </w:tc>
      </w:tr>
      <w:tr>
        <w:trPr>
          <w:trHeight w:val="216"/>
        </w:trPr>
        <w:tc>
          <w:tcPr>
            <w:tcW w:w="57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Industrial acids and other chemical products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162,498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5"/>
              </w:rPr>
              <w:t>161,776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5"/>
              </w:rPr>
              <w:t>126,846</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Mining products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96,538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5"/>
              </w:rPr>
              <w:t>118,479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88,642</w:t>
            </w:r>
          </w:p>
        </w:tc>
        <w:tc>
          <w:tcPr>
            <w:tcW w:w="0" w:type="dxa"/>
            <w:vAlign w:val="bottom"/>
          </w:tcPr>
          <w:p>
            <w:pPr>
              <w:spacing w:after="0"/>
              <w:rPr>
                <w:sz w:val="1"/>
                <w:szCs w:val="1"/>
                <w:color w:val="auto"/>
              </w:rPr>
            </w:pPr>
          </w:p>
        </w:tc>
      </w:tr>
      <w:tr>
        <w:trPr>
          <w:trHeight w:val="223"/>
        </w:trPr>
        <w:tc>
          <w:tcPr>
            <w:tcW w:w="57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Natural gas</w:t>
            </w:r>
          </w:p>
        </w:tc>
        <w:tc>
          <w:tcPr>
            <w:tcW w:w="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Chemical</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477,813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5"/>
              </w:rPr>
              <w:t>511,854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351,086</w:t>
            </w:r>
          </w:p>
        </w:tc>
        <w:tc>
          <w:tcPr>
            <w:tcW w:w="0" w:type="dxa"/>
            <w:vAlign w:val="bottom"/>
          </w:tcPr>
          <w:p>
            <w:pPr>
              <w:spacing w:after="0"/>
              <w:rPr>
                <w:sz w:val="1"/>
                <w:szCs w:val="1"/>
                <w:color w:val="auto"/>
              </w:rPr>
            </w:pPr>
          </w:p>
        </w:tc>
      </w:tr>
      <w:tr>
        <w:trPr>
          <w:trHeight w:val="323"/>
        </w:trPr>
        <w:tc>
          <w:tcPr>
            <w:tcW w:w="5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Climate Control:</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7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Geothermal and water source heat pumps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162,697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5"/>
              </w:rPr>
              <w:t>183,789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171,561</w:t>
            </w:r>
          </w:p>
        </w:tc>
        <w:tc>
          <w:tcPr>
            <w:tcW w:w="0" w:type="dxa"/>
            <w:vAlign w:val="bottom"/>
          </w:tcPr>
          <w:p>
            <w:pPr>
              <w:spacing w:after="0"/>
              <w:rPr>
                <w:sz w:val="1"/>
                <w:szCs w:val="1"/>
                <w:color w:val="auto"/>
              </w:rPr>
            </w:pPr>
          </w:p>
        </w:tc>
      </w:tr>
      <w:tr>
        <w:trPr>
          <w:trHeight w:val="216"/>
        </w:trPr>
        <w:tc>
          <w:tcPr>
            <w:tcW w:w="57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Hydronic fan coils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55,812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54,379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37,923</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Other HVAC products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47,662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43,397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41,037</w:t>
            </w:r>
          </w:p>
        </w:tc>
        <w:tc>
          <w:tcPr>
            <w:tcW w:w="0" w:type="dxa"/>
            <w:vAlign w:val="bottom"/>
          </w:tcPr>
          <w:p>
            <w:pPr>
              <w:spacing w:after="0"/>
              <w:rPr>
                <w:sz w:val="1"/>
                <w:szCs w:val="1"/>
                <w:color w:val="auto"/>
              </w:rPr>
            </w:pPr>
          </w:p>
        </w:tc>
      </w:tr>
      <w:tr>
        <w:trPr>
          <w:trHeight w:val="223"/>
        </w:trPr>
        <w:tc>
          <w:tcPr>
            <w:tcW w:w="5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Climate Control</w:t>
            </w:r>
          </w:p>
        </w:tc>
        <w:tc>
          <w:tcPr>
            <w:tcW w:w="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266,171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281,565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250,521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15,047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11,837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8,298</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759,031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805,256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609,905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Chemical</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97,692</w:t>
            </w:r>
          </w:p>
        </w:tc>
        <w:tc>
          <w:tcPr>
            <w:tcW w:w="2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5"/>
              </w:rPr>
              <w:t>130,687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49,295</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Climate Control</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80,981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88,178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86,364</w:t>
            </w:r>
          </w:p>
        </w:tc>
        <w:tc>
          <w:tcPr>
            <w:tcW w:w="0" w:type="dxa"/>
            <w:vAlign w:val="bottom"/>
          </w:tcPr>
          <w:p>
            <w:pPr>
              <w:spacing w:after="0"/>
              <w:rPr>
                <w:sz w:val="1"/>
                <w:szCs w:val="1"/>
                <w:color w:val="auto"/>
              </w:rPr>
            </w:pPr>
          </w:p>
        </w:tc>
      </w:tr>
      <w:tr>
        <w:trPr>
          <w:trHeight w:val="223"/>
        </w:trPr>
        <w:tc>
          <w:tcPr>
            <w:tcW w:w="5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5,063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183,736</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5"/>
              </w:rPr>
              <w:t>223,018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138,625</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8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Chemical</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82,101</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5"/>
              </w:rPr>
              <w:t>116,503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31,948</w:t>
            </w:r>
          </w:p>
        </w:tc>
        <w:tc>
          <w:tcPr>
            <w:tcW w:w="0" w:type="dxa"/>
            <w:vAlign w:val="bottom"/>
          </w:tcPr>
          <w:p>
            <w:pPr>
              <w:spacing w:after="0"/>
              <w:rPr>
                <w:sz w:val="1"/>
                <w:szCs w:val="1"/>
                <w:color w:val="auto"/>
              </w:rPr>
            </w:pPr>
          </w:p>
        </w:tc>
      </w:tr>
      <w:tr>
        <w:trPr>
          <w:trHeight w:val="216"/>
        </w:trPr>
        <w:tc>
          <w:tcPr>
            <w:tcW w:w="5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Climate Control</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25,834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32,759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35,338</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General corporate expenses and other business operations, net (1)</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(12,280)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(12,819)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(11,361)</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95,655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136,443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4,237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6,658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7,427</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Losses on extinguishment of debt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expense (income), net: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Chemical</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Climate Control</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Corporate and other business operations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Provisions for income taxes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33,594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46,208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19,787</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Equity in earnings of affiliate—Climate Control</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(681)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(1,003)</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58,786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83,984</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29,715</w:t>
            </w:r>
          </w:p>
        </w:tc>
        <w:tc>
          <w:tcPr>
            <w:tcW w:w="0" w:type="dxa"/>
            <w:vAlign w:val="bottom"/>
          </w:tcPr>
          <w:p>
            <w:pPr>
              <w:spacing w:after="0"/>
              <w:rPr>
                <w:sz w:val="1"/>
                <w:szCs w:val="1"/>
                <w:color w:val="auto"/>
              </w:rPr>
            </w:pPr>
          </w:p>
        </w:tc>
      </w:tr>
      <w:tr>
        <w:trPr>
          <w:trHeight w:val="20"/>
        </w:trPr>
        <w:tc>
          <w:tcPr>
            <w:tcW w:w="5780" w:type="dxa"/>
            <w:vAlign w:val="bottom"/>
            <w:vMerge w:val="restart"/>
          </w:tcPr>
          <w:p>
            <w:pPr>
              <w:ind w:left="4620"/>
              <w:spacing w:after="0"/>
              <w:rPr>
                <w:sz w:val="20"/>
                <w:szCs w:val="20"/>
                <w:color w:val="auto"/>
              </w:rPr>
            </w:pPr>
            <w:r>
              <w:rPr>
                <w:rFonts w:ascii="Times New Roman" w:cs="Times New Roman" w:eastAsia="Times New Roman" w:hAnsi="Times New Roman"/>
                <w:sz w:val="18"/>
                <w:szCs w:val="18"/>
                <w:color w:val="auto"/>
              </w:rPr>
              <w:t>F-46</w:t>
            </w: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78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5" w:right="115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Segment Information (continued)</w:t>
      </w:r>
    </w:p>
    <w:p>
      <w:pPr>
        <w:spacing w:after="0" w:line="160" w:lineRule="exact"/>
        <w:rPr>
          <w:sz w:val="20"/>
          <w:szCs w:val="20"/>
          <w:color w:val="auto"/>
        </w:rPr>
      </w:pPr>
    </w:p>
    <w:p>
      <w:pPr>
        <w:ind w:left="460" w:hanging="452"/>
        <w:spacing w:after="0"/>
        <w:tabs>
          <w:tab w:leader="none" w:pos="4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corporate expenses and other business operations, net consist of the following:</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2012</w:t>
            </w: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2011</w:t>
            </w: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4"/>
          </w:tcPr>
          <w:p>
            <w:pPr>
              <w:jc w:val="center"/>
              <w:spacing w:after="0" w:line="142" w:lineRule="exact"/>
              <w:rPr>
                <w:sz w:val="20"/>
                <w:szCs w:val="20"/>
                <w:color w:val="auto"/>
              </w:rPr>
            </w:pPr>
            <w:r>
              <w:rPr>
                <w:rFonts w:ascii="Times New Roman" w:cs="Times New Roman" w:eastAsia="Times New Roman" w:hAnsi="Times New Roman"/>
                <w:sz w:val="14"/>
                <w:szCs w:val="14"/>
                <w:color w:val="auto"/>
                <w:w w:val="96"/>
              </w:rPr>
              <w:t>(In Thousands)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profit-Other</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5,063</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4,153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Personnel costs</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(9,994)</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(7,865)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Professional fees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(4,117)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(3,784)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All other</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(3,568)</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(3,040)</w:t>
            </w: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Total selling, general and adminsitrative</w:t>
            </w: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(17,679)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4"/>
              </w:rPr>
              <w:t>(16,447)</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(14,689)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920" w:type="dxa"/>
            <w:vAlign w:val="bottom"/>
          </w:tcPr>
          <w:p>
            <w:pPr>
              <w:spacing w:after="0"/>
              <w:rPr>
                <w:sz w:val="9"/>
                <w:szCs w:val="9"/>
                <w:color w:val="auto"/>
              </w:rPr>
            </w:pPr>
          </w:p>
        </w:tc>
        <w:tc>
          <w:tcPr>
            <w:tcW w:w="6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394</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general corporate expenses and other business operations, net</w:t>
            </w:r>
          </w:p>
        </w:tc>
        <w:tc>
          <w:tcPr>
            <w:tcW w:w="9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(12,280)</w:t>
            </w:r>
          </w:p>
        </w:tc>
        <w:tc>
          <w:tcPr>
            <w:tcW w:w="11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(12,819)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(11,361)</w:t>
            </w: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Information about our PP&amp;E and total assets by business segment is detailed below:</w:t>
            </w: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48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2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2012</w:t>
            </w: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2"/>
              </w:rPr>
              <w:t>2011</w:t>
            </w: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4"/>
          </w:tcPr>
          <w:p>
            <w:pPr>
              <w:jc w:val="center"/>
              <w:ind w:right="40"/>
              <w:spacing w:after="0" w:line="142" w:lineRule="exact"/>
              <w:rPr>
                <w:sz w:val="20"/>
                <w:szCs w:val="20"/>
                <w:color w:val="auto"/>
              </w:rPr>
            </w:pPr>
            <w:r>
              <w:rPr>
                <w:rFonts w:ascii="Times New Roman" w:cs="Times New Roman" w:eastAsia="Times New Roman" w:hAnsi="Times New Roman"/>
                <w:sz w:val="14"/>
                <w:szCs w:val="14"/>
                <w:color w:val="auto"/>
                <w:w w:val="96"/>
              </w:rPr>
              <w:t>(In Thousands)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depletion and amortization of PP&amp;E:</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Chemical</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16,355</w:t>
            </w:r>
          </w:p>
        </w:tc>
        <w:tc>
          <w:tcPr>
            <w:tcW w:w="2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14,659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Climate Control</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4,250</w:t>
            </w:r>
          </w:p>
        </w:tc>
        <w:tc>
          <w:tcPr>
            <w:tcW w:w="220" w:type="dxa"/>
            <w:vAlign w:val="bottom"/>
            <w:tcBorders>
              <w:lef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Corporate assets and other</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depreciation, depletion and amortization of PP&amp;E</w:t>
            </w: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20,681</w:t>
            </w:r>
          </w:p>
        </w:tc>
        <w:tc>
          <w:tcPr>
            <w:tcW w:w="220" w:type="dxa"/>
            <w:vAlign w:val="bottom"/>
            <w:tcBorders>
              <w:left w:val="single" w:sz="8" w:color="CCEEFF"/>
            </w:tcBorders>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18,762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17,329</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Additions to PP&amp;E:</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spacing w:after="0"/>
              <w:rPr>
                <w:sz w:val="18"/>
                <w:szCs w:val="18"/>
                <w:color w:val="auto"/>
              </w:rPr>
            </w:pPr>
          </w:p>
        </w:tc>
        <w:tc>
          <w:tcPr>
            <w:tcW w:w="65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6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Chemical</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$141,399</w:t>
            </w:r>
          </w:p>
        </w:tc>
        <w:tc>
          <w:tcPr>
            <w:tcW w:w="220" w:type="dxa"/>
            <w:vAlign w:val="bottom"/>
            <w:tcBorders>
              <w:left w:val="single" w:sz="8" w:color="CCEEFF"/>
            </w:tcBorders>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39,835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Climate Control</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5,816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5,746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Corporate assets and other</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3,590</w:t>
            </w:r>
          </w:p>
        </w:tc>
        <w:tc>
          <w:tcPr>
            <w:tcW w:w="220" w:type="dxa"/>
            <w:vAlign w:val="bottom"/>
            <w:tcBorders>
              <w:lef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Total additions to PP&amp;E</w:t>
            </w: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7"/>
              </w:rPr>
              <w:t>$</w:t>
            </w:r>
            <w:r>
              <w:rPr>
                <w:rFonts w:ascii="Times New Roman" w:cs="Times New Roman" w:eastAsia="Times New Roman" w:hAnsi="Times New Roman"/>
                <w:sz w:val="18"/>
                <w:szCs w:val="18"/>
                <w:b w:val="1"/>
                <w:bCs w:val="1"/>
                <w:color w:val="auto"/>
                <w:w w:val="97"/>
              </w:rPr>
              <w:t>150,805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47,957</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at December 31: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Chemical</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$394,479</w:t>
            </w:r>
          </w:p>
        </w:tc>
        <w:tc>
          <w:tcPr>
            <w:tcW w:w="220" w:type="dxa"/>
            <w:vAlign w:val="bottom"/>
          </w:tcPr>
          <w:p>
            <w:pPr>
              <w:spacing w:after="0"/>
              <w:rPr>
                <w:sz w:val="18"/>
                <w:szCs w:val="18"/>
                <w:color w:val="auto"/>
              </w:rPr>
            </w:pPr>
          </w:p>
        </w:tc>
        <w:tc>
          <w:tcPr>
            <w:tcW w:w="11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$294,886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205,179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Climate Control</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139,526</w:t>
            </w:r>
          </w:p>
        </w:tc>
        <w:tc>
          <w:tcPr>
            <w:tcW w:w="220" w:type="dxa"/>
            <w:vAlign w:val="bottom"/>
            <w:tcBorders>
              <w:left w:val="single" w:sz="8" w:color="CCEEFF"/>
            </w:tcBorders>
            <w:shd w:val="clear" w:color="auto" w:fill="CCEEFF"/>
          </w:tcPr>
          <w:p>
            <w:pPr>
              <w:spacing w:after="0"/>
              <w:rPr>
                <w:sz w:val="18"/>
                <w:szCs w:val="18"/>
                <w:color w:val="auto"/>
              </w:rPr>
            </w:pPr>
          </w:p>
        </w:tc>
        <w:tc>
          <w:tcPr>
            <w:tcW w:w="118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160,515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150,635</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Corporate assets and other</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42,607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46,608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7"/>
              </w:rPr>
              <w:t>$</w:t>
            </w:r>
            <w:r>
              <w:rPr>
                <w:rFonts w:ascii="Times New Roman" w:cs="Times New Roman" w:eastAsia="Times New Roman" w:hAnsi="Times New Roman"/>
                <w:sz w:val="18"/>
                <w:szCs w:val="18"/>
                <w:b w:val="1"/>
                <w:bCs w:val="1"/>
                <w:color w:val="auto"/>
                <w:w w:val="97"/>
              </w:rPr>
              <w:t>576,612</w:t>
            </w:r>
          </w:p>
        </w:tc>
        <w:tc>
          <w:tcPr>
            <w:tcW w:w="220" w:type="dxa"/>
            <w:vAlign w:val="bottom"/>
            <w:tcBorders>
              <w:left w:val="single" w:sz="8" w:color="CCEEFF"/>
            </w:tcBorders>
            <w:shd w:val="clear" w:color="auto" w:fill="CCEEFF"/>
          </w:tcPr>
          <w:p>
            <w:pPr>
              <w:spacing w:after="0"/>
              <w:rPr>
                <w:sz w:val="18"/>
                <w:szCs w:val="18"/>
                <w:color w:val="auto"/>
              </w:rPr>
            </w:pPr>
          </w:p>
        </w:tc>
        <w:tc>
          <w:tcPr>
            <w:tcW w:w="118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502,009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387,981</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firstLine="8"/>
        <w:spacing w:after="0" w:line="262" w:lineRule="auto"/>
        <w:tabs>
          <w:tab w:leader="none" w:pos="28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2012, we changed the methodology of allocating our cash, cash equivalents and short-term investment balances to our operating segments. As a result of this change, the assets balances by business segment at December 31, 2011 and 2010 have been reclassified to conform to the methodology utilized at December 31, 2012.</w:t>
      </w:r>
    </w:p>
    <w:p>
      <w:pPr>
        <w:spacing w:after="0" w:line="132"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Net sales by business segment include net sales to unaffiliated customers as reported in the consolidated financial statements. Net sales classified as “Other” consist of sales of industrial machinery and related components. Intersegment net sales are not significant.</w:t>
      </w:r>
    </w:p>
    <w:p>
      <w:pPr>
        <w:spacing w:after="0" w:line="120"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Gross profit by business segment represents net sales less cost of sales. Gross profit classified as “Other” relates to the sales of industrial machinery and related components.</w:t>
      </w:r>
    </w:p>
    <w:p>
      <w:pPr>
        <w:spacing w:after="0" w:line="12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chief operating decision makers use operating income by business segment for purposes of making decisions that include resource allocations and performance evaluations. Operating income by business segment represents gross profit by business segment less SG&amp;A incurred by each business segment plus other income and other expense earned/incurred by each business segment before general corporate expenses and other business operations, net. General corporate expenses and other business operations, net consist of unallocated portions of gross profit, SG&amp;A, other income and other expense.</w:t>
      </w:r>
    </w:p>
    <w:p>
      <w:pPr>
        <w:spacing w:after="0" w:line="1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360"/>
          </w:cols>
          <w:pgMar w:left="240" w:top="455" w:right="29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Segment Information (continued)</w:t>
      </w:r>
    </w:p>
    <w:p>
      <w:pPr>
        <w:spacing w:after="0" w:line="160"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Identifiable assets by business segment are those assets used in the operations of each business. Corporate assets and other are those principally owned by LSB or by subsidiaries not involved in the two identified businesses.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net sales and long-lived assets relate to domestic operations for the periods presented.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to unaffiliated customers are to U.S. customers except foreign export sales as follows:</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72"/>
        </w:trPr>
        <w:tc>
          <w:tcPr>
            <w:tcW w:w="1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Geographic Area</w:t>
            </w:r>
          </w:p>
        </w:tc>
        <w:tc>
          <w:tcPr>
            <w:tcW w:w="636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40" w:type="dxa"/>
            <w:vAlign w:val="bottom"/>
            <w:gridSpan w:val="2"/>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2011</w:t>
            </w:r>
          </w:p>
        </w:tc>
        <w:tc>
          <w:tcPr>
            <w:tcW w:w="460" w:type="dxa"/>
            <w:vAlign w:val="bottom"/>
          </w:tcPr>
          <w:p>
            <w:pPr>
              <w:spacing w:after="0"/>
              <w:rPr>
                <w:sz w:val="14"/>
                <w:szCs w:val="14"/>
                <w:color w:val="auto"/>
              </w:rPr>
            </w:pP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14"/>
                <w:szCs w:val="14"/>
                <w:color w:val="auto"/>
              </w:rPr>
            </w:pPr>
          </w:p>
        </w:tc>
      </w:tr>
      <w:tr>
        <w:trPr>
          <w:trHeight w:val="149"/>
        </w:trPr>
        <w:tc>
          <w:tcPr>
            <w:tcW w:w="1040" w:type="dxa"/>
            <w:vAlign w:val="bottom"/>
            <w:tcBorders>
              <w:top w:val="single" w:sz="8" w:color="auto"/>
            </w:tcBorders>
          </w:tcPr>
          <w:p>
            <w:pPr>
              <w:spacing w:after="0"/>
              <w:rPr>
                <w:sz w:val="12"/>
                <w:szCs w:val="12"/>
                <w:color w:val="auto"/>
              </w:rPr>
            </w:pPr>
          </w:p>
        </w:tc>
        <w:tc>
          <w:tcPr>
            <w:tcW w:w="57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(In Thousands)</w:t>
            </w: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6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$21,079</w:t>
            </w:r>
          </w:p>
        </w:tc>
        <w:tc>
          <w:tcPr>
            <w:tcW w:w="15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$23,765</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$19,345</w:t>
            </w:r>
          </w:p>
        </w:tc>
        <w:tc>
          <w:tcPr>
            <w:tcW w:w="100" w:type="dxa"/>
            <w:vAlign w:val="bottom"/>
            <w:shd w:val="clear" w:color="auto" w:fill="CCEEFF"/>
          </w:tcPr>
          <w:p>
            <w:pPr>
              <w:spacing w:after="0"/>
              <w:rPr>
                <w:sz w:val="18"/>
                <w:szCs w:val="18"/>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57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11,091</w:t>
            </w:r>
          </w:p>
        </w:tc>
        <w:tc>
          <w:tcPr>
            <w:tcW w:w="46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12,450</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12,511</w:t>
            </w:r>
          </w:p>
        </w:tc>
        <w:tc>
          <w:tcPr>
            <w:tcW w:w="100" w:type="dxa"/>
            <w:vAlign w:val="bottom"/>
          </w:tcPr>
          <w:p>
            <w:pPr>
              <w:spacing w:after="0"/>
              <w:rPr>
                <w:sz w:val="18"/>
                <w:szCs w:val="18"/>
                <w:color w:val="auto"/>
              </w:rPr>
            </w:pPr>
          </w:p>
        </w:tc>
      </w:tr>
      <w:tr>
        <w:trPr>
          <w:trHeight w:val="27"/>
        </w:trPr>
        <w:tc>
          <w:tcPr>
            <w:tcW w:w="10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040" w:type="dxa"/>
            <w:vAlign w:val="bottom"/>
            <w:shd w:val="clear" w:color="auto" w:fill="CCEEFF"/>
          </w:tcPr>
          <w:p>
            <w:pPr>
              <w:spacing w:after="0"/>
              <w:rPr>
                <w:sz w:val="18"/>
                <w:szCs w:val="18"/>
                <w:color w:val="auto"/>
              </w:rPr>
            </w:pPr>
          </w:p>
        </w:tc>
        <w:tc>
          <w:tcPr>
            <w:tcW w:w="57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5"/>
              </w:rPr>
              <w:t>$</w:t>
            </w:r>
            <w:r>
              <w:rPr>
                <w:rFonts w:ascii="Times New Roman" w:cs="Times New Roman" w:eastAsia="Times New Roman" w:hAnsi="Times New Roman"/>
                <w:sz w:val="18"/>
                <w:szCs w:val="18"/>
                <w:b w:val="1"/>
                <w:bCs w:val="1"/>
                <w:color w:val="auto"/>
                <w:w w:val="95"/>
              </w:rPr>
              <w:t>32,170</w:t>
            </w: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36,215</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31,856</w:t>
            </w:r>
          </w:p>
        </w:tc>
        <w:tc>
          <w:tcPr>
            <w:tcW w:w="100" w:type="dxa"/>
            <w:vAlign w:val="bottom"/>
            <w:shd w:val="clear" w:color="auto" w:fill="CCEEFF"/>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general, foreign export sales are attributed based upon the location of the customer.</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Major Customer</w:t>
      </w:r>
    </w:p>
    <w:p>
      <w:pPr>
        <w:spacing w:after="0" w:line="92"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Net sales to one customer, Orica, of our Chemical Business segment represented approximately 9%, 11% and 11% of our total net sales for 2012, 2011 and 2010, respectively. See discussion concerning the supply agreement in Note 12 – Commitments and Contingencies.</w:t>
      </w:r>
    </w:p>
    <w:p>
      <w:pPr>
        <w:spacing w:after="0" w:line="199" w:lineRule="exact"/>
        <w:rPr>
          <w:sz w:val="20"/>
          <w:szCs w:val="20"/>
          <w:color w:val="auto"/>
        </w:rPr>
      </w:pPr>
    </w:p>
    <w:p>
      <w:pPr>
        <w:ind w:right="9100" w:firstLine="8"/>
        <w:spacing w:after="0" w:line="345" w:lineRule="auto"/>
        <w:tabs>
          <w:tab w:leader="none" w:pos="263"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 Golsen Group</w:t>
      </w:r>
    </w:p>
    <w:p>
      <w:pPr>
        <w:spacing w:after="0" w:line="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In January 2010, we paid interest of $137,500 relating to $5,000,000 of the 2007 Debentures held by the Golsen Group that was accrued at December 31, 2009. In March 2010, we paid dividends totaling $300,000 on our Series B Preferred and our Series D Preferred. During 2010, we incurred interest expense of $275,000 relating to the debentures held by the Golsen Group, of which $137,500 was accrued at December 31, 2010 and paid in January 2011.</w:t>
      </w:r>
    </w:p>
    <w:p>
      <w:pPr>
        <w:spacing w:after="0" w:line="13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March 2011, we paid dividends totaling $300,000 on our Series B Preferred and our Series D Preferred. In March 2011, the Golsen Group sold $3,000,000 of the 2007 Debentures it held to a third party. In July 2011, the Golsen Group converted $2,000,000 of the 2007 Debentures into 72,800 shares of LSB common stock in accordance with the terms of the 2007 Debentures. During 2011, we incurred interest expense of $60,500 relating to the $2,000,000 of the 2007 Debentures that was held by the Golsen Group, of which $55,000 was paid in June 2011 and the remaining amount was forfeited and credited to capital in excess of par value as the result of the conversion. In addition in July 2011, the Golsen Group converted an $8,000 convertible promissory note into 4,000 shares of LSB common stock in accordance with the terms of such note.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March 2012, we paid dividends totaling $300,000 on our Series B Preferred and our Series D Preferred.</w:t>
      </w:r>
    </w:p>
    <w:p>
      <w:pPr>
        <w:spacing w:after="0" w:line="171"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The Series B Preferred and Series D Preferred are non-redeemable preferred stocks issued in 1986 and 2001, respectively, of which all outstanding shares are owned by the Golsen Group.</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420"/>
          </w:cols>
          <w:pgMar w:left="240" w:top="455" w:right="23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Related Party Transactions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Landmark Transactions</w:t>
      </w:r>
    </w:p>
    <w:p>
      <w:pPr>
        <w:spacing w:after="0" w:line="9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As approved by a special committee of our board of directors, in May 2011, Prime Financial L.L.C. (“Prime”), a subsidiary of LSB, entered into an agreement (the “First Purchase Agreement”) to purchase from Landmark Land Company, Inc. (“Landmark”) certain undeveloped real estate located in Oklahoma City, Oklahoma (the “Oklahoma Real Estate”) for the purchase price of $2,250,000, which transaction was consummated in June 2011. The First Purchase Agreement grants Prime put options to sell the Oklahoma Real Estate to Landmark or to Gerald G. Barton (“Barton”), who is the chief executive officer and a substantial stockholder of Landmark. The put option may be exercised during the sixth year following Prime’s purchase of the Oklahoma Real Estate. If a put option is exercised, the purchase price for the Oklahoma Real Estate will be $2,250,000, plus a premium equal to a simple 10% annual return on the purchase price beginning as of the closing of the First Purchase Agreement, subject to certain adjustments. For financial reporting purposes, no value from the purchase price was allocated to the put options because the appraised value of the Oklahoma Real Estate exceeded the purchase price.</w:t>
      </w:r>
    </w:p>
    <w:p>
      <w:pPr>
        <w:spacing w:after="0" w:line="13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As approved by a special committee of our board of directors and pursuant to an agreement (the “Second Purchase Agreement”) entered into in September 2011, effective February 7, 2012, Prime purchased from Landmark certain undeveloped real estate located in Laguna Vista, Texas (the “Texas Real Estate”) for the purchase price of approximately $2,500,000. The Second Purchase Agreement grants Prime put options to sell the Texas Real Estate to Landmark or to Gerald G. Barton (“Barton”), who is the chief executive officer and a substantial stockholder of Landmark. Prime may exercise a put option during the sixth year following Prime’s purchase of the Texas Real Estate. If a put option is exercised, the purchase price for the Texas Real Estate will be based on the original purchase price, plus a premium equal to a simple 10% annual return on the original purchase price beginning as of the closing of the Second Purchase Agreement, subject to certain adjustments. The Second Purchase Agreement also grants Prime warrants to purchase up to 1,000,000 shares of Landmark’s common stock, at $1.00 per share. The right of Prime to acquire Landmark shares under any unexercised warrants shall terminate on the completed exercise of the put options. Also Landmark entered into a separate agreement (“GHP Use Agreement”) to use its reasonable efforts to use, where technically feasible, geothermal heating and air conditioning units manufactured by one of LSB’s subsidiaries on other Landmark properties in the development where the Texas Real Estate is located. For financial reporting purposes, no value from the purchase price was allocated to the put options or the GHP Use Agreement primarily because the estimated market value of the Texas Real Estate exceeded the purchase price and a minimal value from the purchase price was allocated to the warrants primarily because Landmark’s common stock is lightly traded on the Over-the-Counter Bulletin Board with a minimal price per share (Landmark’s average closing price per share was approximately $0.11 over the twelve-month period ended February 7, 2012).</w:t>
      </w:r>
    </w:p>
    <w:p>
      <w:pPr>
        <w:spacing w:after="0" w:line="14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Golsen and another individual previously formed a limited liability company (“LLC”), and each contributed $1,000,000 to the LLC. The LLC subsequently loaned Landmark approximately $2,000,000. In March 2011, Golsen sold his membership interest in the LLC to Barton in consideration for a promissory note in the principal amount of approximately $1,100,000, representing the amount that Golsen had invested in the LLC, plus interest (the “Barton Note”). The Barton Note was due and payable in June 2011. Pursuant to the terms of the First and Second Purchase Agreements, until the expiration of the put options, no payment will be made on the Barton Note and payment of the amounts owing under the Barton Note will be subordinate to any amounts owing Prime upon the exercise of a put option. Further, Golsen has agreed under the Second Purchase Agreement that no portion of the purchase price shall be used by Landmark to repay any indebtedness owing to Golsen.</w:t>
      </w:r>
    </w:p>
    <w:p>
      <w:pPr>
        <w:spacing w:after="0" w:line="14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Bernard Ille, one of our directors, served as a director of Landmark for many years until he resigned in March 2011. In light of the Barton Note and Mr. Ille’s past relationship with Landmark, our board of directors appointed a special committee for the purpose of reviewing and determining whether the LSB should purchase the Oklahoma and Texas Real Estate. The special committee believed, based on an analysis of a real estate consultant, that the price that we were to pay for the properties approximated the market value, and also believed that these properties, when developed, have the potential to establish a model geothermal community.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Subsequent Events (Unaudited)</w:t>
      </w:r>
    </w:p>
    <w:p>
      <w:pPr>
        <w:spacing w:after="0" w:line="9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Dividends Declared on Preferred Stock—In January 2013, our board of directors declared dividends totaling $300,000 on our Series B Preferred and our Series D Preferred, payable on March 29, 2013. The Series B Preferred and Series D Preferred are non-redeemable preferred stocks issued in 1986 and 2001, respectively, of which all outstanding shares are owned by the Golsen Group.</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380"/>
          </w:cols>
          <w:pgMar w:left="240" w:top="455" w:right="27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Subsequent Events (Unaudited) (continued)</w:t>
      </w:r>
    </w:p>
    <w:p>
      <w:pPr>
        <w:spacing w:after="0" w:line="160"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Receipt of Insurance Recovery Payments – In January 2013, we received $20 million of the unallocated payments approved by our insurance carriers relating to our property and business interruption claims associated with the El Dorado Facility as discussed in Note 17 – Property and Business Interruption Claims and Recovery.</w:t>
      </w:r>
    </w:p>
    <w:p>
      <w:pPr>
        <w:spacing w:after="0" w:line="132"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Income Tax Benefit—In connection with the American Taxpayer Relief Act of 2012 that was signed into law in January 2013, we expect to record a one-time benefit of approximately $450,000 related to the retroactive tax relief for certain tax provisions that expired in 2012. Because the legislation was signed into law after December 31, 2012, the retroactive effects of the law will be reflected in the first quarter of 2013.</w:t>
      </w:r>
    </w:p>
    <w:p>
      <w:pPr>
        <w:spacing w:after="0" w:line="13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Loan Agreement—On February 1, 2013, Zena Energy LLC (“Zena”), a subsidiary within our Chemical Business, entered into a loan with a lender in the original principal amount of $35 million. This loan follows the acquisition by Zena of Working Interests as discussed in Note 2 – Acquisition of Working Interests in Natural Gas Properties. The proceeds of the loan effectively finance $35 million of the approximately $50 million purchase price of the Working Interests paid previously out of LSB’s working capital. The proceeds of the loan will be used for general working capital purposes. The loan is for a term of three years. Interest is payable monthly based on a five-year amortization at a defined LIBOR rate plus 300 basis points (but not below 3.00% per annum), resulting in a borrowing rate of approximately 3.30% at February 1, 2013. The loan is secured by the Working Interests and related properties and proceeds. In addition, LSB has guaranteed the payment of the loan.</w:t>
      </w:r>
    </w:p>
    <w:p>
      <w:pPr>
        <w:spacing w:after="0" w:line="14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ODEQ Investigation of the Pryor Facility – As discussed in Note 12 – Commitments and Contingencies, one of our subsidiaries, PCC, within our Chemical Business, has been advised that the ODEQ is conducting an investigation into whether the Pryor Facility was in compliance with certain rules and regulations of the ODEQ and whether the Pryor Facility’s reports of certain air emissions relating primarily to 2011 were intentionally reported incorrectly to the ODEQ. Pursuant to the request of the ODEQ, PCC has submitted information and a report to the ODEQ as to the reports filed by the Pryor Facility relating to the air emissions in question and has and continues to cooperate with the ODEQ in connection with this investigation. However, on February 20, 2013, investigators with the ODEQ obtained documents from the Pryor Facility in connection with this investigation pursuant to a search warrant and interviewed several employees at the facility. Each of the Company and PCC has received a subpoena, upon the application of the Attorney General of the State of Oklahoma, for documents relating to this matter. As of the date of this report, we are not aware of any recommendations made or to be made by the ODEQ with respect to formal legal action to be taken or recommended as a result of the pending investigation.</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380"/>
          </w:cols>
          <w:pgMar w:left="240" w:top="455" w:right="27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Supplementary Financial Data</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Quarterly Financial Data (Unaudited)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5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500" w:type="dxa"/>
            <w:vAlign w:val="bottom"/>
            <w:tcBorders>
              <w:top w:val="single" w:sz="8" w:color="auto"/>
            </w:tcBorders>
            <w:gridSpan w:val="9"/>
          </w:tcPr>
          <w:p>
            <w:pPr>
              <w:ind w:left="40"/>
              <w:spacing w:after="0" w:line="142" w:lineRule="exact"/>
              <w:rPr>
                <w:sz w:val="20"/>
                <w:szCs w:val="20"/>
                <w:color w:val="auto"/>
              </w:rPr>
            </w:pPr>
            <w:r>
              <w:rPr>
                <w:rFonts w:ascii="Times New Roman" w:cs="Times New Roman" w:eastAsia="Times New Roman" w:hAnsi="Times New Roman"/>
                <w:sz w:val="14"/>
                <w:szCs w:val="14"/>
                <w:color w:val="auto"/>
              </w:rPr>
              <w:t>(In Thousands, Except Per Share Amounts)</w:t>
            </w: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2012 (1)</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5"/>
              </w:rPr>
              <w:t>190,245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209,275</w:t>
            </w:r>
          </w:p>
        </w:tc>
        <w:tc>
          <w:tcPr>
            <w:tcW w:w="140" w:type="dxa"/>
            <w:vAlign w:val="bottom"/>
          </w:tcPr>
          <w:p>
            <w:pPr>
              <w:spacing w:after="0"/>
              <w:rPr>
                <w:sz w:val="18"/>
                <w:szCs w:val="18"/>
                <w:color w:val="auto"/>
              </w:rPr>
            </w:pP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182,374</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(2)</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44,444</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65,735</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33,187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from continuing operations (2)</w:t>
            </w:r>
          </w:p>
        </w:tc>
        <w:tc>
          <w:tcPr>
            <w:tcW w:w="2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40" w:type="dxa"/>
            <w:vAlign w:val="bottom"/>
            <w:vMerge w:val="continue"/>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14,324</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3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9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14,303</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26,033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6,708</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applicable to common stock</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14,003</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26,033</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6,708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per common share:</w:t>
            </w:r>
          </w:p>
        </w:tc>
        <w:tc>
          <w:tcPr>
            <w:tcW w:w="2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40" w:type="dxa"/>
            <w:vAlign w:val="bottom"/>
            <w:vMerge w:val="continue"/>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Basic:</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Pr>
          <w:p>
            <w:pPr>
              <w:spacing w:after="0"/>
              <w:rPr>
                <w:sz w:val="18"/>
                <w:szCs w:val="18"/>
                <w:color w:val="auto"/>
              </w:rPr>
            </w:pP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0.30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5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Net income</w:t>
            </w:r>
          </w:p>
        </w:tc>
        <w:tc>
          <w:tcPr>
            <w:tcW w:w="29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Diluted:</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0.28</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5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Net income</w:t>
            </w:r>
          </w:p>
        </w:tc>
        <w:tc>
          <w:tcPr>
            <w:tcW w:w="29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2011</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5"/>
              </w:rPr>
              <w:t>177,493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235,619</w:t>
            </w:r>
          </w:p>
        </w:tc>
        <w:tc>
          <w:tcPr>
            <w:tcW w:w="140" w:type="dxa"/>
            <w:vAlign w:val="bottom"/>
          </w:tcPr>
          <w:p>
            <w:pPr>
              <w:spacing w:after="0"/>
              <w:rPr>
                <w:sz w:val="18"/>
                <w:szCs w:val="18"/>
                <w:color w:val="auto"/>
              </w:rPr>
            </w:pP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176,780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(2)</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53,854</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72,086</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34,257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from continuing operations (2)</w:t>
            </w:r>
          </w:p>
        </w:tc>
        <w:tc>
          <w:tcPr>
            <w:tcW w:w="2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40" w:type="dxa"/>
            <w:vAlign w:val="bottom"/>
            <w:vMerge w:val="continue"/>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20,960</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6,324</w:t>
            </w:r>
          </w:p>
        </w:tc>
        <w:tc>
          <w:tcPr>
            <w:tcW w:w="3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9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20,903</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6,306</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applicable to common stock</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20,598</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28,645</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6,306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per common share:</w:t>
            </w:r>
          </w:p>
        </w:tc>
        <w:tc>
          <w:tcPr>
            <w:tcW w:w="2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40" w:type="dxa"/>
            <w:vAlign w:val="bottom"/>
            <w:vMerge w:val="continue"/>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Basic:</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tcPr>
          <w:p>
            <w:pPr>
              <w:spacing w:after="0"/>
              <w:rPr>
                <w:sz w:val="18"/>
                <w:szCs w:val="18"/>
                <w:color w:val="auto"/>
              </w:rPr>
            </w:pP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0.28</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5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Net income</w:t>
            </w:r>
          </w:p>
        </w:tc>
        <w:tc>
          <w:tcPr>
            <w:tcW w:w="29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Diluted:</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tcPr>
          <w:p>
            <w:pPr>
              <w:spacing w:after="0"/>
              <w:rPr>
                <w:sz w:val="18"/>
                <w:szCs w:val="18"/>
                <w:color w:val="auto"/>
              </w:rPr>
            </w:pP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0.27</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5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Net income</w:t>
            </w:r>
          </w:p>
        </w:tc>
        <w:tc>
          <w:tcPr>
            <w:tcW w:w="29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540" w:type="dxa"/>
            <w:vAlign w:val="bottom"/>
          </w:tcPr>
          <w:p>
            <w:pPr>
              <w:spacing w:after="0"/>
              <w:rPr>
                <w:sz w:val="24"/>
                <w:szCs w:val="24"/>
                <w:color w:val="auto"/>
              </w:rPr>
            </w:pPr>
          </w:p>
        </w:tc>
        <w:tc>
          <w:tcPr>
            <w:tcW w:w="3040" w:type="dxa"/>
            <w:vAlign w:val="bottom"/>
            <w:gridSpan w:val="2"/>
          </w:tcPr>
          <w:p>
            <w:pPr>
              <w:jc w:val="right"/>
              <w:ind w:right="1614"/>
              <w:spacing w:after="0"/>
              <w:rPr>
                <w:sz w:val="20"/>
                <w:szCs w:val="20"/>
                <w:color w:val="auto"/>
              </w:rPr>
            </w:pPr>
            <w:r>
              <w:rPr>
                <w:rFonts w:ascii="Times New Roman" w:cs="Times New Roman" w:eastAsia="Times New Roman" w:hAnsi="Times New Roman"/>
                <w:sz w:val="18"/>
                <w:szCs w:val="18"/>
                <w:color w:val="auto"/>
              </w:rPr>
              <w:t>F-51</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Supplementary Financial Data</w:t>
      </w:r>
    </w:p>
    <w:p>
      <w:pPr>
        <w:spacing w:after="0" w:line="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Quarterly Financial Data (Unaudited) (continued)</w:t>
      </w:r>
    </w:p>
    <w:p>
      <w:pPr>
        <w:spacing w:after="0" w:line="158" w:lineRule="exact"/>
        <w:rPr>
          <w:sz w:val="20"/>
          <w:szCs w:val="20"/>
          <w:color w:val="auto"/>
        </w:rPr>
      </w:pPr>
    </w:p>
    <w:p>
      <w:pPr>
        <w:ind w:left="460" w:hanging="452"/>
        <w:spacing w:after="0" w:line="255" w:lineRule="auto"/>
        <w:tabs>
          <w:tab w:leader="none" w:pos="4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2012, our Chemical Business encountered a number of significant issues including an explosion in one of our nitric acid plants at the El Dorado Facility in May, a pipe rupture that damaged the ammonia plant at the Cherokee Facility in November and numerous mechanical issues at the Pryor Facility, all resulting in lost production and significant adverse effect on 2012 operating results.</w:t>
      </w:r>
    </w:p>
    <w:p>
      <w:pPr>
        <w:ind w:left="460" w:hanging="452"/>
        <w:spacing w:after="0"/>
        <w:tabs>
          <w:tab w:leader="none" w:pos="4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items increased gross profit and income from continuing operations: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40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3"/>
              </w:rPr>
              <w:t>March 31</w:t>
            </w:r>
          </w:p>
        </w:tc>
        <w:tc>
          <w:tcPr>
            <w:tcW w:w="600" w:type="dxa"/>
            <w:vAlign w:val="bottom"/>
          </w:tcPr>
          <w:p>
            <w:pPr>
              <w:spacing w:after="0"/>
              <w:rPr>
                <w:sz w:val="14"/>
                <w:szCs w:val="14"/>
                <w:color w:val="auto"/>
              </w:rPr>
            </w:pPr>
          </w:p>
        </w:tc>
        <w:tc>
          <w:tcPr>
            <w:tcW w:w="5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June 30</w:t>
            </w:r>
          </w:p>
        </w:tc>
        <w:tc>
          <w:tcPr>
            <w:tcW w:w="60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2"/>
              </w:rPr>
              <w:t>September 30</w:t>
            </w:r>
          </w:p>
        </w:tc>
        <w:tc>
          <w:tcPr>
            <w:tcW w:w="62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40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40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000" w:type="dxa"/>
            <w:vAlign w:val="bottom"/>
            <w:shd w:val="clear" w:color="auto" w:fill="CCEEFF"/>
          </w:tcPr>
          <w:p>
            <w:pPr>
              <w:jc w:val="right"/>
              <w:ind w:right="992"/>
              <w:spacing w:after="0"/>
              <w:rPr>
                <w:sz w:val="20"/>
                <w:szCs w:val="20"/>
                <w:color w:val="auto"/>
              </w:rPr>
            </w:pPr>
            <w:r>
              <w:rPr>
                <w:rFonts w:ascii="Times New Roman" w:cs="Times New Roman" w:eastAsia="Times New Roman" w:hAnsi="Times New Roman"/>
                <w:sz w:val="18"/>
                <w:szCs w:val="18"/>
                <w:color w:val="auto"/>
                <w:w w:val="96"/>
              </w:rPr>
              <w:t>Business interruption insurance recovery:</w:t>
            </w:r>
          </w:p>
        </w:tc>
        <w:tc>
          <w:tcPr>
            <w:tcW w:w="1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00" w:type="dxa"/>
            <w:vAlign w:val="bottom"/>
          </w:tcPr>
          <w:p>
            <w:pPr>
              <w:jc w:val="right"/>
              <w:ind w:right="3112"/>
              <w:spacing w:after="0"/>
              <w:rPr>
                <w:sz w:val="20"/>
                <w:szCs w:val="20"/>
                <w:color w:val="auto"/>
              </w:rPr>
            </w:pPr>
            <w:r>
              <w:rPr>
                <w:rFonts w:ascii="Times New Roman" w:cs="Times New Roman" w:eastAsia="Times New Roman" w:hAnsi="Times New Roman"/>
                <w:sz w:val="18"/>
                <w:szCs w:val="18"/>
                <w:color w:val="auto"/>
              </w:rPr>
              <w:t>2012</w:t>
            </w:r>
          </w:p>
        </w:tc>
        <w:tc>
          <w:tcPr>
            <w:tcW w:w="21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7,300</w:t>
            </w:r>
          </w:p>
        </w:tc>
        <w:tc>
          <w:tcPr>
            <w:tcW w:w="100" w:type="dxa"/>
            <w:vAlign w:val="bottom"/>
          </w:tcPr>
          <w:p>
            <w:pPr>
              <w:spacing w:after="0"/>
              <w:rPr>
                <w:sz w:val="18"/>
                <w:szCs w:val="18"/>
                <w:color w:val="auto"/>
              </w:rPr>
            </w:pPr>
          </w:p>
        </w:tc>
      </w:tr>
      <w:tr>
        <w:trPr>
          <w:trHeight w:val="20"/>
        </w:trPr>
        <w:tc>
          <w:tcPr>
            <w:tcW w:w="40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000" w:type="dxa"/>
            <w:vAlign w:val="bottom"/>
            <w:shd w:val="clear" w:color="auto" w:fill="CCEEFF"/>
          </w:tcPr>
          <w:p>
            <w:pPr>
              <w:jc w:val="right"/>
              <w:ind w:right="3132"/>
              <w:spacing w:after="0"/>
              <w:rPr>
                <w:sz w:val="20"/>
                <w:szCs w:val="20"/>
                <w:color w:val="auto"/>
              </w:rPr>
            </w:pPr>
            <w:r>
              <w:rPr>
                <w:rFonts w:ascii="Times New Roman" w:cs="Times New Roman" w:eastAsia="Times New Roman" w:hAnsi="Times New Roman"/>
                <w:sz w:val="18"/>
                <w:szCs w:val="18"/>
                <w:color w:val="auto"/>
              </w:rPr>
              <w:t>2011</w:t>
            </w:r>
          </w:p>
        </w:tc>
        <w:tc>
          <w:tcPr>
            <w:tcW w:w="1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8,605</w:t>
            </w:r>
          </w:p>
        </w:tc>
        <w:tc>
          <w:tcPr>
            <w:tcW w:w="9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0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4000" w:type="dxa"/>
            <w:vAlign w:val="bottom"/>
          </w:tcPr>
          <w:p>
            <w:pPr>
              <w:spacing w:after="0"/>
              <w:rPr>
                <w:sz w:val="24"/>
                <w:szCs w:val="24"/>
                <w:color w:val="auto"/>
              </w:rPr>
            </w:pPr>
          </w:p>
        </w:tc>
        <w:tc>
          <w:tcPr>
            <w:tcW w:w="21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F-52</w:t>
            </w: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00"/>
          </w:cols>
          <w:pgMar w:left="240" w:top="456" w:right="55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Schedule I - Condensed Financial Information of Registrant</w:t>
      </w:r>
    </w:p>
    <w:p>
      <w:pPr>
        <w:spacing w:after="0" w:line="17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Condensed Balance Sheets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I includes the condensed financial statements of the parent company only, LSB Industries, Inc.</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2012</w:t>
            </w: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5"/>
          </w:tcPr>
          <w:p>
            <w:pPr>
              <w:ind w:left="320"/>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22,210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Supplies, prepaid items and 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9,579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Due from subsidiaries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4,392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Note receivable from a subsidiary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36,184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9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and due from subsidiaries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5"/>
              </w:rPr>
              <w:t>342,897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290,303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2,476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381,759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372,720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Short-term financing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9,254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Redeemable, noncumulative, convertible preferred stock</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10,998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to subsidiaries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56,243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accrued and other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5,423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Preferred stocks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Common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2,673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165,006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162,092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Retained earnings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212,192</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153,888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382,871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321,644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Less treasury stock</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365,338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304,111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381,759</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372,720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420"/>
          </w:cols>
          <w:pgMar w:left="240" w:top="455" w:right="23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I - Condensed Financial Information of Registrant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Statements of Income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8"/>
          </w:tcPr>
          <w:p>
            <w:pPr>
              <w:jc w:val="center"/>
              <w:ind w:left="355"/>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2012</w:t>
            </w: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2"/>
              </w:rPr>
              <w:t>2011</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4"/>
          </w:tcPr>
          <w:p>
            <w:pPr>
              <w:jc w:val="center"/>
              <w:ind w:right="40"/>
              <w:spacing w:after="0" w:line="142" w:lineRule="exact"/>
              <w:rPr>
                <w:sz w:val="20"/>
                <w:szCs w:val="20"/>
                <w:color w:val="auto"/>
              </w:rPr>
            </w:pPr>
            <w:r>
              <w:rPr>
                <w:rFonts w:ascii="Times New Roman" w:cs="Times New Roman" w:eastAsia="Times New Roman" w:hAnsi="Times New Roman"/>
                <w:sz w:val="14"/>
                <w:szCs w:val="14"/>
                <w:color w:val="auto"/>
                <w:w w:val="96"/>
              </w:rPr>
              <w:t>(In Thousands)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Fees under service, tax, sharing and management agreements with subsidiaries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6,656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5,406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3,531</w:t>
            </w:r>
          </w:p>
        </w:tc>
        <w:tc>
          <w:tcPr>
            <w:tcW w:w="0" w:type="dxa"/>
            <w:vAlign w:val="bottom"/>
          </w:tcPr>
          <w:p>
            <w:pPr>
              <w:spacing w:after="0"/>
              <w:rPr>
                <w:sz w:val="1"/>
                <w:szCs w:val="1"/>
                <w:color w:val="auto"/>
              </w:rPr>
            </w:pPr>
          </w:p>
        </w:tc>
      </w:tr>
      <w:tr>
        <w:trPr>
          <w:trHeight w:val="322"/>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0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5,693</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5,661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5,388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2"/>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8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1,812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non-operating income, net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(973)</w:t>
            </w:r>
          </w:p>
        </w:tc>
        <w:tc>
          <w:tcPr>
            <w:tcW w:w="0" w:type="dxa"/>
            <w:vAlign w:val="bottom"/>
          </w:tcPr>
          <w:p>
            <w:pPr>
              <w:spacing w:after="0"/>
              <w:rPr>
                <w:sz w:val="1"/>
                <w:szCs w:val="1"/>
                <w:color w:val="auto"/>
              </w:rPr>
            </w:pPr>
          </w:p>
        </w:tc>
      </w:tr>
      <w:tr>
        <w:trPr>
          <w:trHeight w:val="222"/>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8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earnings of subsidiaries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4"/>
              </w:rPr>
              <w:t>(56,986)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(85,158)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(33,688)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58,604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83,842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420"/>
          </w:cols>
          <w:pgMar w:left="240" w:top="455" w:right="23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I - Condensed Financial Information of Registrant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Statements of Cash Flows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40" w:type="dxa"/>
            <w:vAlign w:val="bottom"/>
            <w:gridSpan w:val="9"/>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left="115"/>
              <w:spacing w:after="0"/>
              <w:rPr>
                <w:sz w:val="20"/>
                <w:szCs w:val="20"/>
                <w:color w:val="auto"/>
              </w:rPr>
            </w:pPr>
            <w:r>
              <w:rPr>
                <w:rFonts w:ascii="Times New Roman" w:cs="Times New Roman" w:eastAsia="Times New Roman" w:hAnsi="Times New Roman"/>
                <w:sz w:val="14"/>
                <w:szCs w:val="14"/>
                <w:b w:val="1"/>
                <w:bCs w:val="1"/>
                <w:color w:val="auto"/>
                <w:w w:val="92"/>
              </w:rPr>
              <w:t>2011</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right="20"/>
              <w:spacing w:after="0" w:line="142" w:lineRule="exact"/>
              <w:rPr>
                <w:sz w:val="20"/>
                <w:szCs w:val="20"/>
                <w:color w:val="auto"/>
              </w:rPr>
            </w:pPr>
            <w:r>
              <w:rPr>
                <w:rFonts w:ascii="Times New Roman" w:cs="Times New Roman" w:eastAsia="Times New Roman" w:hAnsi="Times New Roman"/>
                <w:sz w:val="14"/>
                <w:szCs w:val="14"/>
                <w:color w:val="auto"/>
                <w:w w:val="96"/>
              </w:rPr>
              <w:t>(In Thousands)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provided (used) by operating activities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23,100</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(5,558)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(3,074)</w:t>
            </w:r>
          </w:p>
        </w:tc>
        <w:tc>
          <w:tcPr>
            <w:tcW w:w="0" w:type="dxa"/>
            <w:vAlign w:val="bottom"/>
          </w:tcPr>
          <w:p>
            <w:pPr>
              <w:spacing w:after="0"/>
              <w:rPr>
                <w:sz w:val="1"/>
                <w:szCs w:val="1"/>
                <w:color w:val="auto"/>
              </w:rPr>
            </w:pPr>
          </w:p>
        </w:tc>
      </w:tr>
      <w:tr>
        <w:trPr>
          <w:trHeight w:val="323"/>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Capital expenditures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Payments received on note receivable from a subsidiary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(266)</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22"/>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(used) by investing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87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short-term financing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11,192</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6,775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Payments on short-term financing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(7,584)</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Payments associated with induced conversion of 5.5% convertible debentures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Acquisition of 5.5% convertible debentures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Payments on loans secured by cash value of life insurance policies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change in due to/from subsidiaries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(50,460)</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26,512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Excess income tax benefit associated with stock-based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Acquisition of redeemable preferred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Dividends paid on preferred stocks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w:t>
            </w: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(used) by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(45,926)</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33,652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(12,016)</w:t>
            </w:r>
          </w:p>
        </w:tc>
        <w:tc>
          <w:tcPr>
            <w:tcW w:w="0" w:type="dxa"/>
            <w:vAlign w:val="bottom"/>
          </w:tcPr>
          <w:p>
            <w:pPr>
              <w:spacing w:after="0"/>
              <w:rPr>
                <w:sz w:val="1"/>
                <w:szCs w:val="1"/>
                <w:color w:val="auto"/>
              </w:rPr>
            </w:pPr>
          </w:p>
        </w:tc>
      </w:tr>
      <w:tr>
        <w:trPr>
          <w:trHeight w:val="222"/>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(13,092)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27,811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(15,580)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87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year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35,302</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23,071</w:t>
            </w:r>
          </w:p>
        </w:tc>
        <w:tc>
          <w:tcPr>
            <w:tcW w:w="0" w:type="dxa"/>
            <w:vAlign w:val="bottom"/>
          </w:tcPr>
          <w:p>
            <w:pPr>
              <w:spacing w:after="0"/>
              <w:rPr>
                <w:sz w:val="1"/>
                <w:szCs w:val="1"/>
                <w:color w:val="auto"/>
              </w:rPr>
            </w:pPr>
          </w:p>
        </w:tc>
      </w:tr>
      <w:tr>
        <w:trPr>
          <w:trHeight w:val="223"/>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the end of the year</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35,302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420"/>
          </w:cols>
          <w:pgMar w:left="240" w:top="455" w:right="23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Schedule I - Condensed Financial Information of Registrant</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Notes to Condensed Financial Statements</w:t>
      </w:r>
    </w:p>
    <w:p>
      <w:pPr>
        <w:spacing w:after="0" w:line="169" w:lineRule="exact"/>
        <w:rPr>
          <w:sz w:val="20"/>
          <w:szCs w:val="20"/>
          <w:color w:val="auto"/>
        </w:rPr>
      </w:pPr>
    </w:p>
    <w:p>
      <w:pPr>
        <w:ind w:right="100" w:firstLine="8"/>
        <w:spacing w:after="0" w:line="264" w:lineRule="auto"/>
        <w:tabs>
          <w:tab w:leader="none" w:pos="176"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r>
        <w:rPr>
          <w:rFonts w:ascii="Times New Roman" w:cs="Times New Roman" w:eastAsia="Times New Roman" w:hAnsi="Times New Roman"/>
          <w:sz w:val="18"/>
          <w:szCs w:val="18"/>
          <w:color w:val="auto"/>
        </w:rPr>
        <w:t>The accompanying condensed financial statements of the parent company include the accounts of LSB Industries, Inc. (“LSB”) only.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LSB’s investments in subsidiaries are stated at cost plus equity in undistributed earnings (losses) of subsidiaries since date of acquisition. These condensed financial statements should be read in conjunction with LSB’s consolidated financial statements.</w:t>
      </w:r>
    </w:p>
    <w:p>
      <w:pPr>
        <w:spacing w:after="0" w:line="127" w:lineRule="exact"/>
        <w:rPr>
          <w:rFonts w:ascii="Times New Roman" w:cs="Times New Roman" w:eastAsia="Times New Roman" w:hAnsi="Times New Roman"/>
          <w:sz w:val="18"/>
          <w:szCs w:val="18"/>
          <w:b w:val="1"/>
          <w:bCs w:val="1"/>
          <w:color w:val="auto"/>
        </w:rPr>
      </w:pPr>
    </w:p>
    <w:p>
      <w:pPr>
        <w:ind w:right="80" w:firstLine="8"/>
        <w:spacing w:after="0" w:line="277" w:lineRule="auto"/>
        <w:tabs>
          <w:tab w:leader="none" w:pos="176"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r>
        <w:rPr>
          <w:rFonts w:ascii="Times New Roman" w:cs="Times New Roman" w:eastAsia="Times New Roman" w:hAnsi="Times New Roman"/>
          <w:sz w:val="18"/>
          <w:szCs w:val="18"/>
          <w:color w:val="auto"/>
        </w:rPr>
        <w:t>LSB has guaranteed the payment of principal and interest under the terms of various debt agreements of its subsidiaries.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long-term debt outstanding at December 31, 2012, which is guaranteed by LSB, is as follows (in thousands):</w:t>
      </w:r>
    </w:p>
    <w:p>
      <w:pPr>
        <w:spacing w:after="0" w:line="173"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Secured Term Loan</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$68,438</w:t>
            </w:r>
          </w:p>
        </w:tc>
        <w:tc>
          <w:tcPr>
            <w:tcW w:w="100" w:type="dxa"/>
            <w:vAlign w:val="bottom"/>
            <w:shd w:val="clear" w:color="auto" w:fill="CCEEFF"/>
          </w:tcPr>
          <w:p>
            <w:pPr>
              <w:spacing w:after="0"/>
              <w:rPr>
                <w:sz w:val="18"/>
                <w:szCs w:val="18"/>
                <w:color w:val="auto"/>
              </w:rPr>
            </w:pPr>
          </w:p>
        </w:tc>
      </w:tr>
      <w:tr>
        <w:trPr>
          <w:trHeight w:val="22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Other, most of which is collateralized by real estate</w:t>
            </w:r>
          </w:p>
        </w:tc>
        <w:tc>
          <w:tcPr>
            <w:tcW w:w="17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100" w:type="dxa"/>
            <w:vAlign w:val="bottom"/>
          </w:tcPr>
          <w:p>
            <w:pPr>
              <w:spacing w:after="0"/>
              <w:rPr>
                <w:sz w:val="19"/>
                <w:szCs w:val="19"/>
                <w:color w:val="auto"/>
              </w:rPr>
            </w:pPr>
          </w:p>
        </w:tc>
      </w:tr>
      <w:tr>
        <w:trPr>
          <w:trHeight w:val="216"/>
        </w:trPr>
        <w:tc>
          <w:tcPr>
            <w:tcW w:w="534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72,071</w:t>
            </w:r>
          </w:p>
        </w:tc>
        <w:tc>
          <w:tcPr>
            <w:tcW w:w="100" w:type="dxa"/>
            <w:vAlign w:val="bottom"/>
            <w:shd w:val="clear" w:color="auto" w:fill="CCEEFF"/>
          </w:tcPr>
          <w:p>
            <w:pPr>
              <w:spacing w:after="0"/>
              <w:rPr>
                <w:sz w:val="18"/>
                <w:szCs w:val="18"/>
                <w:color w:val="auto"/>
              </w:rPr>
            </w:pPr>
          </w:p>
        </w:tc>
      </w:tr>
      <w:tr>
        <w:trPr>
          <w:trHeight w:val="20"/>
        </w:trPr>
        <w:tc>
          <w:tcPr>
            <w:tcW w:w="5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In addition, LSB has guaranteed approximately $44.7 million of its subsidiaries’ credit terms with vendors (primarily relating to purchases of natural gas) and approximately $12.7 million of its subsidiaries’ insurance bonds.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10, 12 and 21 of the notes to LSB’s consolidated financial statements for discussion of the long-term debt and commitments and contingencies.</w:t>
      </w:r>
    </w:p>
    <w:p>
      <w:pPr>
        <w:spacing w:after="0" w:line="169" w:lineRule="exact"/>
        <w:rPr>
          <w:sz w:val="20"/>
          <w:szCs w:val="20"/>
          <w:color w:val="auto"/>
        </w:rPr>
      </w:pPr>
    </w:p>
    <w:p>
      <w:pPr>
        <w:ind w:right="180" w:firstLine="8"/>
        <w:spacing w:after="0" w:line="259" w:lineRule="auto"/>
        <w:tabs>
          <w:tab w:leader="none" w:pos="176"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Preferred Stock and Stockholders’ Equity—</w:t>
      </w:r>
      <w:r>
        <w:rPr>
          <w:rFonts w:ascii="Times New Roman" w:cs="Times New Roman" w:eastAsia="Times New Roman" w:hAnsi="Times New Roman"/>
          <w:sz w:val="18"/>
          <w:szCs w:val="18"/>
          <w:color w:val="auto"/>
        </w:rPr>
        <w:t>At December 31, 2012 and 2011, a subsidiary of LSB owns 2,451,527 shares of LSB’s common stock,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have been considered as issued and outstanding in the accompanying Condensed Balance Sheets included in this Schedule I—Condensed Financial Information of Registrant. See Notes 14 and 15 of the notes to LSB’s consolidated financial statements for discussion of matters relating to preferred stock and other stockholders’ equity matters.</w:t>
      </w:r>
    </w:p>
    <w:p>
      <w:pPr>
        <w:spacing w:after="0" w:line="132" w:lineRule="exact"/>
        <w:rPr>
          <w:rFonts w:ascii="Times New Roman" w:cs="Times New Roman" w:eastAsia="Times New Roman" w:hAnsi="Times New Roman"/>
          <w:sz w:val="18"/>
          <w:szCs w:val="18"/>
          <w:b w:val="1"/>
          <w:bCs w:val="1"/>
          <w:color w:val="auto"/>
        </w:rPr>
      </w:pPr>
    </w:p>
    <w:p>
      <w:pPr>
        <w:ind w:firstLine="8"/>
        <w:spacing w:after="0" w:line="302" w:lineRule="auto"/>
        <w:tabs>
          <w:tab w:leader="none" w:pos="176" w:val="left"/>
        </w:tabs>
        <w:numPr>
          <w:ilvl w:val="0"/>
          <w:numId w:val="8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Extinguishment of Debt – </w:t>
      </w:r>
      <w:r>
        <w:rPr>
          <w:rFonts w:ascii="Times New Roman" w:cs="Times New Roman" w:eastAsia="Times New Roman" w:hAnsi="Times New Roman"/>
          <w:sz w:val="16"/>
          <w:szCs w:val="16"/>
          <w:color w:val="auto"/>
        </w:rPr>
        <w:t>During 2010, LSB acquired a certain portion of the 2007 Debentures, with each purchase being negotiated. During 2011,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remaining 2007 Debentures were converted into shares of LSB common stock including the portion of 2007 debentures held by the Golsen Group as discussed in Note 10 of the notes to LSB’s consolidated financial statements. In addition for financial reporting purposes, one of the conversion transactions with an unrelated third party was considered an induced conversion. The following is a summary of transactions relating to the 2007 Debentures for each respective year:</w:t>
      </w:r>
    </w:p>
    <w:p>
      <w:pPr>
        <w:spacing w:after="0" w:line="140"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7060" w:type="dxa"/>
            <w:vAlign w:val="bottom"/>
          </w:tcPr>
          <w:p>
            <w:pPr>
              <w:spacing w:after="0"/>
              <w:rPr>
                <w:sz w:val="14"/>
                <w:szCs w:val="14"/>
                <w:color w:val="auto"/>
              </w:rPr>
            </w:pPr>
          </w:p>
        </w:tc>
        <w:tc>
          <w:tcPr>
            <w:tcW w:w="4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2012</w:t>
            </w: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2011</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2010</w:t>
            </w:r>
          </w:p>
        </w:tc>
        <w:tc>
          <w:tcPr>
            <w:tcW w:w="100" w:type="dxa"/>
            <w:vAlign w:val="bottom"/>
          </w:tcPr>
          <w:p>
            <w:pPr>
              <w:spacing w:after="0"/>
              <w:rPr>
                <w:sz w:val="14"/>
                <w:szCs w:val="14"/>
                <w:color w:val="auto"/>
              </w:rPr>
            </w:pPr>
          </w:p>
        </w:tc>
      </w:tr>
      <w:tr>
        <w:trPr>
          <w:trHeight w:val="142"/>
        </w:trPr>
        <w:tc>
          <w:tcPr>
            <w:tcW w:w="7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(Dollars In Thousands)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amounts converted or acquired</w:t>
            </w:r>
          </w:p>
        </w:tc>
        <w:tc>
          <w:tcPr>
            <w:tcW w:w="4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w w:val="96"/>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8"/>
                <w:szCs w:val="18"/>
                <w:color w:val="auto"/>
              </w:rPr>
              <w:t>26,900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acquisitions</w:t>
            </w:r>
          </w:p>
        </w:tc>
        <w:tc>
          <w:tcPr>
            <w:tcW w:w="44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w w:val="96"/>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97"/>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$2,494</w:t>
            </w: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LSB common stock issued</w:t>
            </w:r>
          </w:p>
        </w:tc>
        <w:tc>
          <w:tcPr>
            <w:tcW w:w="4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8"/>
                <w:szCs w:val="18"/>
                <w:color w:val="auto"/>
                <w:w w:val="95"/>
              </w:rPr>
              <w:t>979,160</w:t>
            </w:r>
          </w:p>
        </w:tc>
        <w:tc>
          <w:tcPr>
            <w:tcW w:w="6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r>
    </w:tbl>
    <w:p>
      <w:pPr>
        <w:spacing w:after="0" w:line="146" w:lineRule="exact"/>
        <w:rPr>
          <w:sz w:val="20"/>
          <w:szCs w:val="20"/>
          <w:color w:val="auto"/>
        </w:rPr>
      </w:pPr>
    </w:p>
    <w:p>
      <w:pPr>
        <w:ind w:right="260" w:firstLine="8"/>
        <w:spacing w:after="0" w:line="342" w:lineRule="auto"/>
        <w:tabs>
          <w:tab w:leader="none" w:pos="176" w:val="left"/>
        </w:tabs>
        <w:numPr>
          <w:ilvl w:val="0"/>
          <w:numId w:val="8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Interest Expense and Income – </w:t>
      </w:r>
      <w:r>
        <w:rPr>
          <w:rFonts w:ascii="Times New Roman" w:cs="Times New Roman" w:eastAsia="Times New Roman" w:hAnsi="Times New Roman"/>
          <w:sz w:val="16"/>
          <w:szCs w:val="16"/>
          <w:color w:val="auto"/>
        </w:rPr>
        <w:t>During 2012, 2011 and 2010, LSB incurred interest expense from subsidiaries of $1,307,000, $1,200,000 and $1,173,000,</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respectively. During 2012, 2011, and 2010, LSB earned interest income from subsidiaries of $2,168,000, $1,262,000 and $956,000, respectively.</w:t>
      </w:r>
    </w:p>
    <w:p>
      <w:pPr>
        <w:spacing w:after="0" w:line="69" w:lineRule="exact"/>
        <w:rPr>
          <w:rFonts w:ascii="Times New Roman" w:cs="Times New Roman" w:eastAsia="Times New Roman" w:hAnsi="Times New Roman"/>
          <w:sz w:val="16"/>
          <w:szCs w:val="16"/>
          <w:b w:val="1"/>
          <w:bCs w:val="1"/>
          <w:color w:val="auto"/>
        </w:rPr>
      </w:pPr>
    </w:p>
    <w:p>
      <w:pPr>
        <w:ind w:right="100" w:firstLine="8"/>
        <w:spacing w:after="0" w:line="277" w:lineRule="auto"/>
        <w:tabs>
          <w:tab w:leader="none" w:pos="176"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 Received from Subsidiary </w:t>
      </w:r>
      <w:r>
        <w:rPr>
          <w:rFonts w:ascii="Times New Roman" w:cs="Times New Roman" w:eastAsia="Times New Roman" w:hAnsi="Times New Roman"/>
          <w:sz w:val="18"/>
          <w:szCs w:val="18"/>
          <w:color w:val="auto"/>
        </w:rPr>
        <w:t>– During 2012, LSB received a dividend of $24.4 million from a subsidiary (none during 2011 or 2010), which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included in net cash flows provided by operating activities.</w:t>
      </w:r>
    </w:p>
    <w:p>
      <w:pPr>
        <w:spacing w:after="0" w:line="1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360"/>
          </w:cols>
          <w:pgMar w:left="240" w:top="455" w:right="29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Schedule II - Valuation and Qualifying Accounts</w:t>
      </w:r>
    </w:p>
    <w:p>
      <w:pPr>
        <w:spacing w:after="0" w:line="17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Years ended December 31, 2012, 2011, and 2010</w:t>
      </w:r>
    </w:p>
    <w:p>
      <w:pPr>
        <w:spacing w:after="0" w:line="17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(In Thousands)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5"/>
              </w:rPr>
              <w:t>Additions-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2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Charges to</w:t>
            </w:r>
          </w:p>
        </w:tc>
        <w:tc>
          <w:tcPr>
            <w:tcW w:w="7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Deductions-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6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5"/>
              </w:rPr>
              <w:t>Balance at</w:t>
            </w:r>
          </w:p>
        </w:tc>
        <w:tc>
          <w:tcPr>
            <w:tcW w:w="50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(Recovery of)</w:t>
            </w:r>
          </w:p>
        </w:tc>
        <w:tc>
          <w:tcPr>
            <w:tcW w:w="7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Write- offs/</w:t>
            </w:r>
          </w:p>
        </w:tc>
        <w:tc>
          <w:tcPr>
            <w:tcW w:w="52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5420" w:type="dxa"/>
            <w:vAlign w:val="bottom"/>
            <w:vMerge w:val="restart"/>
          </w:tcPr>
          <w:p>
            <w:pPr>
              <w:spacing w:after="0"/>
              <w:rPr>
                <w:sz w:val="12"/>
                <w:szCs w:val="12"/>
                <w:color w:val="auto"/>
              </w:rPr>
            </w:pPr>
          </w:p>
        </w:tc>
        <w:tc>
          <w:tcPr>
            <w:tcW w:w="6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8"/>
              </w:rPr>
              <w:t>Beginning</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Costs and</w:t>
            </w:r>
          </w:p>
        </w:tc>
        <w:tc>
          <w:tcPr>
            <w:tcW w:w="100" w:type="dxa"/>
            <w:vAlign w:val="bottom"/>
          </w:tcPr>
          <w:p>
            <w:pPr>
              <w:spacing w:after="0"/>
              <w:rPr>
                <w:sz w:val="12"/>
                <w:szCs w:val="12"/>
                <w:color w:val="auto"/>
              </w:rPr>
            </w:pPr>
          </w:p>
        </w:tc>
        <w:tc>
          <w:tcPr>
            <w:tcW w:w="620" w:type="dxa"/>
            <w:vAlign w:val="bottom"/>
          </w:tcPr>
          <w:p>
            <w:pPr>
              <w:jc w:val="right"/>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Costs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End of</w:t>
            </w:r>
          </w:p>
        </w:tc>
        <w:tc>
          <w:tcPr>
            <w:tcW w:w="0" w:type="dxa"/>
            <w:vAlign w:val="bottom"/>
          </w:tcPr>
          <w:p>
            <w:pPr>
              <w:spacing w:after="0"/>
              <w:rPr>
                <w:sz w:val="1"/>
                <w:szCs w:val="1"/>
                <w:color w:val="auto"/>
              </w:rPr>
            </w:pPr>
          </w:p>
        </w:tc>
      </w:tr>
      <w:tr>
        <w:trPr>
          <w:trHeight w:val="172"/>
        </w:trPr>
        <w:tc>
          <w:tcPr>
            <w:tcW w:w="700" w:type="dxa"/>
            <w:vAlign w:val="bottom"/>
            <w:tcBorders>
              <w:bottom w:val="single" w:sz="8" w:color="auto"/>
            </w:tcBorders>
            <w:vMerge w:val="continue"/>
          </w:tcPr>
          <w:p>
            <w:pPr>
              <w:spacing w:after="0"/>
              <w:rPr>
                <w:sz w:val="14"/>
                <w:szCs w:val="14"/>
                <w:color w:val="auto"/>
              </w:rPr>
            </w:pPr>
          </w:p>
        </w:tc>
        <w:tc>
          <w:tcPr>
            <w:tcW w:w="54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of Year</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620"/>
              <w:spacing w:after="0" w:line="152" w:lineRule="exact"/>
              <w:rPr>
                <w:sz w:val="20"/>
                <w:szCs w:val="20"/>
                <w:color w:val="auto"/>
              </w:rPr>
            </w:pPr>
            <w:r>
              <w:rPr>
                <w:rFonts w:ascii="Times New Roman" w:cs="Times New Roman" w:eastAsia="Times New Roman" w:hAnsi="Times New Roman"/>
                <w:sz w:val="14"/>
                <w:szCs w:val="14"/>
                <w:b w:val="1"/>
                <w:bCs w:val="1"/>
                <w:color w:val="auto"/>
                <w:w w:val="94"/>
              </w:rPr>
              <w:t>Expenses</w:t>
            </w:r>
          </w:p>
        </w:tc>
        <w:tc>
          <w:tcPr>
            <w:tcW w:w="100" w:type="dxa"/>
            <w:vAlign w:val="bottom"/>
          </w:tcPr>
          <w:p>
            <w:pPr>
              <w:spacing w:after="0"/>
              <w:rPr>
                <w:sz w:val="14"/>
                <w:szCs w:val="14"/>
                <w:color w:val="auto"/>
              </w:rPr>
            </w:pPr>
          </w:p>
        </w:tc>
        <w:tc>
          <w:tcPr>
            <w:tcW w:w="620" w:type="dxa"/>
            <w:vAlign w:val="bottom"/>
          </w:tcPr>
          <w:p>
            <w:pPr>
              <w:jc w:val="right"/>
              <w:ind w:right="15"/>
              <w:spacing w:after="0" w:line="152" w:lineRule="exact"/>
              <w:rPr>
                <w:sz w:val="20"/>
                <w:szCs w:val="20"/>
                <w:color w:val="auto"/>
              </w:rPr>
            </w:pPr>
            <w:r>
              <w:rPr>
                <w:rFonts w:ascii="Times New Roman" w:cs="Times New Roman" w:eastAsia="Times New Roman" w:hAnsi="Times New Roman"/>
                <w:sz w:val="14"/>
                <w:szCs w:val="14"/>
                <w:b w:val="1"/>
                <w:bCs w:val="1"/>
                <w:color w:val="auto"/>
                <w:w w:val="93"/>
              </w:rPr>
              <w:t>Incurred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center"/>
              <w:ind w:right="200"/>
              <w:spacing w:after="0" w:line="152"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0" w:type="dxa"/>
            <w:vAlign w:val="bottom"/>
          </w:tcPr>
          <w:p>
            <w:pPr>
              <w:spacing w:after="0"/>
              <w:rPr>
                <w:sz w:val="1"/>
                <w:szCs w:val="1"/>
                <w:color w:val="auto"/>
              </w:rPr>
            </w:pPr>
          </w:p>
        </w:tc>
      </w:tr>
      <w:tr>
        <w:trPr>
          <w:trHeight w:val="190"/>
        </w:trPr>
        <w:tc>
          <w:tcPr>
            <w:tcW w:w="612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Accounts receivable—allowance for doubtful accounts (1):</w:t>
            </w:r>
          </w:p>
        </w:tc>
        <w:tc>
          <w:tcPr>
            <w:tcW w:w="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jc w:val="right"/>
              <w:ind w:right="5320"/>
              <w:spacing w:after="0"/>
              <w:rPr>
                <w:sz w:val="20"/>
                <w:szCs w:val="20"/>
                <w:color w:val="auto"/>
              </w:rPr>
            </w:pPr>
            <w:r>
              <w:rPr>
                <w:rFonts w:ascii="Times New Roman" w:cs="Times New Roman" w:eastAsia="Times New Roman" w:hAnsi="Times New Roman"/>
                <w:sz w:val="18"/>
                <w:szCs w:val="18"/>
                <w:color w:val="auto"/>
              </w:rPr>
              <w:t>2012</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955</w:t>
            </w:r>
          </w:p>
        </w:tc>
        <w:tc>
          <w:tcPr>
            <w:tcW w:w="6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6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gridSpan w:val="2"/>
            <w:shd w:val="clear" w:color="auto" w:fill="CCEEFF"/>
          </w:tcPr>
          <w:p>
            <w:pPr>
              <w:jc w:val="right"/>
              <w:ind w:right="5340"/>
              <w:spacing w:after="0"/>
              <w:rPr>
                <w:sz w:val="20"/>
                <w:szCs w:val="20"/>
                <w:color w:val="auto"/>
              </w:rPr>
            </w:pPr>
            <w:r>
              <w:rPr>
                <w:rFonts w:ascii="Times New Roman" w:cs="Times New Roman" w:eastAsia="Times New Roman" w:hAnsi="Times New Roman"/>
                <w:sz w:val="18"/>
                <w:szCs w:val="18"/>
                <w:color w:val="auto"/>
              </w:rPr>
              <w:t>2011</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jc w:val="right"/>
              <w:ind w:right="5320"/>
              <w:spacing w:after="0"/>
              <w:rPr>
                <w:sz w:val="20"/>
                <w:szCs w:val="20"/>
                <w:color w:val="auto"/>
              </w:rPr>
            </w:pPr>
            <w:r>
              <w:rPr>
                <w:rFonts w:ascii="Times New Roman" w:cs="Times New Roman" w:eastAsia="Times New Roman" w:hAnsi="Times New Roman"/>
                <w:sz w:val="18"/>
                <w:szCs w:val="18"/>
                <w:color w:val="auto"/>
              </w:rPr>
              <w:t>2010</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88"/>
              </w:rPr>
              <w:t>145</w:t>
            </w:r>
          </w:p>
        </w:tc>
        <w:tc>
          <w:tcPr>
            <w:tcW w:w="5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5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Inventory-reserve for slow-moving items (1):</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jc w:val="right"/>
              <w:ind w:right="5320"/>
              <w:spacing w:after="0"/>
              <w:rPr>
                <w:sz w:val="20"/>
                <w:szCs w:val="20"/>
                <w:color w:val="auto"/>
              </w:rPr>
            </w:pPr>
            <w:r>
              <w:rPr>
                <w:rFonts w:ascii="Times New Roman" w:cs="Times New Roman" w:eastAsia="Times New Roman" w:hAnsi="Times New Roman"/>
                <w:sz w:val="18"/>
                <w:szCs w:val="18"/>
                <w:color w:val="auto"/>
              </w:rPr>
              <w:t>2012</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1,767</w:t>
            </w:r>
          </w:p>
        </w:tc>
        <w:tc>
          <w:tcPr>
            <w:tcW w:w="6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6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gridSpan w:val="2"/>
            <w:shd w:val="clear" w:color="auto" w:fill="CCEEFF"/>
          </w:tcPr>
          <w:p>
            <w:pPr>
              <w:jc w:val="right"/>
              <w:ind w:right="5340"/>
              <w:spacing w:after="0"/>
              <w:rPr>
                <w:sz w:val="20"/>
                <w:szCs w:val="20"/>
                <w:color w:val="auto"/>
              </w:rPr>
            </w:pPr>
            <w:r>
              <w:rPr>
                <w:rFonts w:ascii="Times New Roman" w:cs="Times New Roman" w:eastAsia="Times New Roman" w:hAnsi="Times New Roman"/>
                <w:sz w:val="18"/>
                <w:szCs w:val="18"/>
                <w:color w:val="auto"/>
              </w:rPr>
              <w:t>2011</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6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jc w:val="right"/>
              <w:ind w:right="5320"/>
              <w:spacing w:after="0"/>
              <w:rPr>
                <w:sz w:val="20"/>
                <w:szCs w:val="20"/>
                <w:color w:val="auto"/>
              </w:rPr>
            </w:pPr>
            <w:r>
              <w:rPr>
                <w:rFonts w:ascii="Times New Roman" w:cs="Times New Roman" w:eastAsia="Times New Roman" w:hAnsi="Times New Roman"/>
                <w:sz w:val="18"/>
                <w:szCs w:val="18"/>
                <w:color w:val="auto"/>
              </w:rPr>
              <w:t>2010</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88"/>
              </w:rPr>
              <w:t>485</w:t>
            </w:r>
          </w:p>
        </w:tc>
        <w:tc>
          <w:tcPr>
            <w:tcW w:w="5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5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receivable—allowance for doubtful accounts (1):</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jc w:val="right"/>
              <w:ind w:right="5320"/>
              <w:spacing w:after="0"/>
              <w:rPr>
                <w:sz w:val="20"/>
                <w:szCs w:val="20"/>
                <w:color w:val="auto"/>
              </w:rPr>
            </w:pPr>
            <w:r>
              <w:rPr>
                <w:rFonts w:ascii="Times New Roman" w:cs="Times New Roman" w:eastAsia="Times New Roman" w:hAnsi="Times New Roman"/>
                <w:sz w:val="18"/>
                <w:szCs w:val="18"/>
                <w:color w:val="auto"/>
              </w:rPr>
              <w:t>2012</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970</w:t>
            </w:r>
          </w:p>
        </w:tc>
        <w:tc>
          <w:tcPr>
            <w:tcW w:w="6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gridSpan w:val="2"/>
            <w:shd w:val="clear" w:color="auto" w:fill="CCEEFF"/>
          </w:tcPr>
          <w:p>
            <w:pPr>
              <w:jc w:val="right"/>
              <w:ind w:right="5340"/>
              <w:spacing w:after="0"/>
              <w:rPr>
                <w:sz w:val="20"/>
                <w:szCs w:val="20"/>
                <w:color w:val="auto"/>
              </w:rPr>
            </w:pPr>
            <w:r>
              <w:rPr>
                <w:rFonts w:ascii="Times New Roman" w:cs="Times New Roman" w:eastAsia="Times New Roman" w:hAnsi="Times New Roman"/>
                <w:sz w:val="18"/>
                <w:szCs w:val="18"/>
                <w:color w:val="auto"/>
              </w:rPr>
              <w:t>2011</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jc w:val="right"/>
              <w:ind w:right="5320"/>
              <w:spacing w:after="0"/>
              <w:rPr>
                <w:sz w:val="20"/>
                <w:szCs w:val="20"/>
                <w:color w:val="auto"/>
              </w:rPr>
            </w:pPr>
            <w:r>
              <w:rPr>
                <w:rFonts w:ascii="Times New Roman" w:cs="Times New Roman" w:eastAsia="Times New Roman" w:hAnsi="Times New Roman"/>
                <w:sz w:val="18"/>
                <w:szCs w:val="18"/>
                <w:color w:val="auto"/>
              </w:rPr>
              <w:t>2010</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assets—valuation allowance (1):</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jc w:val="right"/>
              <w:ind w:right="5320"/>
              <w:spacing w:after="0"/>
              <w:rPr>
                <w:sz w:val="20"/>
                <w:szCs w:val="20"/>
                <w:color w:val="auto"/>
              </w:rPr>
            </w:pPr>
            <w:r>
              <w:rPr>
                <w:rFonts w:ascii="Times New Roman" w:cs="Times New Roman" w:eastAsia="Times New Roman" w:hAnsi="Times New Roman"/>
                <w:sz w:val="18"/>
                <w:szCs w:val="18"/>
                <w:color w:val="auto"/>
              </w:rPr>
              <w:t>2012</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344</w:t>
            </w:r>
          </w:p>
        </w:tc>
        <w:tc>
          <w:tcPr>
            <w:tcW w:w="6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6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gridSpan w:val="2"/>
            <w:shd w:val="clear" w:color="auto" w:fill="CCEEFF"/>
          </w:tcPr>
          <w:p>
            <w:pPr>
              <w:jc w:val="right"/>
              <w:ind w:right="5340"/>
              <w:spacing w:after="0"/>
              <w:rPr>
                <w:sz w:val="20"/>
                <w:szCs w:val="20"/>
                <w:color w:val="auto"/>
              </w:rPr>
            </w:pPr>
            <w:r>
              <w:rPr>
                <w:rFonts w:ascii="Times New Roman" w:cs="Times New Roman" w:eastAsia="Times New Roman" w:hAnsi="Times New Roman"/>
                <w:sz w:val="18"/>
                <w:szCs w:val="18"/>
                <w:color w:val="auto"/>
              </w:rPr>
              <w:t>2011</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jc w:val="right"/>
              <w:ind w:right="5320"/>
              <w:spacing w:after="0"/>
              <w:rPr>
                <w:sz w:val="20"/>
                <w:szCs w:val="20"/>
                <w:color w:val="auto"/>
              </w:rPr>
            </w:pPr>
            <w:r>
              <w:rPr>
                <w:rFonts w:ascii="Times New Roman" w:cs="Times New Roman" w:eastAsia="Times New Roman" w:hAnsi="Times New Roman"/>
                <w:sz w:val="18"/>
                <w:szCs w:val="18"/>
                <w:color w:val="auto"/>
              </w:rPr>
              <w:t>2010</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5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800" w:firstLine="8"/>
        <w:spacing w:after="0" w:line="484" w:lineRule="auto"/>
        <w:tabs>
          <w:tab w:leader="none" w:pos="446"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Deducted in the consolidated balance sheet from the related assets to which the reserve applies. Other valuation and qualifying accounts are detailed in our notes to consolidated financial statements.</w:t>
      </w:r>
    </w:p>
    <w:p>
      <w:pPr>
        <w:spacing w:after="0" w:line="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0960"/>
          </w:cols>
          <w:pgMar w:left="240" w:top="455" w:right="69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color w:val="auto"/>
        </w:rPr>
        <w:t>Exhibit 3(i).1</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RESTATED CERTIFICATE OF INCORPORATION</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FIRST: The name of this Corporation shall be:</w:t>
      </w:r>
    </w:p>
    <w:p>
      <w:pPr>
        <w:spacing w:after="0" w:line="9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LSB INDUSTRIES, INC. hereafter referred to as </w:t>
      </w:r>
      <w:r>
        <w:rPr>
          <w:sz w:val="1"/>
          <w:szCs w:val="1"/>
          <w:color w:val="auto"/>
        </w:rPr>
        <w:drawing>
          <wp:inline distT="0" distB="0" distL="0" distR="0">
            <wp:extent cx="102870" cy="94615"/>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Corporation </w:t>
      </w:r>
      <w:r>
        <w:rPr>
          <w:sz w:val="1"/>
          <w:szCs w:val="1"/>
          <w:color w:val="auto"/>
        </w:rPr>
        <w:drawing>
          <wp:inline distT="0" distB="0" distL="0" distR="0">
            <wp:extent cx="102870" cy="94615"/>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or </w:t>
      </w:r>
      <w:r>
        <w:rPr>
          <w:sz w:val="1"/>
          <w:szCs w:val="1"/>
          <w:color w:val="auto"/>
        </w:rPr>
        <w:drawing>
          <wp:inline distT="0" distB="0" distL="0" distR="0">
            <wp:extent cx="102870" cy="94615"/>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LSB </w:t>
      </w:r>
      <w:r>
        <w:rPr>
          <w:sz w:val="1"/>
          <w:szCs w:val="1"/>
          <w:color w:val="auto"/>
        </w:rPr>
        <w:drawing>
          <wp:inline distT="0" distB="0" distL="0" distR="0">
            <wp:extent cx="102870" cy="94615"/>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date of filing of the Corporation’s original Certificate of Incorporation with the Secretary of State of Delaware was January 21, 1977.</w:t>
      </w:r>
    </w:p>
    <w:p>
      <w:pPr>
        <w:spacing w:after="0" w:line="171"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SECOND. The address of its registered agent in the State of Delaware shall be 1209 Orange Street, Wilmington, New Castle County, Delaware 19801. The name of its agent at such address shall be The Corporation Trust Company.</w:t>
      </w:r>
    </w:p>
    <w:p>
      <w:pPr>
        <w:spacing w:after="0" w:line="120"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THIRD: The nature of the business or the purposes to be conducted or promoted by the Corporation shall be to engage in any lawful act or activity for which corporations may be organized under the General Corporation Law of Delaware, including, but not limited to, the following:</w:t>
      </w:r>
    </w:p>
    <w:p>
      <w:pPr>
        <w:spacing w:after="0" w:line="120" w:lineRule="exact"/>
        <w:rPr>
          <w:sz w:val="20"/>
          <w:szCs w:val="20"/>
          <w:color w:val="auto"/>
        </w:rPr>
      </w:pPr>
    </w:p>
    <w:p>
      <w:pPr>
        <w:ind w:right="420" w:firstLine="464"/>
        <w:spacing w:after="0" w:line="275" w:lineRule="auto"/>
        <w:tabs>
          <w:tab w:leader="none" w:pos="70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design, manufacture, sell and distribute all types of bearings and other components for automobiles, trucks and other motor vehicles as original equipment and as replacement parts.</w:t>
      </w:r>
    </w:p>
    <w:p>
      <w:pPr>
        <w:spacing w:after="0" w:line="119"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design, manufacture, sell and distribute all kinds of fan coils and other components for heat transfer and air conditioning systems.</w:t>
      </w:r>
    </w:p>
    <w:p>
      <w:pPr>
        <w:spacing w:after="0" w:line="171"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design, manufacture, sell and distribute all other goods, wares and commodities of every sort, kind or description.</w:t>
      </w:r>
    </w:p>
    <w:p>
      <w:pPr>
        <w:spacing w:after="0" w:line="171" w:lineRule="exact"/>
        <w:rPr>
          <w:rFonts w:ascii="Times New Roman" w:cs="Times New Roman" w:eastAsia="Times New Roman" w:hAnsi="Times New Roman"/>
          <w:sz w:val="18"/>
          <w:szCs w:val="18"/>
          <w:color w:val="auto"/>
        </w:rPr>
      </w:pPr>
    </w:p>
    <w:p>
      <w:pPr>
        <w:ind w:right="800" w:firstLine="464"/>
        <w:spacing w:after="0" w:line="275" w:lineRule="auto"/>
        <w:tabs>
          <w:tab w:leader="none" w:pos="70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carry on the business of distributors, wholesalers, retailers or agents of merchandise, goods, wares and commodities of every sort, kind or description, and to carry on any other business, whether manufacturing or otherwise.</w:t>
      </w:r>
    </w:p>
    <w:p>
      <w:pPr>
        <w:spacing w:after="0" w:line="119" w:lineRule="exact"/>
        <w:rPr>
          <w:rFonts w:ascii="Times New Roman" w:cs="Times New Roman" w:eastAsia="Times New Roman" w:hAnsi="Times New Roman"/>
          <w:sz w:val="18"/>
          <w:szCs w:val="18"/>
          <w:color w:val="auto"/>
        </w:rPr>
      </w:pPr>
    </w:p>
    <w:p>
      <w:pPr>
        <w:ind w:firstLine="464"/>
        <w:spacing w:after="0" w:line="262" w:lineRule="auto"/>
        <w:tabs>
          <w:tab w:leader="none" w:pos="70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engage in the transportation of property by motor vehicle; to engage in the general transportation and communication business and to buy, sell, lease, own or operate other motor carriers, broadcasting stations and facilities; to buy, sell, lease, own or operate terminals and warehouses and engage in warehousing business; to buy, sell, deal and engage in the sale of motor vehicles and parts.</w:t>
      </w:r>
    </w:p>
    <w:p>
      <w:pPr>
        <w:spacing w:after="0" w:line="132" w:lineRule="exact"/>
        <w:rPr>
          <w:rFonts w:ascii="Times New Roman" w:cs="Times New Roman" w:eastAsia="Times New Roman" w:hAnsi="Times New Roman"/>
          <w:sz w:val="18"/>
          <w:szCs w:val="18"/>
          <w:color w:val="auto"/>
        </w:rPr>
      </w:pPr>
    </w:p>
    <w:p>
      <w:pPr>
        <w:ind w:right="80" w:firstLine="464"/>
        <w:spacing w:after="0" w:line="293" w:lineRule="auto"/>
        <w:tabs>
          <w:tab w:leader="none" w:pos="705"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make and purchase materials for the construction of buildings; to erect buildings; to own, manage, operate, lease and sell buildings; to conduct and carry on the business of builders for the purpose of building, repairing or doing any other work in connection with any and all classes of buildings and improvements, including the locating, laying out and construction of roads, avenues, sewers, bridges, wells and generally all classes of buildings, erections and works, both public and private, or integral parts thereof. To purchase, take, own, hold, deal in, mortgage or otherwise encumber and to lease, sell, exchange, convey, transfer or in any manner whatever dispose of real property; to acquire lands for the purpose of prospecting for and obtaining oil, gas and other minerals; to drill oil wells, and to acquire drilling rigs or other machinery necessary to such purposes; and to produce and market oil and other minerals.</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00"/>
          </w:cols>
          <w:pgMar w:left="240" w:top="125" w:right="259" w:bottom="1440" w:gutter="0" w:footer="0" w:header="0"/>
        </w:sectPr>
      </w:pPr>
    </w:p>
    <w:bookmarkStart w:id="150" w:name="page151"/>
    <w:bookmarkEnd w:id="150"/>
    <w:p>
      <w:pPr>
        <w:jc w:val="both"/>
        <w:ind w:right="40" w:firstLine="464"/>
        <w:spacing w:after="0" w:line="262" w:lineRule="auto"/>
        <w:tabs>
          <w:tab w:leader="none" w:pos="70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enter into partnerships or other arrangements for sharing profits or to cooperate with any entity carrying on any business capable of being conducted so as to benefit this Corporation; to acquire the assets and assume the liabilities of any entity; to pay for the same in cash, stock or otherwise; to hold or dispose of the property so purchased; and to conduct any business so acquired.</w:t>
      </w:r>
    </w:p>
    <w:p>
      <w:pPr>
        <w:spacing w:after="0" w:line="132" w:lineRule="exact"/>
        <w:rPr>
          <w:rFonts w:ascii="Times New Roman" w:cs="Times New Roman" w:eastAsia="Times New Roman" w:hAnsi="Times New Roman"/>
          <w:sz w:val="18"/>
          <w:szCs w:val="18"/>
          <w:color w:val="auto"/>
        </w:rPr>
      </w:pPr>
    </w:p>
    <w:p>
      <w:pPr>
        <w:ind w:right="80" w:firstLine="464"/>
        <w:spacing w:after="0" w:line="275" w:lineRule="auto"/>
        <w:tabs>
          <w:tab w:leader="none" w:pos="70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borrow and lend money and to negotiate loans; to draw, accept and endorse notes, accounts receivable, bonds, stocks, debentures or other securities; to subscribe for, acquire, hold and dispose of shares of stock, bonds, accounts, and other securities of any government, person or corporation.</w:t>
      </w:r>
    </w:p>
    <w:p>
      <w:pPr>
        <w:spacing w:after="0" w:line="119" w:lineRule="exact"/>
        <w:rPr>
          <w:rFonts w:ascii="Times New Roman" w:cs="Times New Roman" w:eastAsia="Times New Roman" w:hAnsi="Times New Roman"/>
          <w:sz w:val="18"/>
          <w:szCs w:val="18"/>
          <w:color w:val="auto"/>
        </w:rPr>
      </w:pPr>
    </w:p>
    <w:p>
      <w:pPr>
        <w:ind w:right="60" w:firstLine="464"/>
        <w:spacing w:after="0" w:line="275" w:lineRule="auto"/>
        <w:tabs>
          <w:tab w:leader="none" w:pos="70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purchase or otherwise acquire, apply for, register, hold, use, assign, sell or in any manner dispose of and grant licenses, franchises, or other rights in, and in any manner deal with patents, inventions, improvements, processes, formulas, trademarks, trade names or copyrights.</w:t>
      </w:r>
    </w:p>
    <w:p>
      <w:pPr>
        <w:spacing w:after="0" w:line="119" w:lineRule="exact"/>
        <w:rPr>
          <w:rFonts w:ascii="Times New Roman" w:cs="Times New Roman" w:eastAsia="Times New Roman" w:hAnsi="Times New Roman"/>
          <w:sz w:val="18"/>
          <w:szCs w:val="18"/>
          <w:color w:val="auto"/>
        </w:rPr>
      </w:pPr>
    </w:p>
    <w:p>
      <w:pPr>
        <w:ind w:left="800" w:hanging="336"/>
        <w:spacing w:after="0"/>
        <w:tabs>
          <w:tab w:leader="none" w:pos="80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have one or more offices and to conduct any or all of its operations and business and to promote its objects anywhere, without restriction as to place</w:t>
      </w:r>
    </w:p>
    <w:p>
      <w:pPr>
        <w:spacing w:after="0" w:line="4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or amount.</w:t>
      </w:r>
    </w:p>
    <w:p>
      <w:pPr>
        <w:spacing w:after="0" w:line="158" w:lineRule="exact"/>
        <w:rPr>
          <w:rFonts w:ascii="Times New Roman" w:cs="Times New Roman" w:eastAsia="Times New Roman" w:hAnsi="Times New Roman"/>
          <w:sz w:val="16"/>
          <w:szCs w:val="16"/>
          <w:color w:val="auto"/>
        </w:rPr>
      </w:pPr>
    </w:p>
    <w:p>
      <w:pPr>
        <w:ind w:left="800" w:hanging="336"/>
        <w:spacing w:after="0"/>
        <w:tabs>
          <w:tab w:leader="none" w:pos="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do any or all of the things herein set forth as principal, agent, contractor, trustee or otherwise, alone or jointly, with natural persons or any legal</w:t>
      </w:r>
    </w:p>
    <w:p>
      <w:pPr>
        <w:spacing w:after="0" w:line="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entity.</w:t>
      </w:r>
    </w:p>
    <w:p>
      <w:pPr>
        <w:spacing w:after="0" w:line="158" w:lineRule="exact"/>
        <w:rPr>
          <w:rFonts w:ascii="Times New Roman" w:cs="Times New Roman" w:eastAsia="Times New Roman" w:hAnsi="Times New Roman"/>
          <w:sz w:val="18"/>
          <w:szCs w:val="18"/>
          <w:color w:val="auto"/>
        </w:rPr>
      </w:pPr>
    </w:p>
    <w:p>
      <w:pPr>
        <w:ind w:right="20" w:firstLine="464"/>
        <w:spacing w:after="0" w:line="275" w:lineRule="auto"/>
        <w:tabs>
          <w:tab w:leader="none" w:pos="79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objects and purposes specified herein shall be regarded as independent objects and purposes and, except where otherwise expressed, shall be in no way limited nor restricted by reference to or inference from the terms of any other clause or paragraph of this Restated Certificate of Incorporation.</w:t>
      </w:r>
    </w:p>
    <w:p>
      <w:pPr>
        <w:spacing w:after="0" w:line="120"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The foregoing shall be constructed both as objects and powers, and the enumeration thereof shall not be held to limit or restrict in any manner the general powers conferred on this Corporation by the laws of the State of Delaware.</w:t>
      </w:r>
    </w:p>
    <w:p>
      <w:pPr>
        <w:spacing w:after="0" w:line="120"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FOURTH: (A) The total number of shares of stock which the Corporation shall have authority to issue is Forty Five Million Two Hundred Fifty Thousand (45,250,000), of which</w:t>
      </w:r>
    </w:p>
    <w:p>
      <w:pPr>
        <w:spacing w:after="0" w:line="120" w:lineRule="exact"/>
        <w:rPr>
          <w:sz w:val="20"/>
          <w:szCs w:val="20"/>
          <w:color w:val="auto"/>
        </w:rPr>
      </w:pPr>
    </w:p>
    <w:p>
      <w:pPr>
        <w:ind w:left="5680" w:right="3460" w:hanging="5216"/>
        <w:spacing w:after="0" w:line="447" w:lineRule="auto"/>
        <w:tabs>
          <w:tab w:leader="none" w:pos="72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Forty Million (40,000,000) shares shall be Common Stock of the par value of Ten Cents ($.10) a share; 2</w:t>
      </w:r>
    </w:p>
    <w:p>
      <w:pPr>
        <w:sectPr>
          <w:pgSz w:w="11900" w:h="16838" w:orient="portrait"/>
          <w:cols w:equalWidth="0" w:num="1">
            <w:col w:w="11420"/>
          </w:cols>
          <w:pgMar w:left="240" w:top="274" w:right="239" w:bottom="1440" w:gutter="0" w:footer="0" w:header="0"/>
        </w:sectPr>
      </w:pPr>
    </w:p>
    <w:bookmarkStart w:id="151" w:name="page152"/>
    <w:bookmarkEnd w:id="151"/>
    <w:p>
      <w:pPr>
        <w:ind w:left="720" w:hanging="256"/>
        <w:spacing w:after="0"/>
        <w:tabs>
          <w:tab w:leader="none" w:pos="7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Two Hundred Fifty Thousand (250,000) shares shall be Preferred Stock of the par value of One Hundred Dollars ($100) a share; and</w:t>
      </w:r>
    </w:p>
    <w:p>
      <w:pPr>
        <w:spacing w:after="0" w:line="171"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Million (5,000,000) shares shall be Class C Preferred Stock, no par value.</w:t>
      </w:r>
    </w:p>
    <w:p>
      <w:pPr>
        <w:spacing w:after="0" w:line="171"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 xml:space="preserve">For purposes of all other provisions of this Restated Certificate of Incorporation, the term </w:t>
      </w:r>
      <w:r>
        <w:rPr>
          <w:sz w:val="1"/>
          <w:szCs w:val="1"/>
          <w:color w:val="auto"/>
        </w:rPr>
        <w:drawing>
          <wp:inline distT="0" distB="0" distL="0" distR="0">
            <wp:extent cx="102870" cy="94615"/>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Preferred Stock </w:t>
      </w:r>
      <w:r>
        <w:rPr>
          <w:sz w:val="1"/>
          <w:szCs w:val="1"/>
          <w:color w:val="auto"/>
        </w:rPr>
        <w:drawing>
          <wp:inline distT="0" distB="0" distL="0" distR="0">
            <wp:extent cx="102870" cy="94615"/>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shall mean the Preferred Stock, Class C Preferred Stock and all other classes of preferred stock authorized under this paragraph (A).</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 The preference, qualifications, limitations, restrictions and relative rights of each class are as follows:</w:t>
      </w:r>
    </w:p>
    <w:p>
      <w:pPr>
        <w:spacing w:after="0" w:line="90" w:lineRule="exact"/>
        <w:rPr>
          <w:sz w:val="20"/>
          <w:szCs w:val="20"/>
          <w:color w:val="auto"/>
        </w:rPr>
      </w:pPr>
    </w:p>
    <w:p>
      <w:pPr>
        <w:ind w:right="80" w:firstLine="464"/>
        <w:spacing w:after="0" w:line="255" w:lineRule="auto"/>
        <w:tabs>
          <w:tab w:leader="none" w:pos="70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 The Preferred Stock (which, as defined in paragraph (A) of this Article, includes the Preferred Stock, Class C Preferred Stock and all other classes of preferred stock authorized under paragraph (A) of this Article) may be issued from time to time in one or more series, each of such series to have such designations, preference and relative, participating, optional, voting or other special rights and qualifications, limitations or restrictions thereof as are stated and expressed in a resolution or resolutions providing for the issue of such series as determined and adopted by the Board of Directors. Authority is hereby expressly granted to the Board of Directors to authorize one or more series of Preferred Stock (as defined in paragraph (A) of this Article) and, with respect to each such series, to fix by resolution or resolutions providing for the issue of such series any or all of the following matters:</w:t>
      </w:r>
    </w:p>
    <w:p>
      <w:pPr>
        <w:spacing w:after="0" w:line="139" w:lineRule="exact"/>
        <w:rPr>
          <w:sz w:val="20"/>
          <w:szCs w:val="20"/>
          <w:color w:val="auto"/>
        </w:rPr>
      </w:pPr>
    </w:p>
    <w:p>
      <w:pPr>
        <w:ind w:left="700" w:hanging="236"/>
        <w:spacing w:after="0"/>
        <w:tabs>
          <w:tab w:leader="none" w:pos="7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to constitute such series and the distinctive designation thereof;</w:t>
      </w:r>
    </w:p>
    <w:p>
      <w:pPr>
        <w:spacing w:after="0" w:line="171" w:lineRule="exact"/>
        <w:rPr>
          <w:rFonts w:ascii="Times New Roman" w:cs="Times New Roman" w:eastAsia="Times New Roman" w:hAnsi="Times New Roman"/>
          <w:sz w:val="18"/>
          <w:szCs w:val="18"/>
          <w:color w:val="auto"/>
        </w:rPr>
      </w:pPr>
    </w:p>
    <w:p>
      <w:pPr>
        <w:ind w:firstLine="464"/>
        <w:spacing w:after="0" w:line="275" w:lineRule="auto"/>
        <w:tabs>
          <w:tab w:leader="none" w:pos="70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shares of such series will be entitled to receive dividends, the dividend rate on the shares of such series, and whether or not dividends on the shares of such series shall be cumulative, and if cumulative, the date or dates from which dividends shall accumulate;</w:t>
      </w:r>
    </w:p>
    <w:p>
      <w:pPr>
        <w:spacing w:after="0" w:line="119" w:lineRule="exact"/>
        <w:rPr>
          <w:rFonts w:ascii="Times New Roman" w:cs="Times New Roman" w:eastAsia="Times New Roman" w:hAnsi="Times New Roman"/>
          <w:sz w:val="18"/>
          <w:szCs w:val="18"/>
          <w:color w:val="auto"/>
        </w:rPr>
      </w:pPr>
    </w:p>
    <w:p>
      <w:pPr>
        <w:ind w:left="700" w:hanging="236"/>
        <w:spacing w:after="0"/>
        <w:tabs>
          <w:tab w:leader="none" w:pos="7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shares of such series will have voting rights, and the voting rights, if any, of the shares of such series;</w:t>
      </w:r>
    </w:p>
    <w:p>
      <w:pPr>
        <w:spacing w:after="0" w:line="171" w:lineRule="exact"/>
        <w:rPr>
          <w:rFonts w:ascii="Times New Roman" w:cs="Times New Roman" w:eastAsia="Times New Roman" w:hAnsi="Times New Roman"/>
          <w:sz w:val="18"/>
          <w:szCs w:val="18"/>
          <w:color w:val="auto"/>
        </w:rPr>
      </w:pPr>
    </w:p>
    <w:p>
      <w:pPr>
        <w:ind w:right="80" w:firstLine="464"/>
        <w:spacing w:after="0" w:line="275" w:lineRule="auto"/>
        <w:tabs>
          <w:tab w:leader="none" w:pos="70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shares of any such series shall be redeemable, and, if redeemable, the premium, if any, over and above the par value thereof and any dividend accrued thereon which the shares of such series shall be entitled to receive upon the redemption thereof;</w:t>
      </w:r>
    </w:p>
    <w:p>
      <w:pPr>
        <w:spacing w:after="0" w:line="119" w:lineRule="exact"/>
        <w:rPr>
          <w:rFonts w:ascii="Times New Roman" w:cs="Times New Roman" w:eastAsia="Times New Roman" w:hAnsi="Times New Roman"/>
          <w:sz w:val="18"/>
          <w:szCs w:val="18"/>
          <w:color w:val="auto"/>
        </w:rPr>
      </w:pPr>
    </w:p>
    <w:p>
      <w:pPr>
        <w:ind w:firstLine="464"/>
        <w:spacing w:after="0" w:line="262" w:lineRule="auto"/>
        <w:tabs>
          <w:tab w:leader="none" w:pos="69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shares of such series shall be subject to the operation of retirement or sinking funds to be applied to the purchase or redemption of such shares for retirement, and if such retirement or sinking fund or funds are to be established, the annual amount thereof and the terms and provisions relative to the operation thereof;</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273" w:right="259" w:bottom="1440" w:gutter="0" w:footer="0" w:header="0"/>
        </w:sectPr>
      </w:pPr>
    </w:p>
    <w:bookmarkStart w:id="152" w:name="page153"/>
    <w:bookmarkEnd w:id="152"/>
    <w:p>
      <w:pPr>
        <w:jc w:val="both"/>
        <w:ind w:left="-20" w:right="240" w:firstLine="464"/>
        <w:spacing w:after="0" w:line="262" w:lineRule="auto"/>
        <w:tabs>
          <w:tab w:leader="none" w:pos="65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whether or not the shares of such series shall be convertible into, or exchangeable for, shares of any other class or classes or of any other series of the same or any other class or classes of stock of the Corporation and the conversion price or prices or the rate or rates at which such exchange may be made, with such adjustments, if any, as shall be stated and expressed or provided in such resolution or resolutions;</w:t>
      </w:r>
    </w:p>
    <w:p>
      <w:pPr>
        <w:spacing w:after="0" w:line="132" w:lineRule="exact"/>
        <w:rPr>
          <w:rFonts w:ascii="Times New Roman" w:cs="Times New Roman" w:eastAsia="Times New Roman" w:hAnsi="Times New Roman"/>
          <w:sz w:val="18"/>
          <w:szCs w:val="18"/>
          <w:color w:val="auto"/>
        </w:rPr>
      </w:pPr>
    </w:p>
    <w:p>
      <w:pPr>
        <w:ind w:left="-20" w:right="240" w:firstLine="464"/>
        <w:spacing w:after="0" w:line="262" w:lineRule="auto"/>
        <w:tabs>
          <w:tab w:leader="none" w:pos="68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the shares of such series in the event of any voluntary or involuntary liquidation, dissolution or winding up of the Corporation, and the amount of premium, if any, over and above the par value thereof and any dividends accrued thereon, which the shares of such series shall be entitled to receive upon the voluntary or involuntary liquidation, dissolution or winding up of the Corporation;</w:t>
      </w:r>
    </w:p>
    <w:p>
      <w:pPr>
        <w:spacing w:after="0" w:line="132" w:lineRule="exact"/>
        <w:rPr>
          <w:rFonts w:ascii="Times New Roman" w:cs="Times New Roman" w:eastAsia="Times New Roman" w:hAnsi="Times New Roman"/>
          <w:sz w:val="18"/>
          <w:szCs w:val="18"/>
          <w:color w:val="auto"/>
        </w:rPr>
      </w:pPr>
    </w:p>
    <w:p>
      <w:pPr>
        <w:ind w:left="-20" w:firstLine="464"/>
        <w:spacing w:after="0" w:line="275" w:lineRule="auto"/>
        <w:tabs>
          <w:tab w:leader="none" w:pos="68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and restrictions, if any, on the creation of indebtedness of the Corporation, or any subsidiary, or on the authorization or issue of additional stock ranking on a parity with or prior to the shares of such series as to dividends and upon liquidation; and</w:t>
      </w:r>
    </w:p>
    <w:p>
      <w:pPr>
        <w:spacing w:after="0" w:line="119" w:lineRule="exact"/>
        <w:rPr>
          <w:rFonts w:ascii="Times New Roman" w:cs="Times New Roman" w:eastAsia="Times New Roman" w:hAnsi="Times New Roman"/>
          <w:sz w:val="18"/>
          <w:szCs w:val="18"/>
          <w:color w:val="auto"/>
        </w:rPr>
      </w:pPr>
    </w:p>
    <w:p>
      <w:pPr>
        <w:ind w:left="-20" w:right="20" w:firstLine="464"/>
        <w:spacing w:after="0" w:line="275" w:lineRule="auto"/>
        <w:tabs>
          <w:tab w:leader="none" w:pos="64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preference and relative, participating, optional or special rights, qualifications, limitations or restrictions thereof as the Board of Directors may deem advisable.</w:t>
      </w:r>
    </w:p>
    <w:p>
      <w:pPr>
        <w:spacing w:after="0" w:line="120" w:lineRule="exact"/>
        <w:rPr>
          <w:sz w:val="20"/>
          <w:szCs w:val="20"/>
          <w:color w:val="auto"/>
        </w:rPr>
      </w:pPr>
    </w:p>
    <w:p>
      <w:pPr>
        <w:ind w:left="-20" w:right="440" w:firstLine="464"/>
        <w:spacing w:after="0" w:line="275" w:lineRule="auto"/>
        <w:tabs>
          <w:tab w:leader="none" w:pos="68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(a) Each share of Common Stock shall entitle the holder thereof to one vote, in person or by proxy, at any and all meetings of the Stockholders of the Corporation, on all propositions before such meetings.</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 Dividends on the Common Stock shall be payable only if, when and as declared by the Board of Directors of the Corporation.</w:t>
      </w:r>
    </w:p>
    <w:p>
      <w:pPr>
        <w:spacing w:after="0" w:line="171" w:lineRule="exact"/>
        <w:rPr>
          <w:sz w:val="20"/>
          <w:szCs w:val="20"/>
          <w:color w:val="auto"/>
        </w:rPr>
      </w:pPr>
    </w:p>
    <w:p>
      <w:pPr>
        <w:ind w:left="-20" w:right="100" w:firstLine="464"/>
        <w:spacing w:after="0" w:line="275" w:lineRule="auto"/>
        <w:tabs>
          <w:tab w:leader="none" w:pos="71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authorized shares of any class of the Corporation, including but without limitation the Preferred Stock and the Common Stock, may be increased or decreased by the affirmative vote of the holders of a majority of the stock of the Corporation entitled to vote without regard to class.</w:t>
      </w:r>
    </w:p>
    <w:p>
      <w:pPr>
        <w:spacing w:after="0" w:line="119" w:lineRule="exact"/>
        <w:rPr>
          <w:rFonts w:ascii="Times New Roman" w:cs="Times New Roman" w:eastAsia="Times New Roman" w:hAnsi="Times New Roman"/>
          <w:sz w:val="18"/>
          <w:szCs w:val="18"/>
          <w:color w:val="auto"/>
        </w:rPr>
      </w:pPr>
    </w:p>
    <w:p>
      <w:pPr>
        <w:ind w:left="-20" w:right="120" w:firstLine="464"/>
        <w:spacing w:after="0" w:line="258" w:lineRule="auto"/>
        <w:tabs>
          <w:tab w:leader="none" w:pos="72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rights, title and claim in or to any dividends declared by the Corporation, whether in cash, stock or otherwise, which are unclaimed by the stockholder entitled thereto for a period of six years after the close of business on the payment date, shall be and be deemed to be extinguished and abandoned; and such unclaimed dividends in the possession of the Corporation, its transfer agents or other agents or depositories, shall at such time become the absolute property of the Corporation free and clear of any and all claims of any persons whatsoever.</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80"/>
          </w:cols>
          <w:pgMar w:left="260" w:top="274" w:right="259" w:bottom="1440" w:gutter="0" w:footer="0" w:header="0"/>
        </w:sectPr>
      </w:pPr>
    </w:p>
    <w:bookmarkStart w:id="153" w:name="page154"/>
    <w:bookmarkEnd w:id="153"/>
    <w:p>
      <w:pPr>
        <w:ind w:right="8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shareholder of this Corporation shall have any pre-emptive or preferential right of subscription to any shares of stock of this Corporation, whether now or hereafter authorized, issued or sold, or to any obligations convertible into stock of this Corporation, whether now or hereafter authorized, issued or sold, nor any right of subscription to any thereof.</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 Designations, rights and preferences of Preferred Stock outstanding as of the date of this Restated Certificate of Incorporation: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CONVERTIBLE, NONCUMULATIVE PREFERRED STOCK</w:t>
      </w:r>
    </w:p>
    <w:p>
      <w:pPr>
        <w:spacing w:after="0" w:line="90" w:lineRule="exact"/>
        <w:rPr>
          <w:sz w:val="20"/>
          <w:szCs w:val="20"/>
          <w:color w:val="auto"/>
        </w:rPr>
      </w:pPr>
    </w:p>
    <w:p>
      <w:pPr>
        <w:ind w:right="60" w:firstLine="456"/>
        <w:spacing w:after="0" w:line="339" w:lineRule="auto"/>
        <w:rPr>
          <w:sz w:val="20"/>
          <w:szCs w:val="20"/>
          <w:color w:val="auto"/>
        </w:rPr>
      </w:pPr>
      <w:r>
        <w:rPr>
          <w:rFonts w:ascii="Times New Roman" w:cs="Times New Roman" w:eastAsia="Times New Roman" w:hAnsi="Times New Roman"/>
          <w:sz w:val="16"/>
          <w:szCs w:val="16"/>
          <w:color w:val="auto"/>
        </w:rPr>
        <w:t xml:space="preserve">The Corporation may issue one series of up to 4,662 shares of Convertible, Noncumulative Preferred Stock, within the Corporation </w:t>
      </w:r>
      <w:r>
        <w:rPr>
          <w:sz w:val="1"/>
          <w:szCs w:val="1"/>
          <w:color w:val="auto"/>
        </w:rPr>
        <w:drawing>
          <wp:inline distT="0" distB="0" distL="0" distR="0">
            <wp:extent cx="102870" cy="94615"/>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s class of Preferred Stock, par value $100 per share, and this series of Convertible, Noncumulative Preferred Stock shall have the following designations, rights and preferences:</w:t>
      </w:r>
    </w:p>
    <w:p>
      <w:pPr>
        <w:spacing w:after="0" w:line="74"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u w:val="single" w:color="auto"/>
          <w:color w:val="auto"/>
        </w:rPr>
        <w:t>Designation</w:t>
      </w:r>
      <w:r>
        <w:rPr>
          <w:rFonts w:ascii="Times New Roman" w:cs="Times New Roman" w:eastAsia="Times New Roman" w:hAnsi="Times New Roman"/>
          <w:sz w:val="18"/>
          <w:szCs w:val="18"/>
          <w:color w:val="auto"/>
        </w:rPr>
        <w:t xml:space="preserve">. The shares of such series of Preferred Stock shall be designated as </w:t>
      </w:r>
      <w:r>
        <w:rPr>
          <w:sz w:val="1"/>
          <w:szCs w:val="1"/>
          <w:color w:val="auto"/>
        </w:rPr>
        <w:drawing>
          <wp:inline distT="0" distB="0" distL="0" distR="0">
            <wp:extent cx="102870" cy="94615"/>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Convertible, Noncumulative Preferred Stock </w:t>
      </w:r>
      <w:r>
        <w:rPr>
          <w:sz w:val="1"/>
          <w:szCs w:val="1"/>
          <w:color w:val="auto"/>
        </w:rPr>
        <w:drawing>
          <wp:inline distT="0" distB="0" distL="0" distR="0">
            <wp:extent cx="102870" cy="94615"/>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hereinafter called </w:t>
      </w:r>
      <w:r>
        <w:rPr>
          <w:sz w:val="1"/>
          <w:szCs w:val="1"/>
          <w:color w:val="auto"/>
        </w:rPr>
        <w:drawing>
          <wp:inline distT="0" distB="0" distL="0" distR="0">
            <wp:extent cx="102870" cy="94615"/>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Convertible Preferred Stock </w:t>
      </w:r>
      <w:r>
        <w:rPr>
          <w:sz w:val="1"/>
          <w:szCs w:val="1"/>
          <w:color w:val="auto"/>
        </w:rPr>
        <w:drawing>
          <wp:inline distT="0" distB="0" distL="0" distR="0">
            <wp:extent cx="102870" cy="94615"/>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w:t>
      </w:r>
    </w:p>
    <w:p>
      <w:pPr>
        <w:spacing w:after="0" w:line="120"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xml:space="preserve">. The holders of the Convertible Preferred Stock will receive noncumulative cash dividends out of surplus or net profits, when, as and if such dividends are declared by the board of directors of LSB Industries, Inc. ( </w:t>
      </w:r>
      <w:r>
        <w:rPr>
          <w:sz w:val="1"/>
          <w:szCs w:val="1"/>
          <w:color w:val="auto"/>
        </w:rPr>
        <w:drawing>
          <wp:inline distT="0" distB="0" distL="0" distR="0">
            <wp:extent cx="102870" cy="94615"/>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LSB </w:t>
      </w:r>
      <w:r>
        <w:rPr>
          <w:sz w:val="1"/>
          <w:szCs w:val="1"/>
          <w:color w:val="auto"/>
        </w:rPr>
        <w:drawing>
          <wp:inline distT="0" distB="0" distL="0" distR="0">
            <wp:extent cx="102870" cy="94615"/>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at the rate of 10% per annum of the par value of such Convertible Preferred Stock and no more, payable annually on the first day of April beginning in 1984, in preference to holders of LSB common stock ( </w:t>
      </w:r>
      <w:r>
        <w:rPr>
          <w:sz w:val="1"/>
          <w:szCs w:val="1"/>
          <w:color w:val="auto"/>
        </w:rPr>
        <w:drawing>
          <wp:inline distT="0" distB="0" distL="0" distR="0">
            <wp:extent cx="102870" cy="94615"/>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Cash Dividends </w:t>
      </w:r>
      <w:r>
        <w:rPr>
          <w:sz w:val="1"/>
          <w:szCs w:val="1"/>
          <w:color w:val="auto"/>
        </w:rPr>
        <w:drawing>
          <wp:inline distT="0" distB="0" distL="0" distR="0">
            <wp:extent cx="102870" cy="94615"/>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Each holder of a fractional one-half share of the Convertible Preferred Stock will receive one-half of the per share Cash Dividend when, as and if such Cash Dividends are declared by the Board of Directors of LSB. No Cash Dividends will be paid unless there are funds available after the payment of interest to The National Bank of Chicago, First Chicago International, Mercantile National Bank at Dallas, Bank of Oklahoma, N.A., The Liberty National Bank &amp; Trust Co. of Oklahoma City, The First National Bank of Fort Worth, Centerre Bank, N.A., Fidelity Bank, N.A., Chase Manhattan Bank, N.A., Chase Bank International, First City National Bank of Houston, J. Henry Schroder Bank &amp; Trust Company, Banco di Roma and The Prudential Insurance Company of America (hereinafter collectively called </w:t>
      </w:r>
      <w:r>
        <w:rPr>
          <w:sz w:val="1"/>
          <w:szCs w:val="1"/>
          <w:color w:val="auto"/>
        </w:rPr>
        <w:drawing>
          <wp:inline distT="0" distB="0" distL="0" distR="0">
            <wp:extent cx="102870" cy="94615"/>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Senior Lenders </w:t>
      </w:r>
      <w:r>
        <w:rPr>
          <w:sz w:val="1"/>
          <w:szCs w:val="1"/>
          <w:color w:val="auto"/>
        </w:rPr>
        <w:drawing>
          <wp:inline distT="0" distB="0" distL="0" distR="0">
            <wp:extent cx="102870" cy="94615"/>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and such Senior Lenders consent to the payment of such Cash Dividends, if required by an agreement between the Senior Lenders and LSB.</w:t>
      </w:r>
    </w:p>
    <w:p>
      <w:pPr>
        <w:spacing w:after="0" w:line="14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Each holder of the Convertible Preferred Stock will be entitled to one vote for each share of Convertible Preferred Stock (or one-half of one vote for each fractional one-half share of such Convertible Preferred Stock) held of record in his or her name on all matters submitted to a vote of the share-holders of LSB. The holders of such Convertible Preferred Stock and the holders of shares of Common Stock of LSB shall vote together as one class.</w:t>
      </w:r>
    </w:p>
    <w:p>
      <w:pPr>
        <w:spacing w:after="0" w:line="1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40"/>
          </w:cols>
          <w:pgMar w:left="240" w:top="274" w:right="319" w:bottom="1440" w:gutter="0" w:footer="0" w:header="0"/>
        </w:sectPr>
      </w:pPr>
    </w:p>
    <w:bookmarkStart w:id="154" w:name="page155"/>
    <w:bookmarkEnd w:id="154"/>
    <w:p>
      <w:pPr>
        <w:ind w:right="20" w:firstLine="456"/>
        <w:spacing w:after="0" w:line="258"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Conversion Privilege</w:t>
      </w:r>
      <w:r>
        <w:rPr>
          <w:rFonts w:ascii="Times New Roman" w:cs="Times New Roman" w:eastAsia="Times New Roman" w:hAnsi="Times New Roman"/>
          <w:sz w:val="18"/>
          <w:szCs w:val="18"/>
          <w:color w:val="auto"/>
        </w:rPr>
        <w:t>. The Convertible Preferred Stock will be convertible at any time at the election of the holder thereof into fully paid and nonassessable shares of LSB common stock. Each share of Convertible Preferred Stock shall be convertible into 40 shares of LSB common stock; provided however, that each holder of a fractional one-half share of Convertible Preferred Stock shall be entitled to convert such fractional one-half share into 20 shares of LSB Common Stock.</w:t>
      </w:r>
    </w:p>
    <w:p>
      <w:pPr>
        <w:spacing w:after="0" w:line="136" w:lineRule="exact"/>
        <w:rPr>
          <w:sz w:val="20"/>
          <w:szCs w:val="20"/>
          <w:color w:val="auto"/>
        </w:rPr>
      </w:pPr>
    </w:p>
    <w:p>
      <w:pPr>
        <w:ind w:right="20" w:firstLine="456"/>
        <w:spacing w:after="0" w:line="289" w:lineRule="auto"/>
        <w:rPr>
          <w:sz w:val="20"/>
          <w:szCs w:val="20"/>
          <w:color w:val="auto"/>
        </w:rPr>
      </w:pPr>
      <w:r>
        <w:rPr>
          <w:rFonts w:ascii="Times New Roman" w:cs="Times New Roman" w:eastAsia="Times New Roman" w:hAnsi="Times New Roman"/>
          <w:sz w:val="16"/>
          <w:szCs w:val="16"/>
          <w:color w:val="auto"/>
        </w:rPr>
        <w:t>In the event that LSB shall (i) pay to the holders of its common stock a stock dividend payable in its common stock, the number of shares of common stock issuable upon conversion of the Convertible Preferred Stock shall be proportionately adjusted, effective as of the date of payment of such stock dividend; or</w:t>
      </w:r>
    </w:p>
    <w:p>
      <w:pPr>
        <w:spacing w:after="0" w:line="1" w:lineRule="exact"/>
        <w:rPr>
          <w:sz w:val="20"/>
          <w:szCs w:val="20"/>
          <w:color w:val="auto"/>
        </w:rPr>
      </w:pPr>
    </w:p>
    <w:p>
      <w:pPr>
        <w:ind w:right="20" w:firstLine="8"/>
        <w:spacing w:after="0" w:line="251" w:lineRule="auto"/>
        <w:tabs>
          <w:tab w:leader="none" w:pos="25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have a stock-split, reclassification, recapitalization, combination of shares or similar corporate rearrangement (other than a stock dividend which is provided for in (i) above), without any consideration therefor being received by the Company, increasing or decreasing the number of outstanding shares of LSB </w:t>
      </w:r>
      <w:r>
        <w:rPr>
          <w:rFonts w:ascii="Times New Roman" w:cs="Times New Roman" w:eastAsia="Times New Roman" w:hAnsi="Times New Roman"/>
          <w:sz w:val="1"/>
          <w:szCs w:val="1"/>
          <w:color w:val="auto"/>
        </w:rPr>
        <w:drawing>
          <wp:inline distT="0" distB="0" distL="0" distR="0">
            <wp:extent cx="102870" cy="94615"/>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 common stock, the number of shares of common stock issuable upon conversion of the Convertible Preferred Stock shall be proportionately increased or decreased, effective as of the date of the payment of or happening of such event; or (iii) consolidated with or merge into another corporation, in which LSB is the non-surviving corporation, or sell all or substantially all of LSB </w:t>
      </w:r>
      <w:r>
        <w:rPr>
          <w:rFonts w:ascii="Times New Roman" w:cs="Times New Roman" w:eastAsia="Times New Roman" w:hAnsi="Times New Roman"/>
          <w:sz w:val="1"/>
          <w:szCs w:val="1"/>
          <w:color w:val="auto"/>
        </w:rPr>
        <w:drawing>
          <wp:inline distT="0" distB="0" distL="0" distR="0">
            <wp:extent cx="102870" cy="94615"/>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 assets as an entirety under one plan or arrangement to another corporation and such consolidation, merger or sale shall be effected in such a way that holders of LSB </w:t>
      </w:r>
      <w:r>
        <w:rPr>
          <w:rFonts w:ascii="Times New Roman" w:cs="Times New Roman" w:eastAsia="Times New Roman" w:hAnsi="Times New Roman"/>
          <w:sz w:val="1"/>
          <w:szCs w:val="1"/>
          <w:color w:val="auto"/>
        </w:rPr>
        <w:drawing>
          <wp:inline distT="0" distB="0" distL="0" distR="0">
            <wp:extent cx="102870" cy="94615"/>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 common stock shall be entitled to receive stock, securities or assets with respect to or in exchange for such common stock, then after the effective date of such consolidation, merger or sale each share of Convertible Preferred Stock shall be convertible into (in lieu of LSB common stock) the number of shares of stock or other securities or assets to which such holder of the Convertible Preferred Stock would have been entitled upon such consummation if the holder of the Convertible Preferred Stock had so exercised his right of conversion under such Convertible Preferred Stock immediately prior to such consolidation, merger or sale, and LSB shall make lawful provision therefor as part of such consolidation, merger or sale.</w:t>
      </w:r>
    </w:p>
    <w:p>
      <w:pPr>
        <w:spacing w:after="0" w:line="145"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LSB shall not be required to issue any fraction of a share of common stock upon any conversion, but (i) may deliver scrip therefor, which shall not entitle the bearer thereof to vote, or to receive dividends or to any other or further right or interest, except to convert the same in amounts aggregating one or more whole shares of LSB common stock into whole shares of LSB common stock, at any time (within a period, fixed by the Board of Directors of LSB, which shall be stated in the scrip), or (ii) may pay in cash therefor an amount equal to the same fraction of the fair market value of a full share of LSB common stock. For such purpose of determining the fair market value of LSB common stock, the fair market value of a share of LSB common stock shall be the last recorded sale price of such a share of LSB common stock on the American Stock Exchange on the day immediately preceding the date upon which such Convertible Preferred Stock is surrendered for conversion or, if there be no recorded sale price on such day, the last quoted bid price per share of LSB common stock on such Exchange at the close of trading on such date. If LSB common stock shall not be at the time dealt in on the American Stock Exchange, such fair market value of LSB common stock shall be the prevailing market value of such common stock on any other securities exchange or in the open market, as determined by LSB, which determination shall be conclusive.</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274" w:right="259" w:bottom="1440" w:gutter="0" w:footer="0" w:header="0"/>
        </w:sectPr>
      </w:pPr>
    </w:p>
    <w:bookmarkStart w:id="155" w:name="page156"/>
    <w:bookmarkEnd w:id="155"/>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conversion may be effected by holders of Convertible Preferred Stock by giving to LSB written notice of an election to convert at least ten business days prior to the date of conversion.</w:t>
      </w:r>
    </w:p>
    <w:p>
      <w:pPr>
        <w:spacing w:after="0" w:line="120"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Notwithstanding anything herein to the contrary, the right to convert the Convertible Preferred Stock into shares of LSB common stock is subject to LSB listing the underlying common stock with the American Stock Exchange, if LSB common stock is at that time listed on such Exchange.</w:t>
      </w:r>
    </w:p>
    <w:p>
      <w:pPr>
        <w:spacing w:after="0" w:line="120"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u w:val="single" w:color="auto"/>
          <w:color w:val="auto"/>
        </w:rPr>
        <w:t>Redemption Rights</w:t>
      </w:r>
      <w:r>
        <w:rPr>
          <w:rFonts w:ascii="Times New Roman" w:cs="Times New Roman" w:eastAsia="Times New Roman" w:hAnsi="Times New Roman"/>
          <w:sz w:val="18"/>
          <w:szCs w:val="18"/>
          <w:color w:val="auto"/>
        </w:rPr>
        <w:t xml:space="preserve">. Each share of Convertible Preferred Stock will be redeemable by LSB at par value, $100 per share, (for each fractional one-half share of Convertible Preferred Stock one-half of said par value) at the option of the holder of such stock to the extent that LSB earns net profits after all of the debt owed by LSB to the Senior Lenders has been paid in full. For this purpose, </w:t>
      </w:r>
      <w:r>
        <w:rPr>
          <w:sz w:val="1"/>
          <w:szCs w:val="1"/>
          <w:color w:val="auto"/>
        </w:rPr>
        <w:drawing>
          <wp:inline distT="0" distB="0" distL="0" distR="0">
            <wp:extent cx="102870" cy="94615"/>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net profits </w:t>
      </w:r>
      <w:r>
        <w:rPr>
          <w:sz w:val="1"/>
          <w:szCs w:val="1"/>
          <w:color w:val="auto"/>
        </w:rPr>
        <w:drawing>
          <wp:inline distT="0" distB="0" distL="0" distR="0">
            <wp:extent cx="102870" cy="94615"/>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is defined as net income as determined under generally accepted accounting principles.</w:t>
      </w:r>
    </w:p>
    <w:p>
      <w:pPr>
        <w:spacing w:after="0" w:line="136" w:lineRule="exact"/>
        <w:rPr>
          <w:sz w:val="20"/>
          <w:szCs w:val="20"/>
          <w:color w:val="auto"/>
        </w:rPr>
      </w:pPr>
    </w:p>
    <w:p>
      <w:pPr>
        <w:ind w:right="280" w:firstLine="456"/>
        <w:spacing w:after="0" w:line="258" w:lineRule="auto"/>
        <w:rPr>
          <w:sz w:val="20"/>
          <w:szCs w:val="20"/>
          <w:color w:val="auto"/>
        </w:rPr>
      </w:pPr>
      <w:r>
        <w:rPr>
          <w:rFonts w:ascii="Times New Roman" w:cs="Times New Roman" w:eastAsia="Times New Roman" w:hAnsi="Times New Roman"/>
          <w:sz w:val="18"/>
          <w:szCs w:val="18"/>
          <w:color w:val="auto"/>
        </w:rPr>
        <w:t>LSB may at any time, or from time to time as shall be permit-ted under the laws of Delaware, redeem the whole or any part of its Convertible Preferred Stock by paying to the holders thereof in cash $100 per share ($50 for a fractional one-half share of such Convertible Preferred Stock) at the date fixed for redemption in the notice of redemption. Holders of the Convertible Preferred Stock may convert such stock into LSB common stock as provided above at any time prior to the notice for redemption.</w:t>
      </w:r>
    </w:p>
    <w:p>
      <w:pPr>
        <w:spacing w:after="0" w:line="13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u w:val="single" w:color="auto"/>
          <w:color w:val="auto"/>
        </w:rPr>
        <w:t>Preference Upon Liquidation</w:t>
      </w:r>
      <w:r>
        <w:rPr>
          <w:rFonts w:ascii="Times New Roman" w:cs="Times New Roman" w:eastAsia="Times New Roman" w:hAnsi="Times New Roman"/>
          <w:sz w:val="18"/>
          <w:szCs w:val="18"/>
          <w:color w:val="auto"/>
        </w:rPr>
        <w:t>. In the event of any liquidation or dissolution (whether voluntary or involuntary) of LSB, before any payment will be made to the holders of LSB common stock, the holders of Convertible Preferred Stock will be entitled to be paid in full the par value of their share (for each fractional one-half share of Convertible Preferred Stock one-half of said par value) to the extent that funds are available, but will not be entitled to participate any further in the distribution of the assets of LSB.</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SERIES B 12% CUMULATIVE, CONVERTIBLE PREFERRED STOCK</w:t>
      </w:r>
    </w:p>
    <w:p>
      <w:pPr>
        <w:spacing w:after="0" w:line="90" w:lineRule="exact"/>
        <w:rPr>
          <w:sz w:val="20"/>
          <w:szCs w:val="20"/>
          <w:color w:val="auto"/>
        </w:rPr>
      </w:pPr>
    </w:p>
    <w:p>
      <w:pPr>
        <w:jc w:val="both"/>
        <w:ind w:right="340" w:firstLine="456"/>
        <w:spacing w:after="0" w:line="262" w:lineRule="auto"/>
        <w:rPr>
          <w:sz w:val="20"/>
          <w:szCs w:val="20"/>
          <w:color w:val="auto"/>
        </w:rPr>
      </w:pPr>
      <w:r>
        <w:rPr>
          <w:rFonts w:ascii="Times New Roman" w:cs="Times New Roman" w:eastAsia="Times New Roman" w:hAnsi="Times New Roman"/>
          <w:sz w:val="18"/>
          <w:szCs w:val="18"/>
          <w:color w:val="auto"/>
        </w:rPr>
        <w:t xml:space="preserve">The Corporation may issue one series of up to Twenty Thousand (20,000) shares of Series B 12% Cumulative, Convertible Preferred Stock, within the Corporation </w:t>
      </w:r>
      <w:r>
        <w:rPr>
          <w:sz w:val="1"/>
          <w:szCs w:val="1"/>
          <w:color w:val="auto"/>
        </w:rPr>
        <w:drawing>
          <wp:inline distT="0" distB="0" distL="0" distR="0">
            <wp:extent cx="102870" cy="94615"/>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 class of Preferred Stock, par value $100 per share, and the Series B 12% Cumulative, Convertible Preferred Stock shall have the following designations, rights and preferences: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80"/>
          </w:cols>
          <w:pgMar w:left="240" w:top="274" w:right="279" w:bottom="1440" w:gutter="0" w:footer="0" w:header="0"/>
        </w:sectPr>
      </w:pPr>
    </w:p>
    <w:bookmarkStart w:id="156" w:name="page157"/>
    <w:bookmarkEnd w:id="156"/>
    <w:p>
      <w:pPr>
        <w:ind w:right="60" w:firstLine="464"/>
        <w:spacing w:after="0" w:line="339" w:lineRule="auto"/>
        <w:tabs>
          <w:tab w:leader="none" w:pos="632"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Designation</w:t>
      </w:r>
      <w:r>
        <w:rPr>
          <w:rFonts w:ascii="Times New Roman" w:cs="Times New Roman" w:eastAsia="Times New Roman" w:hAnsi="Times New Roman"/>
          <w:sz w:val="16"/>
          <w:szCs w:val="16"/>
          <w:color w:val="auto"/>
        </w:rPr>
        <w:t xml:space="preserve">. The shares of this series of Preferred Stock shall be designated as </w:t>
      </w:r>
      <w:r>
        <w:rPr>
          <w:rFonts w:ascii="Times New Roman" w:cs="Times New Roman" w:eastAsia="Times New Roman" w:hAnsi="Times New Roman"/>
          <w:sz w:val="1"/>
          <w:szCs w:val="1"/>
          <w:color w:val="auto"/>
        </w:rPr>
        <w:drawing>
          <wp:inline distT="0" distB="0" distL="0" distR="0">
            <wp:extent cx="102870" cy="94615"/>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Series B 12% Cumulative, Convertible Preferred Stock </w:t>
      </w:r>
      <w:r>
        <w:rPr>
          <w:rFonts w:ascii="Times New Roman" w:cs="Times New Roman" w:eastAsia="Times New Roman" w:hAnsi="Times New Roman"/>
          <w:sz w:val="1"/>
          <w:szCs w:val="1"/>
          <w:color w:val="auto"/>
        </w:rPr>
        <w:drawing>
          <wp:inline distT="0" distB="0" distL="0" distR="0">
            <wp:extent cx="102870" cy="94615"/>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(hereinafter called </w:t>
      </w:r>
      <w:r>
        <w:rPr>
          <w:rFonts w:ascii="Times New Roman" w:cs="Times New Roman" w:eastAsia="Times New Roman" w:hAnsi="Times New Roman"/>
          <w:sz w:val="1"/>
          <w:szCs w:val="1"/>
          <w:color w:val="auto"/>
        </w:rPr>
        <w:drawing>
          <wp:inline distT="0" distB="0" distL="0" distR="0">
            <wp:extent cx="102870" cy="94615"/>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Series B Preferred Stock </w:t>
      </w:r>
      <w:r>
        <w:rPr>
          <w:rFonts w:ascii="Times New Roman" w:cs="Times New Roman" w:eastAsia="Times New Roman" w:hAnsi="Times New Roman"/>
          <w:sz w:val="1"/>
          <w:szCs w:val="1"/>
          <w:color w:val="auto"/>
        </w:rPr>
        <w:drawing>
          <wp:inline distT="0" distB="0" distL="0" distR="0">
            <wp:extent cx="102870" cy="94615"/>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 having a par value of $100 per share, with said Series B Preferred Stock to consist of Twenty Thousand (20,000) shares.</w:t>
      </w:r>
    </w:p>
    <w:p>
      <w:pPr>
        <w:spacing w:after="0" w:line="74" w:lineRule="exact"/>
        <w:rPr>
          <w:rFonts w:ascii="Times New Roman" w:cs="Times New Roman" w:eastAsia="Times New Roman" w:hAnsi="Times New Roman"/>
          <w:sz w:val="16"/>
          <w:szCs w:val="16"/>
          <w:color w:val="auto"/>
        </w:rPr>
      </w:pPr>
    </w:p>
    <w:p>
      <w:pPr>
        <w:jc w:val="both"/>
        <w:ind w:right="320" w:firstLine="464"/>
        <w:spacing w:after="0" w:line="262" w:lineRule="auto"/>
        <w:tabs>
          <w:tab w:leader="none" w:pos="63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xml:space="preserve">. The holders of shares of the Series B Preferred Stock shall be entitled to receive cash dividends, but only when, as and if declared by the Board of Directors of LSB, at the rate of twelve percent (12%) per annum of the par value of such Series B Preferred Stock and no more, payable annually on such date in each year as shall be fixed by the Board of Directors of LSB ( </w:t>
      </w:r>
      <w:r>
        <w:rPr>
          <w:rFonts w:ascii="Times New Roman" w:cs="Times New Roman" w:eastAsia="Times New Roman" w:hAnsi="Times New Roman"/>
          <w:sz w:val="1"/>
          <w:szCs w:val="1"/>
          <w:color w:val="auto"/>
        </w:rPr>
        <w:drawing>
          <wp:inline distT="0" distB="0" distL="0" distR="0">
            <wp:extent cx="102870" cy="94615"/>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Cash Dividends </w:t>
      </w:r>
      <w:r>
        <w:rPr>
          <w:rFonts w:ascii="Times New Roman" w:cs="Times New Roman" w:eastAsia="Times New Roman" w:hAnsi="Times New Roman"/>
          <w:sz w:val="1"/>
          <w:szCs w:val="1"/>
          <w:color w:val="auto"/>
        </w:rPr>
        <w:drawing>
          <wp:inline distT="0" distB="0" distL="0" distR="0">
            <wp:extent cx="102870" cy="94615"/>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w:t>
      </w:r>
    </w:p>
    <w:p>
      <w:pPr>
        <w:spacing w:after="0" w:line="132"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If Cash Dividends on the Series B Preferred Stock for any year shall not have been paid or set apart in full for the Series B Preferred Stock, the aggregate deficiency shall be cumulative and shall be paid or set apart for payment before any dividends shall be paid upon or set apart for payment for any class of common stock of LSB (other than a dividend payable in common stock of LSB).</w:t>
      </w:r>
    </w:p>
    <w:p>
      <w:pPr>
        <w:spacing w:after="0" w:line="132"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Any accumulation of dividends on the Series B Preferred Stock shall not bear interest. The holders of Series B Preferred Stock shall not be entitled to receive any dividends thereon other than the dividends provided for in this paragraph 2.</w:t>
      </w:r>
    </w:p>
    <w:p>
      <w:pPr>
        <w:spacing w:after="0" w:line="12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Cash Dividends on Series B Preferred Stock shall be declared if, when and as the Board of Directors shall in their sole discretion deem advisable, and only from the net profits or surplus of the Corporation as such shall be fixed and determined by the said Board. The determination of the Board of Directors at any time of the amount of net profits or surplus available for a Cash Dividend shall be binding and conclusive on the holders of all the stock of the Corporation at the time outstanding.</w:t>
      </w:r>
    </w:p>
    <w:p>
      <w:pPr>
        <w:spacing w:after="0" w:line="136" w:lineRule="exact"/>
        <w:rPr>
          <w:sz w:val="20"/>
          <w:szCs w:val="20"/>
          <w:color w:val="auto"/>
        </w:rPr>
      </w:pPr>
    </w:p>
    <w:p>
      <w:pPr>
        <w:ind w:right="20" w:firstLine="464"/>
        <w:spacing w:after="0" w:line="256" w:lineRule="auto"/>
        <w:tabs>
          <w:tab w:leader="none" w:pos="63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Preemptive Rights</w:t>
      </w:r>
      <w:r>
        <w:rPr>
          <w:rFonts w:ascii="Times New Roman" w:cs="Times New Roman" w:eastAsia="Times New Roman" w:hAnsi="Times New Roman"/>
          <w:sz w:val="18"/>
          <w:szCs w:val="18"/>
          <w:color w:val="auto"/>
        </w:rPr>
        <w:t>. No holder of the Series B Preferred Stock shall be entitled, as of right, to purchase or subscribe for any part of the unissued stock of LSB or of any stock of LSB to be issued by reason of any increase of the authorized capital stock of the Corporation, or to purchase or subscribe for any bonds, certificates of indebtedness, debentures or other securities convertible into or carrying options or warrants to purchase stock or other securities of LSB or to purchase or subscribe for any stock of LSB purchased by LSB or by its nominee or nominees, or to have any other preemptive rights now or here-after defined by the laws of the State of Delaware.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274" w:right="239" w:bottom="1440" w:gutter="0" w:footer="0" w:header="0"/>
        </w:sectPr>
      </w:pPr>
    </w:p>
    <w:bookmarkStart w:id="157" w:name="page158"/>
    <w:bookmarkEnd w:id="157"/>
    <w:p>
      <w:pPr>
        <w:ind w:left="-20" w:firstLine="464"/>
        <w:spacing w:after="0" w:line="285" w:lineRule="auto"/>
        <w:tabs>
          <w:tab w:leader="none" w:pos="612"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Preference on Liquidation, etc</w:t>
      </w:r>
      <w:r>
        <w:rPr>
          <w:rFonts w:ascii="Times New Roman" w:cs="Times New Roman" w:eastAsia="Times New Roman" w:hAnsi="Times New Roman"/>
          <w:sz w:val="16"/>
          <w:szCs w:val="16"/>
          <w:color w:val="auto"/>
        </w:rPr>
        <w:t>. In the event of any voluntary or involuntary liquidation, dissolution or winding up of LSB, or any reduction in its capital resulting in any distribution of assets to its stockholders, the holders of the Series B Preferred Stock shall be entitled to receive in cash out of the assets of LSB, whether from capital or from earnings, available for distribution to its stockholders, before any amount shall be paid to the holders of the common stock of LSB the sum of One Hundred and No/100 Dollars ($100) (the par value of the Series B Preferred Stock) per share, plus an amount equal to all ac-cumulated and unpaid Cash Dividends thereon the date fixed for payment of such distributive amount. The purchase or redemption by LSB of stock of any class, in any manner permitted by law, shall not for the purpose of this paragraph be regarded as a liquidation, dissolution or winding up of LSB or as a reduction of its capital. Neither the consolidation nor merger of LSB with or into any other corporation or corporations, nor the sale or transfer by LSB of all or any part of its assets, shall be deemed to be a liquidation, dissolution or winding up of LSB for the purposes of this paragraph. A dividend or distribution to stockholders from net profits or surplus earned after the date of any reduction of capital shall not be deemed to be a distribution resulting from such reduction in capital. No holder of Series B Preferred Stock shall be entitled to receive or participate in any amounts with respect thereto upon any liquidation, dissolution or winding up of LSB other than the amounts provided for in this paragraph. If, in the event of any such liquidation, dissolution or winding up of LSB, there shall be shares of more than one class or series of Preferred Stock outstanding, and such other class or classes or series of Preferred Stock by their terms have a parity with the Series B Preferred Stock, and in such event there shall be assets distributable upon all shares of the Series B Preferred Stock and of such other classes or series of Preferred Stock in an amount less than the amount of which the holders thereof are entitled, then any amount available to be paid upon all such shares of Preferred Stock (including this Series B Preferred Stock) shall be divided among said classes or series of Preferred Stock in proportion to the aggregate amounts which would have been paid to the holders of the shares of each class or series had they received payment in the full amount to which they would be entitled in such event.</w:t>
      </w:r>
    </w:p>
    <w:p>
      <w:pPr>
        <w:spacing w:after="0" w:line="342" w:lineRule="exact"/>
        <w:rPr>
          <w:rFonts w:ascii="Times New Roman" w:cs="Times New Roman" w:eastAsia="Times New Roman" w:hAnsi="Times New Roman"/>
          <w:sz w:val="16"/>
          <w:szCs w:val="16"/>
          <w:color w:val="auto"/>
        </w:rPr>
      </w:pPr>
    </w:p>
    <w:p>
      <w:pPr>
        <w:ind w:left="-20" w:firstLine="464"/>
        <w:spacing w:after="0" w:line="310" w:lineRule="auto"/>
        <w:tabs>
          <w:tab w:leader="none" w:pos="612"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Voting Rights</w:t>
      </w:r>
      <w:r>
        <w:rPr>
          <w:rFonts w:ascii="Times New Roman" w:cs="Times New Roman" w:eastAsia="Times New Roman" w:hAnsi="Times New Roman"/>
          <w:sz w:val="16"/>
          <w:szCs w:val="16"/>
          <w:color w:val="auto"/>
        </w:rPr>
        <w:t>. Subject to the provisions of this paragraph 5, at every meeting of stockholders of LSB each holder of the Series B Preferred Stock shall be entitled to one (1) vote for each share of Series B Preferred Stock held of record in his, her or its name on all matters submitted to a vote of the shareholders of LSB. The Series B Preferred Stock, the common stock of LSB and any other stock of LSB having voting rights shall vote together as one class.</w:t>
      </w:r>
    </w:p>
    <w:p>
      <w:pPr>
        <w:spacing w:after="0" w:line="97" w:lineRule="exact"/>
        <w:rPr>
          <w:rFonts w:ascii="Times New Roman" w:cs="Times New Roman" w:eastAsia="Times New Roman" w:hAnsi="Times New Roman"/>
          <w:sz w:val="16"/>
          <w:szCs w:val="16"/>
          <w:color w:val="auto"/>
        </w:rPr>
      </w:pPr>
    </w:p>
    <w:p>
      <w:pPr>
        <w:ind w:left="-20" w:right="180" w:firstLine="464"/>
        <w:spacing w:after="0" w:line="262" w:lineRule="auto"/>
        <w:tabs>
          <w:tab w:leader="none" w:pos="61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Privileges</w:t>
      </w:r>
      <w:r>
        <w:rPr>
          <w:rFonts w:ascii="Times New Roman" w:cs="Times New Roman" w:eastAsia="Times New Roman" w:hAnsi="Times New Roman"/>
          <w:sz w:val="18"/>
          <w:szCs w:val="18"/>
          <w:color w:val="auto"/>
        </w:rPr>
        <w:t>. Subject to the terms of this paragraph 6, the holder of record of any share or shares of Series B Preferred Stock shall have the right at anytime, at his, her or its option and election, to convert each such share into 33.3333 shares of fully paid and nonassessable shares of common stock of LSB on the following terms and conditions: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80"/>
          </w:cols>
          <w:pgMar w:left="260" w:top="274" w:right="259" w:bottom="1440" w:gutter="0" w:footer="0" w:header="0"/>
        </w:sectPr>
      </w:pPr>
    </w:p>
    <w:bookmarkStart w:id="158" w:name="page159"/>
    <w:bookmarkEnd w:id="158"/>
    <w:p>
      <w:pPr>
        <w:ind w:firstLine="921"/>
        <w:spacing w:after="0" w:line="286" w:lineRule="auto"/>
        <w:tabs>
          <w:tab w:leader="none" w:pos="1152"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LSB shall at the time of such conversion pay to the holder of record of any share or shares of Series B Preferred Stock any accrued but unpaid dividends on said Series B Preferred Stock so surrendered for conversion, except: (i) as otherwise limited by law or by any agreement or instrument to which LSB is a party or may be bound by, and (ii) that the amount of the dividend paid for the then current annual dividend period in which such conversion occurs shall be pro-rated for that portion of such year that has elapsed prior to the time the holder of such share or shares of Series B Preferred Stock exercises his, her or its rights of conversion. If LSB is limited by law from paying such accrued but unpaid dividends, in whole or in part, on the share or shares of Series B Preferred Stock surrendered for conversion at the time such are surrendered for conversion, then LSB shall only be required to pay that amount of such accrued but unpaid dividends as allowed by such law at the time of such conversion and no more. If LSB is limited under any agreement from paying such accrued but unpaid dividends, in whole or in part, on the share or shares of Series B Preferred Stock surrendered for conversion at the time such are surrendered for conversion, then LSB shall pay to the holder of record thereof that portion of such accrued but unpaid dividends that LSB is unable to pay on such share or shares of Series B Preferred Stock at the time such are surrendered for conversion due to said agreement ( </w:t>
      </w:r>
      <w:r>
        <w:rPr>
          <w:rFonts w:ascii="Times New Roman" w:cs="Times New Roman" w:eastAsia="Times New Roman" w:hAnsi="Times New Roman"/>
          <w:sz w:val="1"/>
          <w:szCs w:val="1"/>
          <w:color w:val="auto"/>
        </w:rPr>
        <w:drawing>
          <wp:inline distT="0" distB="0" distL="0" distR="0">
            <wp:extent cx="102870" cy="94615"/>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Unpaid Dividends </w:t>
      </w:r>
      <w:r>
        <w:rPr>
          <w:rFonts w:ascii="Times New Roman" w:cs="Times New Roman" w:eastAsia="Times New Roman" w:hAnsi="Times New Roman"/>
          <w:sz w:val="1"/>
          <w:szCs w:val="1"/>
          <w:color w:val="auto"/>
        </w:rPr>
        <w:drawing>
          <wp:inline distT="0" distB="0" distL="0" distR="0">
            <wp:extent cx="102870" cy="94615"/>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 when LSB is no longer prohibited from paying such Unpaid Dividends under an agreement and prior to any dividends being paid upon or set apart for payment for any class of common stock of LSB (other than a dividend payable in common stock of LSB); and in connection therewith, LSB and such holder shall, at the time of such conversion, enter into a separate contract, the terms of which are to be satisfactory to LSB and such holder, evidencing LSB </w:t>
      </w:r>
      <w:r>
        <w:rPr>
          <w:rFonts w:ascii="Times New Roman" w:cs="Times New Roman" w:eastAsia="Times New Roman" w:hAnsi="Times New Roman"/>
          <w:sz w:val="1"/>
          <w:szCs w:val="1"/>
          <w:color w:val="auto"/>
        </w:rPr>
        <w:drawing>
          <wp:inline distT="0" distB="0" distL="0" distR="0">
            <wp:extent cx="102870" cy="94615"/>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s obligation to pay to the holder thereof the Unpaid Dividends (without interest) after such conversion when LSB is no longer prohibited from paying such under an agreement and prior to any dividends being paid upon or set apart for payment for any class of common stock of LSB (other than a dividend payable in common stock of LSB).</w:t>
      </w:r>
    </w:p>
    <w:p>
      <w:pPr>
        <w:spacing w:after="0" w:line="333" w:lineRule="exact"/>
        <w:rPr>
          <w:rFonts w:ascii="Times New Roman" w:cs="Times New Roman" w:eastAsia="Times New Roman" w:hAnsi="Times New Roman"/>
          <w:sz w:val="16"/>
          <w:szCs w:val="16"/>
          <w:color w:val="auto"/>
        </w:rPr>
      </w:pPr>
    </w:p>
    <w:p>
      <w:pPr>
        <w:ind w:firstLine="921"/>
        <w:spacing w:after="0" w:line="252" w:lineRule="auto"/>
        <w:tabs>
          <w:tab w:leader="none" w:pos="116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LSB shall (i) pay to the holders of its common stock a stock dividend payable in its common stock, the number of shares of common stock issuable upon conversion of the Series B Preferred Stock shall be proportionately adjusted, effective as of the date of payment of such stock dividend; or (ii) have a stock split, reclassification, recapitalization, combination of shares or similar corporate rearrangement (other than a stock dividend which is provided for in (i) above), without any consideration therefor being received by LSB, increasing or decreasing the number of outstanding shares of LSB </w:t>
      </w:r>
      <w:r>
        <w:rPr>
          <w:rFonts w:ascii="Times New Roman" w:cs="Times New Roman" w:eastAsia="Times New Roman" w:hAnsi="Times New Roman"/>
          <w:sz w:val="1"/>
          <w:szCs w:val="1"/>
          <w:color w:val="auto"/>
        </w:rPr>
        <w:drawing>
          <wp:inline distT="0" distB="0" distL="0" distR="0">
            <wp:extent cx="102870" cy="94615"/>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 common stock, the number of shares of common stock issuable upon conversion of the Series B Preferred Stock shall be proportionately increased or decreased, effective as of the date of the payment of or happening of such event; or (iii) be consolidated with or merge into another corporation, in which LSB is the nonsurviving corporation, or sell all or substantially all of LSB </w:t>
      </w:r>
      <w:r>
        <w:rPr>
          <w:rFonts w:ascii="Times New Roman" w:cs="Times New Roman" w:eastAsia="Times New Roman" w:hAnsi="Times New Roman"/>
          <w:sz w:val="1"/>
          <w:szCs w:val="1"/>
          <w:color w:val="auto"/>
        </w:rPr>
        <w:drawing>
          <wp:inline distT="0" distB="0" distL="0" distR="0">
            <wp:extent cx="102870" cy="94615"/>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 assets as an entirety under one plan or arrangement to another corporation and such consolidation, merger or sale shall be effected in such a way that holders of LSB </w:t>
      </w:r>
      <w:r>
        <w:rPr>
          <w:rFonts w:ascii="Times New Roman" w:cs="Times New Roman" w:eastAsia="Times New Roman" w:hAnsi="Times New Roman"/>
          <w:sz w:val="1"/>
          <w:szCs w:val="1"/>
          <w:color w:val="auto"/>
        </w:rPr>
        <w:drawing>
          <wp:inline distT="0" distB="0" distL="0" distR="0">
            <wp:extent cx="102870" cy="94615"/>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 common stock shall be entitled to receive stock, securities or assets with respect to or in exchange for such common stock, then after the effective date of such consolidation, merger or sale each share of Series B Preferred Stock shall be convertible into (in lieu of LSB common stock) the number of shares of stock or other securities or assets to which such holder of the Series B Preferred Stock would have been entitled to upon such consummation as if the holder of the Series B Preferred Stock had so exercised his, her or its right of conversion under such Series B Preferred Stock immediately prior to such consolidation, merger or sale, and LSB shall make lawful provision therefor as part of such consolidation, merger or sale.</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274" w:right="239" w:bottom="1440" w:gutter="0" w:footer="0" w:header="0"/>
        </w:sectPr>
      </w:pPr>
    </w:p>
    <w:bookmarkStart w:id="159" w:name="page160"/>
    <w:bookmarkEnd w:id="159"/>
    <w:p>
      <w:pPr>
        <w:ind w:left="-20" w:firstLine="921"/>
        <w:spacing w:after="0" w:line="289" w:lineRule="auto"/>
        <w:tabs>
          <w:tab w:leader="none" w:pos="1132"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LSB shall not be required to issue any fraction of a share of common stock upon any conversion, but (i) may deliver scrip therefor, which shall not entitle the bearer thereof to vote, or to receive dividends or to any other or further right or interest, except to convert the same in amounts aggregating one or more whole shares of LSB common stock at any time within a period, fixed by the Board of Directors of LSB, which shall be stated in the scrip, or (ii) may pay in cash therefor an amount equal to the same fraction of the fair market value of a full share of LSB common stock. For such purpose of determining the fair market value of LSB common stock, the fair market value of a share of LSB common stock, shall be the last recorded sale price of such a share of LSB common stock on the American Stock Exchange on the date immediately preceding the date upon which such Series B Preferred Stock is surrendered for conversion or, if there be no recorded sale price on such day, the last quoted bid price per share of LSB common stock on such Exchange at the close of trading on such date. If LSB common stock shall not be at the time dealt in on the American Stock Exchange, such fair market value of LSB common stock shall be the prevailing market value of such common stock on any other securities exchange or in the open market, as determined by LSB, which determination shall be conclusive.</w:t>
      </w:r>
    </w:p>
    <w:p>
      <w:pPr>
        <w:spacing w:after="0" w:line="112" w:lineRule="exact"/>
        <w:rPr>
          <w:rFonts w:ascii="Times New Roman" w:cs="Times New Roman" w:eastAsia="Times New Roman" w:hAnsi="Times New Roman"/>
          <w:sz w:val="16"/>
          <w:szCs w:val="16"/>
          <w:color w:val="auto"/>
        </w:rPr>
      </w:pPr>
    </w:p>
    <w:p>
      <w:pPr>
        <w:ind w:left="-20" w:right="100" w:firstLine="921"/>
        <w:spacing w:after="0" w:line="258" w:lineRule="auto"/>
        <w:tabs>
          <w:tab w:leader="none" w:pos="114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right to convert the Series B Preferred Stock into shares of LSB common stock is subject to LSB listing the underlying common stock with the American Stock Exchange, if LSB common stock is at that time listed on such Exchange. LSB shall at all times reserve and keep available solely for purpose of issue upon conversion of the Series B Preferred Stock, as herein provided, such number of shares of common stock as shall be issuable upon the conversion of all outstanding Series B Preferred Stock.</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60" w:top="274" w:right="239" w:bottom="1440" w:gutter="0" w:footer="0" w:header="0"/>
        </w:sectPr>
      </w:pPr>
    </w:p>
    <w:bookmarkStart w:id="160" w:name="page161"/>
    <w:bookmarkEnd w:id="160"/>
    <w:p>
      <w:pPr>
        <w:jc w:val="both"/>
        <w:ind w:firstLine="921"/>
        <w:spacing w:after="0" w:line="256" w:lineRule="auto"/>
        <w:tabs>
          <w:tab w:leader="none" w:pos="115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holder of a share or shares of Series B Preferred Stock desiring to convert such Series B Preferred Stock into common stock of LSB shall surrender the certificate or certificates representing the share or shares of Series B Preferred Stock so to be converted, duly endorsed to LSB in blank, with the signature of said endorsement guaranteed by a national bank or investment banking firm, at the principal office of LSB (or such other place as may be designated by LSB), and shall give written notice to LSB at said office that he elects to convert the same, and setting forth the name or names (with the address or addresses) in which the shares of common stock are to be issued.</w:t>
      </w:r>
    </w:p>
    <w:p>
      <w:pPr>
        <w:spacing w:after="0" w:line="138" w:lineRule="exact"/>
        <w:rPr>
          <w:rFonts w:ascii="Times New Roman" w:cs="Times New Roman" w:eastAsia="Times New Roman" w:hAnsi="Times New Roman"/>
          <w:sz w:val="18"/>
          <w:szCs w:val="18"/>
          <w:color w:val="auto"/>
        </w:rPr>
      </w:pPr>
    </w:p>
    <w:p>
      <w:pPr>
        <w:ind w:firstLine="921"/>
        <w:spacing w:after="0" w:line="258" w:lineRule="auto"/>
        <w:tabs>
          <w:tab w:leader="none" w:pos="113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certificates for shares of common stock upon conversion of the Series B Preferred Stock shall be made without charge for tax in respect of such issuance; however, if any certificate is to be issued in any name other than that of the holder of record of the Series B Preferred Stock so converted, the person or persons requesting the issuance thereof shall pay to LSB the amount of any tax which may be payable in respect of any transfer involved in such issuance, or shall establish to the satisfaction of the Corporation that such tax has been paid or is not due and payable.</w:t>
      </w:r>
    </w:p>
    <w:p>
      <w:pPr>
        <w:spacing w:after="0" w:line="136"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There shall be no mandatory or optional redemption rights with respect to the Series B Preferred Stock.</w:t>
      </w:r>
    </w:p>
    <w:p>
      <w:pPr>
        <w:spacing w:after="0" w:line="171" w:lineRule="exact"/>
        <w:rPr>
          <w:rFonts w:ascii="Times New Roman" w:cs="Times New Roman" w:eastAsia="Times New Roman" w:hAnsi="Times New Roman"/>
          <w:sz w:val="18"/>
          <w:szCs w:val="18"/>
          <w:color w:val="auto"/>
        </w:rPr>
      </w:pPr>
    </w:p>
    <w:p>
      <w:pPr>
        <w:ind w:right="120" w:firstLine="464"/>
        <w:spacing w:after="0" w:line="262" w:lineRule="auto"/>
        <w:tabs>
          <w:tab w:leader="none" w:pos="63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Reacquired Shares</w:t>
      </w:r>
      <w:r>
        <w:rPr>
          <w:rFonts w:ascii="Times New Roman" w:cs="Times New Roman" w:eastAsia="Times New Roman" w:hAnsi="Times New Roman"/>
          <w:sz w:val="18"/>
          <w:szCs w:val="18"/>
          <w:color w:val="auto"/>
        </w:rPr>
        <w:t>. Shares of the Series B Preferred Stock which have been issued and reacquired in any manner (until LSB elects to retire them) shall (upon compliance with any applicable provisions of the laws of the State of Delaware) have the status of authorized and unissued shares of the class of Preferred Stock of LSB undesignated as to series and may be redesignated and reissued.</w:t>
      </w:r>
    </w:p>
    <w:p>
      <w:pPr>
        <w:spacing w:after="0" w:line="132" w:lineRule="exact"/>
        <w:rPr>
          <w:rFonts w:ascii="Times New Roman" w:cs="Times New Roman" w:eastAsia="Times New Roman" w:hAnsi="Times New Roman"/>
          <w:sz w:val="18"/>
          <w:szCs w:val="18"/>
          <w:color w:val="auto"/>
        </w:rPr>
      </w:pPr>
    </w:p>
    <w:p>
      <w:pPr>
        <w:ind w:right="20" w:firstLine="464"/>
        <w:spacing w:after="0" w:line="275" w:lineRule="auto"/>
        <w:tabs>
          <w:tab w:leader="none" w:pos="63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The shares of the Series B Preferred Stock shall not be subject to the operation of or to the benefit of any retirement or sinking fund. The shares of the Series B Preferred Stock shall not have any other relative, participating, optional or other rights and powers not set forth above.</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$2.20 SERIES 1 CONVERTIBLE EXCHANGEABLE CLASS C PREFERRED STOCK</w:t>
      </w:r>
    </w:p>
    <w:p>
      <w:pPr>
        <w:spacing w:after="0" w:line="171"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 xml:space="preserve">The Corporation may issue one series of up to 977,500 shares of $2.20 Series 1 Convertible Exchangeable Class C Preferred Stock within the Corporation </w:t>
      </w:r>
      <w:r>
        <w:rPr>
          <w:sz w:val="1"/>
          <w:szCs w:val="1"/>
          <w:color w:val="auto"/>
        </w:rPr>
        <w:drawing>
          <wp:inline distT="0" distB="0" distL="0" distR="0">
            <wp:extent cx="102870" cy="94615"/>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 class of Class C Preferred Stock, no par value, and the $2.20 Series 1 Convertible Exchangeable Class C Preferred Stock shall have the following designations, rights and preferences:</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DESIGNATION AND SIZE OF ISSUE</w:t>
      </w:r>
    </w:p>
    <w:p>
      <w:pPr>
        <w:spacing w:after="0" w:line="90" w:lineRule="exact"/>
        <w:rPr>
          <w:sz w:val="20"/>
          <w:szCs w:val="20"/>
          <w:color w:val="auto"/>
        </w:rPr>
      </w:pPr>
    </w:p>
    <w:p>
      <w:pPr>
        <w:ind w:right="100" w:firstLine="913"/>
        <w:spacing w:after="0" w:line="275" w:lineRule="auto"/>
        <w:rPr>
          <w:sz w:val="20"/>
          <w:szCs w:val="20"/>
          <w:color w:val="auto"/>
        </w:rPr>
      </w:pPr>
      <w:r>
        <w:rPr>
          <w:rFonts w:ascii="Times New Roman" w:cs="Times New Roman" w:eastAsia="Times New Roman" w:hAnsi="Times New Roman"/>
          <w:sz w:val="18"/>
          <w:szCs w:val="18"/>
          <w:color w:val="auto"/>
        </w:rPr>
        <w:t xml:space="preserve">The distinctive designation of this series shall be </w:t>
      </w:r>
      <w:r>
        <w:rPr>
          <w:sz w:val="1"/>
          <w:szCs w:val="1"/>
          <w:color w:val="auto"/>
        </w:rPr>
        <w:drawing>
          <wp:inline distT="0" distB="0" distL="0" distR="0">
            <wp:extent cx="102870" cy="94615"/>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$2.20 Series 1 Convertible Exchangeable Class C Preferred Stock </w:t>
      </w:r>
      <w:r>
        <w:rPr>
          <w:sz w:val="1"/>
          <w:szCs w:val="1"/>
          <w:color w:val="auto"/>
        </w:rPr>
        <w:drawing>
          <wp:inline distT="0" distB="0" distL="0" distR="0">
            <wp:extent cx="102870" cy="94615"/>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(hereinafter referred to as </w:t>
      </w:r>
      <w:r>
        <w:rPr>
          <w:sz w:val="1"/>
          <w:szCs w:val="1"/>
          <w:color w:val="auto"/>
        </w:rPr>
        <w:drawing>
          <wp:inline distT="0" distB="0" distL="0" distR="0">
            <wp:extent cx="102870" cy="94615"/>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this Series </w:t>
      </w:r>
      <w:r>
        <w:rPr>
          <w:sz w:val="1"/>
          <w:szCs w:val="1"/>
          <w:color w:val="auto"/>
        </w:rPr>
        <w:drawing>
          <wp:inline distT="0" distB="0" distL="0" distR="0">
            <wp:extent cx="102870" cy="94615"/>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The number of shares which shall constitute this Series shall be 977,500 shares, no par value, with a stated value of $20 per share.</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60"/>
          </w:cols>
          <w:pgMar w:left="240" w:top="274" w:right="299" w:bottom="1440" w:gutter="0" w:footer="0" w:header="0"/>
        </w:sectPr>
      </w:pPr>
    </w:p>
    <w:bookmarkStart w:id="161" w:name="page162"/>
    <w:bookmarkEnd w:id="161"/>
    <w:p>
      <w:pPr>
        <w:ind w:left="700" w:hanging="276"/>
        <w:spacing w:after="0"/>
        <w:tabs>
          <w:tab w:leader="none" w:pos="7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DIVIDENDS</w:t>
      </w:r>
    </w:p>
    <w:p>
      <w:pPr>
        <w:spacing w:after="0" w:line="90" w:lineRule="exact"/>
        <w:rPr>
          <w:rFonts w:ascii="Times New Roman" w:cs="Times New Roman" w:eastAsia="Times New Roman" w:hAnsi="Times New Roman"/>
          <w:sz w:val="18"/>
          <w:szCs w:val="18"/>
          <w:color w:val="auto"/>
        </w:rPr>
      </w:pPr>
    </w:p>
    <w:p>
      <w:pPr>
        <w:ind w:left="1120" w:hanging="239"/>
        <w:spacing w:after="0"/>
        <w:tabs>
          <w:tab w:leader="none" w:pos="112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rate of dividends payable on each share of this Series shall be $2.20.</w:t>
      </w:r>
    </w:p>
    <w:p>
      <w:pPr>
        <w:spacing w:after="0" w:line="171" w:lineRule="exact"/>
        <w:rPr>
          <w:rFonts w:ascii="Times New Roman" w:cs="Times New Roman" w:eastAsia="Times New Roman" w:hAnsi="Times New Roman"/>
          <w:sz w:val="18"/>
          <w:szCs w:val="18"/>
          <w:color w:val="auto"/>
        </w:rPr>
      </w:pPr>
    </w:p>
    <w:p>
      <w:pPr>
        <w:ind w:left="-40" w:right="20" w:firstLine="921"/>
        <w:spacing w:after="0" w:line="288" w:lineRule="auto"/>
        <w:tabs>
          <w:tab w:leader="none" w:pos="1122" w:val="left"/>
        </w:tabs>
        <w:numPr>
          <w:ilvl w:val="1"/>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Dividends on this Series shall be payable in cash, when and as declared by the Board of Directors of the Corporation. Such dividends, when and as declared by the Board of Directors, shall be payable quarterly in arrears on the first day of January, April, July and October of each year, commencing April 1, 1987 (each such date hereinafter referred to as a </w:t>
      </w:r>
      <w:r>
        <w:rPr>
          <w:rFonts w:ascii="Times New Roman" w:cs="Times New Roman" w:eastAsia="Times New Roman" w:hAnsi="Times New Roman"/>
          <w:sz w:val="1"/>
          <w:szCs w:val="1"/>
          <w:color w:val="auto"/>
        </w:rPr>
        <w:drawing>
          <wp:inline distT="0" distB="0" distL="0" distR="0">
            <wp:extent cx="102870" cy="94615"/>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Dividend Payment Date </w:t>
      </w:r>
      <w:r>
        <w:rPr>
          <w:rFonts w:ascii="Times New Roman" w:cs="Times New Roman" w:eastAsia="Times New Roman" w:hAnsi="Times New Roman"/>
          <w:sz w:val="1"/>
          <w:szCs w:val="1"/>
          <w:color w:val="auto"/>
        </w:rPr>
        <w:drawing>
          <wp:inline distT="0" distB="0" distL="0" distR="0">
            <wp:extent cx="102870" cy="94615"/>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 except that if such date is not a Business Day (as hereinafter defined), then such dividend shall be payable on the next succeeding calendar day which is a Business Day. The amount of dividends payable on shares of this Series for each full quarterly dividend period shall be computed by dividing by four the annual rate per share set forth in Section (B)(1). Dividends payable on shares of this Series for the initial dividend period and for any period less than a full quarterly period shall be computed on the basis of a 360-day year of twelve 30-day months. Dividends shall be payable to the record holders of shares of this Series as of the close of business on a date, not more than sixty (60) days preceding the payment date thereof, fixed by the Board of Directors of the Corporation. Dividends in arrears may be declared and paid at any time, without reference to any regular Dividend Payment Date, to record holders of shares of this Series as of the close of business on a date, not more than sixty (60) days preceding the payment date thereof, fixed by the Board of Directors of the Corporation. As used in this resolution, the term </w:t>
      </w:r>
      <w:r>
        <w:rPr>
          <w:rFonts w:ascii="Times New Roman" w:cs="Times New Roman" w:eastAsia="Times New Roman" w:hAnsi="Times New Roman"/>
          <w:sz w:val="1"/>
          <w:szCs w:val="1"/>
          <w:color w:val="auto"/>
        </w:rPr>
        <w:drawing>
          <wp:inline distT="0" distB="0" distL="0" distR="0">
            <wp:extent cx="102870" cy="94615"/>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Business Day </w:t>
      </w:r>
      <w:r>
        <w:rPr>
          <w:rFonts w:ascii="Times New Roman" w:cs="Times New Roman" w:eastAsia="Times New Roman" w:hAnsi="Times New Roman"/>
          <w:sz w:val="1"/>
          <w:szCs w:val="1"/>
          <w:color w:val="auto"/>
        </w:rPr>
        <w:drawing>
          <wp:inline distT="0" distB="0" distL="0" distR="0">
            <wp:extent cx="102870" cy="94615"/>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means a day other than Saturday or Sunday and other than a day on which banking institutions in New York, New York are authorized by law or executive order to close.</w:t>
      </w:r>
    </w:p>
    <w:p>
      <w:pPr>
        <w:spacing w:after="0" w:line="331" w:lineRule="exact"/>
        <w:rPr>
          <w:sz w:val="20"/>
          <w:szCs w:val="20"/>
          <w:color w:val="auto"/>
        </w:rPr>
      </w:pPr>
    </w:p>
    <w:p>
      <w:pPr>
        <w:ind w:left="-40" w:right="280" w:firstLine="464"/>
        <w:spacing w:after="0" w:line="275" w:lineRule="auto"/>
        <w:tabs>
          <w:tab w:leader="none" w:pos="66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payable on shares of this Series shall be cumulative and shall accumulate on each Dividend Payment Date from the date of original issue. Accumulation of dividends shall not bear interest.</w:t>
      </w:r>
    </w:p>
    <w:p>
      <w:pPr>
        <w:spacing w:after="0" w:line="119" w:lineRule="exact"/>
        <w:rPr>
          <w:rFonts w:ascii="Times New Roman" w:cs="Times New Roman" w:eastAsia="Times New Roman" w:hAnsi="Times New Roman"/>
          <w:sz w:val="18"/>
          <w:szCs w:val="18"/>
          <w:color w:val="auto"/>
        </w:rPr>
      </w:pPr>
    </w:p>
    <w:p>
      <w:pPr>
        <w:ind w:left="-40" w:firstLine="464"/>
        <w:spacing w:after="0" w:line="286" w:lineRule="auto"/>
        <w:tabs>
          <w:tab w:leader="none" w:pos="665"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hereinafter provided, so long as any shares of this Series are outstanding, no dividend (other than a dividend payable in Common Stock or in any other stock of the Corporation ranking junior to this Series as to dividends and distributions upon liquidation (collectively, the </w:t>
      </w:r>
      <w:r>
        <w:rPr>
          <w:rFonts w:ascii="Times New Roman" w:cs="Times New Roman" w:eastAsia="Times New Roman" w:hAnsi="Times New Roman"/>
          <w:sz w:val="1"/>
          <w:szCs w:val="1"/>
          <w:color w:val="auto"/>
        </w:rPr>
        <w:drawing>
          <wp:inline distT="0" distB="0" distL="0" distR="0">
            <wp:extent cx="102870" cy="94615"/>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Junior Stock </w:t>
      </w:r>
      <w:r>
        <w:rPr>
          <w:rFonts w:ascii="Times New Roman" w:cs="Times New Roman" w:eastAsia="Times New Roman" w:hAnsi="Times New Roman"/>
          <w:sz w:val="1"/>
          <w:szCs w:val="1"/>
          <w:color w:val="auto"/>
        </w:rPr>
        <w:drawing>
          <wp:inline distT="0" distB="0" distL="0" distR="0">
            <wp:extent cx="102870" cy="94615"/>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 shall be declared or paid or set aside for payment, and no other distribution shall be declared or made, upon the Junior Stock or upon any other stock of the Corporation ranking on a parity with this Series as to dividends or distributions upon liquidation, nor shall any Junior Stock nor any other stock of the Corporation ranking on a parity with this Series as to dividends or distributions upon liquidation be redeemed, purchased or otherwise acquired for any consideration (or any moneys be paid to or made available for a sinking fund for the redemption of any shares of any such stock) by the Corporation (except by conversion into or exchange for Junior Stock of the Corporation) unless, in each case, the full cumulative dividends on all outstanding shares of this Series shall have been paid or contemporaneously are declared and paid through the last Dividend Payment Date. When dividends are not paid in full upon the shares of this Series and any other preferred stock of the Corporation ranking on a parity as to dividends with this Series, all dividends declared upon shares of this Series and any other preferred stock of the Corporation ranking on a parity as to dividends with this Series shall be declared pro rata so that the amount of dividends declared per share on this Series and such other preferred stock shall in all cases bear to each other the same ratio that accrued dividends per share on the shares of this Series and such other preferred stock bear to each other; provided, however, that dividends on preferred stock that provides for noncumulative dividends shall be entitled to participate, and shall rank on a party, to the extent of dividends due in the then current period for which such dividends are paid. Holders of shares of this Series shall not be entitled to any dividends, whether payable in cash, property or stock, in excess of the full cumulative dividends, as herein provided, on this Series. No interest, or sum of money in lieu of interest, shall be payable in respect of any dividend payment or payments on this Series which may be in arrears.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60"/>
          </w:cols>
          <w:pgMar w:left="280" w:top="274" w:right="259" w:bottom="1440" w:gutter="0" w:footer="0" w:header="0"/>
        </w:sectPr>
      </w:pPr>
    </w:p>
    <w:bookmarkStart w:id="162" w:name="page163"/>
    <w:bookmarkEnd w:id="162"/>
    <w:p>
      <w:pPr>
        <w:ind w:left="276" w:hanging="276"/>
        <w:spacing w:after="0"/>
        <w:tabs>
          <w:tab w:leader="none" w:pos="27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REDEMPTION</w:t>
      </w:r>
    </w:p>
    <w:p>
      <w:pPr>
        <w:spacing w:after="0" w:line="90" w:lineRule="exact"/>
        <w:rPr>
          <w:rFonts w:ascii="Times New Roman" w:cs="Times New Roman" w:eastAsia="Times New Roman" w:hAnsi="Times New Roman"/>
          <w:sz w:val="18"/>
          <w:szCs w:val="18"/>
          <w:color w:val="auto"/>
        </w:rPr>
      </w:pPr>
    </w:p>
    <w:p>
      <w:pPr>
        <w:ind w:left="-464" w:firstLine="921"/>
        <w:spacing w:after="0" w:line="262" w:lineRule="auto"/>
        <w:tabs>
          <w:tab w:leader="none" w:pos="697"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at the option of the Board of Directors, may, subject to the provisions of Sections (B)(4), (C)(2) and (C)(8) hereof, redeem at any time or from time to time all or any part of the outstanding shares of this Series. The redemption price for each share of this Series called for redemption during the periods set forth below shall be the amount set forth opposite such period.</w:t>
      </w:r>
    </w:p>
    <w:p>
      <w:pPr>
        <w:spacing w:after="0" w:line="158" w:lineRule="exact"/>
        <w:rPr>
          <w:sz w:val="20"/>
          <w:szCs w:val="20"/>
          <w:color w:val="auto"/>
        </w:rPr>
      </w:pPr>
    </w:p>
    <w:tbl>
      <w:tblPr>
        <w:tblLayout w:type="fixed"/>
        <w:tblInd w:w="1376"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Redemption</w:t>
            </w:r>
          </w:p>
        </w:tc>
      </w:tr>
      <w:tr>
        <w:trPr>
          <w:trHeight w:val="165"/>
        </w:trPr>
        <w:tc>
          <w:tcPr>
            <w:tcW w:w="5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If Redeemed During the Twelve-Month Period Beginning January 1</w:t>
            </w:r>
          </w:p>
        </w:tc>
        <w:tc>
          <w:tcPr>
            <w:tcW w:w="240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Price Per Share</w:t>
            </w: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1987</w:t>
            </w:r>
          </w:p>
        </w:tc>
        <w:tc>
          <w:tcPr>
            <w:tcW w:w="1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1988</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1989</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1990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1991</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1992</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1993</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1994</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1995</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100" w:type="dxa"/>
            <w:vAlign w:val="bottom"/>
            <w:shd w:val="clear" w:color="auto" w:fill="CCEEFF"/>
          </w:tcPr>
          <w:p>
            <w:pPr>
              <w:spacing w:after="0"/>
              <w:rPr>
                <w:sz w:val="18"/>
                <w:szCs w:val="18"/>
                <w:color w:val="auto"/>
              </w:rPr>
            </w:pPr>
          </w:p>
        </w:tc>
      </w:tr>
      <w:tr>
        <w:trPr>
          <w:trHeight w:val="228"/>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1996</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9"/>
                <w:szCs w:val="19"/>
                <w:color w:val="auto"/>
              </w:rPr>
            </w:pPr>
          </w:p>
        </w:tc>
      </w:tr>
      <w:tr>
        <w:trPr>
          <w:trHeight w:val="350"/>
        </w:trPr>
        <w:tc>
          <w:tcPr>
            <w:tcW w:w="5360" w:type="dxa"/>
            <w:vAlign w:val="bottom"/>
          </w:tcPr>
          <w:p>
            <w:pPr>
              <w:ind w:left="3780"/>
              <w:spacing w:after="0"/>
              <w:rPr>
                <w:sz w:val="20"/>
                <w:szCs w:val="20"/>
                <w:color w:val="auto"/>
              </w:rPr>
            </w:pPr>
            <w:r>
              <w:rPr>
                <w:rFonts w:ascii="Times New Roman" w:cs="Times New Roman" w:eastAsia="Times New Roman" w:hAnsi="Times New Roman"/>
                <w:sz w:val="18"/>
                <w:szCs w:val="18"/>
                <w:color w:val="auto"/>
              </w:rPr>
              <w:t>14</w:t>
            </w: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716"/>
          </w:cols>
          <w:pgMar w:left="704" w:top="274" w:right="47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$20 if redeemed on or after January 1, 1997 together in each case with accumulated and unpaid dividends to the date fixed for redemption.</w:t>
      </w:r>
    </w:p>
    <w:p>
      <w:pPr>
        <w:spacing w:after="0" w:line="171" w:lineRule="exact"/>
        <w:rPr>
          <w:sz w:val="20"/>
          <w:szCs w:val="20"/>
          <w:color w:val="auto"/>
        </w:rPr>
      </w:pPr>
    </w:p>
    <w:p>
      <w:pPr>
        <w:ind w:firstLine="921"/>
        <w:spacing w:after="0" w:line="287" w:lineRule="auto"/>
        <w:tabs>
          <w:tab w:leader="none" w:pos="1162" w:val="left"/>
        </w:tabs>
        <w:numPr>
          <w:ilvl w:val="1"/>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the provisions of Section (C)(1) above, the Corporation may not redeem any shares of this Series prior to January 1, 1991 unless the Closing Price (as determined in Section (C)(3)) of the Corporation </w:t>
      </w:r>
      <w:r>
        <w:rPr>
          <w:rFonts w:ascii="Times New Roman" w:cs="Times New Roman" w:eastAsia="Times New Roman" w:hAnsi="Times New Roman"/>
          <w:sz w:val="1"/>
          <w:szCs w:val="1"/>
          <w:color w:val="auto"/>
        </w:rPr>
        <w:drawing>
          <wp:inline distT="0" distB="0" distL="0" distR="0">
            <wp:extent cx="102870" cy="94615"/>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s Common Stock shall have equaled or exceeded 140% of the then applicable conversion price per share (as fixed or determined in accordance with Section (D)) for at least twenty (20) Trading Days (as hereinafter defined) within thirty</w:t>
      </w:r>
    </w:p>
    <w:p>
      <w:pPr>
        <w:ind w:right="180" w:firstLine="8"/>
        <w:spacing w:after="0" w:line="252" w:lineRule="auto"/>
        <w:tabs>
          <w:tab w:leader="none" w:pos="33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Trading Days ending within five Trading Days prior to the date notice of redemption is mailed. For purposes of this resolution, Trading Day means, so long as the Common Stock is listed or admitted to trading on the American Stock Exchange (or any successor to such Exchange), a day on which the American Stock Exchange (or such successor) is open for the transaction of business, or, if the Common Stock is not listed or admitted to trading on such Exchange, a day on which the principal national securities exchange on which the Common Stock is listed is open for the transaction of business, or, if the Common Stock is not listed or admitted to trading on any national securities exchange, a day on which any New York Stock Exchange member firm is open for the transaction of business.</w:t>
      </w:r>
    </w:p>
    <w:p>
      <w:pPr>
        <w:spacing w:after="0" w:line="142" w:lineRule="exact"/>
        <w:rPr>
          <w:rFonts w:ascii="Times New Roman" w:cs="Times New Roman" w:eastAsia="Times New Roman" w:hAnsi="Times New Roman"/>
          <w:sz w:val="18"/>
          <w:szCs w:val="18"/>
          <w:color w:val="auto"/>
        </w:rPr>
      </w:pPr>
    </w:p>
    <w:p>
      <w:pPr>
        <w:ind w:firstLine="921"/>
        <w:spacing w:after="0" w:line="255" w:lineRule="auto"/>
        <w:tabs>
          <w:tab w:leader="none" w:pos="1162"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resolution, the Closing Price of the Corporation </w:t>
      </w:r>
      <w:r>
        <w:rPr>
          <w:rFonts w:ascii="Times New Roman" w:cs="Times New Roman" w:eastAsia="Times New Roman" w:hAnsi="Times New Roman"/>
          <w:sz w:val="1"/>
          <w:szCs w:val="1"/>
          <w:color w:val="auto"/>
        </w:rPr>
        <w:drawing>
          <wp:inline distT="0" distB="0" distL="0" distR="0">
            <wp:extent cx="102870" cy="94615"/>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 Common Stock on a Trading Day shall be the last recorded sale price of such Common Stock on the American Stock Exchange on such day, or, in case no such sale takes place on such day, the average of the closing bid and asked prices on the American Stock Exchange, or, if the Common Stock is not listed or admitted to trading on such Exchange, on the principal national securities exchange on which the Common Stock is listed or admit-ted to trading, or, if it is not listed or admitted to trading on any national securities exchange, the average of the closing bid and asked prices as furnished by any New York Stock Exchange member firm selected from time to time by the Board of Directors of the Corporation for such purpose (other than the Corporation or a subsidiary thereof).</w:t>
      </w:r>
    </w:p>
    <w:p>
      <w:pPr>
        <w:spacing w:after="0" w:line="139" w:lineRule="exact"/>
        <w:rPr>
          <w:rFonts w:ascii="Times New Roman" w:cs="Times New Roman" w:eastAsia="Times New Roman" w:hAnsi="Times New Roman"/>
          <w:sz w:val="18"/>
          <w:szCs w:val="18"/>
          <w:color w:val="auto"/>
        </w:rPr>
      </w:pPr>
    </w:p>
    <w:p>
      <w:pPr>
        <w:ind w:right="60" w:firstLine="921"/>
        <w:spacing w:after="0" w:line="275" w:lineRule="auto"/>
        <w:tabs>
          <w:tab w:leader="none" w:pos="1162"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fewer than all the outstanding shares of this Series are to be redeemed, the number of shares to be redeemed shall be determined by the Board of Directors, and the shares to be redeemed shall be determined by lot or on a pro rata basis.</w:t>
      </w:r>
    </w:p>
    <w:p>
      <w:pPr>
        <w:spacing w:after="0" w:line="119" w:lineRule="exact"/>
        <w:rPr>
          <w:rFonts w:ascii="Times New Roman" w:cs="Times New Roman" w:eastAsia="Times New Roman" w:hAnsi="Times New Roman"/>
          <w:sz w:val="18"/>
          <w:szCs w:val="18"/>
          <w:color w:val="auto"/>
        </w:rPr>
      </w:pPr>
    </w:p>
    <w:p>
      <w:pPr>
        <w:ind w:right="100" w:firstLine="921"/>
        <w:spacing w:after="0" w:line="254" w:lineRule="auto"/>
        <w:tabs>
          <w:tab w:leader="none" w:pos="1162"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the Corporation shall redeem shares of this Series, notice of such redemption shall be given by first class mail, postage prepaid, mailed not less than thirty (30) nor more than sixty (60) days prior to the redemption date, to each record holder of the shares to be redeemed, at such holder </w:t>
      </w:r>
      <w:r>
        <w:rPr>
          <w:rFonts w:ascii="Times New Roman" w:cs="Times New Roman" w:eastAsia="Times New Roman" w:hAnsi="Times New Roman"/>
          <w:sz w:val="1"/>
          <w:szCs w:val="1"/>
          <w:color w:val="auto"/>
        </w:rPr>
        <w:drawing>
          <wp:inline distT="0" distB="0" distL="0" distR="0">
            <wp:extent cx="102870" cy="94615"/>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 address as the same appears on the books of the Corporation. Each such notice shall state: (i) the redemption date; (ii) the total number of shares of this Series to be redeemed and, if fewer than all the shares held by such holder are to be redeemed, the number of such shares to be redeemed from such holder; (iii) the redemption price; (iv) the place or places where certificates for such shares are to be surrendered for payment of the redemption price; (v) that dividends on the shares to be redeemed will cease to accrue on such redemption date; and (vi) the conversion rights of the shares to be redeemed, the period within which conversion rights may be exercised, and the conversion rate at the time applicable.</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274" w:right="259" w:bottom="1440" w:gutter="0" w:footer="0" w:header="0"/>
        </w:sectPr>
      </w:pPr>
    </w:p>
    <w:bookmarkStart w:id="164" w:name="page165"/>
    <w:bookmarkEnd w:id="164"/>
    <w:p>
      <w:pPr>
        <w:ind w:left="-20" w:right="60" w:firstLine="921"/>
        <w:spacing w:after="0" w:line="291" w:lineRule="auto"/>
        <w:tabs>
          <w:tab w:leader="none" w:pos="1142" w:val="left"/>
        </w:tabs>
        <w:numPr>
          <w:ilvl w:val="1"/>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notice shall have been given as provided in Section (C)(5) and the Corporation shall have provided moneys at the time and place specified for the payment of the redemption price pursuant to such notice, then from and after the redemption date, dividends on the shares of this Series so called for redemption shall cease to accrue, such shares shall no longer be deemed to be outstanding, and all rights of the holders thereof as stockholders of the Corporation (except the right to receive from the Corporation the redemption price without interest) shall cease. Upon surrender (in accordance with the notice) of the certificates for any shares so redeemed (properly endorsed or assigned for transfer, if the Board of Directors of the Corporation shall so require and the notice shall so state), such shares shall be redeemed by the Corporation at the redemption price set forth in Section (C)(1). In case fewer than all the shares represented by any such certificate are to be redeemed, a new certificate shall be issued representing the unredeemed shares, without cost to the holder thereof.</w:t>
      </w:r>
    </w:p>
    <w:p>
      <w:pPr>
        <w:spacing w:after="0" w:line="113" w:lineRule="exact"/>
        <w:rPr>
          <w:rFonts w:ascii="Times New Roman" w:cs="Times New Roman" w:eastAsia="Times New Roman" w:hAnsi="Times New Roman"/>
          <w:sz w:val="16"/>
          <w:szCs w:val="16"/>
          <w:color w:val="auto"/>
        </w:rPr>
      </w:pPr>
    </w:p>
    <w:p>
      <w:pPr>
        <w:ind w:left="-20" w:right="260" w:firstLine="921"/>
        <w:spacing w:after="0" w:line="339" w:lineRule="auto"/>
        <w:tabs>
          <w:tab w:leader="none" w:pos="1142" w:val="left"/>
        </w:tabs>
        <w:numPr>
          <w:ilvl w:val="1"/>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shares of this Series which have been redeemed shall, after such redemption, have the status of authorized but unissued shares of Class C Preferred Stock, without designation as to series, until such shares are once more designated as part of a particular series by the Board of Directors.</w:t>
      </w:r>
    </w:p>
    <w:p>
      <w:pPr>
        <w:spacing w:after="0" w:line="74" w:lineRule="exact"/>
        <w:rPr>
          <w:rFonts w:ascii="Times New Roman" w:cs="Times New Roman" w:eastAsia="Times New Roman" w:hAnsi="Times New Roman"/>
          <w:sz w:val="16"/>
          <w:szCs w:val="16"/>
          <w:color w:val="auto"/>
        </w:rPr>
      </w:pPr>
    </w:p>
    <w:p>
      <w:pPr>
        <w:ind w:left="-20" w:firstLine="921"/>
        <w:spacing w:after="0" w:line="262" w:lineRule="auto"/>
        <w:tabs>
          <w:tab w:leader="none" w:pos="1142"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this Section (C), unless the full cumulative dividends on all outstanding shares of this Series and any other preferred stock ranking on a parity with this Series shall have been paid or contemporaneously are declared and paid through the last Dividend Payment Date, no shares of this Series shall be redeemed, and the Corporation shall not purchase or otherwise acquire any shares of this Series.</w:t>
      </w:r>
    </w:p>
    <w:p>
      <w:pPr>
        <w:spacing w:after="0" w:line="213" w:lineRule="exact"/>
        <w:rPr>
          <w:rFonts w:ascii="Times New Roman" w:cs="Times New Roman" w:eastAsia="Times New Roman" w:hAnsi="Times New Roman"/>
          <w:sz w:val="18"/>
          <w:szCs w:val="18"/>
          <w:color w:val="auto"/>
        </w:rPr>
      </w:pPr>
    </w:p>
    <w:p>
      <w:pPr>
        <w:ind w:left="740" w:hanging="296"/>
        <w:spacing w:after="0"/>
        <w:tabs>
          <w:tab w:leader="none" w:pos="7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RIGHTS</w:t>
      </w:r>
    </w:p>
    <w:p>
      <w:pPr>
        <w:spacing w:after="0" w:line="90" w:lineRule="exact"/>
        <w:rPr>
          <w:rFonts w:ascii="Times New Roman" w:cs="Times New Roman" w:eastAsia="Times New Roman" w:hAnsi="Times New Roman"/>
          <w:sz w:val="18"/>
          <w:szCs w:val="18"/>
          <w:color w:val="auto"/>
        </w:rPr>
      </w:pPr>
    </w:p>
    <w:p>
      <w:pPr>
        <w:ind w:left="-20" w:right="40" w:firstLine="921"/>
        <w:spacing w:after="0" w:line="252" w:lineRule="auto"/>
        <w:tabs>
          <w:tab w:leader="none" w:pos="1142"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holder of a share of this Series shall have the right, at any time, or, as to any share of this Series called for redemption or exchange, at any time prior to the close of business on the date immediately preceding the date fixed for such redemption or exchange (unless the Corporation defaults in (i) the payment of the redemption price, (ii) the issuance of the Debentures, as defined in Section (E), in exchange for the shares of the Series, or (iii) the payment of the final dividend on the Exchange Date), to convert such share into fully paid and nonassessable shares of Common Stock of the Corporation at a rate of 6.956 shares of Common Stock for each share of this Series; provided, however, that if the Corporation </w:t>
      </w:r>
      <w:r>
        <w:rPr>
          <w:rFonts w:ascii="Times New Roman" w:cs="Times New Roman" w:eastAsia="Times New Roman" w:hAnsi="Times New Roman"/>
          <w:sz w:val="1"/>
          <w:szCs w:val="1"/>
          <w:color w:val="auto"/>
        </w:rPr>
        <w:drawing>
          <wp:inline distT="0" distB="0" distL="0" distR="0">
            <wp:extent cx="102870" cy="94615"/>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 consolidated income before provision for income taxes, extraordinary items and gain or loss from a sale not in the ordinary course of business of operating assets or subsidiaries within the Corporation </w:t>
      </w:r>
      <w:r>
        <w:rPr>
          <w:rFonts w:ascii="Times New Roman" w:cs="Times New Roman" w:eastAsia="Times New Roman" w:hAnsi="Times New Roman"/>
          <w:sz w:val="1"/>
          <w:szCs w:val="1"/>
          <w:color w:val="auto"/>
        </w:rPr>
        <w:drawing>
          <wp:inline distT="0" distB="0" distL="0" distR="0">
            <wp:extent cx="102870" cy="94615"/>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 Bearing Business (after deducting cost and expenses charged against the accrual for restructuring cost) for the year ending December 31, 1987, is not a positive number, then on and after the date the Corporation releases such earnings information for the full calendar year of 1987 each share of this Series shall be convertible into 7.619 shares of Common Stock (equivalent to a conversion price of $2-5/8 per share of Common Stock), subject in any event to further adjustment as provided in this Section (D). For purposes of this resolution, except as the context may otherwise require, the relationship between the </w:t>
      </w:r>
      <w:r>
        <w:rPr>
          <w:rFonts w:ascii="Times New Roman" w:cs="Times New Roman" w:eastAsia="Times New Roman" w:hAnsi="Times New Roman"/>
          <w:sz w:val="1"/>
          <w:szCs w:val="1"/>
          <w:color w:val="auto"/>
        </w:rPr>
        <w:drawing>
          <wp:inline distT="0" distB="0" distL="0" distR="0">
            <wp:extent cx="102870" cy="94615"/>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conversion rate </w:t>
      </w:r>
      <w:r>
        <w:rPr>
          <w:rFonts w:ascii="Times New Roman" w:cs="Times New Roman" w:eastAsia="Times New Roman" w:hAnsi="Times New Roman"/>
          <w:sz w:val="1"/>
          <w:szCs w:val="1"/>
          <w:color w:val="auto"/>
        </w:rPr>
        <w:drawing>
          <wp:inline distT="0" distB="0" distL="0" distR="0">
            <wp:extent cx="102870" cy="94615"/>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
          <w:szCs w:val="1"/>
          <w:color w:val="auto"/>
        </w:rPr>
        <w:drawing>
          <wp:inline distT="0" distB="0" distL="0" distR="0">
            <wp:extent cx="102870" cy="94615"/>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conversion price </w:t>
      </w:r>
      <w:r>
        <w:rPr>
          <w:rFonts w:ascii="Times New Roman" w:cs="Times New Roman" w:eastAsia="Times New Roman" w:hAnsi="Times New Roman"/>
          <w:sz w:val="1"/>
          <w:szCs w:val="1"/>
          <w:color w:val="auto"/>
        </w:rPr>
        <w:drawing>
          <wp:inline distT="0" distB="0" distL="0" distR="0">
            <wp:extent cx="102870" cy="94615"/>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shall be established by formula such that the conversion price shall equal twenty (20) divided by the conversion rate. For purposes of this Section (D)(1), </w:t>
      </w:r>
      <w:r>
        <w:rPr>
          <w:rFonts w:ascii="Times New Roman" w:cs="Times New Roman" w:eastAsia="Times New Roman" w:hAnsi="Times New Roman"/>
          <w:sz w:val="1"/>
          <w:szCs w:val="1"/>
          <w:color w:val="auto"/>
        </w:rPr>
        <w:drawing>
          <wp:inline distT="0" distB="0" distL="0" distR="0">
            <wp:extent cx="102870" cy="94615"/>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Bearing Business </w:t>
      </w:r>
      <w:r>
        <w:rPr>
          <w:rFonts w:ascii="Times New Roman" w:cs="Times New Roman" w:eastAsia="Times New Roman" w:hAnsi="Times New Roman"/>
          <w:sz w:val="1"/>
          <w:szCs w:val="1"/>
          <w:color w:val="auto"/>
        </w:rPr>
        <w:drawing>
          <wp:inline distT="0" distB="0" distL="0" distR="0">
            <wp:extent cx="102870" cy="94615"/>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is defined as the manufacture, distribution or sale by the Corporation or a subsidiary of the Corporation of automotive bearings and automotive replacement parts and the sale of the remaining inventory of industrial bearings by the Corporation and/ or subsidiaries of the Corporation.</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80"/>
          </w:cols>
          <w:pgMar w:left="260" w:top="274" w:right="259" w:bottom="1440" w:gutter="0" w:footer="0" w:header="0"/>
        </w:sectPr>
      </w:pPr>
    </w:p>
    <w:bookmarkStart w:id="165" w:name="page166"/>
    <w:bookmarkEnd w:id="165"/>
    <w:p>
      <w:pPr>
        <w:ind w:left="-40" w:firstLine="921"/>
        <w:spacing w:after="0" w:line="253" w:lineRule="auto"/>
        <w:tabs>
          <w:tab w:leader="none" w:pos="112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any shares of this Series are surrendered for conversion subsequent to the record date preceding a Dividend Payment Date but on or prior to such Dividend Payment Date (except shares called for redemption on a redemption date between such record date and Dividend Payment Date), the registered holder of such shares at the close of business on such record date shall be entitled to receive the dividend payable on such shares on such Dividend Payment Date notwithstanding the conversion thereof. Shares of this Series surrendered for conversion during the period from the close of business on any record date for the payment of dividends next preceding any Dividend Payment Date to the opening of business on such Dividend Payment Date shall (except in the case of shares which have been called for redemption on a redemption date within such period) be accompanied by payment in New York Clearing House funds or other funds acceptable to the Corporation of an amount equal to the dividend payable on such Dividend Payment Date on the shares being surrendered for conversion. Except as provided in this Section (D)(2), no adjustments in respect of or payments of dividends on shares surrendered for conversion or any dividend on the Common Stock issued upon conversion shall be made upon the conversion of any shares of this Series.</w:t>
      </w:r>
    </w:p>
    <w:p>
      <w:pPr>
        <w:spacing w:after="0" w:line="143" w:lineRule="exact"/>
        <w:rPr>
          <w:rFonts w:ascii="Times New Roman" w:cs="Times New Roman" w:eastAsia="Times New Roman" w:hAnsi="Times New Roman"/>
          <w:sz w:val="18"/>
          <w:szCs w:val="18"/>
          <w:color w:val="auto"/>
        </w:rPr>
      </w:pPr>
    </w:p>
    <w:p>
      <w:pPr>
        <w:ind w:left="-40" w:right="20" w:firstLine="921"/>
        <w:spacing w:after="0" w:line="258" w:lineRule="auto"/>
        <w:tabs>
          <w:tab w:leader="none" w:pos="112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Corporation shall not be required, in connection with any conversion of shares of this Series, to issue a fraction of a share of its Common Stock, but in lieu thereof the Corporation shall, subject to Section (D)(6)(e), make a cash payment (calculated to the nearest cent </w:t>
      </w:r>
      <w:r>
        <w:rPr>
          <w:rFonts w:ascii="Times New Roman" w:cs="Times New Roman" w:eastAsia="Times New Roman" w:hAnsi="Times New Roman"/>
          <w:sz w:val="1"/>
          <w:szCs w:val="1"/>
          <w:color w:val="auto"/>
        </w:rPr>
        <w:drawing>
          <wp:inline distT="0" distB="0" distL="0" distR="0">
            <wp:extent cx="102870" cy="94615"/>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five mills being considered as nearer to the next highest cent) equal to such fraction multiplied by the Closing Price of the Common Stock on the last Trading Day prior to the date of conversion.</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40"/>
          </w:cols>
          <w:pgMar w:left="280" w:top="274" w:right="279" w:bottom="1440" w:gutter="0" w:footer="0" w:header="0"/>
        </w:sectPr>
      </w:pPr>
    </w:p>
    <w:bookmarkStart w:id="166" w:name="page167"/>
    <w:bookmarkEnd w:id="166"/>
    <w:p>
      <w:pPr>
        <w:ind w:firstLine="921"/>
        <w:spacing w:after="0" w:line="254" w:lineRule="auto"/>
        <w:tabs>
          <w:tab w:leader="none" w:pos="1162" w:val="left"/>
        </w:tabs>
        <w:numPr>
          <w:ilvl w:val="2"/>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holder of shares of this Series electing to convert such shares into Common Stock shall surrender the certificate or certificates for such shares at the office of the Transfer Agent therefore (or at such other place as the Corporation may designate by notice to the holders of shares of this Series) during regular business hours, duly endorsed to the Corporation or in blank, or accompanied by instruments of transfer to the Corporation or in blank, in form satisfactory to the Corporation, and shall give written notice to the Corporation at such office that such holder elects to convert such shares of this Series. The Corporation shall, as soon as practicable (subject to Section (D)(6)(e) hereof) after such deposit of certificates for shares of this Series, accompanied by the written notice above prescribed and the payment of cash in the amount required by Section (D)(2), issue and deliver at such office to the holder for whose account such shares were surrendered, or to his nominee, certificates representing the number of shares of Common Stock and the cash, if any, to which such holder is entitled upon such conversion.</w:t>
      </w:r>
    </w:p>
    <w:p>
      <w:pPr>
        <w:spacing w:after="0" w:line="138" w:lineRule="exact"/>
        <w:rPr>
          <w:rFonts w:ascii="Times New Roman" w:cs="Times New Roman" w:eastAsia="Times New Roman" w:hAnsi="Times New Roman"/>
          <w:sz w:val="18"/>
          <w:szCs w:val="18"/>
          <w:color w:val="auto"/>
        </w:rPr>
      </w:pPr>
    </w:p>
    <w:p>
      <w:pPr>
        <w:ind w:right="340" w:firstLine="921"/>
        <w:spacing w:after="0" w:line="256" w:lineRule="auto"/>
        <w:tabs>
          <w:tab w:leader="none" w:pos="1162" w:val="left"/>
        </w:tabs>
        <w:numPr>
          <w:ilvl w:val="2"/>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shall be deemed to have been made as of the date of surrender of certificates for the shares of this Series to be converted and the giving of written notice and payment, as prescribed in Section (D)(2) and (D)(4); and the person entitled to receive the Common Stock issuable upon such conversation shall be treated for all purposes as the record holder of such Common Stock on such date. The Corporation shall not be required to deliver certificates for shares of its Common Stock while the stock transfer books for such stock or for this Series are duly closed for any purpose, but certificates for shares of Common Stock shall be issued and delivered as soon as practicable after the opening of such books.</w:t>
      </w:r>
    </w:p>
    <w:p>
      <w:pPr>
        <w:spacing w:after="0" w:line="138" w:lineRule="exact"/>
        <w:rPr>
          <w:rFonts w:ascii="Times New Roman" w:cs="Times New Roman" w:eastAsia="Times New Roman" w:hAnsi="Times New Roman"/>
          <w:sz w:val="18"/>
          <w:szCs w:val="18"/>
          <w:color w:val="auto"/>
        </w:rPr>
      </w:pPr>
    </w:p>
    <w:p>
      <w:pPr>
        <w:ind w:left="1160" w:hanging="239"/>
        <w:spacing w:after="0"/>
        <w:tabs>
          <w:tab w:leader="none" w:pos="1160" w:val="left"/>
        </w:tabs>
        <w:numPr>
          <w:ilvl w:val="2"/>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rate shall be adjusted from time to time as follows:</w:t>
      </w:r>
    </w:p>
    <w:p>
      <w:pPr>
        <w:spacing w:after="0" w:line="171" w:lineRule="exact"/>
        <w:rPr>
          <w:rFonts w:ascii="Times New Roman" w:cs="Times New Roman" w:eastAsia="Times New Roman" w:hAnsi="Times New Roman"/>
          <w:sz w:val="18"/>
          <w:szCs w:val="18"/>
          <w:color w:val="auto"/>
        </w:rPr>
      </w:pPr>
    </w:p>
    <w:p>
      <w:pPr>
        <w:ind w:firstLine="464"/>
        <w:spacing w:after="0" w:line="289" w:lineRule="auto"/>
        <w:tabs>
          <w:tab w:leader="none" w:pos="695"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case the Corporation shall, at any time or from time to time while any of the shares of this Series are outstanding, (i) pay a dividend in shares of its Common Stock, (ii) subdivide its outstanding shares of Common Stock, (iii) combine its outstanding shares of Common Stock into a smaller number of shares, or</w:t>
      </w:r>
    </w:p>
    <w:p>
      <w:pPr>
        <w:spacing w:after="0" w:line="1" w:lineRule="exact"/>
        <w:rPr>
          <w:rFonts w:ascii="Times New Roman" w:cs="Times New Roman" w:eastAsia="Times New Roman" w:hAnsi="Times New Roman"/>
          <w:sz w:val="16"/>
          <w:szCs w:val="16"/>
          <w:color w:val="auto"/>
        </w:rPr>
      </w:pPr>
    </w:p>
    <w:p>
      <w:pPr>
        <w:ind w:right="160" w:firstLine="8"/>
        <w:spacing w:after="0" w:line="281" w:lineRule="auto"/>
        <w:tabs>
          <w:tab w:leader="none" w:pos="297"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 by reclassification of its shares of Common Stock any shares of stock of the Corporation, the conversion price and the conversion rate in effect immediately prior to such action shall be adjusted so that the holder of any shares of this Series thereafter surrendered for conversion shall be entitled to receive the number of shares of Common Stock and other securities of the Corporation which such holder would have owned or have been entitled to receive immediately following such action had such shares of this Series been converted immediately prior thereto. An adjustment made pursuant to this Section (D)(6)</w:t>
      </w:r>
    </w:p>
    <w:p>
      <w:pPr>
        <w:spacing w:after="0" w:line="2" w:lineRule="exact"/>
        <w:rPr>
          <w:rFonts w:ascii="Times New Roman" w:cs="Times New Roman" w:eastAsia="Times New Roman" w:hAnsi="Times New Roman"/>
          <w:sz w:val="16"/>
          <w:szCs w:val="16"/>
          <w:color w:val="auto"/>
        </w:rPr>
      </w:pPr>
    </w:p>
    <w:p>
      <w:pPr>
        <w:ind w:right="80"/>
        <w:spacing w:after="0" w:line="28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shall become effective retroactively to immediately after the opening of business on the day following the record date for the determination of shareholders entitled to receive such dividend or distribution in the case of a dividend or distribution and shall become effective immediately after the opening of business on the day following the effective date in the case of a subdivision, combination or reclassification. If, as a result of an adjustment made pursuant to this Section (D)</w:t>
      </w:r>
    </w:p>
    <w:p>
      <w:pPr>
        <w:spacing w:after="0" w:line="2" w:lineRule="exact"/>
        <w:rPr>
          <w:rFonts w:ascii="Times New Roman" w:cs="Times New Roman" w:eastAsia="Times New Roman" w:hAnsi="Times New Roman"/>
          <w:sz w:val="16"/>
          <w:szCs w:val="16"/>
          <w:color w:val="auto"/>
        </w:rPr>
      </w:pPr>
    </w:p>
    <w:p>
      <w:pPr>
        <w:ind w:right="120"/>
        <w:spacing w:after="0" w:line="25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(6)(a), the holder of any shares of this Series thereafter surrendered for conversion shall become entitled to receive shares of two or more classes of capital stock of the Corporation, the Board of Directors (whose determination shall be conclusive) shall determine the allocation of the adjusted conversion price and/or conversion rate between or among shares of such classes of capital stock.</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274" w:right="259" w:bottom="1440" w:gutter="0" w:footer="0" w:header="0"/>
        </w:sectPr>
      </w:pPr>
    </w:p>
    <w:bookmarkStart w:id="167" w:name="page168"/>
    <w:bookmarkEnd w:id="167"/>
    <w:p>
      <w:pPr>
        <w:ind w:firstLine="464"/>
        <w:spacing w:after="0" w:line="253" w:lineRule="auto"/>
        <w:tabs>
          <w:tab w:leader="none" w:pos="70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case the Corporation shall, at any time or from time to time while any of the shares of this Series are outstanding, issue rights or warrants to all holders of shares of its Common Stock entitling them to subscribe for or purchase shares of Common Stock (or securities convertible into shares) at a price per share less than the current market price per share of Common Stock (as defined in Section (D)(6)(d)), at such record date, the conversion rate shall be adjusted so that it shall equal the rate determined by multiplying the conversion rate in effect immediately prior to the date of issuance of such rights or warrants by a fraction, the numerator of which shall be the number of shares of Common Stock outstanding on the date of issuance of such rights or warrants plus the number of additional shares of Common Stock offered for subscription or purchase, and the denominator of which shall be the number of shares of Common Stock outstanding on the date of issuance of such rights or warrants plus the number of shares which the aggregate offering price of the total number of shares so offered would purchase at such current market price. Such adjustment shall become effective on the date of issuance retroactively to immediately after the opening of business on the day following the record date for the determination of stockholders entitled to receive such rights and warrants.</w:t>
      </w:r>
    </w:p>
    <w:p>
      <w:pPr>
        <w:spacing w:after="0" w:line="143" w:lineRule="exact"/>
        <w:rPr>
          <w:rFonts w:ascii="Times New Roman" w:cs="Times New Roman" w:eastAsia="Times New Roman" w:hAnsi="Times New Roman"/>
          <w:sz w:val="18"/>
          <w:szCs w:val="18"/>
          <w:color w:val="auto"/>
        </w:rPr>
      </w:pPr>
    </w:p>
    <w:p>
      <w:pPr>
        <w:ind w:right="40" w:firstLine="464"/>
        <w:spacing w:after="0" w:line="253" w:lineRule="auto"/>
        <w:tabs>
          <w:tab w:leader="none" w:pos="69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Corporation shall, at any time or from time to time while any of this Series are outstanding, distribute to all holders of its Common Stock shares of stock other than Common Stock, evidences of its indebtedness or assets (excluding cash dividends or cash distributions payable out of consolidated earnings or retained earnings, or dividends payable in shares of Common Stock) or rights or warrants to acquire assets of the Company (excluding cash dividends or distributions or dividends payable in shares of Common Stock or those rights or warrants referred to in (b)), then in each such case the conversion rate in effect immediately prior to such distribution shall be adjusted so that it shall equal the rate determined by multiplying the conversion rate in effect immediately prior to the date of such distribution by a fraction, the numerator of which shall be the current market price per share (determined as provided in Section (D)(6)(d)) of the Common Stock on the record date referred to below, and the denominator of which shall be such current market price per share of the Common Stock less the then fair market value (as determined by the Board of Directors of the Corporation, whose determination shall be conclusive) of the portion of the assets or securities or evidences of indebtedness so distributed or of such subscription rights or warrants applicable to one share of Common Stock. Such adjustment shall become effective retroactively to immediately after the opening of business on the date following the record date for the determination of stockholders entitled to receive such distribution.</w:t>
      </w:r>
    </w:p>
    <w:p>
      <w:pPr>
        <w:spacing w:after="0" w:line="138" w:lineRule="exact"/>
        <w:rPr>
          <w:rFonts w:ascii="Times New Roman" w:cs="Times New Roman" w:eastAsia="Times New Roman" w:hAnsi="Times New Roman"/>
          <w:sz w:val="18"/>
          <w:szCs w:val="18"/>
          <w:color w:val="auto"/>
        </w:rPr>
      </w:pPr>
    </w:p>
    <w:p>
      <w:pPr>
        <w:ind w:right="120" w:firstLine="464"/>
        <w:spacing w:after="0" w:line="262" w:lineRule="auto"/>
        <w:tabs>
          <w:tab w:leader="none" w:pos="70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any computation under Section (D)(6)(b) and (D)(6)(c), the current market price of a share of Common Stock on any date shall be the average of the daily Closing Prices for 10 consecutive Trading Days before the day in question. The Closing Price shall be determined as provided in Section (C)(3).</w:t>
      </w:r>
    </w:p>
    <w:p>
      <w:pPr>
        <w:spacing w:after="0" w:line="132" w:lineRule="exact"/>
        <w:rPr>
          <w:rFonts w:ascii="Times New Roman" w:cs="Times New Roman" w:eastAsia="Times New Roman" w:hAnsi="Times New Roman"/>
          <w:sz w:val="18"/>
          <w:szCs w:val="18"/>
          <w:color w:val="auto"/>
        </w:rPr>
      </w:pPr>
    </w:p>
    <w:p>
      <w:pPr>
        <w:ind w:right="40" w:firstLine="464"/>
        <w:spacing w:after="0" w:line="258" w:lineRule="auto"/>
        <w:tabs>
          <w:tab w:leader="none" w:pos="69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be entitled to make such additional adjustments in the conversion price, in addition to those required by subsections (D)(6)(a), (D)(6)(b) and (D)(6)(c), as shall be necessary in order that any dividend or distribution in shares of stock, subdivision, reclassification or combination of shares of Common Stock, issuance of rights or warrants, evidences of indebtedness or assets (other than cash), referred to above, shall not be taxable to holders of this Series or of the Common Stock.</w:t>
      </w:r>
    </w:p>
    <w:p>
      <w:pPr>
        <w:spacing w:after="0" w:line="136" w:lineRule="exact"/>
        <w:rPr>
          <w:rFonts w:ascii="Times New Roman" w:cs="Times New Roman" w:eastAsia="Times New Roman" w:hAnsi="Times New Roman"/>
          <w:sz w:val="18"/>
          <w:szCs w:val="18"/>
          <w:color w:val="auto"/>
        </w:rPr>
      </w:pPr>
    </w:p>
    <w:p>
      <w:pPr>
        <w:ind w:right="100" w:firstLine="464"/>
        <w:spacing w:after="0" w:line="256" w:lineRule="auto"/>
        <w:tabs>
          <w:tab w:leader="none" w:pos="67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case in which this Section (D)(6) shall require that an adjustment be made retroactively to immediately after the opening of business on the day following a record date, the Corporation may elect to defer (but only for five (5) Business Days following the filing of the statement referred to in Section (D)(6) (h)) issuing to the holder of any shares of this Series converted after such record date (i) the shares of Common Stock and other capital stock of the Corporation issuable upon such conversion over and above (ii) the shares of Common Stock and other capital stock of the Corporation issuable upon such conversion on the basis of the conversion rate prior to adjustment.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274" w:right="239" w:bottom="1440" w:gutter="0" w:footer="0" w:header="0"/>
        </w:sectPr>
      </w:pPr>
    </w:p>
    <w:bookmarkStart w:id="168" w:name="page169"/>
    <w:bookmarkEnd w:id="168"/>
    <w:p>
      <w:pPr>
        <w:jc w:val="both"/>
        <w:ind w:left="-40" w:right="20" w:firstLine="464"/>
        <w:spacing w:after="0" w:line="258" w:lineRule="auto"/>
        <w:tabs>
          <w:tab w:leader="none" w:pos="66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any other provisions of this Section (D)(6), the Corporation shall not be required to make any adjustment of the conversion rate unless such adjustment would require an increase or decrease of at least 1% in such rate. Any lesser adjustment shall be carried forward and shall be made at the time of, and together with, the next subsequent adjustment which, together with, the next subsequent adjustment which, together with any adjustment or adjustments so carried forward, shall amount to an increase or decrease of at least 1% in such rate.</w:t>
      </w:r>
    </w:p>
    <w:p>
      <w:pPr>
        <w:spacing w:after="0" w:line="136" w:lineRule="exact"/>
        <w:rPr>
          <w:rFonts w:ascii="Times New Roman" w:cs="Times New Roman" w:eastAsia="Times New Roman" w:hAnsi="Times New Roman"/>
          <w:sz w:val="18"/>
          <w:szCs w:val="18"/>
          <w:color w:val="auto"/>
        </w:rPr>
      </w:pPr>
    </w:p>
    <w:p>
      <w:pPr>
        <w:ind w:left="-40" w:right="180" w:firstLine="464"/>
        <w:spacing w:after="0" w:line="256" w:lineRule="auto"/>
        <w:tabs>
          <w:tab w:leader="none" w:pos="66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an adjustment in the conversion rate is required, the Corporation shall forthwith place on file with its Transfer Agent a statement signed by its President or Vice President and by its Secretary or Treasurer or one of its Assistant Secretaries or Assist-ant Treasurers, stating the adjusted conversion rate determined as provided herein. Such statements shall set forth in reasonable detail such facts as shall be necessary to show the reason and the manner of computing such adjustment. Promptly after the adjustment of the conversion rate, the Corporation shall mail a notice thereof to each holder of shares of this Series.</w:t>
      </w:r>
    </w:p>
    <w:p>
      <w:pPr>
        <w:spacing w:after="0" w:line="138" w:lineRule="exact"/>
        <w:rPr>
          <w:rFonts w:ascii="Times New Roman" w:cs="Times New Roman" w:eastAsia="Times New Roman" w:hAnsi="Times New Roman"/>
          <w:sz w:val="18"/>
          <w:szCs w:val="18"/>
          <w:color w:val="auto"/>
        </w:rPr>
      </w:pPr>
    </w:p>
    <w:p>
      <w:pPr>
        <w:ind w:left="-40" w:firstLine="464"/>
        <w:spacing w:after="0" w:line="254" w:lineRule="auto"/>
        <w:tabs>
          <w:tab w:leader="none" w:pos="62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 </w:t>
      </w:r>
      <w:r>
        <w:rPr>
          <w:rFonts w:ascii="Times New Roman" w:cs="Times New Roman" w:eastAsia="Times New Roman" w:hAnsi="Times New Roman"/>
          <w:sz w:val="1"/>
          <w:szCs w:val="1"/>
          <w:color w:val="auto"/>
        </w:rPr>
        <w:drawing>
          <wp:inline distT="0" distB="0" distL="0" distR="0">
            <wp:extent cx="102870" cy="94615"/>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Common Stock </w:t>
      </w:r>
      <w:r>
        <w:rPr>
          <w:rFonts w:ascii="Times New Roman" w:cs="Times New Roman" w:eastAsia="Times New Roman" w:hAnsi="Times New Roman"/>
          <w:sz w:val="1"/>
          <w:szCs w:val="1"/>
          <w:color w:val="auto"/>
        </w:rPr>
        <w:drawing>
          <wp:inline distT="0" distB="0" distL="0" distR="0">
            <wp:extent cx="102870" cy="94615"/>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as used in this resolution means the Corporation </w:t>
      </w:r>
      <w:r>
        <w:rPr>
          <w:rFonts w:ascii="Times New Roman" w:cs="Times New Roman" w:eastAsia="Times New Roman" w:hAnsi="Times New Roman"/>
          <w:sz w:val="1"/>
          <w:szCs w:val="1"/>
          <w:color w:val="auto"/>
        </w:rPr>
        <w:drawing>
          <wp:inline distT="0" distB="0" distL="0" distR="0">
            <wp:extent cx="102870" cy="94615"/>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 Common Stock, $.10 par value, as the same exists at the date of filing of the Certificate of Designations relating to this Series or any other class of stock resulting from successive changes or reclassifications of such Common Stock consisting solely of changes in par value, or from par value to no par value, or from no par value to par value. In the event that at any time as a result of an adjustment made pursuant to Section (D)(6)(a), the holder of any share of this Series thereafter surrendered for conversion shall become entitled to receive any shares of the corporation other than shares of its Common Stock, the conversion rate of such other shares so receivable upon conversion of any share shall be subject to adjustment from time to time in a manner and on terms as nearly equivalent as practicable to the provisions with respect to Common Stock contained in subparagraphs (a) through (g) of this Section (D)(6), and the provisions of Section (D)(1) through (5) and (7) through (11) with respect to the Common Stock shall apply on like or similar terms to any such other shares.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60"/>
          </w:cols>
          <w:pgMar w:left="280" w:top="274" w:right="259" w:bottom="1440" w:gutter="0" w:footer="0" w:header="0"/>
        </w:sectPr>
      </w:pPr>
    </w:p>
    <w:bookmarkStart w:id="169" w:name="page170"/>
    <w:bookmarkEnd w:id="169"/>
    <w:p>
      <w:pPr>
        <w:ind w:left="-20" w:firstLine="921"/>
        <w:spacing w:after="0" w:line="253" w:lineRule="auto"/>
        <w:tabs>
          <w:tab w:leader="none" w:pos="1142"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case of either (a) any consolidation or merger to which the Corporation is a party, other than a merger or consolidation in which the Corporation is the surviving or continuing corporation and which does not result in any reclassification of, or change (other than a change in par value or from par value to no par value or from no par value to par value, or as a result of a subdivision or combination) in, outstanding shares of Common Stock, or (b) any sale or conveyance to another corporation of substantially all of the assets of the Corporation, then the Corporation, or such successor corporation, as the case may be, shall make appropriate provision so that the holder of each share of this Series then outstanding shall have the right to convert such share of this Series into the kind and amount of shares of stock or other securities and property receivable upon such consolidation, merger, sale or conveyance by a holder of the number of shares of Common Stock into which such shares of this Series might have been converted immediately prior to such consolidation, merger, sale or conveyance, subject to adjustments which shall be as nearly equivalent as may be practicable to the adjustments provided for in this Section (D). The provisions of this Section (D)(7) shall apply similarly to successive consolidations, mergers, sales or conveyances.</w:t>
      </w:r>
    </w:p>
    <w:p>
      <w:pPr>
        <w:spacing w:after="0" w:line="143" w:lineRule="exact"/>
        <w:rPr>
          <w:rFonts w:ascii="Times New Roman" w:cs="Times New Roman" w:eastAsia="Times New Roman" w:hAnsi="Times New Roman"/>
          <w:sz w:val="18"/>
          <w:szCs w:val="18"/>
          <w:color w:val="auto"/>
        </w:rPr>
      </w:pPr>
    </w:p>
    <w:p>
      <w:pPr>
        <w:ind w:left="-20" w:right="100" w:firstLine="921"/>
        <w:spacing w:after="0" w:line="255" w:lineRule="auto"/>
        <w:tabs>
          <w:tab w:leader="none" w:pos="1142"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this Series which shall at any time have been converted shall, after such conversion, have the status of authorized but unissued shares of Class C Preferred Stock, without designation as to series until such shares are once more designated as part of a particular series by the Board of Directors. The Corporation shall at all times reserve and keep avail-able out of its authorized but unissued stock, for the purposes of effecting the conversion of the shares of this Series, such number of its duly authorized shares of Common Stock as shall from time to time be sufficient to effect the conversion of all outstanding shares of this Series; provided, however, that nothing contained herein shall preclude the Corporation from satisfying its obligations in respect of the conversion of the shares by delivery of purchased shares of Common Stock which are held in the treasury of the Corporation.</w:t>
      </w:r>
    </w:p>
    <w:p>
      <w:pPr>
        <w:spacing w:after="0" w:line="139" w:lineRule="exact"/>
        <w:rPr>
          <w:rFonts w:ascii="Times New Roman" w:cs="Times New Roman" w:eastAsia="Times New Roman" w:hAnsi="Times New Roman"/>
          <w:sz w:val="18"/>
          <w:szCs w:val="18"/>
          <w:color w:val="auto"/>
        </w:rPr>
      </w:pPr>
    </w:p>
    <w:p>
      <w:pPr>
        <w:ind w:left="-20" w:right="20" w:firstLine="921"/>
        <w:spacing w:after="0" w:line="258" w:lineRule="auto"/>
        <w:tabs>
          <w:tab w:leader="none" w:pos="1142"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shares of Common Stock required to be reserved for purposes of conversion of shares of this Series hereunder require registration with or approval of any governmental authority before such shares may be issued upon conversion, the Corporation shall cause such shares to be duly registered or approved, as the case may be. The Corporation will endeavor to list the shares of Common Stock required to be delivered upon conversion of shares of this Series prior to such delivery upon each national securities exchange upon which the outstanding Common Stock is listed at the time of such delivery.</w:t>
      </w:r>
    </w:p>
    <w:p>
      <w:pPr>
        <w:spacing w:after="0" w:line="136" w:lineRule="exact"/>
        <w:rPr>
          <w:rFonts w:ascii="Times New Roman" w:cs="Times New Roman" w:eastAsia="Times New Roman" w:hAnsi="Times New Roman"/>
          <w:sz w:val="18"/>
          <w:szCs w:val="18"/>
          <w:color w:val="auto"/>
        </w:rPr>
      </w:pPr>
    </w:p>
    <w:p>
      <w:pPr>
        <w:ind w:left="-20" w:firstLine="921"/>
        <w:spacing w:after="0" w:line="256" w:lineRule="auto"/>
        <w:tabs>
          <w:tab w:leader="none" w:pos="1229"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pay any and all issue or other taxes that may be payable in respect of any issue or delivery of shares of Common Stock on conversion of shares of this Series pursuant hereto. The Corporation shall not, however, be required to pay any tax which is payable in respect of any transfer involved in the issue or delivery of Common Stock in a name other than that in which the shares of this Series so converted were registered, and no such issue or delivery shall be made unless and until the person requesting such issue has paid to the Corporation the amount of such tax, or has established, to the satisfaction of the Corporation, that such tax has been paid.</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80"/>
          </w:cols>
          <w:pgMar w:left="260" w:top="274" w:right="259" w:bottom="1440" w:gutter="0" w:footer="0" w:header="0"/>
        </w:sectPr>
      </w:pPr>
    </w:p>
    <w:bookmarkStart w:id="170" w:name="page171"/>
    <w:bookmarkEnd w:id="170"/>
    <w:p>
      <w:pPr>
        <w:ind w:left="-8" w:firstLine="921"/>
        <w:spacing w:after="0" w:line="262" w:lineRule="auto"/>
        <w:tabs>
          <w:tab w:leader="none" w:pos="1235" w:val="left"/>
        </w:tabs>
        <w:numPr>
          <w:ilvl w:val="2"/>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Before taking any action that would result in the conversion price being less than the then par value of the Common Stock, the Corporation shall take any corporate action which may, in the opinion of its counsel, be necessary in order that the Corporation may validly and legally issue fully paid and nonassessable shares of Common Stock at the conversion price.</w:t>
      </w:r>
    </w:p>
    <w:p>
      <w:pPr>
        <w:spacing w:after="0" w:line="213" w:lineRule="exact"/>
        <w:rPr>
          <w:rFonts w:ascii="Times New Roman" w:cs="Times New Roman" w:eastAsia="Times New Roman" w:hAnsi="Times New Roman"/>
          <w:sz w:val="18"/>
          <w:szCs w:val="18"/>
          <w:color w:val="auto"/>
        </w:rPr>
      </w:pPr>
    </w:p>
    <w:p>
      <w:pPr>
        <w:ind w:left="732" w:hanging="276"/>
        <w:spacing w:after="0"/>
        <w:tabs>
          <w:tab w:leader="none" w:pos="732"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FOR DEBENTURES</w:t>
      </w:r>
    </w:p>
    <w:p>
      <w:pPr>
        <w:spacing w:after="0" w:line="90" w:lineRule="exact"/>
        <w:rPr>
          <w:rFonts w:ascii="Times New Roman" w:cs="Times New Roman" w:eastAsia="Times New Roman" w:hAnsi="Times New Roman"/>
          <w:sz w:val="18"/>
          <w:szCs w:val="18"/>
          <w:color w:val="auto"/>
        </w:rPr>
      </w:pPr>
    </w:p>
    <w:p>
      <w:pPr>
        <w:ind w:left="-8" w:right="120" w:firstLine="921"/>
        <w:spacing w:after="0" w:line="254" w:lineRule="auto"/>
        <w:tabs>
          <w:tab w:leader="none" w:pos="1154" w:val="left"/>
        </w:tabs>
        <w:numPr>
          <w:ilvl w:val="2"/>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shares of this Series are exchangeable in whole, but not in part, at the sole option of the Corporation, at any time on and after January 1, 1989, on any Dividend Payment Date, into the Corporation </w:t>
      </w:r>
      <w:r>
        <w:rPr>
          <w:rFonts w:ascii="Times New Roman" w:cs="Times New Roman" w:eastAsia="Times New Roman" w:hAnsi="Times New Roman"/>
          <w:sz w:val="1"/>
          <w:szCs w:val="1"/>
          <w:color w:val="auto"/>
        </w:rPr>
        <w:drawing>
          <wp:inline distT="0" distB="0" distL="0" distR="0">
            <wp:extent cx="102870" cy="94615"/>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 11% Convertible Subordinated Debentures Due 2006 (the </w:t>
      </w:r>
      <w:r>
        <w:rPr>
          <w:rFonts w:ascii="Times New Roman" w:cs="Times New Roman" w:eastAsia="Times New Roman" w:hAnsi="Times New Roman"/>
          <w:sz w:val="1"/>
          <w:szCs w:val="1"/>
          <w:color w:val="auto"/>
        </w:rPr>
        <w:drawing>
          <wp:inline distT="0" distB="0" distL="0" distR="0">
            <wp:extent cx="102870" cy="94615"/>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Debentures </w:t>
      </w:r>
      <w:r>
        <w:rPr>
          <w:rFonts w:ascii="Times New Roman" w:cs="Times New Roman" w:eastAsia="Times New Roman" w:hAnsi="Times New Roman"/>
          <w:sz w:val="1"/>
          <w:szCs w:val="1"/>
          <w:color w:val="auto"/>
        </w:rPr>
        <w:drawing>
          <wp:inline distT="0" distB="0" distL="0" distR="0">
            <wp:extent cx="102870" cy="94615"/>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described in the Corporation </w:t>
      </w:r>
      <w:r>
        <w:rPr>
          <w:rFonts w:ascii="Times New Roman" w:cs="Times New Roman" w:eastAsia="Times New Roman" w:hAnsi="Times New Roman"/>
          <w:sz w:val="1"/>
          <w:szCs w:val="1"/>
          <w:color w:val="auto"/>
        </w:rPr>
        <w:drawing>
          <wp:inline distT="0" distB="0" distL="0" distR="0">
            <wp:extent cx="102870" cy="94615"/>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 Registration Statement on Form S-2 (Registration No. 33-9848) as filed with the Securities and Exchange Commission (the </w:t>
      </w:r>
      <w:r>
        <w:rPr>
          <w:rFonts w:ascii="Times New Roman" w:cs="Times New Roman" w:eastAsia="Times New Roman" w:hAnsi="Times New Roman"/>
          <w:sz w:val="1"/>
          <w:szCs w:val="1"/>
          <w:color w:val="auto"/>
        </w:rPr>
        <w:drawing>
          <wp:inline distT="0" distB="0" distL="0" distR="0">
            <wp:extent cx="102870" cy="94615"/>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Registration Statement </w:t>
      </w:r>
      <w:r>
        <w:rPr>
          <w:rFonts w:ascii="Times New Roman" w:cs="Times New Roman" w:eastAsia="Times New Roman" w:hAnsi="Times New Roman"/>
          <w:sz w:val="1"/>
          <w:szCs w:val="1"/>
          <w:color w:val="auto"/>
        </w:rPr>
        <w:drawing>
          <wp:inline distT="0" distB="0" distL="0" distR="0">
            <wp:extent cx="102870" cy="94615"/>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provided, that on or prior to the date fixed for such exchange (the </w:t>
      </w:r>
      <w:r>
        <w:rPr>
          <w:rFonts w:ascii="Times New Roman" w:cs="Times New Roman" w:eastAsia="Times New Roman" w:hAnsi="Times New Roman"/>
          <w:sz w:val="1"/>
          <w:szCs w:val="1"/>
          <w:color w:val="auto"/>
        </w:rPr>
        <w:drawing>
          <wp:inline distT="0" distB="0" distL="0" distR="0">
            <wp:extent cx="102870" cy="94615"/>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Exchange Date </w:t>
      </w:r>
      <w:r>
        <w:rPr>
          <w:rFonts w:ascii="Times New Roman" w:cs="Times New Roman" w:eastAsia="Times New Roman" w:hAnsi="Times New Roman"/>
          <w:sz w:val="1"/>
          <w:szCs w:val="1"/>
          <w:color w:val="auto"/>
        </w:rPr>
        <w:drawing>
          <wp:inline distT="0" distB="0" distL="0" distR="0">
            <wp:extent cx="102870" cy="94615"/>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the Corporation shall have paid to the holders of outstanding shares of this Series and of preferred stock ranking on a parity with this Series all accumulated and unpaid dividends to the Exchange Date. Holders of outstanding shares of this Series shall be entitled to receive $1,000 principal amount of Debentures in exchange for each fifty (50) share of this Series held on the Exchange Date.</w:t>
      </w:r>
    </w:p>
    <w:p>
      <w:pPr>
        <w:spacing w:after="0" w:line="141" w:lineRule="exact"/>
        <w:rPr>
          <w:rFonts w:ascii="Times New Roman" w:cs="Times New Roman" w:eastAsia="Times New Roman" w:hAnsi="Times New Roman"/>
          <w:sz w:val="18"/>
          <w:szCs w:val="18"/>
          <w:color w:val="auto"/>
        </w:rPr>
      </w:pPr>
    </w:p>
    <w:p>
      <w:pPr>
        <w:ind w:left="-8" w:right="20" w:firstLine="921"/>
        <w:spacing w:after="0" w:line="285" w:lineRule="auto"/>
        <w:tabs>
          <w:tab w:leader="none" w:pos="1154" w:val="left"/>
        </w:tabs>
        <w:numPr>
          <w:ilvl w:val="2"/>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the Corporation shall exchange shares of this Series, notice of such exchange shall be given by first class mail, postage prepaid, mailed not less than thirty (30) nor more than sixty (60) days prior to the Exchange Date, to each record holder of shares of this Series, at such holder </w:t>
      </w:r>
      <w:r>
        <w:rPr>
          <w:rFonts w:ascii="Times New Roman" w:cs="Times New Roman" w:eastAsia="Times New Roman" w:hAnsi="Times New Roman"/>
          <w:sz w:val="1"/>
          <w:szCs w:val="1"/>
          <w:color w:val="auto"/>
        </w:rPr>
        <w:drawing>
          <wp:inline distT="0" distB="0" distL="0" distR="0">
            <wp:extent cx="102870" cy="94615"/>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s address as same appears on the books of the Corporation. Each such notice shall state: (a) the Exchange Date; (b) the place or places where certificates for the shares of this Series are to be surrendered for exchange into Debentures; (c) that dividends on such shares to be exchanged will cease to accrue on the Exchange Date; and</w:t>
      </w:r>
    </w:p>
    <w:p>
      <w:pPr>
        <w:spacing w:after="0" w:line="2" w:lineRule="exact"/>
        <w:rPr>
          <w:rFonts w:ascii="Times New Roman" w:cs="Times New Roman" w:eastAsia="Times New Roman" w:hAnsi="Times New Roman"/>
          <w:sz w:val="16"/>
          <w:szCs w:val="16"/>
          <w:color w:val="auto"/>
        </w:rPr>
      </w:pPr>
    </w:p>
    <w:p>
      <w:pPr>
        <w:ind w:left="-8" w:firstLine="8"/>
        <w:spacing w:after="0" w:line="252" w:lineRule="auto"/>
        <w:tabs>
          <w:tab w:leader="none" w:pos="241"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conversion price of such shares to be redeemed, the period within which such conversion rights may be exercised and the conversion rate at the time applicable. Prior to giving notice of intention to exchange, the Corporation shall execute and deliver with a bank or trust company selected by the Corporation, and qualify under the Trust Indenture Act of 1939, an Indenture (the </w:t>
      </w:r>
      <w:r>
        <w:rPr>
          <w:rFonts w:ascii="Times New Roman" w:cs="Times New Roman" w:eastAsia="Times New Roman" w:hAnsi="Times New Roman"/>
          <w:sz w:val="1"/>
          <w:szCs w:val="1"/>
          <w:color w:val="auto"/>
        </w:rPr>
        <w:drawing>
          <wp:inline distT="0" distB="0" distL="0" distR="0">
            <wp:extent cx="102870" cy="94615"/>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Indenture </w:t>
      </w:r>
      <w:r>
        <w:rPr>
          <w:rFonts w:ascii="Times New Roman" w:cs="Times New Roman" w:eastAsia="Times New Roman" w:hAnsi="Times New Roman"/>
          <w:sz w:val="1"/>
          <w:szCs w:val="1"/>
          <w:color w:val="auto"/>
        </w:rPr>
        <w:drawing>
          <wp:inline distT="0" distB="0" distL="0" distR="0">
            <wp:extent cx="102870" cy="94615"/>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in substantially the form filed as an exhibit to the Registration Statement with such changes therein as may be required by law or usage. The Corporation shall cause the Debentures to be authenticated on the Dividend Payment Date on which the exchange is effective, and the Corporation shall pay interest on the Debentures at the rate and on the dates specified in the Indenture from the Exchange Date pursuant to the terms of the Indenture.</w:t>
      </w:r>
    </w:p>
    <w:p>
      <w:pPr>
        <w:spacing w:after="0" w:line="12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92"/>
          </w:cols>
          <w:pgMar w:left="248" w:top="274" w:right="259" w:bottom="1440" w:gutter="0" w:footer="0" w:header="0"/>
        </w:sectPr>
      </w:pPr>
    </w:p>
    <w:bookmarkStart w:id="171" w:name="page172"/>
    <w:bookmarkEnd w:id="171"/>
    <w:p>
      <w:pPr>
        <w:ind w:left="-40" w:firstLine="921"/>
        <w:spacing w:after="0" w:line="255" w:lineRule="auto"/>
        <w:tabs>
          <w:tab w:leader="none" w:pos="1122"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having been mailed as aforesaid, from and after the Exchange Date (unless the Corporation shall default in issuing Debentures in exchange for shares of this Series or in making the final dividend payment on the Exchange Date), dividends on the shares of this Series shall cease to accrue, such shares shall no longer be deemed to be outstanding, and all rights of the holders thereof as stockholders of the Corporation (except the right to receive from the Corporation the Debentures) shall cease. Upon surrender (in accordance with the notice provided for above in Section (E)(2)) of the certificates for any shares of this Series so exchanged (properly endorsed or assigned for transfer, if the Board of Directors shall so require and the notice shall so state), such shares shall be exchanged by the Corporation into Debentures as aforesaid.</w:t>
      </w:r>
    </w:p>
    <w:p>
      <w:pPr>
        <w:spacing w:after="0" w:line="139" w:lineRule="exact"/>
        <w:rPr>
          <w:rFonts w:ascii="Times New Roman" w:cs="Times New Roman" w:eastAsia="Times New Roman" w:hAnsi="Times New Roman"/>
          <w:sz w:val="18"/>
          <w:szCs w:val="18"/>
          <w:color w:val="auto"/>
        </w:rPr>
      </w:pPr>
    </w:p>
    <w:p>
      <w:pPr>
        <w:ind w:left="-40" w:right="400" w:firstLine="921"/>
        <w:spacing w:after="0" w:line="339" w:lineRule="auto"/>
        <w:tabs>
          <w:tab w:leader="none" w:pos="1122" w:val="left"/>
        </w:tabs>
        <w:numPr>
          <w:ilvl w:val="1"/>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shares of this Series which have been exchanged shall, after such exchange, have the status of authorized but unissued shares of Class C Preferred Stock, without designation as to series until such shares are once more designated as part of a particular series by the Board of Directors.</w:t>
      </w:r>
    </w:p>
    <w:p>
      <w:pPr>
        <w:spacing w:after="0" w:line="155" w:lineRule="exact"/>
        <w:rPr>
          <w:rFonts w:ascii="Times New Roman" w:cs="Times New Roman" w:eastAsia="Times New Roman" w:hAnsi="Times New Roman"/>
          <w:sz w:val="16"/>
          <w:szCs w:val="16"/>
          <w:color w:val="auto"/>
        </w:rPr>
      </w:pPr>
    </w:p>
    <w:p>
      <w:pPr>
        <w:ind w:left="680" w:hanging="256"/>
        <w:spacing w:after="0"/>
        <w:tabs>
          <w:tab w:leader="none" w:pos="6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w:t>
      </w:r>
    </w:p>
    <w:p>
      <w:pPr>
        <w:spacing w:after="0" w:line="90" w:lineRule="exact"/>
        <w:rPr>
          <w:rFonts w:ascii="Times New Roman" w:cs="Times New Roman" w:eastAsia="Times New Roman" w:hAnsi="Times New Roman"/>
          <w:sz w:val="18"/>
          <w:szCs w:val="18"/>
          <w:color w:val="auto"/>
        </w:rPr>
      </w:pPr>
    </w:p>
    <w:p>
      <w:pPr>
        <w:ind w:left="1120" w:hanging="239"/>
        <w:spacing w:after="0"/>
        <w:tabs>
          <w:tab w:leader="none" w:pos="112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specifically provided in this Section (F), the holders of the series of this Series shall not be entitled to vote on any matter.</w:t>
      </w:r>
    </w:p>
    <w:p>
      <w:pPr>
        <w:spacing w:after="0" w:line="171" w:lineRule="exact"/>
        <w:rPr>
          <w:rFonts w:ascii="Times New Roman" w:cs="Times New Roman" w:eastAsia="Times New Roman" w:hAnsi="Times New Roman"/>
          <w:sz w:val="18"/>
          <w:szCs w:val="18"/>
          <w:color w:val="auto"/>
        </w:rPr>
      </w:pPr>
    </w:p>
    <w:p>
      <w:pPr>
        <w:ind w:left="1120" w:hanging="239"/>
        <w:spacing w:after="0"/>
        <w:tabs>
          <w:tab w:leader="none" w:pos="112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this Series shall have the following voting rights:</w:t>
      </w:r>
    </w:p>
    <w:p>
      <w:pPr>
        <w:spacing w:after="0" w:line="171" w:lineRule="exact"/>
        <w:rPr>
          <w:sz w:val="20"/>
          <w:szCs w:val="20"/>
          <w:color w:val="auto"/>
        </w:rPr>
      </w:pPr>
    </w:p>
    <w:p>
      <w:pPr>
        <w:ind w:left="-40" w:right="20" w:firstLine="464"/>
        <w:spacing w:after="0" w:line="290" w:lineRule="auto"/>
        <w:tabs>
          <w:tab w:leader="none" w:pos="655"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and conditions set forth in this Section (F)(2), if and whenever at any time or times dividends payable on shares of this Series shall have been in arrears and unpaid in an aggregate amount equal to or exceeding the amount of dividends payable thereon for six consecutive quarterly dividend periods, then the holders of shares of this Series, together with the holders of any other series of preferred stock of the Corporation as to which dividends are in arrears and unpaid in an aggregate amount equal to or exceeding the amount of dividends payable thereof for six consecutive quarterly dividend periods and which has the right to elect additional directors in such event, shall have the exclusive right, voting separately as a class, to elect two additional directors of the Corporation, such directors to be in addition to the number of directors constituting the Board of Directors immediately prior to the accrual of such right. The directors, other than the two additional directors referred to above, are to be elected by the other class or classes of stock entitled to vote therefore at each meeting of stockholders held for the purpose of electing directors, and the holders of this Series shall not be entitled to vote for such directors.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60"/>
          </w:cols>
          <w:pgMar w:left="280" w:top="274" w:right="259" w:bottom="1440" w:gutter="0" w:footer="0" w:header="0"/>
        </w:sectPr>
      </w:pPr>
    </w:p>
    <w:bookmarkStart w:id="172" w:name="page173"/>
    <w:bookmarkEnd w:id="172"/>
    <w:p>
      <w:pPr>
        <w:ind w:right="20" w:firstLine="464"/>
        <w:spacing w:after="0" w:line="285" w:lineRule="auto"/>
        <w:tabs>
          <w:tab w:leader="none" w:pos="705"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voting right created pursuant to Section (F)(2)(a) above may be exercised initially either at a special meeting of the holders of the shares of this Series and such other series of preferred stock having such voting right, called as hereinafter provided, or at any annual meeting of stockholders held for the purpose of electing directors and thereafter at each such annual meeting until such time as all dividends accumulated on the shares of this Series shall have been paid in full or funds sufficient therefore set aside for payment thereof, at which time such voting right and the term of the directors elected pursuant to Section (F)</w:t>
      </w:r>
    </w:p>
    <w:p>
      <w:pPr>
        <w:spacing w:after="0" w:line="2"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(2)(a) shall immediately terminate, subject to revesting on the basis set forth in Section (F)(2)(a).</w:t>
      </w:r>
    </w:p>
    <w:p>
      <w:pPr>
        <w:spacing w:after="0" w:line="158" w:lineRule="exact"/>
        <w:rPr>
          <w:rFonts w:ascii="Times New Roman" w:cs="Times New Roman" w:eastAsia="Times New Roman" w:hAnsi="Times New Roman"/>
          <w:sz w:val="16"/>
          <w:szCs w:val="16"/>
          <w:color w:val="auto"/>
        </w:rPr>
      </w:pPr>
    </w:p>
    <w:p>
      <w:pPr>
        <w:ind w:firstLine="464"/>
        <w:spacing w:after="0" w:line="285" w:lineRule="auto"/>
        <w:tabs>
          <w:tab w:leader="none" w:pos="695"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any time when such voting right created pursuant to Section (F)(2)(a) shall have vested in holders of the shares of this Series and such other series of preferred stock having such voting right and if such right shall not already have been initially exercised, a proper officer of the Corporation shall, upon the written request of the record holders of 10% in number of the shares of this Series and such other series of preferred stock having such voting right then outstanding, addressed to the Secretary of the Corporation, call a special meeting of the holders of the shares of this Series and such other series of preferred stock having such voting right for the purse of electing the two additional directors referred to in Section (F)(2)(a). Such meeting shall be held at the earliest practicable date upon the notice required for annual meetings of stockholders at the place for holding annual meetings of stockholders of the Corporation or, if none, at a place designated by the Board of Directors. If such meeting is not called by the proper officers of the Corporation within 30 days after the personal service of such written request upon the Secretary of the Corporation, or within 35 days after mailing the same within the United States of America, by registered mail, addressed to the Secretary of the Corporation at its principal office (such mailing to be evidenced by the registry receipt issued by the postal authorities), then the record holders of 10% in number of the shares of this Series and such other series of preferred stock then outstanding which would be entitled to vote at such meeting may designate in writing one of their number to call such meeting at the expense of the Corporation, and such meeting may be called by such person so designated upon the notice required for annual meetings of stockholders and shall be held at the same place as is elsewhere provided for this Section (F)(2)(c) or such other place as is selected by such designated stockholder. Any holder of the shares of this Series and such other series of preferred stock then outstanding who would be entitled to vote at such meeting shall have access to the stock books of the Corporation for the purpose of causing a meeting of stockholders to be called pursuant to the provisions of this Section (F)(2). Notwithstanding the provisions of this Section (F)(2), no such special meeting shall be called during a period within 90 days immediately preceding the date fixed for the next annual meeting of stockholders.</w:t>
      </w: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274" w:right="259" w:bottom="1440" w:gutter="0" w:footer="0" w:header="0"/>
        </w:sectPr>
      </w:pPr>
    </w:p>
    <w:bookmarkStart w:id="173" w:name="page174"/>
    <w:bookmarkEnd w:id="173"/>
    <w:p>
      <w:pPr>
        <w:ind w:left="-40" w:firstLine="464"/>
        <w:spacing w:after="0" w:line="253" w:lineRule="auto"/>
        <w:tabs>
          <w:tab w:leader="none" w:pos="66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any meeting held for the purpose of electing directors at which the holders of the shares of this Series and such other series of preferred stock shall have the right to elect the additional two directors as provided in Section (F)(2)(a) hereof, the presence in person or by proxy of the holders of fifty (50%) percent of the then outstanding shares of this Series and such other series of preferred stock having such right shall be required and shall be sufficient to constitute a quorum of such class for the election of the additional two directors by such class. At any such meeting or adjournment thereof (i) the absence of a quorum of the holders of this Series and such other series of preferred stock having such right shall not prevent the election of directors other than the additional two directors to be elected by the holders of this Series and such other series of preferred stock, and the absence of a quorum or quorums of the holders of capital stock entitled to elect such other directors shall not prevent the election of the additional two directors to be elected by the holders of this Series and such other series of preferred stock entitled to elect such two additional directors and (ii) except as otherwise required by law, in the absence of a quorum of the holders of stock entitled to vote for the election of directors together as a class, a majority of the holders present in person or by proxy of such class shall have the power to adjourn the meeting for the election of directors which the holders of such class are entitled to elect, from time to time, without notice other than announcement at the meeting, until a quorum is present.</w:t>
      </w:r>
    </w:p>
    <w:p>
      <w:pPr>
        <w:spacing w:after="0" w:line="138" w:lineRule="exact"/>
        <w:rPr>
          <w:rFonts w:ascii="Times New Roman" w:cs="Times New Roman" w:eastAsia="Times New Roman" w:hAnsi="Times New Roman"/>
          <w:sz w:val="18"/>
          <w:szCs w:val="18"/>
          <w:color w:val="auto"/>
        </w:rPr>
      </w:pPr>
    </w:p>
    <w:p>
      <w:pPr>
        <w:jc w:val="both"/>
        <w:ind w:left="-40" w:right="260" w:firstLine="464"/>
        <w:spacing w:after="0" w:line="258" w:lineRule="auto"/>
        <w:tabs>
          <w:tab w:leader="none" w:pos="64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vacancy in the Board of Directors in respect of either of the two additional directors elected by holders of this Series and such other series of preferred stock pursuant to the voting right created under Section (F)(2)(a) shall be filled by vote of the remaining director so elected, or if there be no such remaining director, by the holders of this Series and such other series of preferred stock then outstanding entitled to elect such director or directors at a special meeting called in accordance with the procedures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40"/>
          </w:cols>
          <w:pgMar w:left="280" w:top="274" w:right="279" w:bottom="1440" w:gutter="0" w:footer="0" w:header="0"/>
        </w:sectPr>
      </w:pPr>
    </w:p>
    <w:bookmarkStart w:id="174" w:name="page175"/>
    <w:bookmarkEnd w:id="174"/>
    <w:p>
      <w:pPr>
        <w:ind w:left="680" w:hanging="216"/>
        <w:spacing w:after="0"/>
        <w:tabs>
          <w:tab w:leader="none" w:pos="68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set forth in Section (F)(2)(c), or if no such special meeting is called, at the next annual meeting of stock-holders, subject to the provisions of Section (F)</w:t>
      </w:r>
    </w:p>
    <w:p>
      <w:pPr>
        <w:spacing w:after="0" w:line="44" w:lineRule="exact"/>
        <w:rPr>
          <w:rFonts w:ascii="Times New Roman" w:cs="Times New Roman" w:eastAsia="Times New Roman" w:hAnsi="Times New Roman"/>
          <w:sz w:val="16"/>
          <w:szCs w:val="16"/>
          <w:color w:val="auto"/>
        </w:rPr>
      </w:pPr>
    </w:p>
    <w:p>
      <w:pPr>
        <w:spacing w:after="0" w:line="25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(2)(b) hereof. Upon any termination of such voting right, as provided in Section (F)(2)(b) hereof, subject to the requirements of the Delaware General Corporation Law, the term of office of the two additional directors elected by holders of this Series and such other series of preferred stock voting together as a class shall immediately terminate.</w:t>
      </w:r>
    </w:p>
    <w:p>
      <w:pPr>
        <w:spacing w:after="0" w:line="138" w:lineRule="exact"/>
        <w:rPr>
          <w:rFonts w:ascii="Times New Roman" w:cs="Times New Roman" w:eastAsia="Times New Roman" w:hAnsi="Times New Roman"/>
          <w:sz w:val="16"/>
          <w:szCs w:val="16"/>
          <w:color w:val="auto"/>
        </w:rPr>
      </w:pPr>
    </w:p>
    <w:p>
      <w:pPr>
        <w:ind w:right="120" w:firstLine="464"/>
        <w:spacing w:after="0" w:line="258" w:lineRule="auto"/>
        <w:tabs>
          <w:tab w:leader="none" w:pos="70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any shares of this Series remain outstanding, the Corporation shall not, without the affirmative vote at a meeting or the written consent with or without a meeting of the holders of at least a majority in number of shares of this Series then outstanding, amend, alter or repeal any of the provisions of the Certificate of Designations relating to this Series or the Corporation </w:t>
      </w:r>
      <w:r>
        <w:rPr>
          <w:rFonts w:ascii="Times New Roman" w:cs="Times New Roman" w:eastAsia="Times New Roman" w:hAnsi="Times New Roman"/>
          <w:sz w:val="1"/>
          <w:szCs w:val="1"/>
          <w:color w:val="auto"/>
        </w:rPr>
        <w:drawing>
          <wp:inline distT="0" distB="0" distL="0" distR="0">
            <wp:extent cx="102870" cy="94615"/>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 Certificate of Incorporation so as to affect adversely the preferences, special rights or powers of the shares of this Series.</w:t>
      </w:r>
    </w:p>
    <w:p>
      <w:pPr>
        <w:spacing w:after="0" w:line="136" w:lineRule="exact"/>
        <w:rPr>
          <w:rFonts w:ascii="Times New Roman" w:cs="Times New Roman" w:eastAsia="Times New Roman" w:hAnsi="Times New Roman"/>
          <w:sz w:val="18"/>
          <w:szCs w:val="18"/>
          <w:color w:val="auto"/>
        </w:rPr>
      </w:pPr>
    </w:p>
    <w:p>
      <w:pPr>
        <w:ind w:right="20" w:firstLine="464"/>
        <w:spacing w:after="0" w:line="256" w:lineRule="auto"/>
        <w:tabs>
          <w:tab w:leader="none" w:pos="70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any shares of this Series remain outstanding, the Corporation shall not amend the Corporation </w:t>
      </w:r>
      <w:r>
        <w:rPr>
          <w:rFonts w:ascii="Times New Roman" w:cs="Times New Roman" w:eastAsia="Times New Roman" w:hAnsi="Times New Roman"/>
          <w:sz w:val="1"/>
          <w:szCs w:val="1"/>
          <w:color w:val="auto"/>
        </w:rPr>
        <w:drawing>
          <wp:inline distT="0" distB="0" distL="0" distR="0">
            <wp:extent cx="102870" cy="94615"/>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 Certificate of Incorporation so as to create any additional class of preferred stock (i) that is senior to this Series as to dividends or distributions upon liquidation without the affirmative vote at a meeting or the written consent with or without a meeting of the holders of at least two-thirds in number of the shares of this Series then outstanding, or (ii) that is equal in preference as to dividends or distributions upon liquidation without the affirmative vote at a meeting or the written consent with or without a meeting of the holders of at least a majority in number of the shares of this Series then outstanding.</w:t>
      </w:r>
    </w:p>
    <w:p>
      <w:pPr>
        <w:spacing w:after="0" w:line="138" w:lineRule="exact"/>
        <w:rPr>
          <w:rFonts w:ascii="Times New Roman" w:cs="Times New Roman" w:eastAsia="Times New Roman" w:hAnsi="Times New Roman"/>
          <w:sz w:val="18"/>
          <w:szCs w:val="18"/>
          <w:color w:val="auto"/>
        </w:rPr>
      </w:pPr>
    </w:p>
    <w:p>
      <w:pPr>
        <w:ind w:firstLine="464"/>
        <w:spacing w:after="0" w:line="256" w:lineRule="auto"/>
        <w:tabs>
          <w:tab w:leader="none" w:pos="66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any shares of this Series remain outstanding, the Corporation shall not amend the Corporation </w:t>
      </w:r>
      <w:r>
        <w:rPr>
          <w:rFonts w:ascii="Times New Roman" w:cs="Times New Roman" w:eastAsia="Times New Roman" w:hAnsi="Times New Roman"/>
          <w:sz w:val="1"/>
          <w:szCs w:val="1"/>
          <w:color w:val="auto"/>
        </w:rPr>
        <w:drawing>
          <wp:inline distT="0" distB="0" distL="0" distR="0">
            <wp:extent cx="102870" cy="94615"/>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 Certificate of Incorporation so as to increase or decrease the aggregate number of shares of the Corporation </w:t>
      </w:r>
      <w:r>
        <w:rPr>
          <w:rFonts w:ascii="Times New Roman" w:cs="Times New Roman" w:eastAsia="Times New Roman" w:hAnsi="Times New Roman"/>
          <w:sz w:val="1"/>
          <w:szCs w:val="1"/>
          <w:color w:val="auto"/>
        </w:rPr>
        <w:drawing>
          <wp:inline distT="0" distB="0" distL="0" distR="0">
            <wp:extent cx="102870" cy="94615"/>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 Class C Preferred Stock, no par value, or increase or decrease the par value of the shares of the Corporation </w:t>
      </w:r>
      <w:r>
        <w:rPr>
          <w:rFonts w:ascii="Times New Roman" w:cs="Times New Roman" w:eastAsia="Times New Roman" w:hAnsi="Times New Roman"/>
          <w:sz w:val="1"/>
          <w:szCs w:val="1"/>
          <w:color w:val="auto"/>
        </w:rPr>
        <w:drawing>
          <wp:inline distT="0" distB="0" distL="0" distR="0">
            <wp:extent cx="102870" cy="94615"/>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 Class C Preferred Stock, without the affirmative vote at a meeting or the written consent with or without a meeting of the holders of at least a majority in number of all shares of the Corporation </w:t>
      </w:r>
      <w:r>
        <w:rPr>
          <w:rFonts w:ascii="Times New Roman" w:cs="Times New Roman" w:eastAsia="Times New Roman" w:hAnsi="Times New Roman"/>
          <w:sz w:val="1"/>
          <w:szCs w:val="1"/>
          <w:color w:val="auto"/>
        </w:rPr>
        <w:drawing>
          <wp:inline distT="0" distB="0" distL="0" distR="0">
            <wp:extent cx="102870" cy="94615"/>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 Class C Preferred Stock then outstanding (which includes, but is not limited to, the shares of this Series then outstanding).</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274" w:right="239" w:bottom="1440" w:gutter="0" w:footer="0" w:header="0"/>
        </w:sectPr>
      </w:pPr>
    </w:p>
    <w:bookmarkStart w:id="175" w:name="page176"/>
    <w:bookmarkEnd w:id="175"/>
    <w:p>
      <w:pPr>
        <w:ind w:left="740" w:hanging="296"/>
        <w:spacing w:after="0"/>
        <w:tabs>
          <w:tab w:leader="none" w:pos="7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LIQUIDATION RIGHTS</w:t>
      </w:r>
    </w:p>
    <w:p>
      <w:pPr>
        <w:spacing w:after="0" w:line="90" w:lineRule="exact"/>
        <w:rPr>
          <w:rFonts w:ascii="Times New Roman" w:cs="Times New Roman" w:eastAsia="Times New Roman" w:hAnsi="Times New Roman"/>
          <w:sz w:val="18"/>
          <w:szCs w:val="18"/>
          <w:color w:val="auto"/>
        </w:rPr>
      </w:pPr>
    </w:p>
    <w:p>
      <w:pPr>
        <w:ind w:left="-20" w:right="40" w:firstLine="921"/>
        <w:spacing w:after="0" w:line="258" w:lineRule="auto"/>
        <w:tabs>
          <w:tab w:leader="none" w:pos="1142"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dissolution, liquidation or winding up of the Corporation, whether voluntary or involuntary, the holders of the shares of this Series shall be entitled to receive out of the assets of the Corporation available for distribution to stockholders, before any payment or distribution shall be made on the Common Stock or on any other class of stock ranking junior to this Series upon liquidation, the amount of $20 per share, plus all accumulated and unpaid dividends to the date of final distribution.</w:t>
      </w:r>
    </w:p>
    <w:p>
      <w:pPr>
        <w:spacing w:after="0" w:line="136" w:lineRule="exact"/>
        <w:rPr>
          <w:rFonts w:ascii="Times New Roman" w:cs="Times New Roman" w:eastAsia="Times New Roman" w:hAnsi="Times New Roman"/>
          <w:sz w:val="18"/>
          <w:szCs w:val="18"/>
          <w:color w:val="auto"/>
        </w:rPr>
      </w:pPr>
    </w:p>
    <w:p>
      <w:pPr>
        <w:jc w:val="both"/>
        <w:ind w:left="-20" w:right="60" w:firstLine="921"/>
        <w:spacing w:after="0" w:line="310" w:lineRule="auto"/>
        <w:tabs>
          <w:tab w:leader="none" w:pos="1142" w:val="left"/>
        </w:tabs>
        <w:numPr>
          <w:ilvl w:val="1"/>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sale, lease or exchange (for cash, shares of stock securities or other consideration) of all or substantially all the property and assets of the Corporation nor the merger of consolidation of the Corporation into or with any other corporation or the merger or consolidation of any other corporation into or with the Corporation, shall be deemed to be a dissolution, liquidation or winding up, voluntary or involuntary, for the purposes of this Section (G).</w:t>
      </w:r>
    </w:p>
    <w:p>
      <w:pPr>
        <w:spacing w:after="0" w:line="97" w:lineRule="exact"/>
        <w:rPr>
          <w:rFonts w:ascii="Times New Roman" w:cs="Times New Roman" w:eastAsia="Times New Roman" w:hAnsi="Times New Roman"/>
          <w:sz w:val="16"/>
          <w:szCs w:val="16"/>
          <w:color w:val="auto"/>
        </w:rPr>
      </w:pPr>
    </w:p>
    <w:p>
      <w:pPr>
        <w:ind w:left="-20" w:right="240" w:firstLine="921"/>
        <w:spacing w:after="0" w:line="275" w:lineRule="auto"/>
        <w:tabs>
          <w:tab w:leader="none" w:pos="1142"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payment to the holders of the shares of this Series of the full preferential amounts provided for in this Section (G), the holders of this Series as such shall have no right or claim to any of the remaining assets of the Corporation.</w:t>
      </w:r>
    </w:p>
    <w:p>
      <w:pPr>
        <w:spacing w:after="0" w:line="119" w:lineRule="exact"/>
        <w:rPr>
          <w:rFonts w:ascii="Times New Roman" w:cs="Times New Roman" w:eastAsia="Times New Roman" w:hAnsi="Times New Roman"/>
          <w:sz w:val="18"/>
          <w:szCs w:val="18"/>
          <w:color w:val="auto"/>
        </w:rPr>
      </w:pPr>
    </w:p>
    <w:p>
      <w:pPr>
        <w:ind w:left="-20" w:firstLine="921"/>
        <w:spacing w:after="0" w:line="255" w:lineRule="auto"/>
        <w:tabs>
          <w:tab w:leader="none" w:pos="1142"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assets of the Corporation available for distribution to the holders of shares of this Series upon any dissolution, liquidation or winding up of the Corporation, whether voluntary or involuntary, shall be insufficient to pay in full all amounts to which such holders are entitled pursuant to Section (G)(1), no such distribution shall be made on account of any shares of any other class or series of Preferred Stock ranking on a parity with the shares of this Series upon such dissolution, liquidation or winding up unless proportionate distributive amounts shall be paid on account of the shares of this Series and shares of such other class or series ranking on a parity with the shares of this Series, ratably, in proportion to the full distributable amounts for which holders of all such parity shares are respectively entitled upon such dissolution, liquidation or winding up.</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60" w:top="274" w:right="239" w:bottom="1440" w:gutter="0" w:footer="0" w:header="0"/>
        </w:sectPr>
      </w:pPr>
    </w:p>
    <w:bookmarkStart w:id="176" w:name="page177"/>
    <w:bookmarkEnd w:id="176"/>
    <w:p>
      <w:pPr>
        <w:ind w:left="760" w:hanging="296"/>
        <w:spacing w:after="0"/>
        <w:tabs>
          <w:tab w:leader="none" w:pos="7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PRIORITY</w:t>
      </w:r>
    </w:p>
    <w:p>
      <w:pPr>
        <w:spacing w:after="0" w:line="90" w:lineRule="exact"/>
        <w:rPr>
          <w:rFonts w:ascii="Times New Roman" w:cs="Times New Roman" w:eastAsia="Times New Roman" w:hAnsi="Times New Roman"/>
          <w:sz w:val="18"/>
          <w:szCs w:val="18"/>
          <w:color w:val="auto"/>
        </w:rPr>
      </w:pPr>
    </w:p>
    <w:p>
      <w:pPr>
        <w:ind w:left="1160" w:hanging="239"/>
        <w:spacing w:after="0"/>
        <w:tabs>
          <w:tab w:leader="none" w:pos="11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resolution, any stock of any class or series of the Corporation shall be deemed to rank:</w:t>
      </w:r>
    </w:p>
    <w:p>
      <w:pPr>
        <w:spacing w:after="0" w:line="171" w:lineRule="exact"/>
        <w:rPr>
          <w:sz w:val="20"/>
          <w:szCs w:val="20"/>
          <w:color w:val="auto"/>
        </w:rPr>
      </w:pPr>
    </w:p>
    <w:p>
      <w:pPr>
        <w:ind w:right="60" w:firstLine="464"/>
        <w:spacing w:after="0" w:line="262" w:lineRule="auto"/>
        <w:tabs>
          <w:tab w:leader="none" w:pos="66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or senior to the shares of this Series, either as to dividends or upon liquidation, if the holders of such class or classes shall be entitled to the receipt of dividends or of amounts distributable upon dissolution, liquidation or winding up of the Corporation, whether voluntary or involuntary, as the case may be, in preference or priority to the holders of shares of this Series.</w:t>
      </w:r>
    </w:p>
    <w:p>
      <w:pPr>
        <w:spacing w:after="0" w:line="132" w:lineRule="exact"/>
        <w:rPr>
          <w:rFonts w:ascii="Times New Roman" w:cs="Times New Roman" w:eastAsia="Times New Roman" w:hAnsi="Times New Roman"/>
          <w:sz w:val="18"/>
          <w:szCs w:val="18"/>
          <w:color w:val="auto"/>
        </w:rPr>
      </w:pPr>
    </w:p>
    <w:p>
      <w:pPr>
        <w:ind w:right="20" w:firstLine="464"/>
        <w:spacing w:after="0" w:line="256" w:lineRule="auto"/>
        <w:tabs>
          <w:tab w:leader="none" w:pos="71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parity with or equal to shares of this Series, either as to dividends or upon liquidation, whether or not the dividend rates, Dividend Payment Dates, or redemption or liquidation prices per share or sinking fund provisions, if any, are different from those of this Series, if the holders of such stock are entitled to the receipt of dividends or of amounts distributable upon dissolution, liquidation or winding up of the Corporation, whether voluntary or involuntary, in proportion to their respective dividend rates or liquidation prices, without preference or priority, one over the other, as between the holders of such stock and the holders of shares of this Series; and</w:t>
      </w:r>
    </w:p>
    <w:p>
      <w:pPr>
        <w:spacing w:after="0" w:line="138" w:lineRule="exact"/>
        <w:rPr>
          <w:rFonts w:ascii="Times New Roman" w:cs="Times New Roman" w:eastAsia="Times New Roman" w:hAnsi="Times New Roman"/>
          <w:sz w:val="18"/>
          <w:szCs w:val="18"/>
          <w:color w:val="auto"/>
        </w:rPr>
      </w:pPr>
    </w:p>
    <w:p>
      <w:pPr>
        <w:ind w:right="160" w:firstLine="464"/>
        <w:spacing w:after="0" w:line="262" w:lineRule="auto"/>
        <w:tabs>
          <w:tab w:leader="none" w:pos="76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to shares of this Series, either as to dividends or upon liquidation, if such class or series shall be Common Stock or if the holders of shares of this Series shall be entitled to receipt of dividends or of amounts distributable upon dissolution, liquidation or winding up of the Corporation, whether voluntary or involuntary, as the case may be, in preference or priority to the holders of shares of such class or series.</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MISCELLANEOUS</w:t>
      </w:r>
    </w:p>
    <w:p>
      <w:pPr>
        <w:spacing w:after="0" w:line="90"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 xml:space="preserve">During the period that shares of this Series are outstanding and except as otherwise provided in this Section (I), the Corporation may not distribute to all of the holders of the Corporation </w:t>
      </w:r>
      <w:r>
        <w:rPr>
          <w:sz w:val="1"/>
          <w:szCs w:val="1"/>
          <w:color w:val="auto"/>
        </w:rPr>
        <w:drawing>
          <wp:inline distT="0" distB="0" distL="0" distR="0">
            <wp:extent cx="102870" cy="94615"/>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 Common Stock any securities of Friedrich Climate Master, Inc. and/or International Environmental Corporation and/or any entity (other than the Corporation) which owns at least a majority of the outstanding voting securities of Friedrich Climate Master, Inc. and/or International Environmental Corporation, except that the prohibition contained in this Section (I) shall terminate and be null and void and no longer effective if, at any time after the original issuance of this Series, the Closing Price of the Corporation </w:t>
      </w:r>
      <w:r>
        <w:rPr>
          <w:sz w:val="1"/>
          <w:szCs w:val="1"/>
          <w:color w:val="auto"/>
        </w:rPr>
        <w:drawing>
          <wp:inline distT="0" distB="0" distL="0" distR="0">
            <wp:extent cx="102870" cy="94615"/>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 Common Stock Equals or exceeds 160% of the conversion price then in effect for the shares of this Series.</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274" w:right="259" w:bottom="1440" w:gutter="0" w:footer="0" w:header="0"/>
        </w:sectPr>
      </w:pPr>
    </w:p>
    <w:bookmarkStart w:id="177" w:name="page178"/>
    <w:bookmarkEnd w:id="177"/>
    <w:p>
      <w:pPr>
        <w:ind w:firstLine="456"/>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FIFTH: The number of directors of the Corporation shall be specified in the by-laws of the Corporation and such number may from time to time be increased or decreased by or in the manner provided in said by-laws, provided the number of directors of the Corporation shall not be less than three (3). The directors shall be divided into three (3) classes. Each class shall consist, as nearly as may be possible, of one-third of the whole number of the Board of Directors. The term of office of those directors of the fist class shall expire at the annual meeting of the stockholders of the Corporation next ensuing; the term of office of the directors of the second class shall expire one year thereafter; and the term of office of the directors of the third class shall expire two years thereafter. At each annual election the successors to the class of directors whose terms have expired in that year shall be elected to hold office for a term of three (3) years. Each director elected shall hold office until his successor is elected and qualified. Directors and officers need not be shareholders. Elections of directors need not be by written ballot.</w:t>
      </w:r>
    </w:p>
    <w:p>
      <w:pPr>
        <w:spacing w:after="0" w:line="138" w:lineRule="exact"/>
        <w:rPr>
          <w:sz w:val="20"/>
          <w:szCs w:val="20"/>
          <w:color w:val="auto"/>
        </w:rPr>
      </w:pPr>
    </w:p>
    <w:p>
      <w:pPr>
        <w:jc w:val="both"/>
        <w:ind w:right="240" w:firstLine="456"/>
        <w:spacing w:after="0" w:line="262" w:lineRule="auto"/>
        <w:rPr>
          <w:sz w:val="20"/>
          <w:szCs w:val="20"/>
          <w:color w:val="auto"/>
        </w:rPr>
      </w:pPr>
      <w:r>
        <w:rPr>
          <w:rFonts w:ascii="Times New Roman" w:cs="Times New Roman" w:eastAsia="Times New Roman" w:hAnsi="Times New Roman"/>
          <w:sz w:val="18"/>
          <w:szCs w:val="18"/>
          <w:color w:val="auto"/>
        </w:rPr>
        <w:t>Any newly created directorships or any decrease in directorships resulting from any increase or decrease in the authorized number of directors shall be apportioned by the Board of Directors among the three (3) classes of directors as to make all classes as nearly equal in number as possible. No decrease by the board of the number of directors shall shorten the term of any incumbent director.</w:t>
      </w:r>
    </w:p>
    <w:p>
      <w:pPr>
        <w:spacing w:after="0" w:line="13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Any vacancy occurring in the Board of Directors caused by death, resignation or removal, and any newly created directorship resulting from an increase in the number of directors, shall be filled only by a majority of the directors then in office, although less than a quorum, or by the sole remaining director. Each director chosen to fill a vacancy or newly created directorship shall hold office until the next election of the class for which such director shall have been chosen and until his successor is duly elected and qualified.</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60"/>
          </w:cols>
          <w:pgMar w:left="240" w:top="274" w:right="299" w:bottom="1440" w:gutter="0" w:footer="0" w:header="0"/>
        </w:sectPr>
      </w:pPr>
    </w:p>
    <w:bookmarkStart w:id="178" w:name="page179"/>
    <w:bookmarkEnd w:id="178"/>
    <w:p>
      <w:pPr>
        <w:ind w:firstLine="456"/>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SIXTH: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 because his or their votes are counted for such purpose, if: (1) the material facts as to his relationship or interest and as to the contract or transaction are disclosed or are known to the Board of Directors or the committee, and the board or committee in good faith authorizes the contract or transaction by the affirmative votes of a majority of the disinterested directors, even though the disinterested directors be less than a quorum; or (2) the material facts as to his relationship or interest and as to the contract or transaction are disclosed or are known to the shareholders entitled to vote thereon, and the contract or transaction is specifically approved in good faith by vote of the shareholders; or (3) the contract or transaction is fair as to the Corporation as of the time it is authorized, approved or ratified by the Board of Directors, a committee thereof, or the shareholders. Common or interested directors may be counted in determining the presence of a quorum at a meeting of the Board of Directors or of a committee which authorizes the contract or transaction.</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SEVENTH: The existence of the Corporation will be perpetual.</w:t>
      </w:r>
    </w:p>
    <w:p>
      <w:pPr>
        <w:spacing w:after="0" w:line="171"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EIGHTH: In furtherance and not in limitation of the powers conferred by the laws of the state of Delaware, the Board of Directors of this Corporation is expressly authorized:</w:t>
      </w:r>
    </w:p>
    <w:p>
      <w:pPr>
        <w:spacing w:after="0" w:line="120" w:lineRule="exact"/>
        <w:rPr>
          <w:sz w:val="20"/>
          <w:szCs w:val="20"/>
          <w:color w:val="auto"/>
        </w:rPr>
      </w:pPr>
    </w:p>
    <w:p>
      <w:pPr>
        <w:ind w:left="760" w:hanging="296"/>
        <w:spacing w:after="0"/>
        <w:tabs>
          <w:tab w:leader="none" w:pos="7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alter, amend, add to, revise, or repeal the by-laws of the Corporation.</w:t>
      </w:r>
    </w:p>
    <w:p>
      <w:pPr>
        <w:spacing w:after="0" w:line="171" w:lineRule="exact"/>
        <w:rPr>
          <w:rFonts w:ascii="Times New Roman" w:cs="Times New Roman" w:eastAsia="Times New Roman" w:hAnsi="Times New Roman"/>
          <w:sz w:val="18"/>
          <w:szCs w:val="18"/>
          <w:color w:val="auto"/>
        </w:rPr>
      </w:pPr>
    </w:p>
    <w:p>
      <w:pPr>
        <w:ind w:left="740" w:hanging="276"/>
        <w:spacing w:after="0"/>
        <w:tabs>
          <w:tab w:leader="none" w:pos="74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authorize and cause its officers to execute mortgages and liens on the property, both real and personal, and upon the franchises of this Corporation.</w:t>
      </w:r>
    </w:p>
    <w:p>
      <w:pPr>
        <w:spacing w:after="0" w:line="194" w:lineRule="exact"/>
        <w:rPr>
          <w:rFonts w:ascii="Times New Roman" w:cs="Times New Roman" w:eastAsia="Times New Roman" w:hAnsi="Times New Roman"/>
          <w:sz w:val="16"/>
          <w:szCs w:val="16"/>
          <w:color w:val="auto"/>
        </w:rPr>
      </w:pPr>
    </w:p>
    <w:p>
      <w:pPr>
        <w:ind w:right="100" w:firstLine="464"/>
        <w:spacing w:after="0" w:line="275" w:lineRule="auto"/>
        <w:tabs>
          <w:tab w:leader="none" w:pos="73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set apart out of any funds of the Corporation avail-able for dividends a reserve or reserves for any lawful corporate purpose and to abolish any such reserve in the manner in which it was created.</w:t>
      </w:r>
    </w:p>
    <w:p>
      <w:pPr>
        <w:spacing w:after="0" w:line="119" w:lineRule="exact"/>
        <w:rPr>
          <w:rFonts w:ascii="Times New Roman" w:cs="Times New Roman" w:eastAsia="Times New Roman" w:hAnsi="Times New Roman"/>
          <w:sz w:val="18"/>
          <w:szCs w:val="18"/>
          <w:color w:val="auto"/>
        </w:rPr>
      </w:pPr>
    </w:p>
    <w:p>
      <w:pPr>
        <w:ind w:right="60" w:firstLine="464"/>
        <w:spacing w:after="0" w:line="290" w:lineRule="auto"/>
        <w:tabs>
          <w:tab w:leader="none" w:pos="744"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of Directors may, by resolution passed by a majority of the hole board, designate one or more committees, each committee to consist of two or more of the directors of the Corporation. The board may designate one or more directors as alternate members of any committee, who may replace any absent or disqualified member at any meeting of the committee. Any such committee, to the extent provided in the resolution or in the by-laws of the Corporation, shall have and may exercise the powers of the Board of Directors in the management of the business and affairs of the Corporation, and may authorize the seal of the Corporation to be affixed to all papers which may require it. In the absence or disqualification of any member of such committee or committees, the member or members thereof present at any meeting and not disqualified from voting, whether or not he or they constitute a quorum, may unanimously appoint another member of the Board of Directors to act at the meeting in place of such absent or disqualified member. Such committee or committees shall have such name or names as may be stated in the by-laws of the Corporation or as may be determined from time to time by resolution adopted by the Board of Directors.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274" w:right="239" w:bottom="1440" w:gutter="0" w:footer="0" w:header="0"/>
        </w:sectPr>
      </w:pPr>
    </w:p>
    <w:bookmarkStart w:id="179" w:name="page180"/>
    <w:bookmarkEnd w:id="179"/>
    <w:p>
      <w:pPr>
        <w:ind w:right="20" w:firstLine="464"/>
        <w:spacing w:after="0" w:line="262" w:lineRule="auto"/>
        <w:tabs>
          <w:tab w:leader="none" w:pos="72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Board of Directors shall have power to issue bonds, debentures and other obligations, either non-convertible or convertible into the Corporation </w:t>
      </w:r>
      <w:r>
        <w:rPr>
          <w:rFonts w:ascii="Times New Roman" w:cs="Times New Roman" w:eastAsia="Times New Roman" w:hAnsi="Times New Roman"/>
          <w:sz w:val="1"/>
          <w:szCs w:val="1"/>
          <w:color w:val="auto"/>
        </w:rPr>
        <w:drawing>
          <wp:inline distT="0" distB="0" distL="0" distR="0">
            <wp:extent cx="102870" cy="94615"/>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 stock, upon such terms, in such manner and under such conditions in conformity with law, as may be fixed by the Board of Directors prior to the issuance of such bonds, debentures and other obligations.</w:t>
      </w:r>
    </w:p>
    <w:p>
      <w:pPr>
        <w:spacing w:after="0" w:line="132" w:lineRule="exact"/>
        <w:rPr>
          <w:rFonts w:ascii="Times New Roman" w:cs="Times New Roman" w:eastAsia="Times New Roman" w:hAnsi="Times New Roman"/>
          <w:sz w:val="18"/>
          <w:szCs w:val="18"/>
          <w:color w:val="auto"/>
        </w:rPr>
      </w:pPr>
    </w:p>
    <w:p>
      <w:pPr>
        <w:ind w:right="640" w:firstLine="464"/>
        <w:spacing w:after="0" w:line="275" w:lineRule="auto"/>
        <w:tabs>
          <w:tab w:leader="none" w:pos="71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grant rights to convert any of the securities issued by this Corporation into shares of any class or classes of stock and options to purchase or subscribe for shares of any classes or classes upon such terms and conditions as may be determined by the Board if Directors.</w:t>
      </w:r>
    </w:p>
    <w:p>
      <w:pPr>
        <w:spacing w:after="0" w:line="119" w:lineRule="exact"/>
        <w:rPr>
          <w:rFonts w:ascii="Times New Roman" w:cs="Times New Roman" w:eastAsia="Times New Roman" w:hAnsi="Times New Roman"/>
          <w:sz w:val="18"/>
          <w:szCs w:val="18"/>
          <w:color w:val="auto"/>
        </w:rPr>
      </w:pPr>
    </w:p>
    <w:p>
      <w:pPr>
        <w:jc w:val="both"/>
        <w:ind w:right="140" w:firstLine="464"/>
        <w:spacing w:after="0" w:line="262" w:lineRule="auto"/>
        <w:tabs>
          <w:tab w:leader="none" w:pos="74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and establish a plan for the subscription and issue of any of its authorized and unissued shares, or sale of any treasury shares held by it, to the employees of the Corporation or to the employees of any subsidiary corporation, or to a trustee upon their behalf, upon such terms and conditions as may be determined by the Board of Directors.</w:t>
      </w:r>
    </w:p>
    <w:p>
      <w:pPr>
        <w:spacing w:after="0" w:line="132" w:lineRule="exact"/>
        <w:rPr>
          <w:rFonts w:ascii="Times New Roman" w:cs="Times New Roman" w:eastAsia="Times New Roman" w:hAnsi="Times New Roman"/>
          <w:sz w:val="18"/>
          <w:szCs w:val="18"/>
          <w:color w:val="auto"/>
        </w:rPr>
      </w:pPr>
    </w:p>
    <w:p>
      <w:pPr>
        <w:ind w:right="220" w:firstLine="464"/>
        <w:spacing w:after="0" w:line="275" w:lineRule="auto"/>
        <w:tabs>
          <w:tab w:leader="none" w:pos="74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 elected or appointed by the Board of Directors may be removed at any time by the board whenever in its judgment the best interest of the Corporation would be served thereby.</w:t>
      </w:r>
    </w:p>
    <w:p>
      <w:pPr>
        <w:spacing w:after="0" w:line="12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NINTH: The Corporation shall indemnify any person who was or is a party or is threatened to be made a party to any threatened, pending or completed action, suit or proceeding (including, but not limited to, any action, suit or proceeding by or in the right of the Corporation), whether civil, criminal or investigative, by reason of the fact that he is or was a director, officer, employee or agent of the Corporation, or is or was serving at the request of the Corporation as a director, officer, employee or agent of another corporation, partnership, joint venture, trust or other enterprise, and shall advance expenses to such person reasonably incurred in connection therewith, to the fullest extent permitted by the relevant provisions of the Delaware General Corporation Law, as such law presently exists or hereafter may be amended.</w:t>
      </w:r>
    </w:p>
    <w:p>
      <w:pPr>
        <w:spacing w:after="0" w:line="139"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TENTH: Meetings of stockholders may be held within or without the State of Delaware as the by-laws may provide. The books of the Corporation may be kept (subject to any provisions contained in the statutes) outside the State of Delaware at such place or places as may be designated from time to time by the Board of Directors of the Corporation.</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80"/>
          </w:cols>
          <w:pgMar w:left="240" w:top="274" w:right="279" w:bottom="1440" w:gutter="0" w:footer="0" w:header="0"/>
        </w:sectPr>
      </w:pPr>
    </w:p>
    <w:bookmarkStart w:id="180" w:name="page181"/>
    <w:bookmarkEnd w:id="180"/>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ELEVENTH: In addition to any affirmative vote of holders of the outstanding capital stock required by law or by the provisions of this Restated Certificate of Incorporation, the affirmative vote of the holders of not less than two-thirds of the outstanding voting stock of the Corporation voting as a single class shall be required for the approval or authorization of any (i) merger or consolidation of the Corporation with or into any other corporation, or (ii) sale, lease or exchange of all or substantially all of the assets of the Corporation to or with any other corporation, person or entity; provided, however, that such two-thirds voting requirement shall not be applicable if (a) the Corporation is merged with a corporation in which at least two-thirds of the outstanding shares of each class of stock of such corporation is owned by the Corporation, or (b) if a transaction described in clauses (i) or (ii) above has been approved by a vote of at least a majority of the members of the Board of Directors of the Corporation. If such two-thirds voting requirement of the outstanding voting stock of the Corporation shall not be applicable under the provisions of clauses (a) or (b) above, then in such event transactions specified in (i) or (ii) above shall require only such affirmative vote as is required by law, regulation or any other provision of this Restated Certificate of Incorporation.</w:t>
      </w:r>
    </w:p>
    <w:p>
      <w:pPr>
        <w:spacing w:after="0" w:line="143"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TWELFTH: The by-laws of the Corporation may be adopted, altered, amended or repealed only by (i) the affirmative vote of not less than a majority of the Board of Directors of the Corporation or (ii) the affirmative vote of not less than two-thirds of the outstanding voting stock of the Corporation voting as a single class.</w:t>
      </w:r>
    </w:p>
    <w:p>
      <w:pPr>
        <w:spacing w:after="0" w:line="132" w:lineRule="exact"/>
        <w:rPr>
          <w:sz w:val="20"/>
          <w:szCs w:val="20"/>
          <w:color w:val="auto"/>
        </w:rPr>
      </w:pPr>
    </w:p>
    <w:p>
      <w:pPr>
        <w:ind w:right="160" w:firstLine="456"/>
        <w:spacing w:after="0" w:line="290" w:lineRule="auto"/>
        <w:rPr>
          <w:sz w:val="20"/>
          <w:szCs w:val="20"/>
          <w:color w:val="auto"/>
        </w:rPr>
      </w:pPr>
      <w:r>
        <w:rPr>
          <w:rFonts w:ascii="Times New Roman" w:cs="Times New Roman" w:eastAsia="Times New Roman" w:hAnsi="Times New Roman"/>
          <w:sz w:val="16"/>
          <w:szCs w:val="16"/>
          <w:color w:val="auto"/>
        </w:rPr>
        <w:t xml:space="preserve">THIRTEENTH: A director of the Corporation shall not be personally liable to the Corporation or its stockholders for monetary damages for breach of fiduciary duty as a director, except for liability (i) for any breach of the director </w:t>
      </w:r>
      <w:r>
        <w:rPr>
          <w:sz w:val="1"/>
          <w:szCs w:val="1"/>
          <w:color w:val="auto"/>
        </w:rPr>
        <w:drawing>
          <wp:inline distT="0" distB="0" distL="0" distR="0">
            <wp:extent cx="102870" cy="94615"/>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s duty of loyalty to the Corporation or its stockholders, (ii) for acts or omissions not in good faith or which involve intentional misconduct or a knowing violation of law, (iii) under Section 174 of the Delaware General Corporation Law, as the same exists or hereafter may be amended, or (iv) for any transaction from which the director derived an improper personal benefit. If the Delaware General Corporation Law hereafter is amended to authorize the further elimination or limitation of the liability of directors, then the liability of a director of the Corporation, in addition to the limitation on personal liability provided herein, shall be limited to the fullest extent permitted by the amended Delaware General Corporation Law. Any repeal or modification of this Article THIRTEENTH by the stockholders of the Corporation shall be prospective only, and shall not adversely affect any limitation on the personal liability of a director of the Corporation existing at the time of such repeal or modification.</w:t>
      </w:r>
    </w:p>
    <w:p>
      <w:pPr>
        <w:spacing w:after="0" w:line="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274" w:right="259" w:bottom="1440" w:gutter="0" w:footer="0" w:header="0"/>
        </w:sectPr>
      </w:pPr>
    </w:p>
    <w:bookmarkStart w:id="181" w:name="page182"/>
    <w:bookmarkEnd w:id="181"/>
    <w:p>
      <w:pPr>
        <w:ind w:firstLine="456"/>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FOURTEENTH: The Corporation reserves the right to amend, alter, change or repeal any provision contained in this Restated Certificate of Incorporation, in any manner now or hereafter prescribed by statute, and all rights conferred upon stockholders herein are granted subject to this reservation. Notwithstanding the foregoing, the affirmative vote of not less than two-thirds of the outstanding voting stock of the Corporation voting as a single class shall be required to repeal, amend, modify, change or alter Articles FIFTH, ELEVENTH, or TWELFTH of this Restated Certificate of Incorporation or to adopt any provision inconsistent with Articles FIFTH, ELEVENTH OR TWELFTH of this Restated Certificate of Incorporation.</w:t>
      </w:r>
    </w:p>
    <w:p>
      <w:pPr>
        <w:spacing w:after="0" w:line="139" w:lineRule="exact"/>
        <w:rPr>
          <w:sz w:val="20"/>
          <w:szCs w:val="20"/>
          <w:color w:val="auto"/>
        </w:rPr>
      </w:pPr>
    </w:p>
    <w:p>
      <w:pPr>
        <w:ind w:right="420" w:firstLine="456"/>
        <w:spacing w:after="0" w:line="262" w:lineRule="auto"/>
        <w:rPr>
          <w:sz w:val="20"/>
          <w:szCs w:val="20"/>
          <w:color w:val="auto"/>
        </w:rPr>
      </w:pPr>
      <w:r>
        <w:rPr>
          <w:rFonts w:ascii="Times New Roman" w:cs="Times New Roman" w:eastAsia="Times New Roman" w:hAnsi="Times New Roman"/>
          <w:sz w:val="18"/>
          <w:szCs w:val="18"/>
          <w:color w:val="auto"/>
        </w:rPr>
        <w:t>IN WITNESS WHEREOF, this Restated Certificate of Incorporation, having been duly adopted by the Board of Directors and the Stockholders of the Corporation in accordance with Sections 242 and 245 of the Delaware General Corporation Law, has been executed this 27th day of August, 1987 by the President of the Corporation.</w:t>
      </w:r>
    </w:p>
    <w:p>
      <w:pPr>
        <w:spacing w:after="0" w:line="17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Jack E. Golsen</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Jack E. Golsen</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President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Irwin H. Steinhorn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Irwin H. Steinhorn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274" w:right="239" w:bottom="1440" w:gutter="0" w:footer="0" w:header="0"/>
        </w:sectPr>
      </w:pPr>
    </w:p>
    <w:bookmarkStart w:id="182" w:name="page183"/>
    <w:bookmarkEnd w:id="182"/>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CERTIFICATE OF DESIGNATIONS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SERIES 2 PARTICIPATING CLASS C PREFERRED STOCK</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Section 151 of the</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Delaware General Corporation Law)</w:t>
      </w:r>
    </w:p>
    <w:p>
      <w:pPr>
        <w:spacing w:after="0" w:line="171" w:lineRule="exact"/>
        <w:rPr>
          <w:sz w:val="20"/>
          <w:szCs w:val="20"/>
          <w:color w:val="auto"/>
        </w:rPr>
      </w:pPr>
    </w:p>
    <w:p>
      <w:pPr>
        <w:ind w:firstLine="913"/>
        <w:spacing w:after="0" w:line="262" w:lineRule="auto"/>
        <w:rPr>
          <w:sz w:val="20"/>
          <w:szCs w:val="20"/>
          <w:color w:val="auto"/>
        </w:rPr>
      </w:pPr>
      <w:r>
        <w:rPr>
          <w:rFonts w:ascii="Times New Roman" w:cs="Times New Roman" w:eastAsia="Times New Roman" w:hAnsi="Times New Roman"/>
          <w:sz w:val="18"/>
          <w:szCs w:val="18"/>
          <w:color w:val="auto"/>
        </w:rPr>
        <w:t xml:space="preserve">LSB INDUSTRIES, INC., a corporation organized and existing under the General Corporation Law of the State of Delaware (hereinafter called the </w:t>
      </w:r>
      <w:r>
        <w:rPr>
          <w:sz w:val="1"/>
          <w:szCs w:val="1"/>
          <w:color w:val="auto"/>
        </w:rPr>
        <w:drawing>
          <wp:inline distT="0" distB="0" distL="0" distR="0">
            <wp:extent cx="102870" cy="94615"/>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Corporation </w:t>
      </w:r>
      <w:r>
        <w:rPr>
          <w:sz w:val="1"/>
          <w:szCs w:val="1"/>
          <w:color w:val="auto"/>
        </w:rPr>
        <w:drawing>
          <wp:inline distT="0" distB="0" distL="0" distR="0">
            <wp:extent cx="102870" cy="94615"/>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hereby certifies that the following resolution was duly adopted by the Board of Directors of the Corporation as required by Section 151 of the General Corporation Law at a meeting duly called and held on February 16 and 17, 1989:</w:t>
      </w:r>
    </w:p>
    <w:p>
      <w:pPr>
        <w:spacing w:after="0" w:line="132" w:lineRule="exact"/>
        <w:rPr>
          <w:sz w:val="20"/>
          <w:szCs w:val="20"/>
          <w:color w:val="auto"/>
        </w:rPr>
      </w:pPr>
    </w:p>
    <w:p>
      <w:pPr>
        <w:ind w:right="220" w:firstLine="913"/>
        <w:spacing w:after="0" w:line="256" w:lineRule="auto"/>
        <w:rPr>
          <w:sz w:val="20"/>
          <w:szCs w:val="20"/>
          <w:color w:val="auto"/>
        </w:rPr>
      </w:pPr>
      <w:r>
        <w:rPr>
          <w:rFonts w:ascii="Times New Roman" w:cs="Times New Roman" w:eastAsia="Times New Roman" w:hAnsi="Times New Roman"/>
          <w:sz w:val="18"/>
          <w:szCs w:val="18"/>
          <w:color w:val="auto"/>
        </w:rPr>
        <w:t xml:space="preserve">RESOLVED, that pursuant to the authority granted to and vested in the Board of Directors of this Corporation (herein after called the </w:t>
      </w:r>
      <w:r>
        <w:rPr>
          <w:sz w:val="1"/>
          <w:szCs w:val="1"/>
          <w:color w:val="auto"/>
        </w:rPr>
        <w:drawing>
          <wp:inline distT="0" distB="0" distL="0" distR="0">
            <wp:extent cx="102870" cy="94615"/>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Board of Directors </w:t>
      </w:r>
      <w:r>
        <w:rPr>
          <w:sz w:val="1"/>
          <w:szCs w:val="1"/>
          <w:color w:val="auto"/>
        </w:rPr>
        <w:drawing>
          <wp:inline distT="0" distB="0" distL="0" distR="0">
            <wp:extent cx="102870" cy="94615"/>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or the </w:t>
      </w:r>
      <w:r>
        <w:rPr>
          <w:sz w:val="1"/>
          <w:szCs w:val="1"/>
          <w:color w:val="auto"/>
        </w:rPr>
        <w:drawing>
          <wp:inline distT="0" distB="0" distL="0" distR="0">
            <wp:extent cx="102870" cy="94615"/>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Board </w:t>
      </w:r>
      <w:r>
        <w:rPr>
          <w:sz w:val="1"/>
          <w:szCs w:val="1"/>
          <w:color w:val="auto"/>
        </w:rPr>
        <w:drawing>
          <wp:inline distT="0" distB="0" distL="0" distR="0">
            <wp:extent cx="102870" cy="94615"/>
            <wp:effectExtent l="0" t="0" r="0" b="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in accordance with the provisions of the Corporation </w:t>
      </w:r>
      <w:r>
        <w:rPr>
          <w:sz w:val="1"/>
          <w:szCs w:val="1"/>
          <w:color w:val="auto"/>
        </w:rPr>
        <w:drawing>
          <wp:inline distT="0" distB="0" distL="0" distR="0">
            <wp:extent cx="102870" cy="94615"/>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 Certificate of Incorporation, the Board of Directors hereby creates a series of Class C Preferred Stock, no par value (the </w:t>
      </w:r>
      <w:r>
        <w:rPr>
          <w:sz w:val="1"/>
          <w:szCs w:val="1"/>
          <w:color w:val="auto"/>
        </w:rPr>
        <w:drawing>
          <wp:inline distT="0" distB="0" distL="0" distR="0">
            <wp:extent cx="102870" cy="94615"/>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Class C Preferred Stock </w:t>
      </w:r>
      <w:r>
        <w:rPr>
          <w:sz w:val="1"/>
          <w:szCs w:val="1"/>
          <w:color w:val="auto"/>
        </w:rPr>
        <w:drawing>
          <wp:inline distT="0" distB="0" distL="0" distR="0">
            <wp:extent cx="102870" cy="94615"/>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of the Corporation and hereby states the designation and number of shares, and does hereby establish and fix the relative rights, preferences, designations and relative participating, optional and other special rights, and qualifications, limitations and restrictions thereof as follows:</w:t>
      </w:r>
    </w:p>
    <w:p>
      <w:pPr>
        <w:spacing w:after="0" w:line="1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Series 2 Participating Class C Preferred Stock:</w:t>
      </w:r>
    </w:p>
    <w:p>
      <w:pPr>
        <w:spacing w:after="0" w:line="171" w:lineRule="exact"/>
        <w:rPr>
          <w:sz w:val="20"/>
          <w:szCs w:val="20"/>
          <w:color w:val="auto"/>
        </w:rPr>
      </w:pPr>
    </w:p>
    <w:p>
      <w:pPr>
        <w:ind w:firstLine="913"/>
        <w:spacing w:after="0" w:line="25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Designation and Amount</w:t>
      </w:r>
      <w:r>
        <w:rPr>
          <w:rFonts w:ascii="Times New Roman" w:cs="Times New Roman" w:eastAsia="Times New Roman" w:hAnsi="Times New Roman"/>
          <w:sz w:val="18"/>
          <w:szCs w:val="18"/>
          <w:color w:val="auto"/>
        </w:rPr>
        <w:t xml:space="preserve">. The shares of such series shall be designated as </w:t>
      </w:r>
      <w:r>
        <w:rPr>
          <w:sz w:val="1"/>
          <w:szCs w:val="1"/>
          <w:color w:val="auto"/>
        </w:rPr>
        <w:drawing>
          <wp:inline distT="0" distB="0" distL="0" distR="0">
            <wp:extent cx="102870" cy="94615"/>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Series 2 Participating Class C Preferred Stock </w:t>
      </w:r>
      <w:r>
        <w:rPr>
          <w:sz w:val="1"/>
          <w:szCs w:val="1"/>
          <w:color w:val="auto"/>
        </w:rPr>
        <w:drawing>
          <wp:inline distT="0" distB="0" distL="0" distR="0">
            <wp:extent cx="102870" cy="94615"/>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(the </w:t>
      </w:r>
      <w:r>
        <w:rPr>
          <w:sz w:val="1"/>
          <w:szCs w:val="1"/>
          <w:color w:val="auto"/>
        </w:rPr>
        <w:drawing>
          <wp:inline distT="0" distB="0" distL="0" distR="0">
            <wp:extent cx="102870" cy="94615"/>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Series 2 Class C Preferred Stock </w:t>
      </w:r>
      <w:r>
        <w:rPr>
          <w:sz w:val="1"/>
          <w:szCs w:val="1"/>
          <w:color w:val="auto"/>
        </w:rPr>
        <w:drawing>
          <wp:inline distT="0" distB="0" distL="0" distR="0">
            <wp:extent cx="102870" cy="94615"/>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and the number of shares constituting the Series 2 Class C Preferred Stock shall be 200,000. Such number of shares may be increased or decreased by resolution of the Board of Directors;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decrease shall reduce the number of shares of Series 2 Class C Preferred Stock to a number less than the number of shares then outstanding plus the number of shares reserved for issuance upon the exercise of outstanding options, rights or warrants or upon the conversion of any outstanding securities issued by the Corporation convertible into Series 2 Class C Preferred Stock.</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- 1 -</w:t>
      </w:r>
    </w:p>
    <w:p>
      <w:pPr>
        <w:sectPr>
          <w:pgSz w:w="11900" w:h="16838" w:orient="portrait"/>
          <w:cols w:equalWidth="0" w:num="1">
            <w:col w:w="11400"/>
          </w:cols>
          <w:pgMar w:left="240" w:top="274" w:right="259" w:bottom="1440" w:gutter="0" w:footer="0" w:header="0"/>
        </w:sectPr>
      </w:pPr>
    </w:p>
    <w:bookmarkStart w:id="183" w:name="page184"/>
    <w:bookmarkEnd w:id="183"/>
    <w:p>
      <w:pPr>
        <w:ind w:left="456"/>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 </w:t>
      </w:r>
      <w:r>
        <w:rPr>
          <w:rFonts w:ascii="Times New Roman" w:cs="Times New Roman" w:eastAsia="Times New Roman" w:hAnsi="Times New Roman"/>
          <w:sz w:val="18"/>
          <w:szCs w:val="18"/>
          <w:u w:val="single" w:color="auto"/>
          <w:color w:val="auto"/>
        </w:rPr>
        <w:t>Dividends and Distributions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64" w:firstLine="464"/>
        <w:spacing w:after="0" w:line="252" w:lineRule="auto"/>
        <w:tabs>
          <w:tab w:leader="none" w:pos="2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rights of the holders of any shares of any series of Class C Preferred Stock (or any other series of Preferred Stock or any similar stock) ranking prior and superior to the Series 2 Class C Preferred Stock with respect to dividends, if any, the holders of shares of Series 2 Class C Preferred Stock, in preference to the holders of Common Stock, par value $.10 per share (the </w:t>
      </w:r>
      <w:r>
        <w:rPr>
          <w:rFonts w:ascii="Times New Roman" w:cs="Times New Roman" w:eastAsia="Times New Roman" w:hAnsi="Times New Roman"/>
          <w:sz w:val="1"/>
          <w:szCs w:val="1"/>
          <w:color w:val="auto"/>
        </w:rPr>
        <w:drawing>
          <wp:inline distT="0" distB="0" distL="0" distR="0">
            <wp:extent cx="102870" cy="94615"/>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Common Stock </w:t>
      </w:r>
      <w:r>
        <w:rPr>
          <w:rFonts w:ascii="Times New Roman" w:cs="Times New Roman" w:eastAsia="Times New Roman" w:hAnsi="Times New Roman"/>
          <w:sz w:val="1"/>
          <w:szCs w:val="1"/>
          <w:color w:val="auto"/>
        </w:rPr>
        <w:drawing>
          <wp:inline distT="0" distB="0" distL="0" distR="0">
            <wp:extent cx="102870" cy="94615"/>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of the Corporation, and of any other junior stock, shall be entitled to receive, when, as and if declared by the Board of Directors out of funds legally available for the purpose, quarterly dividends payable in cash on the last business day of March, June, September and December in each year (each such date being referred to herein as a </w:t>
      </w:r>
      <w:r>
        <w:rPr>
          <w:rFonts w:ascii="Times New Roman" w:cs="Times New Roman" w:eastAsia="Times New Roman" w:hAnsi="Times New Roman"/>
          <w:sz w:val="1"/>
          <w:szCs w:val="1"/>
          <w:color w:val="auto"/>
        </w:rPr>
        <w:drawing>
          <wp:inline distT="0" distB="0" distL="0" distR="0">
            <wp:extent cx="102870" cy="94615"/>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Quarterly Dividend Payment Date </w:t>
      </w:r>
      <w:r>
        <w:rPr>
          <w:rFonts w:ascii="Times New Roman" w:cs="Times New Roman" w:eastAsia="Times New Roman" w:hAnsi="Times New Roman"/>
          <w:sz w:val="1"/>
          <w:szCs w:val="1"/>
          <w:color w:val="auto"/>
        </w:rPr>
        <w:drawing>
          <wp:inline distT="0" distB="0" distL="0" distR="0">
            <wp:extent cx="102870" cy="94615"/>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commencing on the first Quarterly Dividend Payment Date after the first issuance of a share or fraction of a share of Series 2 Class C Preferred Stock, in an amount per share (rounded to the nearest cent) equal to the greater of (a) $1, or (b) subject to the provision for adjustment hereafter set forth, 100 times the aggregate per share amount of all cash dividends, and 100 times the aggregate per share amount of all cash dividends, and 100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2 Class C Preferred Stock.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to which holders of shares of Series 2 Class C Preferred Stock were entitled immediately prior to such event under clause (b)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27" w:lineRule="exact"/>
        <w:rPr>
          <w:rFonts w:ascii="Times New Roman" w:cs="Times New Roman" w:eastAsia="Times New Roman" w:hAnsi="Times New Roman"/>
          <w:sz w:val="18"/>
          <w:szCs w:val="18"/>
          <w:color w:val="auto"/>
        </w:rPr>
      </w:pPr>
    </w:p>
    <w:p>
      <w:pPr>
        <w:ind w:left="5216" w:hanging="112"/>
        <w:spacing w:after="0"/>
        <w:tabs>
          <w:tab w:leader="none" w:pos="5216"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ectPr>
          <w:pgSz w:w="11900" w:h="16838" w:orient="portrait"/>
          <w:cols w:equalWidth="0" w:num="1">
            <w:col w:w="10916"/>
          </w:cols>
          <w:pgMar w:left="704" w:top="274" w:right="279" w:bottom="1440" w:gutter="0" w:footer="0" w:header="0"/>
        </w:sectPr>
      </w:pPr>
    </w:p>
    <w:bookmarkStart w:id="184" w:name="page185"/>
    <w:bookmarkEnd w:id="184"/>
    <w:p>
      <w:pPr>
        <w:ind w:left="-464" w:firstLine="464"/>
        <w:spacing w:after="0" w:line="256" w:lineRule="auto"/>
        <w:tabs>
          <w:tab w:leader="none" w:pos="27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Corporation shall declare a dividend or distribution on the Series 2 Class C Preferred Stock as provided in paragraph (A) of this Section immediately after it declares a dividend or distribution on the Common Stock (other than a dividend payable in shares of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no dividend or distribution shall have been declared on the Common Stock during the period between any Quarterly Dividend Payment Date and the next subsequent Quarterly Dividend Payment Date a dividend of $1 per share on the Series 2 Class C Preferred Stock shall nevertheless be payable on such subsequent Quarterly Dividend Payment Date.</w:t>
      </w:r>
    </w:p>
    <w:p>
      <w:pPr>
        <w:spacing w:after="0" w:line="138" w:lineRule="exact"/>
        <w:rPr>
          <w:rFonts w:ascii="Times New Roman" w:cs="Times New Roman" w:eastAsia="Times New Roman" w:hAnsi="Times New Roman"/>
          <w:sz w:val="18"/>
          <w:szCs w:val="18"/>
          <w:color w:val="auto"/>
        </w:rPr>
      </w:pPr>
    </w:p>
    <w:p>
      <w:pPr>
        <w:ind w:left="-464" w:right="20" w:firstLine="464"/>
        <w:spacing w:after="0" w:line="253" w:lineRule="auto"/>
        <w:tabs>
          <w:tab w:leader="none" w:pos="27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shall begin to accrue and be cumulative on outstanding shares of Series 2 Class C Preferred Stock from the Quarterly Dividend Payment Date next preceding the date of issue of such shares,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2 Class C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2 Class C Preferred Stock in an amount less than the total amount of such dividends at the time accrued and payable on such shares shall be allocated pro rata on a share-by-share basis among all such shares at the time outstanding. The Board of Directors may fix a record date for the termination of holders of shares of Series 2 Class C Preferred Stock entitled to receive payment of a dividend or distribution declared thereon, which record date shall be not more than 60 days prior to the date fixed for the payment thereof.</w:t>
      </w:r>
    </w:p>
    <w:p>
      <w:pPr>
        <w:spacing w:after="0" w:line="141" w:lineRule="exact"/>
        <w:rPr>
          <w:sz w:val="20"/>
          <w:szCs w:val="20"/>
          <w:color w:val="auto"/>
        </w:rPr>
      </w:pPr>
    </w:p>
    <w:p>
      <w:pPr>
        <w:ind w:left="456"/>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The holders of shares of Series 2 Class C Preferred Stock shall have the following voting rights:</w:t>
      </w:r>
    </w:p>
    <w:p>
      <w:pPr>
        <w:spacing w:after="0" w:line="171" w:lineRule="exact"/>
        <w:rPr>
          <w:sz w:val="20"/>
          <w:szCs w:val="20"/>
          <w:color w:val="auto"/>
        </w:rPr>
      </w:pPr>
    </w:p>
    <w:p>
      <w:pPr>
        <w:ind w:left="-464" w:right="120" w:firstLine="464"/>
        <w:spacing w:after="0" w:line="275" w:lineRule="auto"/>
        <w:tabs>
          <w:tab w:leader="none" w:pos="2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Series 2 Class C Preferred Stock shall entitle the holder thereof to 100 votes on all matters submitted to a vote to the stockholders of the Corporation.</w:t>
      </w:r>
    </w:p>
    <w:p>
      <w:pPr>
        <w:spacing w:after="0" w:line="106" w:lineRule="exact"/>
        <w:rPr>
          <w:rFonts w:ascii="Times New Roman" w:cs="Times New Roman" w:eastAsia="Times New Roman" w:hAnsi="Times New Roman"/>
          <w:sz w:val="18"/>
          <w:szCs w:val="18"/>
          <w:color w:val="auto"/>
        </w:rPr>
      </w:pPr>
    </w:p>
    <w:p>
      <w:pPr>
        <w:ind w:left="5216" w:hanging="112"/>
        <w:spacing w:after="0"/>
        <w:tabs>
          <w:tab w:leader="none" w:pos="5216"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10956"/>
          </w:cols>
          <w:pgMar w:left="704" w:top="274" w:right="239" w:bottom="1440" w:gutter="0" w:footer="0" w:header="0"/>
        </w:sectPr>
      </w:pPr>
    </w:p>
    <w:bookmarkStart w:id="185" w:name="page186"/>
    <w:bookmarkEnd w:id="185"/>
    <w:p>
      <w:pPr>
        <w:jc w:val="both"/>
        <w:ind w:left="-464" w:right="120" w:firstLine="464"/>
        <w:spacing w:after="0" w:line="258" w:lineRule="auto"/>
        <w:tabs>
          <w:tab w:leader="none" w:pos="27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otherwise provided herein, in the Certificate of Incorporation of the Corporation, in any other Certificate of Designation of the Corporation creating a series of Class C Preferred Stock or other preferred stock or any similar stock, or by law, the holders of shares of Series 2 Class C Preferred Stock and the holders of shares of Common Stock and any other capital stock of the Corporation having general voting rights shall vote together as one class on all matters submitted to a vote of stockholders of the Corporation.</w:t>
      </w:r>
    </w:p>
    <w:p>
      <w:pPr>
        <w:spacing w:after="0" w:line="136" w:lineRule="exact"/>
        <w:rPr>
          <w:rFonts w:ascii="Times New Roman" w:cs="Times New Roman" w:eastAsia="Times New Roman" w:hAnsi="Times New Roman"/>
          <w:sz w:val="18"/>
          <w:szCs w:val="18"/>
          <w:color w:val="auto"/>
        </w:rPr>
      </w:pPr>
    </w:p>
    <w:p>
      <w:pPr>
        <w:ind w:left="-464" w:right="20" w:firstLine="464"/>
        <w:spacing w:after="0" w:line="262" w:lineRule="auto"/>
        <w:tabs>
          <w:tab w:leader="none" w:pos="27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herein or in the Certificate of Incorporation of the Corporation as in effect on the date hereof, or as otherwise provided by law, holders of Series 2 Class C Preferred Stock shall have no special voting rights and their consent shall not be required (except to the extent they are entitled to vote with holders of Common Stock as set forth herein) for taking any corporate action.</w:t>
      </w:r>
    </w:p>
    <w:p>
      <w:pPr>
        <w:spacing w:after="0" w:line="132" w:lineRule="exact"/>
        <w:rPr>
          <w:sz w:val="20"/>
          <w:szCs w:val="20"/>
          <w:color w:val="auto"/>
        </w:rPr>
      </w:pPr>
    </w:p>
    <w:p>
      <w:pPr>
        <w:ind w:left="456"/>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Certain Restrictions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64" w:right="40" w:firstLine="464"/>
        <w:spacing w:after="0" w:line="258" w:lineRule="auto"/>
        <w:tabs>
          <w:tab w:leader="none" w:pos="2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quarterly dividends or other dividends or distributions payable on the Series 2 Class C Preferred Stock as provided in Section 2 are in arrears, thereafter and until all accrued and unpaid dividends and distributions, whether or not declared, on shares of Series 2 Class C Preferred Stock outstanding shall have been paid in full, or declared and a sum sufficient for the payment therefor be set apart for payment and be in the process of payment, the Corporation shall not:</w:t>
      </w:r>
    </w:p>
    <w:p>
      <w:pPr>
        <w:spacing w:after="0" w:line="136" w:lineRule="exact"/>
        <w:rPr>
          <w:sz w:val="20"/>
          <w:szCs w:val="20"/>
          <w:color w:val="auto"/>
        </w:rPr>
      </w:pPr>
    </w:p>
    <w:p>
      <w:pPr>
        <w:ind w:left="-464" w:firstLine="464"/>
        <w:spacing w:after="0" w:line="275" w:lineRule="auto"/>
        <w:tabs>
          <w:tab w:leader="none" w:pos="202"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dividends, or make any other distributions, on any shares of stock ranking junior (either as to dividends or upon liquidation, dissolution or winding up) to the Series 2 Class C Preferred Stock;</w:t>
      </w:r>
    </w:p>
    <w:p>
      <w:pPr>
        <w:spacing w:after="0" w:line="119" w:lineRule="exact"/>
        <w:rPr>
          <w:rFonts w:ascii="Times New Roman" w:cs="Times New Roman" w:eastAsia="Times New Roman" w:hAnsi="Times New Roman"/>
          <w:sz w:val="18"/>
          <w:szCs w:val="18"/>
          <w:color w:val="auto"/>
        </w:rPr>
      </w:pPr>
    </w:p>
    <w:p>
      <w:pPr>
        <w:ind w:left="-464" w:right="300" w:firstLine="464"/>
        <w:spacing w:after="0" w:line="262" w:lineRule="auto"/>
        <w:tabs>
          <w:tab w:leader="none" w:pos="251"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dividends, or make any other distributions, on any shares of stock ranking on a parity (either as to dividends or upon liquidation, dissolution or winding up) with the Series 2 Class C Preferred Stock, except dividends paid ratably on the Series 2 Class C Preferred Stock and all such parity stock on which dividends are payable or in arrears in proportion to the total amounts to which the holders of all such shares are then entitled;</w:t>
      </w:r>
    </w:p>
    <w:p>
      <w:pPr>
        <w:spacing w:after="0" w:line="118" w:lineRule="exact"/>
        <w:rPr>
          <w:rFonts w:ascii="Times New Roman" w:cs="Times New Roman" w:eastAsia="Times New Roman" w:hAnsi="Times New Roman"/>
          <w:sz w:val="18"/>
          <w:szCs w:val="18"/>
          <w:color w:val="auto"/>
        </w:rPr>
      </w:pPr>
    </w:p>
    <w:p>
      <w:pPr>
        <w:ind w:left="5216" w:hanging="112"/>
        <w:spacing w:after="0"/>
        <w:tabs>
          <w:tab w:leader="none" w:pos="5216"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ectPr>
          <w:pgSz w:w="11900" w:h="16838" w:orient="portrait"/>
          <w:cols w:equalWidth="0" w:num="1">
            <w:col w:w="10936"/>
          </w:cols>
          <w:pgMar w:left="704" w:top="274" w:right="259" w:bottom="1440" w:gutter="0" w:footer="0" w:header="0"/>
        </w:sectPr>
      </w:pPr>
    </w:p>
    <w:bookmarkStart w:id="186" w:name="page187"/>
    <w:bookmarkEnd w:id="186"/>
    <w:p>
      <w:pPr>
        <w:ind w:right="60" w:firstLine="464"/>
        <w:spacing w:after="0" w:line="258" w:lineRule="auto"/>
        <w:tabs>
          <w:tab w:leader="none" w:pos="764"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redeem or purchase or otherwise acquire for consideration shares of any stock ranking junior (either as to dividends or upon liquidation, dissolution or winding up) to the Series 2 Class C Preferred Stock, provided that the Corporation may at any time redeem, purchase or otherwise acquire shares of any such junior stock in exchange for shares of any stock of the Corporation ranking junior (either as to dividends or upon dissolution, liquidation or winding up) to the Series 2 Class C Preferred Stock; or</w:t>
      </w:r>
    </w:p>
    <w:p>
      <w:pPr>
        <w:spacing w:after="0" w:line="136" w:lineRule="exact"/>
        <w:rPr>
          <w:rFonts w:ascii="Times New Roman" w:cs="Times New Roman" w:eastAsia="Times New Roman" w:hAnsi="Times New Roman"/>
          <w:sz w:val="18"/>
          <w:szCs w:val="18"/>
          <w:color w:val="auto"/>
        </w:rPr>
      </w:pPr>
    </w:p>
    <w:p>
      <w:pPr>
        <w:ind w:firstLine="464"/>
        <w:spacing w:after="0" w:line="301" w:lineRule="auto"/>
        <w:tabs>
          <w:tab w:leader="none" w:pos="754"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redeem or purchase or otherwise acquire for consideration any shares of Series 2 Class C Preferred Stock, or any shares of stock ranking on a parity with the Series 2 Class C Preferred Stock, except in accordance with a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03" w:lineRule="exact"/>
        <w:rPr>
          <w:sz w:val="20"/>
          <w:szCs w:val="20"/>
          <w:color w:val="auto"/>
        </w:rPr>
      </w:pPr>
    </w:p>
    <w:p>
      <w:pPr>
        <w:ind w:right="520" w:firstLine="464"/>
        <w:spacing w:after="0" w:line="339" w:lineRule="auto"/>
        <w:tabs>
          <w:tab w:leader="none" w:pos="734"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Corporation shall not permit any subsidiary of the Corporation to purchase or otherwise acquire for consideration any shares of stock of the Corporation unless the Corporation could, under paragraph (A) of this Section 4, purchase or otherwise acquire such shares at such time in such manner.</w:t>
      </w:r>
    </w:p>
    <w:p>
      <w:pPr>
        <w:spacing w:after="0" w:line="74" w:lineRule="exact"/>
        <w:rPr>
          <w:sz w:val="20"/>
          <w:szCs w:val="20"/>
          <w:color w:val="auto"/>
        </w:rPr>
      </w:pPr>
    </w:p>
    <w:p>
      <w:pPr>
        <w:ind w:right="60" w:firstLine="913"/>
        <w:spacing w:after="0" w:line="25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Reacquired Shares</w:t>
      </w:r>
      <w:r>
        <w:rPr>
          <w:rFonts w:ascii="Times New Roman" w:cs="Times New Roman" w:eastAsia="Times New Roman" w:hAnsi="Times New Roman"/>
          <w:sz w:val="18"/>
          <w:szCs w:val="18"/>
          <w:color w:val="auto"/>
        </w:rPr>
        <w:t>. Any shares of Series 2 Class C Preferred Stock purchased or otherwise acquired by the Corporation in any manner whatsoever shall be retired and cancelled promptly after the acquisition thereof. All such shares shall upon their cancellation become authorized but unissued shares of Class C Preferred Stock and may be reissued as part of a new series of Class C Preferred Stock subject to the conditions and restrictions on issuance set forth herein, in the Certificate of Incorporation of the Corporation, or in any other Certificate of Designations creating a series of Class C Preferred Stock or any other preferred stock or any similar stock or as otherwise required by law.</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- 5 -</w:t>
      </w:r>
    </w:p>
    <w:p>
      <w:pPr>
        <w:sectPr>
          <w:pgSz w:w="11900" w:h="16838" w:orient="portrait"/>
          <w:cols w:equalWidth="0" w:num="1">
            <w:col w:w="11380"/>
          </w:cols>
          <w:pgMar w:left="240" w:top="274" w:right="279" w:bottom="1440" w:gutter="0" w:footer="0" w:header="0"/>
        </w:sectPr>
      </w:pPr>
    </w:p>
    <w:bookmarkStart w:id="187" w:name="page188"/>
    <w:bookmarkEnd w:id="187"/>
    <w:p>
      <w:pPr>
        <w:ind w:left="92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 </w:t>
      </w:r>
      <w:r>
        <w:rPr>
          <w:rFonts w:ascii="Times New Roman" w:cs="Times New Roman" w:eastAsia="Times New Roman" w:hAnsi="Times New Roman"/>
          <w:sz w:val="16"/>
          <w:szCs w:val="16"/>
          <w:u w:val="single" w:color="auto"/>
          <w:color w:val="auto"/>
        </w:rPr>
        <w:t>Liquidation, Dissolution or Winding Up</w:t>
      </w:r>
      <w:r>
        <w:rPr>
          <w:rFonts w:ascii="Times New Roman" w:cs="Times New Roman" w:eastAsia="Times New Roman" w:hAnsi="Times New Roman"/>
          <w:sz w:val="16"/>
          <w:szCs w:val="16"/>
          <w:color w:val="auto"/>
        </w:rPr>
        <w:t>. Upon any liquidation, dissolution or winding up of the Corporation, no distribution shall be made</w:t>
      </w:r>
    </w:p>
    <w:p>
      <w:pPr>
        <w:spacing w:after="0" w:line="44" w:lineRule="exact"/>
        <w:rPr>
          <w:sz w:val="20"/>
          <w:szCs w:val="20"/>
          <w:color w:val="auto"/>
        </w:rPr>
      </w:pPr>
    </w:p>
    <w:p>
      <w:pPr>
        <w:ind w:right="20" w:firstLine="8"/>
        <w:spacing w:after="0" w:line="251" w:lineRule="auto"/>
        <w:tabs>
          <w:tab w:leader="none" w:pos="24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holders of shares of stock ranking junior (either as to dividends or upon liquidation, dissolution or winding up) to the Series 2 Class C Preferred Stock unless, prior thereto, the holders of shares of Series 2 Class C Preferred Stock shall have received $100 per share, plus an amount equal to accrued and unpaid dividends and distributions thereon, whether or not declared, to the date of such payment, provided that the holders of shares of Series 2 Class C Preferred Stock shall be entitled to receive an aggregate amount per share, subject to the provision for adjustment hereinafter set forth, equal to 100 times the aggregate amount to be distributed per share to holders of shares of Common Stock, or (2) to the holders of shares of stock ranking on a parity (either as to dividends or upon liquidation, dissolution or winding up) with the Series 2 Class C Preferred Stock, except distributions made ratably on the Series 2 Class C Preferred Stock and all such parity stock in proportion to the total amounts to which the holders of all such shares are entitled upon such liquidation, dissolution or winding up.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aggregate amount to which holders of shares of Series 2 Class C Preferred Stock were entitled immediately prior to such event under the proviso in clause (1)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45" w:lineRule="exact"/>
        <w:rPr>
          <w:sz w:val="20"/>
          <w:szCs w:val="20"/>
          <w:color w:val="auto"/>
        </w:rPr>
      </w:pPr>
    </w:p>
    <w:p>
      <w:pPr>
        <w:ind w:right="40" w:firstLine="913"/>
        <w:spacing w:after="0" w:line="253"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Consolidation, Merger, etc.</w:t>
      </w:r>
      <w:r>
        <w:rPr>
          <w:rFonts w:ascii="Times New Roman" w:cs="Times New Roman" w:eastAsia="Times New Roman" w:hAnsi="Times New Roman"/>
          <w:sz w:val="18"/>
          <w:szCs w:val="18"/>
          <w:color w:val="auto"/>
        </w:rPr>
        <w:t xml:space="preserve"> In case the Corporation shall enter into any consolidation, merger, combination or other transaction in which the shares of Common Stock are exchanged for or changed into other stock or securities, cash and/or any other property, then in any such case each share of Series 2 Class C Preferred Stock shall at the same time be similarly exchanged or changed into an amount per share, subject to the provision for adjustment hereinafter set forth, equal to 100 times the aggregate amount of stock, securities, cash and/or any other property (payable in kind), as the case may be, into which or for which each share of Common Stock is changed or exchanged.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set forth in the preceding sentence with respect to the exchange or change of shares of Series 2 Class C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ectPr>
          <w:pgSz w:w="11900" w:h="16838" w:orient="portrait"/>
          <w:cols w:equalWidth="0" w:num="1">
            <w:col w:w="11420"/>
          </w:cols>
          <w:pgMar w:left="240" w:top="274" w:right="239" w:bottom="1440" w:gutter="0" w:footer="0" w:header="0"/>
        </w:sectPr>
      </w:pPr>
    </w:p>
    <w:bookmarkStart w:id="188" w:name="page189"/>
    <w:bookmarkEnd w:id="188"/>
    <w:p>
      <w:pPr>
        <w:ind w:left="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 </w:t>
      </w:r>
      <w:r>
        <w:rPr>
          <w:rFonts w:ascii="Times New Roman" w:cs="Times New Roman" w:eastAsia="Times New Roman" w:hAnsi="Times New Roman"/>
          <w:sz w:val="18"/>
          <w:szCs w:val="18"/>
          <w:u w:val="single" w:color="auto"/>
          <w:color w:val="auto"/>
        </w:rPr>
        <w:t>No Redemption</w:t>
      </w:r>
      <w:r>
        <w:rPr>
          <w:rFonts w:ascii="Times New Roman" w:cs="Times New Roman" w:eastAsia="Times New Roman" w:hAnsi="Times New Roman"/>
          <w:sz w:val="18"/>
          <w:szCs w:val="18"/>
          <w:color w:val="auto"/>
        </w:rPr>
        <w:t>. The shares of Series 2 Class C Preferred Stock shall not be redeemable.</w:t>
      </w:r>
    </w:p>
    <w:p>
      <w:pPr>
        <w:spacing w:after="0" w:line="171" w:lineRule="exact"/>
        <w:rPr>
          <w:sz w:val="20"/>
          <w:szCs w:val="20"/>
          <w:color w:val="auto"/>
        </w:rPr>
      </w:pPr>
    </w:p>
    <w:p>
      <w:pPr>
        <w:ind w:right="20" w:firstLine="913"/>
        <w:spacing w:after="0" w:line="258"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So long as any shares of the Series 2 Class C Preferred Stock are outstanding, the Corporation shall not, without the affirmative vote of at least a majority in number of shares of the Series 2 Class C Preferred Stock then outstanding, amend, alter, or repeal any of the provisions of this Certificate of Designation or the Corporation </w:t>
      </w:r>
      <w:r>
        <w:rPr>
          <w:sz w:val="1"/>
          <w:szCs w:val="1"/>
          <w:color w:val="auto"/>
        </w:rPr>
        <w:drawing>
          <wp:inline distT="0" distB="0" distL="0" distR="0">
            <wp:extent cx="102870" cy="94615"/>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 Certificate of Incorporation so as to affect adversely the preferences, special rights or powers of the shares of Series 2 Class C Preferred Stock.</w:t>
      </w:r>
    </w:p>
    <w:p>
      <w:pPr>
        <w:spacing w:after="0" w:line="136" w:lineRule="exact"/>
        <w:rPr>
          <w:sz w:val="20"/>
          <w:szCs w:val="20"/>
          <w:color w:val="auto"/>
        </w:rPr>
      </w:pPr>
    </w:p>
    <w:p>
      <w:pPr>
        <w:ind w:right="120" w:firstLine="913"/>
        <w:spacing w:after="0" w:line="275" w:lineRule="auto"/>
        <w:rPr>
          <w:sz w:val="20"/>
          <w:szCs w:val="20"/>
          <w:color w:val="auto"/>
        </w:rPr>
      </w:pPr>
      <w:r>
        <w:rPr>
          <w:rFonts w:ascii="Times New Roman" w:cs="Times New Roman" w:eastAsia="Times New Roman" w:hAnsi="Times New Roman"/>
          <w:sz w:val="18"/>
          <w:szCs w:val="18"/>
          <w:color w:val="auto"/>
        </w:rPr>
        <w:t>IN WITNESS WHEREOF, this Certificate of Designation is executed on behalf of the Corporation by its President and attested by its Secretary this 17th day of February, 1989.</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ATTEST:</w:t>
            </w:r>
          </w:p>
        </w:tc>
        <w:tc>
          <w:tcPr>
            <w:tcW w:w="4420" w:type="dxa"/>
            <w:vAlign w:val="bottom"/>
          </w:tcPr>
          <w:p>
            <w:pPr>
              <w:spacing w:after="0"/>
              <w:rPr>
                <w:sz w:val="19"/>
                <w:szCs w:val="19"/>
                <w:color w:val="auto"/>
              </w:rPr>
            </w:pPr>
          </w:p>
        </w:tc>
        <w:tc>
          <w:tcPr>
            <w:tcW w:w="3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LSB INDUSTRIES, INC.</w:t>
            </w:r>
          </w:p>
        </w:tc>
        <w:tc>
          <w:tcPr>
            <w:tcW w:w="0" w:type="dxa"/>
            <w:vAlign w:val="bottom"/>
          </w:tcPr>
          <w:p>
            <w:pPr>
              <w:spacing w:after="0"/>
              <w:rPr>
                <w:sz w:val="1"/>
                <w:szCs w:val="1"/>
                <w:color w:val="auto"/>
              </w:rPr>
            </w:pPr>
          </w:p>
        </w:tc>
      </w:tr>
      <w:tr>
        <w:trPr>
          <w:trHeight w:val="216"/>
        </w:trPr>
        <w:tc>
          <w:tcPr>
            <w:tcW w:w="3420" w:type="dxa"/>
            <w:vAlign w:val="bottom"/>
            <w:vMerge w:val="continue"/>
          </w:tcPr>
          <w:p>
            <w:pPr>
              <w:spacing w:after="0"/>
              <w:rPr>
                <w:sz w:val="18"/>
                <w:szCs w:val="18"/>
                <w:color w:val="auto"/>
              </w:rPr>
            </w:pPr>
          </w:p>
        </w:tc>
        <w:tc>
          <w:tcPr>
            <w:tcW w:w="44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 Larry McLaine</w:t>
            </w:r>
          </w:p>
        </w:tc>
        <w:tc>
          <w:tcPr>
            <w:tcW w:w="4420" w:type="dxa"/>
            <w:vAlign w:val="bottom"/>
          </w:tcPr>
          <w:p>
            <w:pPr>
              <w:spacing w:after="0"/>
              <w:rPr>
                <w:sz w:val="24"/>
                <w:szCs w:val="24"/>
                <w:color w:val="auto"/>
              </w:rPr>
            </w:pPr>
          </w:p>
        </w:tc>
        <w:tc>
          <w:tcPr>
            <w:tcW w:w="3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Jack E. Golsen</w:t>
            </w:r>
          </w:p>
        </w:tc>
        <w:tc>
          <w:tcPr>
            <w:tcW w:w="0" w:type="dxa"/>
            <w:vAlign w:val="bottom"/>
          </w:tcPr>
          <w:p>
            <w:pPr>
              <w:spacing w:after="0"/>
              <w:rPr>
                <w:sz w:val="1"/>
                <w:szCs w:val="1"/>
                <w:color w:val="auto"/>
              </w:rPr>
            </w:pPr>
          </w:p>
        </w:tc>
      </w:tr>
      <w:tr>
        <w:trPr>
          <w:trHeight w:val="32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(SEAL)</w:t>
            </w:r>
          </w:p>
        </w:tc>
        <w:tc>
          <w:tcPr>
            <w:tcW w:w="4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Secretary</w:t>
            </w:r>
          </w:p>
        </w:tc>
        <w:tc>
          <w:tcPr>
            <w:tcW w:w="3580" w:type="dxa"/>
            <w:vAlign w:val="bottom"/>
          </w:tcPr>
          <w:p>
            <w:pPr>
              <w:ind w:left="2920"/>
              <w:spacing w:after="0"/>
              <w:rPr>
                <w:sz w:val="20"/>
                <w:szCs w:val="20"/>
                <w:color w:val="auto"/>
              </w:rPr>
            </w:pPr>
            <w:r>
              <w:rPr>
                <w:rFonts w:ascii="Times New Roman" w:cs="Times New Roman" w:eastAsia="Times New Roman" w:hAnsi="Times New Roman"/>
                <w:sz w:val="18"/>
                <w:szCs w:val="18"/>
                <w:color w:val="auto"/>
                <w:w w:val="95"/>
              </w:rPr>
              <w:t>President</w:t>
            </w:r>
          </w:p>
        </w:tc>
        <w:tc>
          <w:tcPr>
            <w:tcW w:w="0" w:type="dxa"/>
            <w:vAlign w:val="bottom"/>
          </w:tcPr>
          <w:p>
            <w:pPr>
              <w:spacing w:after="0"/>
              <w:rPr>
                <w:sz w:val="1"/>
                <w:szCs w:val="1"/>
                <w:color w:val="auto"/>
              </w:rPr>
            </w:pPr>
          </w:p>
        </w:tc>
      </w:tr>
      <w:tr>
        <w:trPr>
          <w:trHeight w:val="365"/>
        </w:trPr>
        <w:tc>
          <w:tcPr>
            <w:tcW w:w="3420" w:type="dxa"/>
            <w:vAlign w:val="bottom"/>
          </w:tcPr>
          <w:p>
            <w:pPr>
              <w:spacing w:after="0"/>
              <w:rPr>
                <w:sz w:val="24"/>
                <w:szCs w:val="24"/>
                <w:color w:val="auto"/>
              </w:rPr>
            </w:pPr>
          </w:p>
        </w:tc>
        <w:tc>
          <w:tcPr>
            <w:tcW w:w="4420" w:type="dxa"/>
            <w:vAlign w:val="bottom"/>
          </w:tcPr>
          <w:p>
            <w:pPr>
              <w:jc w:val="right"/>
              <w:ind w:right="1892"/>
              <w:spacing w:after="0"/>
              <w:rPr>
                <w:sz w:val="20"/>
                <w:szCs w:val="20"/>
                <w:color w:val="auto"/>
              </w:rPr>
            </w:pPr>
            <w:r>
              <w:rPr>
                <w:rFonts w:ascii="Times New Roman" w:cs="Times New Roman" w:eastAsia="Times New Roman" w:hAnsi="Times New Roman"/>
                <w:sz w:val="18"/>
                <w:szCs w:val="18"/>
                <w:color w:val="auto"/>
              </w:rPr>
              <w:t>- 7 -</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89" w:name="page190"/>
    <w:bookmarkEnd w:id="189"/>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 OF ELIMINATION</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OF</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$2.20 SERIES 1 CONVERTIBLE</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EXCHANGEABLE CLASS C PREFERRED STOCK</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OF</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ind w:right="100" w:firstLine="913"/>
        <w:spacing w:after="0" w:line="275" w:lineRule="auto"/>
        <w:rPr>
          <w:sz w:val="20"/>
          <w:szCs w:val="20"/>
          <w:color w:val="auto"/>
        </w:rPr>
      </w:pPr>
      <w:r>
        <w:rPr>
          <w:rFonts w:ascii="Times New Roman" w:cs="Times New Roman" w:eastAsia="Times New Roman" w:hAnsi="Times New Roman"/>
          <w:sz w:val="18"/>
          <w:szCs w:val="18"/>
          <w:color w:val="auto"/>
        </w:rPr>
        <w:t xml:space="preserve">LSB INDUSTRIES, INC., a corporation organized and existing under the General Corporation Law of the State of Delaware (hereinafter called the </w:t>
      </w:r>
      <w:r>
        <w:rPr>
          <w:sz w:val="1"/>
          <w:szCs w:val="1"/>
          <w:color w:val="auto"/>
        </w:rPr>
        <w:drawing>
          <wp:inline distT="0" distB="0" distL="0" distR="0">
            <wp:extent cx="102870" cy="94615"/>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Corporation </w:t>
      </w:r>
      <w:r>
        <w:rPr>
          <w:sz w:val="1"/>
          <w:szCs w:val="1"/>
          <w:color w:val="auto"/>
        </w:rPr>
        <w:drawing>
          <wp:inline distT="0" distB="0" distL="0" distR="0">
            <wp:extent cx="102870" cy="94615"/>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hereby certifies the following:</w:t>
      </w:r>
    </w:p>
    <w:p>
      <w:pPr>
        <w:spacing w:after="0" w:line="120" w:lineRule="exact"/>
        <w:rPr>
          <w:sz w:val="20"/>
          <w:szCs w:val="20"/>
          <w:color w:val="auto"/>
        </w:rPr>
      </w:pPr>
    </w:p>
    <w:p>
      <w:pPr>
        <w:ind w:right="60" w:firstLine="464"/>
        <w:spacing w:after="0" w:line="262" w:lineRule="auto"/>
        <w:tabs>
          <w:tab w:leader="none" w:pos="632"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the terms and conditions of the Certificate of Designations of $2.20 Series 1 Convertible Exchangeable Class C Preferred Stock of the Corporation (the </w:t>
      </w:r>
      <w:r>
        <w:rPr>
          <w:rFonts w:ascii="Times New Roman" w:cs="Times New Roman" w:eastAsia="Times New Roman" w:hAnsi="Times New Roman"/>
          <w:sz w:val="1"/>
          <w:szCs w:val="1"/>
          <w:color w:val="auto"/>
        </w:rPr>
        <w:drawing>
          <wp:inline distT="0" distB="0" distL="0" distR="0">
            <wp:extent cx="102870" cy="94615"/>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Series 1 Preferred </w:t>
      </w:r>
      <w:r>
        <w:rPr>
          <w:rFonts w:ascii="Times New Roman" w:cs="Times New Roman" w:eastAsia="Times New Roman" w:hAnsi="Times New Roman"/>
          <w:sz w:val="1"/>
          <w:szCs w:val="1"/>
          <w:color w:val="auto"/>
        </w:rPr>
        <w:drawing>
          <wp:inline distT="0" distB="0" distL="0" distR="0">
            <wp:extent cx="102870" cy="94615"/>
            <wp:effectExtent l="0" t="0" r="0"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filed on December 19, 1986 (the </w:t>
      </w:r>
      <w:r>
        <w:rPr>
          <w:rFonts w:ascii="Times New Roman" w:cs="Times New Roman" w:eastAsia="Times New Roman" w:hAnsi="Times New Roman"/>
          <w:sz w:val="1"/>
          <w:szCs w:val="1"/>
          <w:color w:val="auto"/>
        </w:rPr>
        <w:drawing>
          <wp:inline distT="0" distB="0" distL="0" distR="0">
            <wp:extent cx="102870" cy="94615"/>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Certificate of Designations </w:t>
      </w:r>
      <w:r>
        <w:rPr>
          <w:rFonts w:ascii="Times New Roman" w:cs="Times New Roman" w:eastAsia="Times New Roman" w:hAnsi="Times New Roman"/>
          <w:sz w:val="1"/>
          <w:szCs w:val="1"/>
          <w:color w:val="auto"/>
        </w:rPr>
        <w:drawing>
          <wp:inline distT="0" distB="0" distL="0" distR="0">
            <wp:extent cx="102870" cy="94615"/>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were incorporated into the Restated Certificate of Incorporation of the Company, filed on September 2, 1987 (the </w:t>
      </w:r>
      <w:r>
        <w:rPr>
          <w:rFonts w:ascii="Times New Roman" w:cs="Times New Roman" w:eastAsia="Times New Roman" w:hAnsi="Times New Roman"/>
          <w:sz w:val="1"/>
          <w:szCs w:val="1"/>
          <w:color w:val="auto"/>
        </w:rPr>
        <w:drawing>
          <wp:inline distT="0" distB="0" distL="0" distR="0">
            <wp:extent cx="102870" cy="94615"/>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Restated Certificate of Incorporation </w:t>
      </w:r>
      <w:r>
        <w:rPr>
          <w:rFonts w:ascii="Times New Roman" w:cs="Times New Roman" w:eastAsia="Times New Roman" w:hAnsi="Times New Roman"/>
          <w:sz w:val="1"/>
          <w:szCs w:val="1"/>
          <w:color w:val="auto"/>
        </w:rPr>
        <w:drawing>
          <wp:inline distT="0" distB="0" distL="0" distR="0">
            <wp:extent cx="102870" cy="94615"/>
            <wp:effectExtent l="0" t="0" r="0" b="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w:t>
      </w:r>
    </w:p>
    <w:p>
      <w:pPr>
        <w:spacing w:after="0" w:line="132" w:lineRule="exact"/>
        <w:rPr>
          <w:rFonts w:ascii="Times New Roman" w:cs="Times New Roman" w:eastAsia="Times New Roman" w:hAnsi="Times New Roman"/>
          <w:sz w:val="18"/>
          <w:szCs w:val="18"/>
          <w:color w:val="auto"/>
        </w:rPr>
      </w:pPr>
    </w:p>
    <w:p>
      <w:pPr>
        <w:ind w:firstLine="464"/>
        <w:spacing w:after="0" w:line="310" w:lineRule="auto"/>
        <w:tabs>
          <w:tab w:leader="none" w:pos="632"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all outstanding shares of the Series 1 Preferred have been converted into shares of common stock of the Company or have been redeemed pursuant to the terms and conditions of the Restated Certificate of Incorporation, and all shares of Series 1 Preferred that were owned by the Company or its subsidiaries as treasury shares have been retired pursuant to the Unanimous Written Consent of the Board of Directors of the Corporation dated February 9, 1993.</w:t>
      </w:r>
    </w:p>
    <w:p>
      <w:pPr>
        <w:spacing w:after="0" w:line="97" w:lineRule="exact"/>
        <w:rPr>
          <w:rFonts w:ascii="Times New Roman" w:cs="Times New Roman" w:eastAsia="Times New Roman" w:hAnsi="Times New Roman"/>
          <w:sz w:val="16"/>
          <w:szCs w:val="16"/>
          <w:color w:val="auto"/>
        </w:rPr>
      </w:pPr>
    </w:p>
    <w:p>
      <w:pPr>
        <w:ind w:left="640" w:hanging="176"/>
        <w:spacing w:after="0"/>
        <w:tabs>
          <w:tab w:leader="none" w:pos="6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shares of Series 1 Preferred remain outstanding.</w:t>
      </w:r>
    </w:p>
    <w:p>
      <w:pPr>
        <w:spacing w:after="0" w:line="171" w:lineRule="exact"/>
        <w:rPr>
          <w:rFonts w:ascii="Times New Roman" w:cs="Times New Roman" w:eastAsia="Times New Roman" w:hAnsi="Times New Roman"/>
          <w:sz w:val="18"/>
          <w:szCs w:val="18"/>
          <w:color w:val="auto"/>
        </w:rPr>
      </w:pPr>
    </w:p>
    <w:p>
      <w:pPr>
        <w:ind w:right="20" w:firstLine="464"/>
        <w:spacing w:after="0" w:line="262" w:lineRule="auto"/>
        <w:tabs>
          <w:tab w:leader="none" w:pos="632"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all shares of the Series 1 Preferred which have been redeemed, converted or retired have the status of authorized and unissued shares of the Class C Preferred Stock of the Corporation without designation as to series, until such shares are once more designated as part of a particular series by the Board of Directors.</w:t>
      </w:r>
    </w:p>
    <w:p>
      <w:pPr>
        <w:spacing w:after="0" w:line="132"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on April 1, 1993, the Board of Directors of the Company duly adopted the following resolution:</w:t>
      </w:r>
    </w:p>
    <w:p>
      <w:pPr>
        <w:spacing w:after="0" w:line="171" w:lineRule="exact"/>
        <w:rPr>
          <w:sz w:val="20"/>
          <w:szCs w:val="20"/>
          <w:color w:val="auto"/>
        </w:rPr>
      </w:pPr>
    </w:p>
    <w:p>
      <w:pPr>
        <w:ind w:right="620"/>
        <w:spacing w:after="0" w:line="275" w:lineRule="auto"/>
        <w:rPr>
          <w:sz w:val="20"/>
          <w:szCs w:val="20"/>
          <w:color w:val="auto"/>
        </w:rPr>
      </w:pPr>
      <w:r>
        <w:rPr>
          <w:rFonts w:ascii="Times New Roman" w:cs="Times New Roman" w:eastAsia="Times New Roman" w:hAnsi="Times New Roman"/>
          <w:sz w:val="18"/>
          <w:szCs w:val="18"/>
          <w:color w:val="auto"/>
        </w:rPr>
        <w:t>RESOLVED, that no authorized shares of Series 1 Preferred remain outstanding and no shares of Series 1 Preferred will be issued subject to the Restated Certificate of Incorporation which incorporates the Certificate of Designation previously filed with respect to the Series 1 Preferred.</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- 1 -</w:t>
      </w:r>
    </w:p>
    <w:p>
      <w:pPr>
        <w:sectPr>
          <w:pgSz w:w="11900" w:h="16838" w:orient="portrait"/>
          <w:cols w:equalWidth="0" w:num="1">
            <w:col w:w="11380"/>
          </w:cols>
          <w:pgMar w:left="240" w:top="274" w:right="279" w:bottom="1440" w:gutter="0" w:footer="0" w:header="0"/>
        </w:sectPr>
      </w:pPr>
    </w:p>
    <w:bookmarkStart w:id="190" w:name="page191"/>
    <w:bookmarkEnd w:id="190"/>
    <w:p>
      <w:pPr>
        <w:ind w:firstLine="464"/>
        <w:spacing w:after="0" w:line="262" w:lineRule="auto"/>
        <w:tabs>
          <w:tab w:leader="none" w:pos="632"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That pursuant to the provisions of </w:t>
      </w:r>
      <w:r>
        <w:rPr>
          <w:rFonts w:ascii="Times New Roman" w:cs="Times New Roman" w:eastAsia="Times New Roman" w:hAnsi="Times New Roman"/>
          <w:sz w:val="1"/>
          <w:szCs w:val="1"/>
          <w:color w:val="auto"/>
        </w:rPr>
        <w:drawing>
          <wp:inline distT="0" distB="0" distL="0" distR="0">
            <wp:extent cx="102870" cy="94615"/>
            <wp:effectExtent l="0" t="0" r="0" b="0"/>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151(g) of the Delaware General Corporation Law, upon the effective date of the filing of this Certificate, this Certificate will have the effect of eliminating from the Restated Certificate of Incorporation only those matters set forth in the Restated Certificate of Incorporation with respect to the $2.20 Series 1 Convertible Exchangeable Class C Preferred Stock.</w:t>
      </w:r>
    </w:p>
    <w:p>
      <w:pPr>
        <w:spacing w:after="0" w:line="1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IN WITNESS WHEREOF, this Certificate of Elimination has been executed this 30</w:t>
      </w:r>
      <w:r>
        <w:rPr>
          <w:rFonts w:ascii="Times New Roman" w:cs="Times New Roman" w:eastAsia="Times New Roman" w:hAnsi="Times New Roman"/>
          <w:sz w:val="10"/>
          <w:szCs w:val="10"/>
          <w:color w:val="auto"/>
        </w:rPr>
        <w:t>th</w:t>
      </w:r>
      <w:r>
        <w:rPr>
          <w:rFonts w:ascii="Times New Roman" w:cs="Times New Roman" w:eastAsia="Times New Roman" w:hAnsi="Times New Roman"/>
          <w:sz w:val="16"/>
          <w:szCs w:val="16"/>
          <w:color w:val="auto"/>
        </w:rPr>
        <w:t xml:space="preserve"> day of April, 1993, by the President of the Company.</w:t>
      </w:r>
    </w:p>
    <w:p>
      <w:pPr>
        <w:spacing w:after="0" w:line="23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w:t>
      </w:r>
    </w:p>
    <w:p>
      <w:pPr>
        <w:sectPr>
          <w:pgSz w:w="11900" w:h="16838" w:orient="portrait"/>
          <w:cols w:equalWidth="0" w:num="1">
            <w:col w:w="10900"/>
          </w:cols>
          <w:pgMar w:left="240" w:top="274" w:right="75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M. Shear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David M. Shear, Secretary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Jack E. Golsen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Jack E. Golsen, President</w:t>
      </w:r>
    </w:p>
    <w:p>
      <w:pPr>
        <w:spacing w:after="0" w:line="32" w:lineRule="exact"/>
        <w:rPr>
          <w:sz w:val="20"/>
          <w:szCs w:val="20"/>
          <w:color w:val="auto"/>
        </w:rPr>
      </w:pPr>
    </w:p>
    <w:p>
      <w:pPr>
        <w:sectPr>
          <w:pgSz w:w="11900" w:h="16838" w:orient="portrait"/>
          <w:cols w:equalWidth="0" w:num="3">
            <w:col w:w="5240" w:space="720"/>
            <w:col w:w="200" w:space="120"/>
            <w:col w:w="4620"/>
          </w:cols>
          <w:pgMar w:left="240" w:top="274" w:right="7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President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158"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6"/>
          <w:szCs w:val="16"/>
          <w:color w:val="auto"/>
        </w:rPr>
        <w:t>- 2 -</w:t>
      </w:r>
    </w:p>
    <w:p>
      <w:pPr>
        <w:sectPr>
          <w:pgSz w:w="11900" w:h="16838" w:orient="portrait"/>
          <w:cols w:equalWidth="0" w:num="1">
            <w:col w:w="10900"/>
          </w:cols>
          <w:pgMar w:left="240" w:top="274" w:right="759" w:bottom="1440" w:gutter="0" w:footer="0" w:header="0"/>
          <w:type w:val="continuous"/>
        </w:sectPr>
      </w:pPr>
    </w:p>
    <w:bookmarkStart w:id="191" w:name="page192"/>
    <w:bookmarkEnd w:id="191"/>
    <w:p>
      <w:pPr>
        <w:jc w:val="center"/>
        <w:ind w:right="-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CERTIFICATE OF DESIGNATIONS</w:t>
      </w:r>
    </w:p>
    <w:p>
      <w:pPr>
        <w:spacing w:after="0" w:line="1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of the</w:t>
      </w:r>
    </w:p>
    <w:p>
      <w:pPr>
        <w:spacing w:after="0" w:line="1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$3.25 CONVERTIBLE EXCHANGEABLE CLASS C PREFERRED STOCK,</w:t>
      </w:r>
    </w:p>
    <w:p>
      <w:pPr>
        <w:spacing w:after="0" w:line="1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SERIES 2</w:t>
      </w:r>
    </w:p>
    <w:p>
      <w:pPr>
        <w:spacing w:after="0" w:line="1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of</w:t>
      </w:r>
    </w:p>
    <w:p>
      <w:pPr>
        <w:spacing w:after="0" w:line="1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Pursuant to Section 151 of the</w:t>
      </w:r>
    </w:p>
    <w:p>
      <w:pPr>
        <w:spacing w:after="0" w:line="1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General Corporation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126365</wp:posOffset>
            </wp:positionV>
            <wp:extent cx="151765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undersigned duly authorized officer of LSB Industries, Inc., a corporation organized and existing under the General Corporation Law 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of Delaware, in accordance with the provisions of Section 103 thereof, and pursuant to Section 151 thereof, DOES HEREBY CERTIFY:</w:t>
      </w:r>
    </w:p>
    <w:p>
      <w:pPr>
        <w:spacing w:after="0" w:line="159" w:lineRule="exact"/>
        <w:rPr>
          <w:sz w:val="20"/>
          <w:szCs w:val="20"/>
          <w:color w:val="auto"/>
        </w:rPr>
      </w:pPr>
    </w:p>
    <w:p>
      <w:pPr>
        <w:ind w:firstLine="913"/>
        <w:spacing w:after="0" w:line="253" w:lineRule="auto"/>
        <w:rPr>
          <w:sz w:val="20"/>
          <w:szCs w:val="20"/>
          <w:color w:val="auto"/>
        </w:rPr>
      </w:pPr>
      <w:r>
        <w:rPr>
          <w:rFonts w:ascii="Times New Roman" w:cs="Times New Roman" w:eastAsia="Times New Roman" w:hAnsi="Times New Roman"/>
          <w:sz w:val="18"/>
          <w:szCs w:val="18"/>
          <w:color w:val="auto"/>
        </w:rPr>
        <w:t xml:space="preserve">That pursuant to the authority conferred upon the Board of Directors by the Restated Certificate of Incorporation of LSB Industries, Inc. (the </w:t>
      </w:r>
      <w:r>
        <w:rPr>
          <w:sz w:val="1"/>
          <w:szCs w:val="1"/>
          <w:color w:val="auto"/>
        </w:rPr>
        <w:drawing>
          <wp:inline distT="0" distB="0" distL="0" distR="0">
            <wp:extent cx="102870" cy="94615"/>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Corporation </w:t>
      </w:r>
      <w:r>
        <w:rPr>
          <w:sz w:val="1"/>
          <w:szCs w:val="1"/>
          <w:color w:val="auto"/>
        </w:rPr>
        <w:drawing>
          <wp:inline distT="0" distB="0" distL="0" distR="0">
            <wp:extent cx="102870" cy="94615"/>
            <wp:effectExtent l="0" t="0" r="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the Board of Directors of the Corporation on April 20, 1993, and a duly authorized committee of the Board of Directors on May 19, 1993, approved the creation, issuance and voting power of a new series of authorized but unissued shares of the Corporation </w:t>
      </w:r>
      <w:r>
        <w:rPr>
          <w:sz w:val="1"/>
          <w:szCs w:val="1"/>
          <w:color w:val="auto"/>
        </w:rPr>
        <w:drawing>
          <wp:inline distT="0" distB="0" distL="0" distR="0">
            <wp:extent cx="102870" cy="94615"/>
            <wp:effectExtent l="0" t="0" r="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 Class C Preferred Stock, no par value, consisting of up to 920,000 shares of the series of Class C Preferred Stock, designated as the $3.25 Convertible Exchangeable Class C Preferred Stock, Series 2, with the Board of Directors of the Corporation and a committee of the Board of Directors having been duly authorized by the Board of Directors fixing the designations and any of the preferences or rights of such shares relating to dividends, redemption, dissolution, any distribution of assets of the Corporation or the conversion into, or exchange of such shares for, shares of any other class or classes of stock of the Corporation or fix the exact number of shares of the series of $3.25 Convertible Exchangeable Class C Preferred Stock, Series 2, to be issued by the Corporation, and that Board of Directors and the committee adopted the following resolution creating the series of $3.25 Convertible Exchangeable Class C Preferred Stock, Series 2.</w:t>
      </w:r>
    </w:p>
    <w:p>
      <w:pPr>
        <w:spacing w:after="0" w:line="1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- 1 -</w:t>
      </w:r>
    </w:p>
    <w:p>
      <w:pPr>
        <w:sectPr>
          <w:pgSz w:w="11900" w:h="16838" w:orient="portrait"/>
          <w:cols w:equalWidth="0" w:num="1">
            <w:col w:w="11340"/>
          </w:cols>
          <w:pgMar w:left="240" w:top="274" w:right="319" w:bottom="1440" w:gutter="0" w:footer="0" w:header="0"/>
        </w:sectPr>
      </w:pPr>
    </w:p>
    <w:bookmarkStart w:id="192" w:name="page193"/>
    <w:bookmarkEnd w:id="192"/>
    <w:p>
      <w:pPr>
        <w:ind w:right="160" w:firstLine="913"/>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RESOLVED, that pursuant to the authority expressly granted to and vested in the Board of Directors (the </w:t>
      </w:r>
      <w:r>
        <w:rPr>
          <w:sz w:val="1"/>
          <w:szCs w:val="1"/>
          <w:color w:val="auto"/>
        </w:rPr>
        <w:drawing>
          <wp:inline distT="0" distB="0" distL="0" distR="0">
            <wp:extent cx="102870" cy="94615"/>
            <wp:effectExtent l="0" t="0" r="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Board </w:t>
      </w:r>
      <w:r>
        <w:rPr>
          <w:sz w:val="1"/>
          <w:szCs w:val="1"/>
          <w:color w:val="auto"/>
        </w:rPr>
        <w:drawing>
          <wp:inline distT="0" distB="0" distL="0" distR="0">
            <wp:extent cx="102870" cy="94615"/>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of LSB Industries, Inc. (the </w:t>
      </w:r>
      <w:r>
        <w:rPr>
          <w:sz w:val="1"/>
          <w:szCs w:val="1"/>
          <w:color w:val="auto"/>
        </w:rPr>
        <w:drawing>
          <wp:inline distT="0" distB="0" distL="0" distR="0">
            <wp:extent cx="102870" cy="94615"/>
            <wp:effectExtent l="0" t="0" r="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Corporation </w:t>
      </w:r>
      <w:r>
        <w:rPr>
          <w:sz w:val="1"/>
          <w:szCs w:val="1"/>
          <w:color w:val="auto"/>
        </w:rPr>
        <w:drawing>
          <wp:inline distT="0" distB="0" distL="0" distR="0">
            <wp:extent cx="102870" cy="94615"/>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by provisions of the Restated Certificate of Incorporation of LSB Industries, Inc. (the </w:t>
      </w:r>
      <w:r>
        <w:rPr>
          <w:sz w:val="1"/>
          <w:szCs w:val="1"/>
          <w:color w:val="auto"/>
        </w:rPr>
        <w:drawing>
          <wp:inline distT="0" distB="0" distL="0" distR="0">
            <wp:extent cx="102870" cy="94615"/>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Certificate of Incorporation </w:t>
      </w:r>
      <w:r>
        <w:rPr>
          <w:sz w:val="1"/>
          <w:szCs w:val="1"/>
          <w:color w:val="auto"/>
        </w:rPr>
        <w:drawing>
          <wp:inline distT="0" distB="0" distL="0" distR="0">
            <wp:extent cx="102870" cy="94615"/>
            <wp:effectExtent l="0" t="0" r="0" b="0"/>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and the General Corporation Law of the State of Delaware, the issuance of a series of Class C Preferred Stock, be, and the same hereby is, authorized, and the Board and the committee of the Board hereby fix the powers, designations, preferences and relative, participating, optional or other special rights, and the qualifications, limitations or restrictions thereof as follows:</w:t>
      </w:r>
    </w:p>
    <w:p>
      <w:pPr>
        <w:spacing w:after="0" w:line="139" w:lineRule="exact"/>
        <w:rPr>
          <w:sz w:val="20"/>
          <w:szCs w:val="20"/>
          <w:color w:val="auto"/>
        </w:rPr>
      </w:pPr>
    </w:p>
    <w:p>
      <w:pPr>
        <w:ind w:right="140" w:firstLine="921"/>
        <w:spacing w:after="0" w:line="256" w:lineRule="auto"/>
        <w:tabs>
          <w:tab w:leader="none" w:pos="108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and Amount</w:t>
      </w:r>
      <w:r>
        <w:rPr>
          <w:rFonts w:ascii="Times New Roman" w:cs="Times New Roman" w:eastAsia="Times New Roman" w:hAnsi="Times New Roman"/>
          <w:sz w:val="18"/>
          <w:szCs w:val="18"/>
          <w:color w:val="auto"/>
        </w:rPr>
        <w:t xml:space="preserve">. The designation of such series of preferred stock authorized by this resolution shall be </w:t>
      </w:r>
      <w:r>
        <w:rPr>
          <w:rFonts w:ascii="Times New Roman" w:cs="Times New Roman" w:eastAsia="Times New Roman" w:hAnsi="Times New Roman"/>
          <w:sz w:val="1"/>
          <w:szCs w:val="1"/>
          <w:color w:val="auto"/>
        </w:rPr>
        <w:drawing>
          <wp:inline distT="0" distB="0" distL="0" distR="0">
            <wp:extent cx="102870" cy="94615"/>
            <wp:effectExtent l="0" t="0" r="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$3.25 Convertible Exchangeable Class C Preferred Stock, Series 2 </w:t>
      </w:r>
      <w:r>
        <w:rPr>
          <w:rFonts w:ascii="Times New Roman" w:cs="Times New Roman" w:eastAsia="Times New Roman" w:hAnsi="Times New Roman"/>
          <w:sz w:val="1"/>
          <w:szCs w:val="1"/>
          <w:color w:val="auto"/>
        </w:rPr>
        <w:drawing>
          <wp:inline distT="0" distB="0" distL="0" distR="0">
            <wp:extent cx="102870" cy="94615"/>
            <wp:effectExtent l="0" t="0" r="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and the number of shares constituting such series shall be 800,000 (up to an aggregate of 920,000 shares, based on the number of additional shares issued pursuant to the overallotment option granted by the Corporation pursuant to the Underwriting Agreement, dated May 19, 1993, between the Corporation and Lazard Fr </w:t>
      </w:r>
      <w:r>
        <w:rPr>
          <w:rFonts w:ascii="Times New Roman" w:cs="Times New Roman" w:eastAsia="Times New Roman" w:hAnsi="Times New Roman"/>
          <w:sz w:val="1"/>
          <w:szCs w:val="1"/>
          <w:color w:val="auto"/>
        </w:rPr>
        <w:drawing>
          <wp:inline distT="0" distB="0" distL="0" distR="0">
            <wp:extent cx="102870" cy="94615"/>
            <wp:effectExtent l="0" t="0" r="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res &amp; Co.), with a stated value of $50.00 per share. Such series is referred to herein as the </w:t>
      </w:r>
      <w:r>
        <w:rPr>
          <w:rFonts w:ascii="Times New Roman" w:cs="Times New Roman" w:eastAsia="Times New Roman" w:hAnsi="Times New Roman"/>
          <w:sz w:val="1"/>
          <w:szCs w:val="1"/>
          <w:color w:val="auto"/>
        </w:rPr>
        <w:drawing>
          <wp:inline distT="0" distB="0" distL="0" distR="0">
            <wp:extent cx="102870" cy="94615"/>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Convertible Exchangeable Preferred Stock </w:t>
      </w:r>
      <w:r>
        <w:rPr>
          <w:rFonts w:ascii="Times New Roman" w:cs="Times New Roman" w:eastAsia="Times New Roman" w:hAnsi="Times New Roman"/>
          <w:sz w:val="1"/>
          <w:szCs w:val="1"/>
          <w:color w:val="auto"/>
        </w:rPr>
        <w:drawing>
          <wp:inline distT="0" distB="0" distL="0" distR="0">
            <wp:extent cx="102870" cy="94615"/>
            <wp:effectExtent l="0" t="0" r="0"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w:t>
      </w:r>
    </w:p>
    <w:p>
      <w:pPr>
        <w:spacing w:after="0" w:line="138" w:lineRule="exact"/>
        <w:rPr>
          <w:rFonts w:ascii="Times New Roman" w:cs="Times New Roman" w:eastAsia="Times New Roman" w:hAnsi="Times New Roman"/>
          <w:sz w:val="18"/>
          <w:szCs w:val="18"/>
          <w:color w:val="auto"/>
        </w:rPr>
      </w:pPr>
    </w:p>
    <w:p>
      <w:pPr>
        <w:ind w:firstLine="921"/>
        <w:spacing w:after="0" w:line="253" w:lineRule="auto"/>
        <w:tabs>
          <w:tab w:leader="none" w:pos="108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Rank</w:t>
      </w:r>
      <w:r>
        <w:rPr>
          <w:rFonts w:ascii="Times New Roman" w:cs="Times New Roman" w:eastAsia="Times New Roman" w:hAnsi="Times New Roman"/>
          <w:sz w:val="18"/>
          <w:szCs w:val="18"/>
          <w:color w:val="auto"/>
        </w:rPr>
        <w:t xml:space="preserve">. All shares of Convertible Exchangeable Preferred Stock shall rank prior to all of the Corporation </w:t>
      </w:r>
      <w:r>
        <w:rPr>
          <w:rFonts w:ascii="Times New Roman" w:cs="Times New Roman" w:eastAsia="Times New Roman" w:hAnsi="Times New Roman"/>
          <w:sz w:val="1"/>
          <w:szCs w:val="1"/>
          <w:color w:val="auto"/>
        </w:rPr>
        <w:drawing>
          <wp:inline distT="0" distB="0" distL="0" distR="0">
            <wp:extent cx="102870" cy="94615"/>
            <wp:effectExtent l="0" t="0" r="0" b="0"/>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 Common Stock, par value $0.10 per share (the </w:t>
      </w:r>
      <w:r>
        <w:rPr>
          <w:rFonts w:ascii="Times New Roman" w:cs="Times New Roman" w:eastAsia="Times New Roman" w:hAnsi="Times New Roman"/>
          <w:sz w:val="1"/>
          <w:szCs w:val="1"/>
          <w:color w:val="auto"/>
        </w:rPr>
        <w:drawing>
          <wp:inline distT="0" distB="0" distL="0" distR="0">
            <wp:extent cx="102870" cy="94615"/>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Common Stock </w:t>
      </w:r>
      <w:r>
        <w:rPr>
          <w:rFonts w:ascii="Times New Roman" w:cs="Times New Roman" w:eastAsia="Times New Roman" w:hAnsi="Times New Roman"/>
          <w:sz w:val="1"/>
          <w:szCs w:val="1"/>
          <w:color w:val="auto"/>
        </w:rPr>
        <w:drawing>
          <wp:inline distT="0" distB="0" distL="0" distR="0">
            <wp:extent cx="102870" cy="94615"/>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and to all other classes and series of equity securities of the Corporation now or hereafter authorized, issued or outstanding (the Common Stock and such other classes and series of equity securities collectively are referred to herein as the </w:t>
      </w:r>
      <w:r>
        <w:rPr>
          <w:rFonts w:ascii="Times New Roman" w:cs="Times New Roman" w:eastAsia="Times New Roman" w:hAnsi="Times New Roman"/>
          <w:sz w:val="1"/>
          <w:szCs w:val="1"/>
          <w:color w:val="auto"/>
        </w:rPr>
        <w:drawing>
          <wp:inline distT="0" distB="0" distL="0" distR="0">
            <wp:extent cx="102870" cy="94615"/>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Junior Stock </w:t>
      </w:r>
      <w:r>
        <w:rPr>
          <w:rFonts w:ascii="Times New Roman" w:cs="Times New Roman" w:eastAsia="Times New Roman" w:hAnsi="Times New Roman"/>
          <w:sz w:val="1"/>
          <w:szCs w:val="1"/>
          <w:color w:val="auto"/>
        </w:rPr>
        <w:drawing>
          <wp:inline distT="0" distB="0" distL="0" distR="0">
            <wp:extent cx="102870" cy="94615"/>
            <wp:effectExtent l="0" t="0" r="0" b="0"/>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other than any classes or series of equity securities of the Corporation now or hereafter authorized, issued or outstanding ranking on a parity with (the </w:t>
      </w:r>
      <w:r>
        <w:rPr>
          <w:rFonts w:ascii="Times New Roman" w:cs="Times New Roman" w:eastAsia="Times New Roman" w:hAnsi="Times New Roman"/>
          <w:sz w:val="1"/>
          <w:szCs w:val="1"/>
          <w:color w:val="auto"/>
        </w:rPr>
        <w:drawing>
          <wp:inline distT="0" distB="0" distL="0" distR="0">
            <wp:extent cx="102870" cy="94615"/>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Parity Stock </w:t>
      </w:r>
      <w:r>
        <w:rPr>
          <w:rFonts w:ascii="Times New Roman" w:cs="Times New Roman" w:eastAsia="Times New Roman" w:hAnsi="Times New Roman"/>
          <w:sz w:val="1"/>
          <w:szCs w:val="1"/>
          <w:color w:val="auto"/>
        </w:rPr>
        <w:drawing>
          <wp:inline distT="0" distB="0" distL="0" distR="0">
            <wp:extent cx="102870" cy="94615"/>
            <wp:effectExtent l="0" t="0" r="0" b="0"/>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or senior to (the </w:t>
      </w:r>
      <w:r>
        <w:rPr>
          <w:rFonts w:ascii="Times New Roman" w:cs="Times New Roman" w:eastAsia="Times New Roman" w:hAnsi="Times New Roman"/>
          <w:sz w:val="1"/>
          <w:szCs w:val="1"/>
          <w:color w:val="auto"/>
        </w:rPr>
        <w:drawing>
          <wp:inline distT="0" distB="0" distL="0" distR="0">
            <wp:extent cx="102870" cy="94615"/>
            <wp:effectExtent l="0" t="0" r="0" b="0"/>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Senior Stock </w:t>
      </w:r>
      <w:r>
        <w:rPr>
          <w:rFonts w:ascii="Times New Roman" w:cs="Times New Roman" w:eastAsia="Times New Roman" w:hAnsi="Times New Roman"/>
          <w:sz w:val="1"/>
          <w:szCs w:val="1"/>
          <w:color w:val="auto"/>
        </w:rPr>
        <w:drawing>
          <wp:inline distT="0" distB="0" distL="0" distR="0">
            <wp:extent cx="102870" cy="94615"/>
            <wp:effectExtent l="0" t="0" r="0" b="0"/>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the Convertible Exchangeable Preferred Stock as to dividend rights or rights upon liquidation, winding up or dissolution of the Corporation. The Convertible Exchangeable Preferred Stock shall be junior to all outstanding debt of the Corporation. The Convertible Exchangeable Preferred Stock shall be subject to the creation of Senior Stock, Parity Stock and Junior Stock to the extent not expressly prohibited by the Certificate of Incorporation, now or hereafter issued, both as to payment of dividends and as to distributions of assets upon liquidation, dissolution or winding up of the Corporation, whether voluntary or involuntary.</w:t>
      </w:r>
    </w:p>
    <w:p>
      <w:pPr>
        <w:spacing w:after="0" w:line="129" w:lineRule="exact"/>
        <w:rPr>
          <w:rFonts w:ascii="Times New Roman" w:cs="Times New Roman" w:eastAsia="Times New Roman" w:hAnsi="Times New Roman"/>
          <w:sz w:val="18"/>
          <w:szCs w:val="18"/>
          <w:color w:val="auto"/>
        </w:rPr>
      </w:pPr>
    </w:p>
    <w:p>
      <w:pPr>
        <w:ind w:left="5680" w:hanging="112"/>
        <w:spacing w:after="0"/>
        <w:tabs>
          <w:tab w:leader="none" w:pos="568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ectPr>
          <w:pgSz w:w="11900" w:h="16838" w:orient="portrait"/>
          <w:cols w:equalWidth="0" w:num="1">
            <w:col w:w="11420"/>
          </w:cols>
          <w:pgMar w:left="240" w:top="274" w:right="239" w:bottom="1440" w:gutter="0" w:footer="0" w:header="0"/>
        </w:sectPr>
      </w:pPr>
    </w:p>
    <w:bookmarkStart w:id="193" w:name="page194"/>
    <w:bookmarkEnd w:id="193"/>
    <w:p>
      <w:pPr>
        <w:ind w:left="1100" w:hanging="179"/>
        <w:spacing w:after="0"/>
        <w:tabs>
          <w:tab w:leader="none" w:pos="11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Dividends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firstLine="921"/>
        <w:spacing w:after="0" w:line="252" w:lineRule="auto"/>
        <w:tabs>
          <w:tab w:leader="none" w:pos="1152"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holders of Convertible Exchangeable Preferred Stock shall be entitled to receive, when, as and if declared by the Board out of funds at the time legally available therefor, dividends at the rate of $3.25 per annum per share, and no more, which shall be fully cumulative, shall accrue without interest (including any interest, sum of money in lieu of interest or other property paid on account of any dividend payment or payments which may be in arrears) from the date of original issuance and shall be payable in cash quarterly in arrears on June 15, September 15, December 15 and March 15 of each year commencing June 15, 1993 (the </w:t>
      </w:r>
      <w:r>
        <w:rPr>
          <w:rFonts w:ascii="Times New Roman" w:cs="Times New Roman" w:eastAsia="Times New Roman" w:hAnsi="Times New Roman"/>
          <w:sz w:val="1"/>
          <w:szCs w:val="1"/>
          <w:color w:val="auto"/>
        </w:rPr>
        <w:drawing>
          <wp:inline distT="0" distB="0" distL="0" distR="0">
            <wp:extent cx="102870" cy="94615"/>
            <wp:effectExtent l="0" t="0" r="0" b="0"/>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Dividend Due Dates </w:t>
      </w:r>
      <w:r>
        <w:rPr>
          <w:rFonts w:ascii="Times New Roman" w:cs="Times New Roman" w:eastAsia="Times New Roman" w:hAnsi="Times New Roman"/>
          <w:sz w:val="1"/>
          <w:szCs w:val="1"/>
          <w:color w:val="auto"/>
        </w:rPr>
        <w:drawing>
          <wp:inline distT="0" distB="0" distL="0" distR="0">
            <wp:extent cx="102870" cy="94615"/>
            <wp:effectExtent l="0" t="0" r="0" b="0"/>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(except that if any such date is not a Business Day, then such dividend shall be payable on the next Business Day following such Dividend Due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purposes of computing such dividend payment, no interest or such in lieu of interest shall accrue from such Dividend Due Date to the next Business Day following such Dividend Due Date) to holders of record as they appear in the securities register of the Corporation on such record date, not more than 60 nor less than 10 days preceding each Dividend Due Date as is fixed by the Board. For purposes herein, the term Business Day shall mean any day (except a Saturday or Sunday or any day on which banking institutions are authorized or required to close in the State of New York). Subject to the next paragraph of this Section 3, dividends on account of dividends in arrears for any past dividend period may be declared at any time and paid on any business Day, without reference to any regular dividend payment date. The amount of dividends payable per share of Convertible Exchangeable Preferred Stock for each quarterly dividend period shall be computed by dividing the annual dividend amount by four. The amount of dividends payable for the initial dividend period and any period shorter than a full quarterly dividend period shall be computed on the basis of a 360-day year of twelve 30-day months. Dividends paid on shares of Convertible Exchangeable Stock in an amount less than the total amount of such dividends at the time accumulated and payable on such shares shall be allocated pro rata among all such shares at the time outstanding.</w:t>
      </w:r>
    </w:p>
    <w:p>
      <w:pPr>
        <w:spacing w:after="0" w:line="143" w:lineRule="exact"/>
        <w:rPr>
          <w:sz w:val="20"/>
          <w:szCs w:val="20"/>
          <w:color w:val="auto"/>
        </w:rPr>
      </w:pPr>
    </w:p>
    <w:p>
      <w:pPr>
        <w:ind w:right="40" w:firstLine="913"/>
        <w:spacing w:after="0" w:line="256" w:lineRule="auto"/>
        <w:rPr>
          <w:sz w:val="20"/>
          <w:szCs w:val="20"/>
          <w:color w:val="auto"/>
        </w:rPr>
      </w:pPr>
      <w:r>
        <w:rPr>
          <w:rFonts w:ascii="Times New Roman" w:cs="Times New Roman" w:eastAsia="Times New Roman" w:hAnsi="Times New Roman"/>
          <w:sz w:val="18"/>
          <w:szCs w:val="18"/>
          <w:color w:val="auto"/>
        </w:rPr>
        <w:t>No dividends or other distributions, other than dividends payable solely in shares of Common Stock or other Junior Stock or distributions of Rights, as defined below, shall be declared, paid or set apart for payment on, and no purchase, redemption or other acquisition shall be made by the Corporation of, any shares of Common Stock or other Junior Stock(or any payment made in respect of or made available to a sinking fund for the redemption of any shares of such Junior Stock) unless and until all cumulative and unpaid dividends on the Convertible Exchangeable Preferred Stock shall have been paid or declared and set apart for payment through the last Dividend Due Date.</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- 3 -</w:t>
      </w:r>
    </w:p>
    <w:p>
      <w:pPr>
        <w:sectPr>
          <w:pgSz w:w="11900" w:h="16838" w:orient="portrait"/>
          <w:cols w:equalWidth="0" w:num="1">
            <w:col w:w="11360"/>
          </w:cols>
          <w:pgMar w:left="240" w:top="274" w:right="299" w:bottom="1440" w:gutter="0" w:footer="0" w:header="0"/>
        </w:sectPr>
      </w:pPr>
    </w:p>
    <w:bookmarkStart w:id="194" w:name="page195"/>
    <w:bookmarkEnd w:id="194"/>
    <w:p>
      <w:pPr>
        <w:ind w:firstLine="913"/>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at any time any dividend on any Senior Stock shall be in default, in whole or in part, then (except to the extent allowed by the terms of such Senior Stock) no dividend shall be paid or declared and set apart for payment on the Convertible Exchangeable Preferred Stock unless and until all accrued and unpaid dividends with respect to such Senior Stock, including the full dividends for the then-current dividend period, shall have been paid or declared and set apart for payment, without interest. No full dividends shall be paid or declared and set apart for payment on any class or series of Parity Stock for any period unless full cumulative dividends have been, or contemporaneously are, paid or declared and set apart for such payment on the Convertible Exchangeable Preferred Stock for all dividend payment periods terminating on or prior to the date of payment of such full cumulative dividends. No full dividends shall be paid or declared and set apart for payment on the Convertible Exchangeable Preferred Stock for any period unless full cumulative dividends have been, or contemporaneously are, paid or declared and set apart for payment on the Parity Stock for all dividend periods terminating on or prior to the date of payment of such full cumulative dividends. When dividends are not paid in full upon the Convertible Exchangeable Preferred Stock and the Parity Stock, all dividends paid or declared and set aside for payment upon shares of Convertible Exchangeable Preferred Stock and the Parity Stock shall be paid or declared and set aside for payment pro rata so that the amount of dividends paid or declared and set aside for payment per share on the Convertible Exchangeable Preferred Stock and the Parity Stock shall in all cases bear to each other the same ratio that accrued and unpaid dividends per share on the shares of Convertible Exchangeable Preferred Stock and the Parity Stock bear to each other.</w:t>
      </w:r>
    </w:p>
    <w:p>
      <w:pPr>
        <w:spacing w:after="0" w:line="146" w:lineRule="exact"/>
        <w:rPr>
          <w:sz w:val="20"/>
          <w:szCs w:val="20"/>
          <w:color w:val="auto"/>
        </w:rPr>
      </w:pPr>
    </w:p>
    <w:p>
      <w:pPr>
        <w:jc w:val="both"/>
        <w:ind w:right="440" w:firstLine="921"/>
        <w:spacing w:after="0" w:line="262" w:lineRule="auto"/>
        <w:tabs>
          <w:tab w:leader="none" w:pos="1162"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not permit any Subsidiary (as defined in Section 6(m) below) of the Corporation to purchase or otherwise acquire for consideration any shares of stock of the Corporation unless the Corporation could, under paragraph (a) of this Section 3, purchase or otherwise acquire such shares at such time and in such manner.</w:t>
      </w:r>
    </w:p>
    <w:p>
      <w:pPr>
        <w:spacing w:after="0" w:line="132" w:lineRule="exact"/>
        <w:rPr>
          <w:rFonts w:ascii="Times New Roman" w:cs="Times New Roman" w:eastAsia="Times New Roman" w:hAnsi="Times New Roman"/>
          <w:sz w:val="18"/>
          <w:szCs w:val="18"/>
          <w:color w:val="auto"/>
        </w:rPr>
      </w:pPr>
    </w:p>
    <w:p>
      <w:pPr>
        <w:ind w:right="500" w:firstLine="921"/>
        <w:spacing w:after="0" w:line="275" w:lineRule="auto"/>
        <w:tabs>
          <w:tab w:leader="none" w:pos="1152"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reference to </w:t>
      </w:r>
      <w:r>
        <w:rPr>
          <w:rFonts w:ascii="Times New Roman" w:cs="Times New Roman" w:eastAsia="Times New Roman" w:hAnsi="Times New Roman"/>
          <w:sz w:val="1"/>
          <w:szCs w:val="1"/>
          <w:color w:val="auto"/>
        </w:rPr>
        <w:drawing>
          <wp:inline distT="0" distB="0" distL="0" distR="0">
            <wp:extent cx="102870" cy="94615"/>
            <wp:effectExtent l="0" t="0" r="0" b="0"/>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distribution </w:t>
      </w:r>
      <w:r>
        <w:rPr>
          <w:rFonts w:ascii="Times New Roman" w:cs="Times New Roman" w:eastAsia="Times New Roman" w:hAnsi="Times New Roman"/>
          <w:sz w:val="1"/>
          <w:szCs w:val="1"/>
          <w:color w:val="auto"/>
        </w:rPr>
        <w:drawing>
          <wp:inline distT="0" distB="0" distL="0" distR="0">
            <wp:extent cx="102870" cy="94615"/>
            <wp:effectExtent l="0" t="0" r="0" b="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contained in this Section 3 shall not be deemed to include any distribution made in connection with any liquidation, dissolution or winding up of the corporation, whether voluntary or involuntary.</w:t>
      </w:r>
    </w:p>
    <w:p>
      <w:pPr>
        <w:spacing w:after="0" w:line="106" w:lineRule="exact"/>
        <w:rPr>
          <w:rFonts w:ascii="Times New Roman" w:cs="Times New Roman" w:eastAsia="Times New Roman" w:hAnsi="Times New Roman"/>
          <w:sz w:val="18"/>
          <w:szCs w:val="18"/>
          <w:color w:val="auto"/>
        </w:rPr>
      </w:pPr>
    </w:p>
    <w:p>
      <w:pPr>
        <w:ind w:left="5680" w:hanging="112"/>
        <w:spacing w:after="0"/>
        <w:tabs>
          <w:tab w:leader="none" w:pos="568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ectPr>
          <w:pgSz w:w="11900" w:h="16838" w:orient="portrait"/>
          <w:cols w:equalWidth="0" w:num="1">
            <w:col w:w="11420"/>
          </w:cols>
          <w:pgMar w:left="240" w:top="274" w:right="239" w:bottom="1440" w:gutter="0" w:footer="0" w:header="0"/>
        </w:sectPr>
      </w:pPr>
    </w:p>
    <w:bookmarkStart w:id="195" w:name="page196"/>
    <w:bookmarkEnd w:id="195"/>
    <w:p>
      <w:pPr>
        <w:ind w:left="-921" w:right="40" w:firstLine="921"/>
        <w:spacing w:after="0" w:line="252" w:lineRule="auto"/>
        <w:tabs>
          <w:tab w:leader="none" w:pos="167"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Liquidation Preference</w:t>
      </w:r>
      <w:r>
        <w:rPr>
          <w:rFonts w:ascii="Times New Roman" w:cs="Times New Roman" w:eastAsia="Times New Roman" w:hAnsi="Times New Roman"/>
          <w:sz w:val="18"/>
          <w:szCs w:val="18"/>
          <w:color w:val="auto"/>
        </w:rPr>
        <w:t xml:space="preserve">. In the event of a liquidation, dissolution or winding up of the Corporation, whether voluntary or involuntary, the holders of Convertible Exchangeable Preferred Stock shall be entitled to receive out of the assets of the Corporation available for distribution to shareholders, an amount equal to the dividends accrued and unpaid thereon on the date of final distribution to such holders, whether or not declared, without interest, and a sum equal to $50.00 per share, and no more, before any payment shall be made or any assets distributed to the holders of Common Stock or any other Junior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rights shall accrue to the holders of Convertible Exchangeable Preferred Stock only in the event that the Corporation </w:t>
      </w:r>
      <w:r>
        <w:rPr>
          <w:rFonts w:ascii="Times New Roman" w:cs="Times New Roman" w:eastAsia="Times New Roman" w:hAnsi="Times New Roman"/>
          <w:sz w:val="1"/>
          <w:szCs w:val="1"/>
          <w:color w:val="auto"/>
        </w:rPr>
        <w:drawing>
          <wp:inline distT="0" distB="0" distL="0" distR="0">
            <wp:extent cx="102870" cy="94615"/>
            <wp:effectExtent l="0" t="0" r="0" b="0"/>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 payments with respect to the liquidation preferences of the holders of the Senior Stock and the rights of the Parity Stock are fully met. The entire assets of the Corporation available for distribution after the liquidation preferences of the Senior Stock are fully met shall be distributed ratably among the holders of the Convertible Exchangeable Preferred Stock and Parity Stock in proportion to the respective preferential amounts to which each is entitled (but only to the extent of such preferential amounts). Neither a consolidation or merger of the Corporation with another corporation nor a sale or transfer of all or substantially all of the Corporation </w:t>
      </w:r>
      <w:r>
        <w:rPr>
          <w:rFonts w:ascii="Times New Roman" w:cs="Times New Roman" w:eastAsia="Times New Roman" w:hAnsi="Times New Roman"/>
          <w:sz w:val="1"/>
          <w:szCs w:val="1"/>
          <w:color w:val="auto"/>
        </w:rPr>
        <w:drawing>
          <wp:inline distT="0" distB="0" distL="0" distR="0">
            <wp:extent cx="102870" cy="94615"/>
            <wp:effectExtent l="0" t="0" r="0" b="0"/>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 assets for cash, securities or other property will be considered a liquidation, dissolution or winding up of the Corporation. After payment of the full amount of the liquidating distribution to which the Convertible Exchangeable Preferred Stock is entitled, the holders of Convertible Exchangeable Preferred Stock will not be entitled to any further participation in any distribution of the assets of the Company.</w:t>
      </w:r>
    </w:p>
    <w:p>
      <w:pPr>
        <w:spacing w:after="0" w:line="147" w:lineRule="exact"/>
        <w:rPr>
          <w:rFonts w:ascii="Times New Roman" w:cs="Times New Roman" w:eastAsia="Times New Roman" w:hAnsi="Times New Roman"/>
          <w:sz w:val="18"/>
          <w:szCs w:val="18"/>
          <w:color w:val="auto"/>
        </w:rPr>
      </w:pPr>
    </w:p>
    <w:p>
      <w:pPr>
        <w:jc w:val="both"/>
        <w:ind w:left="-921" w:firstLine="921"/>
        <w:spacing w:after="0" w:line="258" w:lineRule="auto"/>
        <w:tabs>
          <w:tab w:leader="none" w:pos="167"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 at Option of the Corporation</w:t>
      </w:r>
      <w:r>
        <w:rPr>
          <w:rFonts w:ascii="Times New Roman" w:cs="Times New Roman" w:eastAsia="Times New Roman" w:hAnsi="Times New Roman"/>
          <w:sz w:val="18"/>
          <w:szCs w:val="18"/>
          <w:color w:val="auto"/>
        </w:rPr>
        <w:t xml:space="preserve">. The Corporation may not redeem the Convertible Exchangeable Preferred Stock prior to June 15, 1996. The Corporation, at its option may at any time on or after June 15, 1996 redeem in whole at any time, or from time to time in part, the Convertible Exchangeable Preferred Stock on any Business Day set by the Board (the </w:t>
      </w:r>
      <w:r>
        <w:rPr>
          <w:rFonts w:ascii="Times New Roman" w:cs="Times New Roman" w:eastAsia="Times New Roman" w:hAnsi="Times New Roman"/>
          <w:sz w:val="1"/>
          <w:szCs w:val="1"/>
          <w:color w:val="auto"/>
        </w:rPr>
        <w:drawing>
          <wp:inline distT="0" distB="0" distL="0" distR="0">
            <wp:extent cx="102870" cy="94615"/>
            <wp:effectExtent l="0" t="0" r="0" b="0"/>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Redemption Date </w:t>
      </w:r>
      <w:r>
        <w:rPr>
          <w:rFonts w:ascii="Times New Roman" w:cs="Times New Roman" w:eastAsia="Times New Roman" w:hAnsi="Times New Roman"/>
          <w:sz w:val="1"/>
          <w:szCs w:val="1"/>
          <w:color w:val="auto"/>
        </w:rPr>
        <w:drawing>
          <wp:inline distT="0" distB="0" distL="0" distR="0">
            <wp:extent cx="102870" cy="94615"/>
            <wp:effectExtent l="0" t="0" r="0" b="0"/>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at the following cash redemption prices per share if redeemed during the twelve-month period beginning June 15 of the year specified below:</w:t>
      </w:r>
    </w:p>
    <w:p>
      <w:pPr>
        <w:spacing w:after="0" w:line="174" w:lineRule="exact"/>
        <w:rPr>
          <w:sz w:val="20"/>
          <w:szCs w:val="20"/>
          <w:color w:val="auto"/>
        </w:rPr>
      </w:pPr>
    </w:p>
    <w:tbl>
      <w:tblPr>
        <w:tblLayout w:type="fixed"/>
        <w:tblInd w:w="919" w:type="dxa"/>
        <w:tblCellMar>
          <w:top w:w="0" w:type="dxa"/>
          <w:left w:w="0" w:type="dxa"/>
          <w:bottom w:w="0" w:type="dxa"/>
          <w:right w:w="0" w:type="dxa"/>
        </w:tblCellMar>
      </w:tblPr>
      <w:tr>
        <w:trPr>
          <w:trHeight w:val="165"/>
        </w:trPr>
        <w:tc>
          <w:tcPr>
            <w:tcW w:w="2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572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Redemption Price</w:t>
            </w:r>
          </w:p>
        </w:tc>
      </w:tr>
      <w:tr>
        <w:trPr>
          <w:trHeight w:val="210"/>
        </w:trPr>
        <w:tc>
          <w:tcPr>
            <w:tcW w:w="2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1996</w:t>
            </w:r>
          </w:p>
        </w:tc>
        <w:tc>
          <w:tcPr>
            <w:tcW w:w="45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1997</w:t>
            </w:r>
          </w:p>
        </w:tc>
        <w:tc>
          <w:tcPr>
            <w:tcW w:w="4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51.95</w:t>
            </w:r>
          </w:p>
        </w:tc>
        <w:tc>
          <w:tcPr>
            <w:tcW w:w="100" w:type="dxa"/>
            <w:vAlign w:val="bottom"/>
          </w:tcPr>
          <w:p>
            <w:pPr>
              <w:spacing w:after="0"/>
              <w:rPr>
                <w:sz w:val="18"/>
                <w:szCs w:val="18"/>
                <w:color w:val="auto"/>
              </w:rPr>
            </w:pP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1998</w:t>
            </w:r>
          </w:p>
        </w:tc>
        <w:tc>
          <w:tcPr>
            <w:tcW w:w="4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51.63</w:t>
            </w:r>
          </w:p>
        </w:tc>
        <w:tc>
          <w:tcPr>
            <w:tcW w:w="100" w:type="dxa"/>
            <w:vAlign w:val="bottom"/>
            <w:shd w:val="clear" w:color="auto" w:fill="CCEEFF"/>
          </w:tcPr>
          <w:p>
            <w:pPr>
              <w:spacing w:after="0"/>
              <w:rPr>
                <w:sz w:val="18"/>
                <w:szCs w:val="18"/>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1999</w:t>
            </w:r>
          </w:p>
        </w:tc>
        <w:tc>
          <w:tcPr>
            <w:tcW w:w="4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100" w:type="dxa"/>
            <w:vAlign w:val="bottom"/>
          </w:tcPr>
          <w:p>
            <w:pPr>
              <w:spacing w:after="0"/>
              <w:rPr>
                <w:sz w:val="18"/>
                <w:szCs w:val="18"/>
                <w:color w:val="auto"/>
              </w:rPr>
            </w:pP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2000</w:t>
            </w:r>
          </w:p>
        </w:tc>
        <w:tc>
          <w:tcPr>
            <w:tcW w:w="4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100" w:type="dxa"/>
            <w:vAlign w:val="bottom"/>
            <w:shd w:val="clear" w:color="auto" w:fill="CCEEFF"/>
          </w:tcPr>
          <w:p>
            <w:pPr>
              <w:spacing w:after="0"/>
              <w:rPr>
                <w:sz w:val="18"/>
                <w:szCs w:val="18"/>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2001</w:t>
            </w:r>
          </w:p>
        </w:tc>
        <w:tc>
          <w:tcPr>
            <w:tcW w:w="4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50.65</w:t>
            </w:r>
          </w:p>
        </w:tc>
        <w:tc>
          <w:tcPr>
            <w:tcW w:w="100" w:type="dxa"/>
            <w:vAlign w:val="bottom"/>
          </w:tcPr>
          <w:p>
            <w:pPr>
              <w:spacing w:after="0"/>
              <w:rPr>
                <w:sz w:val="18"/>
                <w:szCs w:val="18"/>
                <w:color w:val="auto"/>
              </w:rPr>
            </w:pP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2002</w:t>
            </w:r>
          </w:p>
        </w:tc>
        <w:tc>
          <w:tcPr>
            <w:tcW w:w="4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50.33</w:t>
            </w:r>
          </w:p>
        </w:tc>
        <w:tc>
          <w:tcPr>
            <w:tcW w:w="100" w:type="dxa"/>
            <w:vAlign w:val="bottom"/>
            <w:shd w:val="clear" w:color="auto" w:fill="CCEEFF"/>
          </w:tcPr>
          <w:p>
            <w:pPr>
              <w:spacing w:after="0"/>
              <w:rPr>
                <w:sz w:val="18"/>
                <w:szCs w:val="18"/>
                <w:color w:val="auto"/>
              </w:rPr>
            </w:pPr>
          </w:p>
        </w:tc>
      </w:tr>
      <w:tr>
        <w:trPr>
          <w:trHeight w:val="363"/>
        </w:trPr>
        <w:tc>
          <w:tcPr>
            <w:tcW w:w="2040" w:type="dxa"/>
            <w:vAlign w:val="bottom"/>
          </w:tcPr>
          <w:p>
            <w:pPr>
              <w:spacing w:after="0"/>
              <w:rPr>
                <w:sz w:val="24"/>
                <w:szCs w:val="24"/>
                <w:color w:val="auto"/>
              </w:rPr>
            </w:pPr>
          </w:p>
        </w:tc>
        <w:tc>
          <w:tcPr>
            <w:tcW w:w="4580" w:type="dxa"/>
            <w:vAlign w:val="bottom"/>
          </w:tcPr>
          <w:p>
            <w:pPr>
              <w:jc w:val="right"/>
              <w:ind w:right="2522"/>
              <w:spacing w:after="0"/>
              <w:rPr>
                <w:sz w:val="20"/>
                <w:szCs w:val="20"/>
                <w:color w:val="auto"/>
              </w:rPr>
            </w:pPr>
            <w:r>
              <w:rPr>
                <w:rFonts w:ascii="Times New Roman" w:cs="Times New Roman" w:eastAsia="Times New Roman" w:hAnsi="Times New Roman"/>
                <w:sz w:val="18"/>
                <w:szCs w:val="18"/>
                <w:color w:val="auto"/>
              </w:rPr>
              <w:t>- 5 -</w:t>
            </w: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439"/>
          </w:cols>
          <w:pgMar w:left="1161" w:top="274" w:right="299" w:bottom="1440" w:gutter="0" w:footer="0" w:header="0"/>
        </w:sectPr>
      </w:pPr>
    </w:p>
    <w:bookmarkStart w:id="196" w:name="page197"/>
    <w:bookmarkEnd w:id="196"/>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and thereafter at $50.00 per share, plus, in each case, an amount in cash equal to all dividends on the Convertible Exchangeable Preferred Stock accrued and unpaid thereon, whether or not declared, pro rata to the date fixed for redemption (subject to the right of the holder of record on the record date for the payment of a dividend to receive the dividend due on the corresponding Dividend Due Date, or the next Business Day thereafter, as the case may be), such sum being hereinafter referred to as the </w:t>
      </w:r>
      <w:r>
        <w:rPr>
          <w:sz w:val="1"/>
          <w:szCs w:val="1"/>
          <w:color w:val="auto"/>
        </w:rPr>
        <w:drawing>
          <wp:inline distT="0" distB="0" distL="0" distR="0">
            <wp:extent cx="102870" cy="94615"/>
            <wp:effectExtent l="0" t="0" r="0" b="0"/>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Redemption Price </w:t>
      </w:r>
      <w:r>
        <w:rPr>
          <w:sz w:val="1"/>
          <w:szCs w:val="1"/>
          <w:color w:val="auto"/>
        </w:rPr>
        <w:drawing>
          <wp:inline distT="0" distB="0" distL="0" distR="0">
            <wp:extent cx="102870" cy="94615"/>
            <wp:effectExtent l="0" t="0" r="0" b="0"/>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w:t>
      </w:r>
    </w:p>
    <w:p>
      <w:pPr>
        <w:spacing w:after="0" w:line="136" w:lineRule="exact"/>
        <w:rPr>
          <w:sz w:val="20"/>
          <w:szCs w:val="20"/>
          <w:color w:val="auto"/>
        </w:rPr>
      </w:pPr>
    </w:p>
    <w:p>
      <w:pPr>
        <w:ind w:right="100" w:firstLine="913"/>
        <w:spacing w:after="0" w:line="256" w:lineRule="auto"/>
        <w:rPr>
          <w:sz w:val="20"/>
          <w:szCs w:val="20"/>
          <w:color w:val="auto"/>
        </w:rPr>
      </w:pPr>
      <w:r>
        <w:rPr>
          <w:rFonts w:ascii="Times New Roman" w:cs="Times New Roman" w:eastAsia="Times New Roman" w:hAnsi="Times New Roman"/>
          <w:sz w:val="18"/>
          <w:szCs w:val="18"/>
          <w:color w:val="auto"/>
        </w:rPr>
        <w:t>In case of the redemption of less than all of the then outstanding Convertible Exchangeable Preferred Stock, the Corporation shall designate by lot, or in such other manner as the Board may reasonably determine, the shares to be redeemed, or shall effect such redemption pro rata. Without the consent of the holders of at least two-thirds of the then outstanding Convertible Exchangeable Preferred Stock, the Corporation shall not redeem less than all of the Convertible Exchangeable Preferred Stock at any time outstanding until all dividends accrued and in arrears, whether or not declared, upon all Convertible Exchangeable Preferred Stock then outstanding shall have been paid for all past dividend periods.</w:t>
      </w:r>
    </w:p>
    <w:p>
      <w:pPr>
        <w:spacing w:after="0" w:line="139"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Not more than 60 nor less than 30 days prior to the Redemption Date, notice by first class mail, postage prepaid, shall be given to the holders of record of the Convertible Exchangeable Preferred Stock to be redeemed, addressed to such holders at their last addresses as shown on the books of the Corporation. Each such notice of redemption shall specify the Redemption Date, the Redemption Price, the place or places of payment, that payment will be made upon the later of the Redemption Date or presentation and surrender of the shares of Convertible Exchangeable Preferred Stock, that on and after the Redemption Date, dividends will cease to accumulate on such shares and that the right of holders to convert such shares, as provided in Section 6 hereof, shall terminate at the close of business ten days prior to the Redemption Date.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ectPr>
          <w:pgSz w:w="11900" w:h="16838" w:orient="portrait"/>
          <w:cols w:equalWidth="0" w:num="1">
            <w:col w:w="11420"/>
          </w:cols>
          <w:pgMar w:left="240" w:top="274" w:right="239" w:bottom="1440" w:gutter="0" w:footer="0" w:header="0"/>
        </w:sectPr>
      </w:pPr>
    </w:p>
    <w:bookmarkStart w:id="197" w:name="page198"/>
    <w:bookmarkEnd w:id="197"/>
    <w:p>
      <w:pPr>
        <w:ind w:firstLine="913"/>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notice which is mailed as herein provided shall be conclusively presumed to have been duly given, whether or not the holder of the Convertible Exchangeable Preferred Stock receives such notice; and failure to give such notice by mail, or any defect in such notice, to the holders of any shares designated for redemption shall not affect the validity of the proceedings for the redemption of any other shares of Convertible Exchangeable Preferred Stock. On or after the date fixed for redemption as stated in such notice, each holder of the shares called for redemption shall surrender the certificate evidencing such shares to the Corporation at the place designated in such notice and shall thereupon be entitled to receive payment of the Redemption Price. If less than all the shares represented by any such surrendered certificate are redeemed, a new certificate shall be issued representing the unredeemed shares. If, on the date fixed for redemption, funds necessary for the redemption shall be available therefor and shall have been irrevocably deposited or set aside, then, notwithstanding that the certificates evidencing any shares so called for redemption shall not have been surrendered, the dividends with respect to the shares so called shall cease to accrue after the date fixed for redemption, the shares shall no longer be deemed outstanding, the holders thereof shall cease to be stockholders, and all rights whatsoever with respect to the shares so called for redemption (except the right of the holders to receive the Redemption Price without interest upon surrender of their certificates therefor) shall terminate.</w:t>
      </w:r>
    </w:p>
    <w:p>
      <w:pPr>
        <w:spacing w:after="0" w:line="139" w:lineRule="exact"/>
        <w:rPr>
          <w:sz w:val="20"/>
          <w:szCs w:val="20"/>
          <w:color w:val="auto"/>
        </w:rPr>
      </w:pPr>
    </w:p>
    <w:p>
      <w:pPr>
        <w:ind w:right="60" w:firstLine="913"/>
        <w:spacing w:after="0" w:line="275" w:lineRule="auto"/>
        <w:rPr>
          <w:sz w:val="20"/>
          <w:szCs w:val="20"/>
          <w:color w:val="auto"/>
        </w:rPr>
      </w:pPr>
      <w:r>
        <w:rPr>
          <w:rFonts w:ascii="Times New Roman" w:cs="Times New Roman" w:eastAsia="Times New Roman" w:hAnsi="Times New Roman"/>
          <w:sz w:val="18"/>
          <w:szCs w:val="18"/>
          <w:color w:val="auto"/>
        </w:rPr>
        <w:t>The shares of Convertible Exchangeable Preferred Stock, shall not be subject to mandatory redemption or the operation of any purchase, retirement, or sinking fund.</w:t>
      </w:r>
    </w:p>
    <w:p>
      <w:pPr>
        <w:spacing w:after="0" w:line="120" w:lineRule="exact"/>
        <w:rPr>
          <w:sz w:val="20"/>
          <w:szCs w:val="20"/>
          <w:color w:val="auto"/>
        </w:rPr>
      </w:pPr>
    </w:p>
    <w:p>
      <w:pPr>
        <w:ind w:left="1100" w:hanging="179"/>
        <w:spacing w:after="0"/>
        <w:tabs>
          <w:tab w:leader="none" w:pos="11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Privilege</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firstLine="921"/>
        <w:spacing w:after="0" w:line="254" w:lineRule="auto"/>
        <w:tabs>
          <w:tab w:leader="none" w:pos="1152"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 of any share of Convertible Exchangeable Preferred Stock shall have the right, at such holder </w:t>
      </w:r>
      <w:r>
        <w:rPr>
          <w:rFonts w:ascii="Times New Roman" w:cs="Times New Roman" w:eastAsia="Times New Roman" w:hAnsi="Times New Roman"/>
          <w:sz w:val="1"/>
          <w:szCs w:val="1"/>
          <w:color w:val="auto"/>
        </w:rPr>
        <w:drawing>
          <wp:inline distT="0" distB="0" distL="0" distR="0">
            <wp:extent cx="102870" cy="94615"/>
            <wp:effectExtent l="0" t="0" r="0" b="0"/>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 option (but if such share is called for redemption or exchange, then in respect of such share only to and including, but not after, the close of business on the Business Day immediately preceding the date fixed for such redemption or exchange,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default by the Corporation in the payment of the applicable Redemption Price or in the exchange of such share, as the case may be, shall have occurred and be continuing on the date fixed for such redemption or exchange, as the case may be) to convert such share on any Business Day into that number of fully paid and non-assessable shares of Common Stock (calculated as to each conversion to the nearest 1/100th of a share of Common Stock) obtained by dividing $50.00 by the Conversion Price then in effect. The Conversion Price shall initially be $11.55 per share and shall be subject to adjustment as set forth below.</w:t>
      </w:r>
    </w:p>
    <w:p>
      <w:pPr>
        <w:spacing w:after="0" w:line="127" w:lineRule="exact"/>
        <w:rPr>
          <w:rFonts w:ascii="Times New Roman" w:cs="Times New Roman" w:eastAsia="Times New Roman" w:hAnsi="Times New Roman"/>
          <w:sz w:val="18"/>
          <w:szCs w:val="18"/>
          <w:color w:val="auto"/>
        </w:rPr>
      </w:pPr>
    </w:p>
    <w:p>
      <w:pPr>
        <w:ind w:left="5680" w:hanging="112"/>
        <w:spacing w:after="0"/>
        <w:tabs>
          <w:tab w:leader="none" w:pos="568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ectPr>
          <w:pgSz w:w="11900" w:h="16838" w:orient="portrait"/>
          <w:cols w:equalWidth="0" w:num="1">
            <w:col w:w="11400"/>
          </w:cols>
          <w:pgMar w:left="240" w:top="274" w:right="259" w:bottom="1440" w:gutter="0" w:footer="0" w:header="0"/>
        </w:sectPr>
      </w:pPr>
    </w:p>
    <w:bookmarkStart w:id="198" w:name="page199"/>
    <w:bookmarkEnd w:id="198"/>
    <w:p>
      <w:pPr>
        <w:ind w:right="140" w:firstLine="921"/>
        <w:spacing w:after="0" w:line="255" w:lineRule="auto"/>
        <w:tabs>
          <w:tab w:leader="none" w:pos="1161"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Conversion Procedures</w:t>
      </w:r>
      <w:r>
        <w:rPr>
          <w:rFonts w:ascii="Times New Roman" w:cs="Times New Roman" w:eastAsia="Times New Roman" w:hAnsi="Times New Roman"/>
          <w:sz w:val="18"/>
          <w:szCs w:val="18"/>
          <w:color w:val="auto"/>
        </w:rPr>
        <w:t xml:space="preserve">. Any holder of shares of Convertible Exchangeable Preferred Stock desiring to convert such shares into Common Stock shall surrender the certificate or certificates for such shares of Convertible Exchangeable Preferred Stock at the office of the transfer agent for the Convertible Exchangeable Preferred Stock (the </w:t>
      </w:r>
      <w:r>
        <w:rPr>
          <w:rFonts w:ascii="Times New Roman" w:cs="Times New Roman" w:eastAsia="Times New Roman" w:hAnsi="Times New Roman"/>
          <w:sz w:val="1"/>
          <w:szCs w:val="1"/>
          <w:color w:val="auto"/>
        </w:rPr>
        <w:drawing>
          <wp:inline distT="0" distB="0" distL="0" distR="0">
            <wp:extent cx="102870" cy="94615"/>
            <wp:effectExtent l="0" t="0" r="0" b="0"/>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Transfer Agent </w:t>
      </w:r>
      <w:r>
        <w:rPr>
          <w:rFonts w:ascii="Times New Roman" w:cs="Times New Roman" w:eastAsia="Times New Roman" w:hAnsi="Times New Roman"/>
          <w:sz w:val="1"/>
          <w:szCs w:val="1"/>
          <w:color w:val="auto"/>
        </w:rPr>
        <w:drawing>
          <wp:inline distT="0" distB="0" distL="0" distR="0">
            <wp:extent cx="102870" cy="94615"/>
            <wp:effectExtent l="0" t="0" r="0" b="0"/>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which certificate or certificates, if the Corporation shall so require, shall be duly endorsed to the Corporation or in blank, or accompanied by proper instruments of transfer to the Corporation or in blank, accompanied by irrevocable written notice to the Corporation that the holder elects so to convert such shares of Convertible Exchangeable Preferred Stock and specifying the name or names (with address) in which a certificate or certificates for Common Stock are to issued.</w:t>
      </w:r>
    </w:p>
    <w:p>
      <w:pPr>
        <w:spacing w:after="0" w:line="139" w:lineRule="exact"/>
        <w:rPr>
          <w:sz w:val="20"/>
          <w:szCs w:val="20"/>
          <w:color w:val="auto"/>
        </w:rPr>
      </w:pPr>
    </w:p>
    <w:p>
      <w:pPr>
        <w:ind w:firstLine="913"/>
        <w:spacing w:after="0" w:line="253" w:lineRule="auto"/>
        <w:rPr>
          <w:sz w:val="20"/>
          <w:szCs w:val="20"/>
          <w:color w:val="auto"/>
        </w:rPr>
      </w:pPr>
      <w:r>
        <w:rPr>
          <w:rFonts w:ascii="Times New Roman" w:cs="Times New Roman" w:eastAsia="Times New Roman" w:hAnsi="Times New Roman"/>
          <w:sz w:val="18"/>
          <w:szCs w:val="18"/>
          <w:color w:val="auto"/>
        </w:rPr>
        <w:t xml:space="preserve">The Corporation covenants that it will, as soon as practicable after such deposit of certificates for Convertible Exchangeable Preferred Stock accompanied by the written notice of conversion and compliance with any other conditions herein contained, deliver at such office of such Transfer Agent to the person for whose account such shares of Convertible Exchangeable Preferred Stock were so surrendered, or to his nominee or nominees, certificates for the number of full shares of Common Stock to which he shall be entitled as aforesaid, together with a cash adjustment of any fraction of a share as hereinafter provided. Subject to the following provisions of this paragraph, such conversion shall be deemed to have been made as of the date of such surrender of the shares of Convertible Exchangeable Preferred Stock to be converted, and the person or persons entitle to receive the Common Stock deliverable upon conversion of such Convertible Exchangeable Preferred Stock shall be treated for all purposes as the record holder or holders of such Common Stock on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Corporation shall not be required to convert any shares of Convertible Exchangeable Preferred Stock while the stock transfer books of the Corporation are closed for any purpose, but the surrender of Convertible Exchangeable Preferred Stock for conversion during any period while such books are so closed shall become effective for conversion immediately upon the reopening of such books as if the surrender had been made on the date of such reopening, and the conversion shall be at the Conversion Price in effect on such date.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- 8 -</w:t>
      </w:r>
    </w:p>
    <w:p>
      <w:pPr>
        <w:sectPr>
          <w:pgSz w:w="11900" w:h="16838" w:orient="portrait"/>
          <w:cols w:equalWidth="0" w:num="1">
            <w:col w:w="11400"/>
          </w:cols>
          <w:pgMar w:left="240" w:top="274" w:right="259" w:bottom="1440" w:gutter="0" w:footer="0" w:header="0"/>
        </w:sectPr>
      </w:pPr>
    </w:p>
    <w:bookmarkStart w:id="199" w:name="page200"/>
    <w:bookmarkEnd w:id="199"/>
    <w:p>
      <w:pPr>
        <w:ind w:left="-921" w:firstLine="921"/>
        <w:spacing w:after="0" w:line="285" w:lineRule="auto"/>
        <w:tabs>
          <w:tab w:leader="none" w:pos="231"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case of any share of Convertible Exchangeable Preferred Stock which is surrendered for conversion after any record date established by the Board with respect to the payment of a dividend on the Convertible Exchangeable Preferred Stock and on or prior to the opening of business on the next succeeding Dividend Due Date (or, if such Dividend Due Date is not a Business Day, before the close of business on the next Business Day following such Dividend Due Date), the dividend due on such date shall be payable on such date to the holder of record of such share as of such preceding record date notwithstanding such conversion. Shares of Convertible Exchangeable Preferred Stock surrendered for conversion during the period from the close of business on any record date established by the Board with respect to the payment of a dividend on the Convertible Exchangeable Preferred Stock immediately preceding any Dividend Due Date to the opening of business on such Dividend Due Date (or, if such Dividend Due Date is not a Business Day, before the opening of business on the next Business Day following such Dividend Due Date) shall, except in the case of shares of Convertible Exchangeable Preferred Stock which have been called for redemption on a Redemption Date within such period, be accompanied by payment in New York Clearing House funds or other funds acceptable to the Corporation in an amount equal to the dividend payable on such Dividend Due Date on the shares of Convertible Exchangeable Preferred Stock being surrendered for conversion. The dividend with respect to a share of Convertible Exchangeable Preferred Stock called for redemption on a Redemption Date during the period from the close of business on any record date established by the Board with respect to the payment of a dividend on the Convertible Exchangeable Preferred Stock next preceding any Dividend Due Date to the opening of business on such Dividend Due Date (or, if such Dividend Due Date is not a Business Day, before the opening of business on the next Business Day following such Dividend Due Date) shall be payable on such Dividend Due Date (or, if such Dividend Due Date is not a Business Day, before the opening of business on the next Business Day following such Dividend Due Date) to the holder of record of such share on such dividend record date notwithstanding the conversion of such share of Convertible Exchangeable Preferred Stock after such record date and prior to the opening of business on such Dividend Due Date (or, if such Dividend Due Date is not a Business Day, before the opening of business on the next Business Day following such Dividend Due Date), and the holder converting such share of Convertible Exchangeable Preferred Stock need not include a payment of such dividend amount upon surrender of such share of Convertible Exchangeable Preferred Stock.</w:t>
      </w:r>
    </w:p>
    <w:p>
      <w:pPr>
        <w:spacing w:after="0" w:line="200" w:lineRule="exact"/>
        <w:rPr>
          <w:rFonts w:ascii="Times New Roman" w:cs="Times New Roman" w:eastAsia="Times New Roman" w:hAnsi="Times New Roman"/>
          <w:sz w:val="16"/>
          <w:szCs w:val="16"/>
          <w:color w:val="auto"/>
        </w:rPr>
      </w:pPr>
    </w:p>
    <w:p>
      <w:pPr>
        <w:spacing w:after="0" w:line="339" w:lineRule="exact"/>
        <w:rPr>
          <w:rFonts w:ascii="Times New Roman" w:cs="Times New Roman" w:eastAsia="Times New Roman" w:hAnsi="Times New Roman"/>
          <w:sz w:val="16"/>
          <w:szCs w:val="16"/>
          <w:color w:val="auto"/>
        </w:rPr>
      </w:pPr>
    </w:p>
    <w:p>
      <w:pPr>
        <w:ind w:left="4759" w:hanging="112"/>
        <w:spacing w:after="0"/>
        <w:tabs>
          <w:tab w:leader="none" w:pos="4759"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w:t>
      </w:r>
    </w:p>
    <w:p>
      <w:pPr>
        <w:sectPr>
          <w:pgSz w:w="11900" w:h="16838" w:orient="portrait"/>
          <w:cols w:equalWidth="0" w:num="1">
            <w:col w:w="10479"/>
          </w:cols>
          <w:pgMar w:left="1161" w:top="274" w:right="259" w:bottom="1440" w:gutter="0" w:footer="0" w:header="0"/>
        </w:sectPr>
      </w:pPr>
    </w:p>
    <w:bookmarkStart w:id="200" w:name="page201"/>
    <w:bookmarkEnd w:id="200"/>
    <w:p>
      <w:pPr>
        <w:ind w:left="-921" w:right="120" w:firstLine="921"/>
        <w:spacing w:after="0" w:line="262" w:lineRule="auto"/>
        <w:tabs>
          <w:tab w:leader="none" w:pos="241"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conversion. Except as provided in this paragraph, no payment or adjustment shall be made upon any conversion on account of any dividends accrued on shares of Convertible Exchangeable Preferred Stock surrendered for conversion or on account of any dividends on the Common Stock issued upon conversion.</w:t>
      </w:r>
    </w:p>
    <w:p>
      <w:pPr>
        <w:spacing w:after="0" w:line="132" w:lineRule="exact"/>
        <w:rPr>
          <w:rFonts w:ascii="Times New Roman" w:cs="Times New Roman" w:eastAsia="Times New Roman" w:hAnsi="Times New Roman"/>
          <w:sz w:val="18"/>
          <w:szCs w:val="18"/>
          <w:color w:val="auto"/>
        </w:rPr>
      </w:pPr>
    </w:p>
    <w:p>
      <w:pPr>
        <w:ind w:left="-921" w:right="80" w:firstLine="921"/>
        <w:spacing w:after="0" w:line="254" w:lineRule="auto"/>
        <w:tabs>
          <w:tab w:leader="none" w:pos="231"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w:t>
      </w:r>
      <w:r>
        <w:rPr>
          <w:rFonts w:ascii="Times New Roman" w:cs="Times New Roman" w:eastAsia="Times New Roman" w:hAnsi="Times New Roman"/>
          <w:sz w:val="18"/>
          <w:szCs w:val="18"/>
          <w:color w:val="auto"/>
        </w:rPr>
        <w:t xml:space="preserve">. No fractional shares or scrip representing fractional shares of Common Stock shall be issued upon conversion of Convertible Exchangeable Preferred Stock. If more than one certificate representing shares of Convertible Exchangeable Preferred Stock shall be surrendered for conversion at one time by the same holder, the number of full shares issuable upon conversion thereof shall be computed on the basis of the aggregate number of shares of Convertible Exchangeable Preferred Stock so surrendered. Instead of any fractional share of Common Stock which would otherwise be issuable upon conversion of any shares of Convertible Exchangeable Preferred Stock, the Corporation will pay a cash adjustment in respect of such fractional interest in an amount equal to the same fraction of the market price per share of Common Stock (as reasonably determined by the Board or in any manner reasonably prescribed by the Board, which, so long as the Common Stock is listed on the American Stock Exchange the </w:t>
      </w:r>
      <w:r>
        <w:rPr>
          <w:rFonts w:ascii="Times New Roman" w:cs="Times New Roman" w:eastAsia="Times New Roman" w:hAnsi="Times New Roman"/>
          <w:sz w:val="1"/>
          <w:szCs w:val="1"/>
          <w:color w:val="auto"/>
        </w:rPr>
        <w:drawing>
          <wp:inline distT="0" distB="0" distL="0" distR="0">
            <wp:extent cx="102870" cy="94615"/>
            <wp:effectExtent l="0" t="0" r="0" b="0"/>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ASE </w:t>
      </w:r>
      <w:r>
        <w:rPr>
          <w:rFonts w:ascii="Times New Roman" w:cs="Times New Roman" w:eastAsia="Times New Roman" w:hAnsi="Times New Roman"/>
          <w:sz w:val="1"/>
          <w:szCs w:val="1"/>
          <w:color w:val="auto"/>
        </w:rPr>
        <w:drawing>
          <wp:inline distT="0" distB="0" distL="0" distR="0">
            <wp:extent cx="102870" cy="94615"/>
            <wp:effectExtent l="0" t="0" r="0" b="0"/>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shall be the last reported sale price on the ASE) at the close of business on the day of conversion.</w:t>
      </w:r>
    </w:p>
    <w:p>
      <w:pPr>
        <w:spacing w:after="0" w:line="138" w:lineRule="exact"/>
        <w:rPr>
          <w:rFonts w:ascii="Times New Roman" w:cs="Times New Roman" w:eastAsia="Times New Roman" w:hAnsi="Times New Roman"/>
          <w:sz w:val="18"/>
          <w:szCs w:val="18"/>
          <w:color w:val="auto"/>
        </w:rPr>
      </w:pPr>
    </w:p>
    <w:p>
      <w:pPr>
        <w:ind w:left="219" w:hanging="219"/>
        <w:spacing w:after="0"/>
        <w:tabs>
          <w:tab w:leader="none" w:pos="219"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shall be adjusted from time to time as follows:</w:t>
      </w:r>
    </w:p>
    <w:p>
      <w:pPr>
        <w:spacing w:after="0" w:line="171" w:lineRule="exact"/>
        <w:rPr>
          <w:sz w:val="20"/>
          <w:szCs w:val="20"/>
          <w:color w:val="auto"/>
        </w:rPr>
      </w:pPr>
    </w:p>
    <w:p>
      <w:pPr>
        <w:ind w:left="-921" w:firstLine="921"/>
        <w:spacing w:after="0" w:line="290" w:lineRule="auto"/>
        <w:tabs>
          <w:tab w:leader="none" w:pos="202"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case the Corporation shall pay or make a dividend in shares of Common Stock on any class of capital stock of the Corporation, the Conversion Price in effect immediately prior to the opening of business on the next Business Day following the date fixed for determination of stockholders entitled to receive such dividend shall be reduced by multiplying such Conversion Price by a fraction of which the numerator shall be the number of shares of Common Stock outstanding at the close of business on the date fixed for such determination and the denominator shall be the sum of such number of shares and the total number of shares constituting such dividend, such reduction to become effective immediately prior to the opening of business on the next Business Day following the date fixed for such determination. For the purposes of this clause (i), the number of shares of Common Stock at any time outstanding shall not include shares held in the treasury of the Corporation but shall include shares issuable in respect of scrip certificates issued in lieu of fractions of shares of Common Stock. The Corporation covenants that it will not pay any dividend on shares of Common Stock held in the treasury of the Corporation.</w:t>
      </w:r>
    </w:p>
    <w:p>
      <w:pPr>
        <w:spacing w:after="0" w:line="98" w:lineRule="exact"/>
        <w:rPr>
          <w:rFonts w:ascii="Times New Roman" w:cs="Times New Roman" w:eastAsia="Times New Roman" w:hAnsi="Times New Roman"/>
          <w:sz w:val="16"/>
          <w:szCs w:val="16"/>
          <w:color w:val="auto"/>
        </w:rPr>
      </w:pPr>
    </w:p>
    <w:p>
      <w:pPr>
        <w:ind w:left="4699" w:hanging="96"/>
        <w:spacing w:after="0"/>
        <w:tabs>
          <w:tab w:leader="none" w:pos="4699"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w:t>
      </w:r>
    </w:p>
    <w:p>
      <w:pPr>
        <w:sectPr>
          <w:pgSz w:w="11900" w:h="16838" w:orient="portrait"/>
          <w:cols w:equalWidth="0" w:num="1">
            <w:col w:w="10499"/>
          </w:cols>
          <w:pgMar w:left="1161" w:top="274" w:right="239" w:bottom="1440" w:gutter="0" w:footer="0" w:header="0"/>
        </w:sectPr>
      </w:pPr>
    </w:p>
    <w:bookmarkStart w:id="201" w:name="page202"/>
    <w:bookmarkEnd w:id="201"/>
    <w:p>
      <w:pPr>
        <w:ind w:left="-921" w:firstLine="921"/>
        <w:spacing w:after="0" w:line="286" w:lineRule="auto"/>
        <w:tabs>
          <w:tab w:leader="none" w:pos="250"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case the Corporation shall hereafter issue rights, options or warrants to all holders of its Common Stock entitling them to subscribe for or purchase shares of Common Stock (not being available on an equivalent basis to holders of the Convertible Exchangeable Preferred Stock upon conversion) at a price per share less than the Current Market Price (as defined below) of the Common Stock on the date fixed for the determination of stockholders entitled to receive such rights, options or warrants (other than pursuant to a dividend reinvestment plan or the Rights as defined in Section 6(e)(iv) below), the Conversion Price in effect immediately prior to the opening of business on the next Business Day following the date fixed for such determination shall be reduced by multiplying the Conversion Price in effect immediately prior to the close of business on the date fixed for the determination of holders of Common Stock entitled to receive such rights, options or warrants by a fraction of which the numerator shall be the number of shares of Common Stock outstanding at the close of business on the date fixed for such determination plus the number of shares of Common Stock which the aggregate of the offering price of the total number of shares of Common Stock so offered for subscription or purchase would purchase at such current market price and the denominator shall be the number of shares of Common Stock outstanding at the close of business on the date fixed for such determination plus the number of shares of Common Stock so offered for subscription or purchase, such reduction to become effective immediately prior to the opening of business on the next Business Day following the date fixed for such determination. For the purposes of this clause (ii), the number of shares of Common Stock at any time outstanding shall not include shares held in the treasury of the Corporation but shall include shares issuable in respect of scrip certificates issued in lieu of fractions of shares of Common Stock. The Corporation covenants that it will not issue any such rights, options or warrants in respect of shares of Common Stock held in the treasury of the Corporation.</w:t>
      </w:r>
    </w:p>
    <w:p>
      <w:pPr>
        <w:spacing w:after="0" w:line="336" w:lineRule="exact"/>
        <w:rPr>
          <w:rFonts w:ascii="Times New Roman" w:cs="Times New Roman" w:eastAsia="Times New Roman" w:hAnsi="Times New Roman"/>
          <w:sz w:val="16"/>
          <w:szCs w:val="16"/>
          <w:color w:val="auto"/>
        </w:rPr>
      </w:pPr>
    </w:p>
    <w:p>
      <w:pPr>
        <w:ind w:left="-921" w:right="40" w:firstLine="921"/>
        <w:spacing w:after="0" w:line="256" w:lineRule="auto"/>
        <w:tabs>
          <w:tab w:leader="none" w:pos="299"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outstanding shares of Common Stock shall be subdivided into a greater number of shares of Common Stock, the Conversion Price in effect immediately prior to the opening of business on the next Business Day following the day upon which such subdivision becomes effective shall be proportionally reduced, and conversely, in case outstanding shares of Common Stock shall each be combines into a smaller number of shares of Common Stock, the Conversion Price in effect immediately prior to the opening of business on the next Business Day following the day upon which such combination becomes effective shall be proportionately increased.</w:t>
      </w:r>
    </w:p>
    <w:p>
      <w:pPr>
        <w:spacing w:after="0" w:line="125" w:lineRule="exact"/>
        <w:rPr>
          <w:rFonts w:ascii="Times New Roman" w:cs="Times New Roman" w:eastAsia="Times New Roman" w:hAnsi="Times New Roman"/>
          <w:sz w:val="18"/>
          <w:szCs w:val="18"/>
          <w:color w:val="auto"/>
        </w:rPr>
      </w:pPr>
    </w:p>
    <w:p>
      <w:pPr>
        <w:ind w:left="4699" w:hanging="93"/>
        <w:spacing w:after="0"/>
        <w:tabs>
          <w:tab w:leader="none" w:pos="4699"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w:t>
      </w:r>
    </w:p>
    <w:p>
      <w:pPr>
        <w:sectPr>
          <w:pgSz w:w="11900" w:h="16838" w:orient="portrait"/>
          <w:cols w:equalWidth="0" w:num="1">
            <w:col w:w="10479"/>
          </w:cols>
          <w:pgMar w:left="1161" w:top="274" w:right="259" w:bottom="1440" w:gutter="0" w:footer="0" w:header="0"/>
        </w:sectPr>
      </w:pPr>
    </w:p>
    <w:bookmarkStart w:id="202" w:name="page203"/>
    <w:bookmarkEnd w:id="202"/>
    <w:p>
      <w:pPr>
        <w:ind w:right="40" w:firstLine="921"/>
        <w:spacing w:after="0" w:line="253" w:lineRule="auto"/>
        <w:tabs>
          <w:tab w:leader="none" w:pos="121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case the Corporation shall, by dividend or otherwise, distribute to all holders of its Common Stock evidences of its indebtedness or assets (including securities, but excluding Rights, any rights, options or warrants referred to in clause (ii) of this Section 6(e), any dividend of distribution paid exclusively in cash and any dividend referred to in clause (i) of this Section 6(e)), the Conversion Price shall be adjusted so that the same shall equal the price determined by multiplying the Conversion Price in effect immediately prior to the close of business on the date fixed for the determination of stockholders entitled to receive such distribution by a fraction of which (A) the numerator shall be the Current Market Price at the close of business on the date fixed for such determination less the then fair market value (as determined by the Board, whose reasonably determination shall be conclusive and described in a Board resolution) of the portion of the assets or evidences of indebtedness so distributed applicable to one share of Common Stock (the amount calculated pursuant to this clause (A) being hereinafter referred to as the </w:t>
      </w:r>
      <w:r>
        <w:rPr>
          <w:rFonts w:ascii="Times New Roman" w:cs="Times New Roman" w:eastAsia="Times New Roman" w:hAnsi="Times New Roman"/>
          <w:sz w:val="1"/>
          <w:szCs w:val="1"/>
          <w:color w:val="auto"/>
        </w:rPr>
        <w:drawing>
          <wp:inline distT="0" distB="0" distL="0" distR="0">
            <wp:extent cx="102870" cy="94615"/>
            <wp:effectExtent l="0" t="0" r="0" b="0"/>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Adjusted Market Price </w:t>
      </w:r>
      <w:r>
        <w:rPr>
          <w:rFonts w:ascii="Times New Roman" w:cs="Times New Roman" w:eastAsia="Times New Roman" w:hAnsi="Times New Roman"/>
          <w:sz w:val="1"/>
          <w:szCs w:val="1"/>
          <w:color w:val="auto"/>
        </w:rPr>
        <w:drawing>
          <wp:inline distT="0" distB="0" distL="0" distR="0">
            <wp:extent cx="102870" cy="94615"/>
            <wp:effectExtent l="0" t="0" r="0" b="0"/>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and (B) the denominator shall be such Current Market Price, such adjustment to become effective immediately prior to the opening of business on the next Business Day following the date fixed for the determination of stockholders entitled to receive such distribution.</w:t>
      </w:r>
    </w:p>
    <w:p>
      <w:pPr>
        <w:spacing w:after="0" w:line="141" w:lineRule="exact"/>
        <w:rPr>
          <w:sz w:val="20"/>
          <w:szCs w:val="20"/>
          <w:color w:val="auto"/>
        </w:rPr>
      </w:pPr>
    </w:p>
    <w:p>
      <w:pPr>
        <w:ind w:firstLine="913"/>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the foregoing, in the event of any dividend or distribution by the Corporation to all holders of its Common Stock consisting exclusively of capital stock of Equity Bank for Savings, F.A. ( </w:t>
      </w:r>
      <w:r>
        <w:rPr>
          <w:sz w:val="1"/>
          <w:szCs w:val="1"/>
          <w:color w:val="auto"/>
        </w:rPr>
        <w:drawing>
          <wp:inline distT="0" distB="0" distL="0" distR="0">
            <wp:extent cx="102870" cy="94615"/>
            <wp:effectExtent l="0" t="0" r="0" b="0"/>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Equity Bank </w:t>
      </w:r>
      <w:r>
        <w:rPr>
          <w:sz w:val="1"/>
          <w:szCs w:val="1"/>
          <w:color w:val="auto"/>
        </w:rPr>
        <w:drawing>
          <wp:inline distT="0" distB="0" distL="0" distR="0">
            <wp:extent cx="102870" cy="94615"/>
            <wp:effectExtent l="0" t="0" r="0" b="0"/>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LSB Chemical Corp. or El Dorado Chemical Company ( </w:t>
      </w:r>
      <w:r>
        <w:rPr>
          <w:sz w:val="1"/>
          <w:szCs w:val="1"/>
          <w:color w:val="auto"/>
        </w:rPr>
        <w:drawing>
          <wp:inline distT="0" distB="0" distL="0" distR="0">
            <wp:extent cx="102870" cy="94615"/>
            <wp:effectExtent l="0" t="0" r="0" b="0"/>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EDC </w:t>
      </w:r>
      <w:r>
        <w:rPr>
          <w:sz w:val="1"/>
          <w:szCs w:val="1"/>
          <w:color w:val="auto"/>
        </w:rPr>
        <w:drawing>
          <wp:inline distT="0" distB="0" distL="0" distR="0">
            <wp:extent cx="102870" cy="94615"/>
            <wp:effectExtent l="0" t="0" r="0" b="0"/>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or any of their respective subsidiaries, the Corporation may, at its option, in consultation with an independent financial advisor selected by the Board of Directors, elect to make no adjustment or a partial adjustment to the Conversion Price (the Conversion Price, as unadjusted or as partially adjusted, as the case may be, the </w:t>
      </w:r>
      <w:r>
        <w:rPr>
          <w:sz w:val="1"/>
          <w:szCs w:val="1"/>
          <w:color w:val="auto"/>
        </w:rPr>
        <w:drawing>
          <wp:inline distT="0" distB="0" distL="0" distR="0">
            <wp:extent cx="102870" cy="94615"/>
            <wp:effectExtent l="0" t="0" r="0" b="0"/>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Modified Conversion Price </w:t>
      </w:r>
      <w:r>
        <w:rPr>
          <w:sz w:val="1"/>
          <w:szCs w:val="1"/>
          <w:color w:val="auto"/>
        </w:rPr>
        <w:drawing>
          <wp:inline distT="0" distB="0" distL="0" distR="0">
            <wp:extent cx="102870" cy="94615"/>
            <wp:effectExtent l="0" t="0" r="0" b="0"/>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less than the full adjustment to the Conversion Price required by this clause (iv) (the Conversion Price, as it would have been fully adjusted, the </w:t>
      </w:r>
      <w:r>
        <w:rPr>
          <w:sz w:val="1"/>
          <w:szCs w:val="1"/>
          <w:color w:val="auto"/>
        </w:rPr>
        <w:drawing>
          <wp:inline distT="0" distB="0" distL="0" distR="0">
            <wp:extent cx="102870" cy="94615"/>
            <wp:effectExtent l="0" t="0" r="0" b="0"/>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Fully Adjusted Conversion Price </w:t>
      </w:r>
      <w:r>
        <w:rPr>
          <w:sz w:val="1"/>
          <w:szCs w:val="1"/>
          <w:color w:val="auto"/>
        </w:rPr>
        <w:drawing>
          <wp:inline distT="0" distB="0" distL="0" distR="0">
            <wp:extent cx="102870" cy="94615"/>
            <wp:effectExtent l="0" t="0" r="0" b="0"/>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In the event the Corporation makes such election, the Corporation shall pay to each holder of record of shares of Convertible Exchangeable Preferred Stock as such holder appears in the securities register of the Corporation at the close of business on the day such distribution is effected an amount in cash for each such share held by such holder equal to the product of (A) the difference between (x) the quotient of (1) $50.00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(2) the Fully Adjusted Conversion Price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(y) the quotient of (1) $50.00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(2) the Modified Conversion Price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(B) the Adjusted Market Price. The Corporation shall mail a notice to all holders of Convertible Exchangeable Preferred Stock, at their last addresses as they shall appear in the security register, of such dividend or distribution and of the Corporation </w:t>
      </w:r>
      <w:r>
        <w:rPr>
          <w:sz w:val="1"/>
          <w:szCs w:val="1"/>
          <w:color w:val="auto"/>
        </w:rPr>
        <w:drawing>
          <wp:inline distT="0" distB="0" distL="0" distR="0">
            <wp:extent cx="102870" cy="94615"/>
            <wp:effectExtent l="0" t="0" r="0" b="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 election to make any such cash payment at least 30 days in advance of the record date for the determination of the holders of Common Stock entitled to receive such dividend or distribution.</w:t>
      </w:r>
    </w:p>
    <w:p>
      <w:pPr>
        <w:spacing w:after="0" w:line="1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- 12 -</w:t>
      </w:r>
    </w:p>
    <w:p>
      <w:pPr>
        <w:sectPr>
          <w:pgSz w:w="11900" w:h="16838" w:orient="portrait"/>
          <w:cols w:equalWidth="0" w:num="1">
            <w:col w:w="11380"/>
          </w:cols>
          <w:pgMar w:left="240" w:top="274" w:right="279" w:bottom="1440" w:gutter="0" w:footer="0" w:header="0"/>
        </w:sectPr>
      </w:pPr>
    </w:p>
    <w:bookmarkStart w:id="203" w:name="page204"/>
    <w:bookmarkEnd w:id="203"/>
    <w:p>
      <w:pPr>
        <w:ind w:firstLine="913"/>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With respect to the Preferred Stock Purchase Rights (as defined in the Rights Agreement, dated as of February 17, 1989 between the Corporation and the Liberty National Bank and Trust Corporation of Oklahoma City), and, in the event that, after the date hereof, the Corporation should distribute rights, options or warrants issued by the Corporation to all holders of Common Stock entitling the holders thereof to subscribe for or purchase shares of Common Stock or preferred stock, which rights, options or warrants (A) are deemed to be transferred with such shares of Common Stock, (B) are not exercisable and (C) are also issued in respect of future issuances of Common Stock, in each case in clauses (A) through (C) until the occurrence of a specified event or events (such Preferred Stock Purchase Rights and such rights, options or warrants, if any, collectively, </w:t>
      </w:r>
      <w:r>
        <w:rPr>
          <w:sz w:val="1"/>
          <w:szCs w:val="1"/>
          <w:color w:val="auto"/>
        </w:rPr>
        <w:drawing>
          <wp:inline distT="0" distB="0" distL="0" distR="0">
            <wp:extent cx="102870" cy="94615"/>
            <wp:effectExtent l="0" t="0" r="0" b="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Rights </w:t>
      </w:r>
      <w:r>
        <w:rPr>
          <w:sz w:val="1"/>
          <w:szCs w:val="1"/>
          <w:color w:val="auto"/>
        </w:rPr>
        <w:drawing>
          <wp:inline distT="0" distB="0" distL="0" distR="0">
            <wp:extent cx="102870" cy="94615"/>
            <wp:effectExtent l="0" t="0" r="0" b="0"/>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each holder of the Convertible Exchangeable Preferred Stock who converts any shares of Convertible Exchangeable Preferred Stock shall (but only if the Rights have not been previously redeemed) be entitled to receive upon such conversion, in addition to the shares of Common Stock issuable upon such conversion, a number of such Rights to be determined as follows: (Y) if such conversion occurs on or prior to the date for the distribution to the holders of Rights of separate certificates evidencing such Rights (the </w:t>
      </w:r>
      <w:r>
        <w:rPr>
          <w:sz w:val="1"/>
          <w:szCs w:val="1"/>
          <w:color w:val="auto"/>
        </w:rPr>
        <w:drawing>
          <wp:inline distT="0" distB="0" distL="0" distR="0">
            <wp:extent cx="102870" cy="94615"/>
            <wp:effectExtent l="0" t="0" r="0" b="0"/>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Distribution Date </w:t>
      </w:r>
      <w:r>
        <w:rPr>
          <w:sz w:val="1"/>
          <w:szCs w:val="1"/>
          <w:color w:val="auto"/>
        </w:rPr>
        <w:drawing>
          <wp:inline distT="0" distB="0" distL="0" distR="0">
            <wp:extent cx="102870" cy="94615"/>
            <wp:effectExtent l="0" t="0" r="0" b="0"/>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the same number of Rights to which a holder of a number of shares of Common Stock equal to the number of shares issued upon such conversion is entitled at the time of such conversion in accordance with the terms and provisions of and applicable to such Rights; and (Z) if such conversion occurs after the Distribution Date, the same number of Rights to which a holder of the number of shares of Common Stock, into which such shares of Convertible Exchangeable Preferred Stock so converted were convertible on the Business Day immediately preceding the Distribution Date, would have been entitled on the Distribution Date in accordance with the terms and provisions of and applicable to the Rights.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- 13 -</w:t>
      </w:r>
    </w:p>
    <w:p>
      <w:pPr>
        <w:sectPr>
          <w:pgSz w:w="11900" w:h="16838" w:orient="portrait"/>
          <w:cols w:equalWidth="0" w:num="1">
            <w:col w:w="11420"/>
          </w:cols>
          <w:pgMar w:left="240" w:top="274" w:right="239" w:bottom="1440" w:gutter="0" w:footer="0" w:header="0"/>
        </w:sectPr>
      </w:pPr>
    </w:p>
    <w:bookmarkStart w:id="204" w:name="page205"/>
    <w:bookmarkEnd w:id="204"/>
    <w:p>
      <w:pPr>
        <w:ind w:left="-921" w:firstLine="921"/>
        <w:spacing w:after="0" w:line="252" w:lineRule="auto"/>
        <w:tabs>
          <w:tab w:leader="none" w:pos="241"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case the Corporation shall, by dividend or otherwise, distribute to all holders of its Common Stock cash (excluding any cash that is distributed upon a merger or consolidation to which Section 6(m) applies or as part of a distribution referred to in clause (iv) of this Section 6(e)) in an aggregate amount that, combined together with (I) the aggregate amount of any other distributions to all holders of its Common Stock made exclusively in cash within the 12 months preceding the date of payment of such distribution and in respect of which no adjustment pursuant to this clause (v) or clause (vi) of this Section 6(e) has been made and (II) the aggregate of any cash plus the fair market value (as determined by the Board of Directors) as of the last time tender could have been made pursuant to such tender offer, as it may have been amended (such time, the </w:t>
      </w:r>
      <w:r>
        <w:rPr>
          <w:rFonts w:ascii="Times New Roman" w:cs="Times New Roman" w:eastAsia="Times New Roman" w:hAnsi="Times New Roman"/>
          <w:sz w:val="1"/>
          <w:szCs w:val="1"/>
          <w:color w:val="auto"/>
        </w:rPr>
        <w:drawing>
          <wp:inline distT="0" distB="0" distL="0" distR="0">
            <wp:extent cx="102870" cy="94615"/>
            <wp:effectExtent l="0" t="0" r="0" b="0"/>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Expiration Time </w:t>
      </w:r>
      <w:r>
        <w:rPr>
          <w:rFonts w:ascii="Times New Roman" w:cs="Times New Roman" w:eastAsia="Times New Roman" w:hAnsi="Times New Roman"/>
          <w:sz w:val="1"/>
          <w:szCs w:val="1"/>
          <w:color w:val="auto"/>
        </w:rPr>
        <w:drawing>
          <wp:inline distT="0" distB="0" distL="0" distR="0">
            <wp:extent cx="102870" cy="94615"/>
            <wp:effectExtent l="0" t="0" r="0" b="0"/>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of consideration payable in respect of any tender offer by the Corporation or any of its Subsidiaries for all or any portion of the Common Stock concluded within the 12 months preceding the date of payment of such distribution and in respect of which no adjustment pursuant to this clause (v) or clause (vi of this Section 6(e) has been made, exceeds 10% of the product of the Current Market Price per share of the Common Stock on the date for the determination of holders of shares of Common Stock entitled to receive such distribution times the number of shares of Common Stock outstanding on such date, then, and in each such case, immediately after the close of business on such date for determination, the Conversion Price shall be reduced so that the same shall equal the price determined by multiplying the Conversion Price in effect immediately prior to the close of business on the date fixed for determination</w:t>
      </w:r>
    </w:p>
    <w:p>
      <w:pPr>
        <w:spacing w:after="0" w:line="133" w:lineRule="exact"/>
        <w:rPr>
          <w:rFonts w:ascii="Times New Roman" w:cs="Times New Roman" w:eastAsia="Times New Roman" w:hAnsi="Times New Roman"/>
          <w:sz w:val="18"/>
          <w:szCs w:val="18"/>
          <w:color w:val="auto"/>
        </w:rPr>
      </w:pPr>
    </w:p>
    <w:p>
      <w:pPr>
        <w:ind w:left="4699" w:hanging="96"/>
        <w:spacing w:after="0"/>
        <w:tabs>
          <w:tab w:leader="none" w:pos="4699"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w:t>
      </w:r>
    </w:p>
    <w:p>
      <w:pPr>
        <w:sectPr>
          <w:pgSz w:w="11900" w:h="16838" w:orient="portrait"/>
          <w:cols w:equalWidth="0" w:num="1">
            <w:col w:w="10459"/>
          </w:cols>
          <w:pgMar w:left="1161" w:top="274" w:right="279" w:bottom="1440" w:gutter="0" w:footer="0" w:header="0"/>
        </w:sectPr>
      </w:pPr>
    </w:p>
    <w:bookmarkStart w:id="205" w:name="page206"/>
    <w:bookmarkEnd w:id="205"/>
    <w:p>
      <w:pPr>
        <w:jc w:val="both"/>
        <w:ind w:left="-8" w:right="160" w:firstLine="921"/>
        <w:spacing w:after="0" w:line="258" w:lineRule="auto"/>
        <w:tabs>
          <w:tab w:leader="none" w:pos="1202"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stockholders entitled to receive such distribution by a fraction (i) the numerator of which shall be equal to the Current Market Price per share of the Common Stock on the date fixed for such determination less an amount equal to the quotient of (x) the excess of such combined amount over such 10% and (y) the number of shares of Common Stock outstanding on such date for determination and (ii) the denominator of which shall be equal to the Current Market Price per share of the Common Stock as of such date for determination.</w:t>
      </w:r>
    </w:p>
    <w:p>
      <w:pPr>
        <w:spacing w:after="0" w:line="136" w:lineRule="exact"/>
        <w:rPr>
          <w:rFonts w:ascii="Times New Roman" w:cs="Times New Roman" w:eastAsia="Times New Roman" w:hAnsi="Times New Roman"/>
          <w:sz w:val="18"/>
          <w:szCs w:val="18"/>
          <w:color w:val="auto"/>
        </w:rPr>
      </w:pPr>
    </w:p>
    <w:p>
      <w:pPr>
        <w:ind w:left="-8" w:right="40" w:firstLine="921"/>
        <w:spacing w:after="0" w:line="287" w:lineRule="auto"/>
        <w:tabs>
          <w:tab w:leader="none" w:pos="1251" w:val="left"/>
        </w:tabs>
        <w:numPr>
          <w:ilvl w:val="1"/>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case a tender offer (the </w:t>
      </w:r>
      <w:r>
        <w:rPr>
          <w:rFonts w:ascii="Times New Roman" w:cs="Times New Roman" w:eastAsia="Times New Roman" w:hAnsi="Times New Roman"/>
          <w:sz w:val="1"/>
          <w:szCs w:val="1"/>
          <w:color w:val="auto"/>
        </w:rPr>
        <w:drawing>
          <wp:inline distT="0" distB="0" distL="0" distR="0">
            <wp:extent cx="102870" cy="94615"/>
            <wp:effectExtent l="0" t="0" r="0" b="0"/>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Tender Offer </w:t>
      </w:r>
      <w:r>
        <w:rPr>
          <w:rFonts w:ascii="Times New Roman" w:cs="Times New Roman" w:eastAsia="Times New Roman" w:hAnsi="Times New Roman"/>
          <w:sz w:val="1"/>
          <w:szCs w:val="1"/>
          <w:color w:val="auto"/>
        </w:rPr>
        <w:drawing>
          <wp:inline distT="0" distB="0" distL="0" distR="0">
            <wp:extent cx="102870" cy="94615"/>
            <wp:effectExtent l="0" t="0" r="0" b="0"/>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 made by the Corporation or any Subsidiary for all or any portion of the Common Stock shall expire and the Tender Offer (as amended upon the expiration thereof) shall require the payment to stockholders based on the acceptance (up to any maximum specified in the terms of the tender offer) of Purchased Shares (as defined below) of an aggregate consideration having a fair market value (as determined by the Board of Directors) as of the Expiration Time of such tender offer that combined together with (I) the aggregate of the cash plus the fair market value (as determined by the Board of Directors) of consideration payable in respect of any other tender offer (determined as of the Expiration Time of such other tender offer) by the Corporation or any Subsidiary for all or any portion of the Common Stock expiring within the 12 months preceding the expiration of the Tender Offer and in respect of which no adjustment pursuant to clause (v) of this Section 6(e) or this clause (vi) has been made and (II) the aggregate amount of any distributions to all holders of the Corporation </w:t>
      </w:r>
      <w:r>
        <w:rPr>
          <w:rFonts w:ascii="Times New Roman" w:cs="Times New Roman" w:eastAsia="Times New Roman" w:hAnsi="Times New Roman"/>
          <w:sz w:val="1"/>
          <w:szCs w:val="1"/>
          <w:color w:val="auto"/>
        </w:rPr>
        <w:drawing>
          <wp:inline distT="0" distB="0" distL="0" distR="0">
            <wp:extent cx="102870" cy="94615"/>
            <wp:effectExtent l="0" t="0" r="0" b="0"/>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s Common Stock made exclusively in cash within 12 month preceding the expiration of the Tender Offer and in respect of which no adjustment pursuant to clause (v) of this Section 6(e) or this clause (vi) has been made, exceeds 10% of the product of the Current Market Price per share of the Common Stock as of the Expiration Time of the Tender Offer times the number of shares of Common Stock outstanding (including any tendered shares) at the Expiration Time of the Tender Offer, then, and in each such case, immediately prior to the opening of business on the day after the date of the Expiration Time of the Tender Offer, the Conversion Price shall be adjusted so that the same shall equal the price determined by multiplying the Conversion Price immediately prior to close of business on the date of the Expiration Time of the Tender Offer by a fraction (i) the numerator of which shall be equal to</w:t>
      </w:r>
    </w:p>
    <w:p>
      <w:pPr>
        <w:spacing w:after="0" w:line="181" w:lineRule="exact"/>
        <w:rPr>
          <w:rFonts w:ascii="Times New Roman" w:cs="Times New Roman" w:eastAsia="Times New Roman" w:hAnsi="Times New Roman"/>
          <w:sz w:val="16"/>
          <w:szCs w:val="16"/>
          <w:color w:val="auto"/>
        </w:rPr>
      </w:pPr>
    </w:p>
    <w:p>
      <w:pPr>
        <w:ind w:left="-8" w:firstLine="8"/>
        <w:spacing w:after="0" w:line="252" w:lineRule="auto"/>
        <w:tabs>
          <w:tab w:leader="none" w:pos="2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product of (I) the Current Market Price per share of the Common Stock as of the Expiration Time of the Tender Offer and (II) the number of shares of Common Stock outstanding (including any tendered shares) at the Expiration Time of the Tender Offer less (B) the amount of cash plus the fair market value (determined as foresaid) of the aggregate consideration payable to stockholders based on the acceptance (up to any maximum specified in the terms of the Tender Offer) of Purchased Shares as defined below, and (ii) the denominator of which shall be equal to the product of (A) the Current Market Price per share of the Common Stock as of the Expiration Time of the Tender Offer and (B) the number of shares of Common Stock outstanding (including any tendered shares) as of the Expiration Time of the Tender Offer less the number of all shares validly tendered and not withdrawn as of the Expiration Time of the Tender Offer (the shares deemed so accepted up to any such maximum, being referred to as the </w:t>
      </w:r>
      <w:r>
        <w:rPr>
          <w:rFonts w:ascii="Times New Roman" w:cs="Times New Roman" w:eastAsia="Times New Roman" w:hAnsi="Times New Roman"/>
          <w:sz w:val="1"/>
          <w:szCs w:val="1"/>
          <w:color w:val="auto"/>
        </w:rPr>
        <w:drawing>
          <wp:inline distT="0" distB="0" distL="0" distR="0">
            <wp:extent cx="102870" cy="94615"/>
            <wp:effectExtent l="0" t="0" r="0" b="0"/>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Purchased Shares </w:t>
      </w:r>
      <w:r>
        <w:rPr>
          <w:rFonts w:ascii="Times New Roman" w:cs="Times New Roman" w:eastAsia="Times New Roman" w:hAnsi="Times New Roman"/>
          <w:sz w:val="1"/>
          <w:szCs w:val="1"/>
          <w:color w:val="auto"/>
        </w:rPr>
        <w:drawing>
          <wp:inline distT="0" distB="0" distL="0" distR="0">
            <wp:extent cx="102870" cy="94615"/>
            <wp:effectExtent l="0" t="0" r="0" b="0"/>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w:t>
      </w:r>
    </w:p>
    <w:p>
      <w:pPr>
        <w:spacing w:after="0" w:line="127" w:lineRule="exact"/>
        <w:rPr>
          <w:rFonts w:ascii="Times New Roman" w:cs="Times New Roman" w:eastAsia="Times New Roman" w:hAnsi="Times New Roman"/>
          <w:sz w:val="18"/>
          <w:szCs w:val="18"/>
          <w:color w:val="auto"/>
        </w:rPr>
      </w:pPr>
    </w:p>
    <w:p>
      <w:pPr>
        <w:ind w:left="5612" w:hanging="96"/>
        <w:spacing w:after="0"/>
        <w:tabs>
          <w:tab w:leader="none" w:pos="5612" w:val="left"/>
        </w:tabs>
        <w:numPr>
          <w:ilvl w:val="2"/>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w:t>
      </w:r>
    </w:p>
    <w:p>
      <w:pPr>
        <w:sectPr>
          <w:pgSz w:w="11900" w:h="16838" w:orient="portrait"/>
          <w:cols w:equalWidth="0" w:num="1">
            <w:col w:w="11352"/>
          </w:cols>
          <w:pgMar w:left="248" w:top="274" w:right="299" w:bottom="1440" w:gutter="0" w:footer="0" w:header="0"/>
        </w:sectPr>
      </w:pPr>
    </w:p>
    <w:bookmarkStart w:id="206" w:name="page207"/>
    <w:bookmarkEnd w:id="206"/>
    <w:p>
      <w:pPr>
        <w:ind w:left="-921" w:firstLine="921"/>
        <w:spacing w:after="0" w:line="254" w:lineRule="auto"/>
        <w:tabs>
          <w:tab w:leader="none" w:pos="387"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reclassification of Common Stock into securities other than Common Stock (other than any reclassification upon a consolidation or merger to which Section 6(m) applies) shall be deemed to involve (a) a distribution of such securities other than Common Stock to all holders of Common Stock (and the effective date of such reclassification shall be deemed to be </w:t>
      </w:r>
      <w:r>
        <w:rPr>
          <w:rFonts w:ascii="Times New Roman" w:cs="Times New Roman" w:eastAsia="Times New Roman" w:hAnsi="Times New Roman"/>
          <w:sz w:val="1"/>
          <w:szCs w:val="1"/>
          <w:color w:val="auto"/>
        </w:rPr>
        <w:drawing>
          <wp:inline distT="0" distB="0" distL="0" distR="0">
            <wp:extent cx="102870" cy="94615"/>
            <wp:effectExtent l="0" t="0" r="0" b="0"/>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the date fixed for the determination of stockholders entitled to receive such distribution </w:t>
      </w:r>
      <w:r>
        <w:rPr>
          <w:rFonts w:ascii="Times New Roman" w:cs="Times New Roman" w:eastAsia="Times New Roman" w:hAnsi="Times New Roman"/>
          <w:sz w:val="1"/>
          <w:szCs w:val="1"/>
          <w:color w:val="auto"/>
        </w:rPr>
        <w:drawing>
          <wp:inline distT="0" distB="0" distL="0" distR="0">
            <wp:extent cx="102870" cy="94615"/>
            <wp:effectExtent l="0" t="0" r="0" b="0"/>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
          <w:szCs w:val="1"/>
          <w:color w:val="auto"/>
        </w:rPr>
        <w:drawing>
          <wp:inline distT="0" distB="0" distL="0" distR="0">
            <wp:extent cx="102870" cy="94615"/>
            <wp:effectExtent l="0" t="0" r="0" b="0"/>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date fixed for such determination </w:t>
      </w:r>
      <w:r>
        <w:rPr>
          <w:rFonts w:ascii="Times New Roman" w:cs="Times New Roman" w:eastAsia="Times New Roman" w:hAnsi="Times New Roman"/>
          <w:sz w:val="1"/>
          <w:szCs w:val="1"/>
          <w:color w:val="auto"/>
        </w:rPr>
        <w:drawing>
          <wp:inline distT="0" distB="0" distL="0" distR="0">
            <wp:extent cx="102870" cy="94615"/>
            <wp:effectExtent l="0" t="0" r="0" b="0"/>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within the meaning of clause (iv) of this Section 6(e)), and (b) a subdivision or combination, as the case may be, of the number of shares of Common Stock outstanding immediately prior to such reclassification into the number of shares of Common Stock outstanding immediately thereafter (and the effective date of such reclassification shall be deemed to be </w:t>
      </w:r>
      <w:r>
        <w:rPr>
          <w:rFonts w:ascii="Times New Roman" w:cs="Times New Roman" w:eastAsia="Times New Roman" w:hAnsi="Times New Roman"/>
          <w:sz w:val="1"/>
          <w:szCs w:val="1"/>
          <w:color w:val="auto"/>
        </w:rPr>
        <w:drawing>
          <wp:inline distT="0" distB="0" distL="0" distR="0">
            <wp:extent cx="102870" cy="94615"/>
            <wp:effectExtent l="0" t="0" r="0" b="0"/>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the day upon which such subdivision becomes effective </w:t>
      </w:r>
      <w:r>
        <w:rPr>
          <w:rFonts w:ascii="Times New Roman" w:cs="Times New Roman" w:eastAsia="Times New Roman" w:hAnsi="Times New Roman"/>
          <w:sz w:val="1"/>
          <w:szCs w:val="1"/>
          <w:color w:val="auto"/>
        </w:rPr>
        <w:drawing>
          <wp:inline distT="0" distB="0" distL="0" distR="0">
            <wp:extent cx="102870" cy="94615"/>
            <wp:effectExtent l="0" t="0" r="0" b="0"/>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
          <w:szCs w:val="1"/>
          <w:color w:val="auto"/>
        </w:rPr>
        <w:drawing>
          <wp:inline distT="0" distB="0" distL="0" distR="0">
            <wp:extent cx="102870" cy="94615"/>
            <wp:effectExtent l="0" t="0" r="0" b="0"/>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the day upon which such combination becomes effective </w:t>
      </w:r>
      <w:r>
        <w:rPr>
          <w:rFonts w:ascii="Times New Roman" w:cs="Times New Roman" w:eastAsia="Times New Roman" w:hAnsi="Times New Roman"/>
          <w:sz w:val="1"/>
          <w:szCs w:val="1"/>
          <w:color w:val="auto"/>
        </w:rPr>
        <w:drawing>
          <wp:inline distT="0" distB="0" distL="0" distR="0">
            <wp:extent cx="102870" cy="94615"/>
            <wp:effectExtent l="0" t="0" r="0" b="0"/>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as the case may be, and </w:t>
      </w:r>
      <w:r>
        <w:rPr>
          <w:rFonts w:ascii="Times New Roman" w:cs="Times New Roman" w:eastAsia="Times New Roman" w:hAnsi="Times New Roman"/>
          <w:sz w:val="1"/>
          <w:szCs w:val="1"/>
          <w:color w:val="auto"/>
        </w:rPr>
        <w:drawing>
          <wp:inline distT="0" distB="0" distL="0" distR="0">
            <wp:extent cx="102870" cy="94615"/>
            <wp:effectExtent l="0" t="0" r="0" b="0"/>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the day upon which such subdivision or combination becomes effective </w:t>
      </w:r>
      <w:r>
        <w:rPr>
          <w:rFonts w:ascii="Times New Roman" w:cs="Times New Roman" w:eastAsia="Times New Roman" w:hAnsi="Times New Roman"/>
          <w:sz w:val="1"/>
          <w:szCs w:val="1"/>
          <w:color w:val="auto"/>
        </w:rPr>
        <w:drawing>
          <wp:inline distT="0" distB="0" distL="0" distR="0">
            <wp:extent cx="102870" cy="94615"/>
            <wp:effectExtent l="0" t="0" r="0" b="0"/>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within the meaning of clause (iii) of this Section 6(e) above).</w:t>
      </w:r>
    </w:p>
    <w:p>
      <w:pPr>
        <w:spacing w:after="0" w:line="138" w:lineRule="exact"/>
        <w:rPr>
          <w:rFonts w:ascii="Times New Roman" w:cs="Times New Roman" w:eastAsia="Times New Roman" w:hAnsi="Times New Roman"/>
          <w:sz w:val="18"/>
          <w:szCs w:val="18"/>
          <w:color w:val="auto"/>
        </w:rPr>
      </w:pPr>
    </w:p>
    <w:p>
      <w:pPr>
        <w:ind w:left="-921" w:firstLine="921"/>
        <w:spacing w:after="0" w:line="252" w:lineRule="auto"/>
        <w:tabs>
          <w:tab w:leader="none" w:pos="289"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 of any computation under clause (ii), (iv), (v), (vi) or (vii) of this Section 6(e), the current market price per share of Common Stock (the </w:t>
      </w:r>
      <w:r>
        <w:rPr>
          <w:rFonts w:ascii="Times New Roman" w:cs="Times New Roman" w:eastAsia="Times New Roman" w:hAnsi="Times New Roman"/>
          <w:sz w:val="1"/>
          <w:szCs w:val="1"/>
          <w:color w:val="auto"/>
        </w:rPr>
        <w:drawing>
          <wp:inline distT="0" distB="0" distL="0" distR="0">
            <wp:extent cx="102870" cy="94615"/>
            <wp:effectExtent l="0" t="0" r="0" b="0"/>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Current Market Price </w:t>
      </w:r>
      <w:r>
        <w:rPr>
          <w:rFonts w:ascii="Times New Roman" w:cs="Times New Roman" w:eastAsia="Times New Roman" w:hAnsi="Times New Roman"/>
          <w:sz w:val="1"/>
          <w:szCs w:val="1"/>
          <w:color w:val="auto"/>
        </w:rPr>
        <w:drawing>
          <wp:inline distT="0" distB="0" distL="0" distR="0">
            <wp:extent cx="102870" cy="94615"/>
            <wp:effectExtent l="0" t="0" r="0" b="0"/>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on any day shall be deemed to be the average of the daily closing prices per share for the five consecutive Trading Days selected by the Board commencing not more than 10 Trading Days before, and ending not later than, the earlier of the day in question and the day before the Ex Date (as defined below) with respect to the issuance, payment or distribution on the date of the expiration of the tender offer requiring such computation. For this purpose, the term </w:t>
      </w:r>
      <w:r>
        <w:rPr>
          <w:rFonts w:ascii="Times New Roman" w:cs="Times New Roman" w:eastAsia="Times New Roman" w:hAnsi="Times New Roman"/>
          <w:sz w:val="1"/>
          <w:szCs w:val="1"/>
          <w:color w:val="auto"/>
        </w:rPr>
        <w:drawing>
          <wp:inline distT="0" distB="0" distL="0" distR="0">
            <wp:extent cx="102870" cy="94615"/>
            <wp:effectExtent l="0" t="0" r="0" b="0"/>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Ex Date </w:t>
      </w:r>
      <w:r>
        <w:rPr>
          <w:rFonts w:ascii="Times New Roman" w:cs="Times New Roman" w:eastAsia="Times New Roman" w:hAnsi="Times New Roman"/>
          <w:sz w:val="1"/>
          <w:szCs w:val="1"/>
          <w:color w:val="auto"/>
        </w:rPr>
        <w:drawing>
          <wp:inline distT="0" distB="0" distL="0" distR="0">
            <wp:extent cx="102870" cy="94615"/>
            <wp:effectExtent l="0" t="0" r="0" b="0"/>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when used with respect to any issuance or distribution, shall mean the first date on which the Common Stock trades regular way on the applicable securities exchange or in the applicable securities market without the right to receive such issuance or distribution. </w:t>
      </w:r>
      <w:r>
        <w:rPr>
          <w:rFonts w:ascii="Times New Roman" w:cs="Times New Roman" w:eastAsia="Times New Roman" w:hAnsi="Times New Roman"/>
          <w:sz w:val="1"/>
          <w:szCs w:val="1"/>
          <w:color w:val="auto"/>
        </w:rPr>
        <w:drawing>
          <wp:inline distT="0" distB="0" distL="0" distR="0">
            <wp:extent cx="102870" cy="94615"/>
            <wp:effectExtent l="0" t="0" r="0" b="0"/>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Trading Day </w:t>
      </w:r>
      <w:r>
        <w:rPr>
          <w:rFonts w:ascii="Times New Roman" w:cs="Times New Roman" w:eastAsia="Times New Roman" w:hAnsi="Times New Roman"/>
          <w:sz w:val="1"/>
          <w:szCs w:val="1"/>
          <w:color w:val="auto"/>
        </w:rPr>
        <w:drawing>
          <wp:inline distT="0" distB="0" distL="0" distR="0">
            <wp:extent cx="102870" cy="94615"/>
            <wp:effectExtent l="0" t="0" r="0" b="0"/>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means each Monday, Tuesday, Wednesday, Thursday and Friday, other than any day on which the Common Stock is not traded on the applicable securities exchange or on the applicable securities market. The closing price for each day shall be the reported last sale price regular way or, in case no such reported sale takes place on such day, the average of the reported closing bid and asked prices regular way, in either case on the ASE or, if the Common Stock is not listed or admitted to trading on such Exchange, on the principal national securities exchange on which the Common Stock is listed or admitted to trading or, if not listed or admitted to trading on any national securities exchange, on the National Association of Securities Dealers Automated Quotations National Market System (the </w:t>
      </w:r>
      <w:r>
        <w:rPr>
          <w:rFonts w:ascii="Times New Roman" w:cs="Times New Roman" w:eastAsia="Times New Roman" w:hAnsi="Times New Roman"/>
          <w:sz w:val="1"/>
          <w:szCs w:val="1"/>
          <w:color w:val="auto"/>
        </w:rPr>
        <w:drawing>
          <wp:inline distT="0" distB="0" distL="0" distR="0">
            <wp:extent cx="102870" cy="94615"/>
            <wp:effectExtent l="0" t="0" r="0" b="0"/>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NASDAQ/NMS </w:t>
      </w:r>
      <w:r>
        <w:rPr>
          <w:rFonts w:ascii="Times New Roman" w:cs="Times New Roman" w:eastAsia="Times New Roman" w:hAnsi="Times New Roman"/>
          <w:sz w:val="1"/>
          <w:szCs w:val="1"/>
          <w:color w:val="auto"/>
        </w:rPr>
        <w:drawing>
          <wp:inline distT="0" distB="0" distL="0" distR="0">
            <wp:extent cx="102870" cy="94615"/>
            <wp:effectExtent l="0" t="0" r="0" b="0"/>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or, if the Common Stock is not listed or admitted to trading on any national securities exchange or quoted on the NASDAQ/NMS, the average of the closing bid and asked prices in the over-the-counter market as furnished by any New York Stock Exchange member firm reasonably selected from time to time by the Board for that purpose.</w:t>
      </w:r>
    </w:p>
    <w:p>
      <w:pPr>
        <w:spacing w:after="0" w:line="131" w:lineRule="exact"/>
        <w:rPr>
          <w:rFonts w:ascii="Times New Roman" w:cs="Times New Roman" w:eastAsia="Times New Roman" w:hAnsi="Times New Roman"/>
          <w:sz w:val="18"/>
          <w:szCs w:val="18"/>
          <w:color w:val="auto"/>
        </w:rPr>
      </w:pPr>
    </w:p>
    <w:p>
      <w:pPr>
        <w:ind w:left="4699" w:hanging="96"/>
        <w:spacing w:after="0"/>
        <w:tabs>
          <w:tab w:leader="none" w:pos="4699"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w:t>
      </w:r>
    </w:p>
    <w:p>
      <w:pPr>
        <w:sectPr>
          <w:pgSz w:w="11900" w:h="16838" w:orient="portrait"/>
          <w:cols w:equalWidth="0" w:num="1">
            <w:col w:w="10479"/>
          </w:cols>
          <w:pgMar w:left="1161" w:top="274" w:right="259" w:bottom="1440" w:gutter="0" w:footer="0" w:header="0"/>
        </w:sectPr>
      </w:pPr>
    </w:p>
    <w:bookmarkStart w:id="207" w:name="page208"/>
    <w:bookmarkEnd w:id="207"/>
    <w:p>
      <w:pPr>
        <w:ind w:left="-921" w:firstLine="921"/>
        <w:spacing w:after="0" w:line="258" w:lineRule="auto"/>
        <w:tabs>
          <w:tab w:leader="none" w:pos="241"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 adjustment in the Conversion Price shall be required unless such adjustment (plus any adjustments not previously made by reason of this Section 6(f)) would require an increase or decrease of at least one percent in such Conversion Price;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adjustments which by reason of this Section 6(f) is not required to be made shall be carried forward and taken into account in any subsequent adjustment. All calculations under this Section shall be made to the nearest cent or to the nearest 1/100 of a share of Common Stock, as the case may be.</w:t>
      </w:r>
    </w:p>
    <w:p>
      <w:pPr>
        <w:spacing w:after="0" w:line="136" w:lineRule="exact"/>
        <w:rPr>
          <w:rFonts w:ascii="Times New Roman" w:cs="Times New Roman" w:eastAsia="Times New Roman" w:hAnsi="Times New Roman"/>
          <w:sz w:val="18"/>
          <w:szCs w:val="18"/>
          <w:color w:val="auto"/>
        </w:rPr>
      </w:pPr>
    </w:p>
    <w:p>
      <w:pPr>
        <w:ind w:left="239" w:hanging="239"/>
        <w:spacing w:after="0"/>
        <w:tabs>
          <w:tab w:leader="none" w:pos="239"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Conversion Price is adjusted as herein provided:</w:t>
      </w:r>
    </w:p>
    <w:p>
      <w:pPr>
        <w:spacing w:after="0" w:line="171" w:lineRule="exact"/>
        <w:rPr>
          <w:rFonts w:ascii="Times New Roman" w:cs="Times New Roman" w:eastAsia="Times New Roman" w:hAnsi="Times New Roman"/>
          <w:sz w:val="18"/>
          <w:szCs w:val="18"/>
          <w:color w:val="auto"/>
        </w:rPr>
      </w:pPr>
    </w:p>
    <w:p>
      <w:pPr>
        <w:ind w:left="-921" w:firstLine="921"/>
        <w:spacing w:after="0" w:line="262" w:lineRule="auto"/>
        <w:tabs>
          <w:tab w:leader="none" w:pos="20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compute the adjusted Conversion Price in accordance with Section 6(e) and shall prepare a certificate signed by the treasurer of the Corporation setting forth the adjusted Conversion Price and showing in reasonably detail the facts upon which such adjustment is based, and such certificate shall forthwith be filed with the Transfer Agent; and</w:t>
      </w:r>
    </w:p>
    <w:p>
      <w:pPr>
        <w:spacing w:after="0" w:line="118" w:lineRule="exact"/>
        <w:rPr>
          <w:rFonts w:ascii="Times New Roman" w:cs="Times New Roman" w:eastAsia="Times New Roman" w:hAnsi="Times New Roman"/>
          <w:sz w:val="18"/>
          <w:szCs w:val="18"/>
          <w:color w:val="auto"/>
        </w:rPr>
      </w:pPr>
    </w:p>
    <w:p>
      <w:pPr>
        <w:ind w:left="4699" w:hanging="96"/>
        <w:spacing w:after="0"/>
        <w:tabs>
          <w:tab w:leader="none" w:pos="4699"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w:t>
      </w:r>
    </w:p>
    <w:p>
      <w:pPr>
        <w:sectPr>
          <w:pgSz w:w="11900" w:h="16838" w:orient="portrait"/>
          <w:cols w:equalWidth="0" w:num="1">
            <w:col w:w="10439"/>
          </w:cols>
          <w:pgMar w:left="1161" w:top="274" w:right="299" w:bottom="1440" w:gutter="0" w:footer="0" w:header="0"/>
        </w:sectPr>
      </w:pPr>
    </w:p>
    <w:bookmarkStart w:id="208" w:name="page209"/>
    <w:bookmarkEnd w:id="208"/>
    <w:p>
      <w:pPr>
        <w:ind w:left="-464" w:right="180" w:firstLine="921"/>
        <w:spacing w:after="0" w:line="262" w:lineRule="auto"/>
        <w:tabs>
          <w:tab w:leader="none" w:pos="707"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notice stating that the Conversion Price has been adjusted and setting forth the adjusted Conversion Price shall forthwith be required, and as soon as practicable after it is required, such notice shall be mailed by the Corporation to all holders of Convertible Exchangeable Preferred Stock at their last addresses as they shall appear in the security register.</w:t>
      </w:r>
    </w:p>
    <w:p>
      <w:pPr>
        <w:spacing w:after="0" w:line="51" w:lineRule="exact"/>
        <w:rPr>
          <w:rFonts w:ascii="Times New Roman" w:cs="Times New Roman" w:eastAsia="Times New Roman" w:hAnsi="Times New Roman"/>
          <w:sz w:val="18"/>
          <w:szCs w:val="18"/>
          <w:color w:val="auto"/>
        </w:rPr>
      </w:pPr>
    </w:p>
    <w:p>
      <w:pPr>
        <w:ind w:left="216" w:hanging="216"/>
        <w:spacing w:after="0"/>
        <w:tabs>
          <w:tab w:leader="none" w:pos="21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w:t>
      </w:r>
    </w:p>
    <w:p>
      <w:pPr>
        <w:spacing w:after="0" w:line="171" w:lineRule="exact"/>
        <w:rPr>
          <w:rFonts w:ascii="Times New Roman" w:cs="Times New Roman" w:eastAsia="Times New Roman" w:hAnsi="Times New Roman"/>
          <w:sz w:val="18"/>
          <w:szCs w:val="18"/>
          <w:color w:val="auto"/>
        </w:rPr>
      </w:pPr>
    </w:p>
    <w:p>
      <w:pPr>
        <w:ind w:left="-464" w:firstLine="921"/>
        <w:spacing w:after="0" w:line="275" w:lineRule="auto"/>
        <w:tabs>
          <w:tab w:leader="none" w:pos="658"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declare a dividend or other distribution on its Common Stock (other than a dividend payable exclusively in cash that would not cause an adjustment to the Conversion Price to take place pursuant to Section 6(e) above); or</w:t>
      </w:r>
    </w:p>
    <w:p>
      <w:pPr>
        <w:spacing w:after="0" w:line="119" w:lineRule="exact"/>
        <w:rPr>
          <w:rFonts w:ascii="Times New Roman" w:cs="Times New Roman" w:eastAsia="Times New Roman" w:hAnsi="Times New Roman"/>
          <w:sz w:val="18"/>
          <w:szCs w:val="18"/>
          <w:color w:val="auto"/>
        </w:rPr>
      </w:pPr>
    </w:p>
    <w:p>
      <w:pPr>
        <w:ind w:left="-464" w:right="40" w:firstLine="921"/>
        <w:spacing w:after="0" w:line="275" w:lineRule="auto"/>
        <w:tabs>
          <w:tab w:leader="none" w:pos="707"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or any Subsidiary (as defined below in Section 6(m)) shall make a tender offer for the Common Stock (other than a tender offer that would not cause an adjustment to the Conversion Price pursuant to clause (v) or (vi) of Section 6(m); or</w:t>
      </w:r>
    </w:p>
    <w:p>
      <w:pPr>
        <w:spacing w:after="0" w:line="119" w:lineRule="exact"/>
        <w:rPr>
          <w:rFonts w:ascii="Times New Roman" w:cs="Times New Roman" w:eastAsia="Times New Roman" w:hAnsi="Times New Roman"/>
          <w:sz w:val="18"/>
          <w:szCs w:val="18"/>
          <w:color w:val="auto"/>
        </w:rPr>
      </w:pPr>
    </w:p>
    <w:p>
      <w:pPr>
        <w:ind w:left="-464" w:right="60" w:firstLine="921"/>
        <w:spacing w:after="0" w:line="275" w:lineRule="auto"/>
        <w:tabs>
          <w:tab w:leader="none" w:pos="756"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authorize the granting to all holders of this Common Stock of rights, options or warrants to subscribe for or purchase any shares of capital stock of any class (other than Rights); or</w:t>
      </w:r>
    </w:p>
    <w:p>
      <w:pPr>
        <w:spacing w:after="0" w:line="119" w:lineRule="exact"/>
        <w:rPr>
          <w:rFonts w:ascii="Times New Roman" w:cs="Times New Roman" w:eastAsia="Times New Roman" w:hAnsi="Times New Roman"/>
          <w:sz w:val="18"/>
          <w:szCs w:val="18"/>
          <w:color w:val="auto"/>
        </w:rPr>
      </w:pPr>
    </w:p>
    <w:p>
      <w:pPr>
        <w:ind w:left="-464" w:right="80" w:firstLine="921"/>
        <w:spacing w:after="0" w:line="262" w:lineRule="auto"/>
        <w:tabs>
          <w:tab w:leader="none" w:pos="746"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reclassification of the Common Stock of the Corporation (other than a subdivision or combination of its outstanding shares of Common Stock), or of any consolidation, merger or share exchange to which the Corporation is a party and for which approval of any stockholders of the Corporation is required, or of the sale or transfer of all or substantially all of the assets of the Corporation; or</w:t>
      </w:r>
    </w:p>
    <w:p>
      <w:pPr>
        <w:spacing w:after="0" w:line="132" w:lineRule="exact"/>
        <w:rPr>
          <w:rFonts w:ascii="Times New Roman" w:cs="Times New Roman" w:eastAsia="Times New Roman" w:hAnsi="Times New Roman"/>
          <w:sz w:val="18"/>
          <w:szCs w:val="18"/>
          <w:color w:val="auto"/>
        </w:rPr>
      </w:pPr>
    </w:p>
    <w:p>
      <w:pPr>
        <w:ind w:left="696" w:hanging="239"/>
        <w:spacing w:after="0"/>
        <w:tabs>
          <w:tab w:leader="none" w:pos="696"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voluntary or involuntary dissolution, liquidation or winding up on the Corporation;</w:t>
      </w:r>
    </w:p>
    <w:p>
      <w:pPr>
        <w:spacing w:after="0" w:line="157" w:lineRule="exact"/>
        <w:rPr>
          <w:rFonts w:ascii="Times New Roman" w:cs="Times New Roman" w:eastAsia="Times New Roman" w:hAnsi="Times New Roman"/>
          <w:sz w:val="18"/>
          <w:szCs w:val="18"/>
          <w:color w:val="auto"/>
        </w:rPr>
      </w:pPr>
    </w:p>
    <w:p>
      <w:pPr>
        <w:ind w:left="5156" w:hanging="96"/>
        <w:spacing w:after="0"/>
        <w:tabs>
          <w:tab w:leader="none" w:pos="5156" w:val="left"/>
        </w:tabs>
        <w:numPr>
          <w:ilvl w:val="2"/>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w:t>
      </w:r>
    </w:p>
    <w:p>
      <w:pPr>
        <w:sectPr>
          <w:pgSz w:w="11900" w:h="16838" w:orient="portrait"/>
          <w:cols w:equalWidth="0" w:num="1">
            <w:col w:w="10856"/>
          </w:cols>
          <w:pgMar w:left="704" w:top="274" w:right="339" w:bottom="1440" w:gutter="0" w:footer="0" w:header="0"/>
        </w:sectPr>
      </w:pPr>
    </w:p>
    <w:bookmarkStart w:id="209" w:name="page210"/>
    <w:bookmarkEnd w:id="209"/>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then the Corporation shall cause to be filed with the Transfer Agent, and shall cause to be mailed to all holders of the Convertible Exchangeable Preferred Stock at their last addresses as they shall appear in the security register, at least 20 days (or 10 days in any case specified in clause (i) or (ii) above) prior to the effective date hereinafter specified, a notice stating (x) the date on which a record has been taken for the purpose of such dividend, distribution or grant of rights, options or warrants, or, if a record is not to be taken, the date as of which the identity of the holders of Common Stock of record entitled to such dividend, distribution, rights, options or warrants was determined, or (y) the date on which such reclassification, consolidation, merger, share exchange, sale, transfer, dissolution, liquidation or winding up is expected to become effective, and the date as of which it is expected that holders of Common Stock of record shall be entitled to exchange their shares of Common Stock for securities, cash or other property deliverable upon such reclassification, consolidation, merger, share exchange, sale, transfer, dissolution, liquidation or winding up. Neither the failure to give such notice nor any defect therein shall affect the legality or validity of the proceedings described in clauses (i) through (v) of this Section 6(h).</w:t>
      </w:r>
    </w:p>
    <w:p>
      <w:pPr>
        <w:spacing w:after="0" w:line="143" w:lineRule="exact"/>
        <w:rPr>
          <w:sz w:val="20"/>
          <w:szCs w:val="20"/>
          <w:color w:val="auto"/>
        </w:rPr>
      </w:pPr>
    </w:p>
    <w:p>
      <w:pPr>
        <w:ind w:right="60" w:firstLine="921"/>
        <w:spacing w:after="0" w:line="262" w:lineRule="auto"/>
        <w:tabs>
          <w:tab w:leader="none" w:pos="1123"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at all times reserve and keep available out of its authorized but unissued Common Stock, for the purpose of effecting the conversion of Convertible Exchangeable Preferred Stock, the full number of shares of Common Stock then issuable upon the conversion of all outstanding shares of Convertible Exchangeable Preferred Stock.</w:t>
      </w:r>
    </w:p>
    <w:p>
      <w:pPr>
        <w:spacing w:after="0" w:line="132" w:lineRule="exact"/>
        <w:rPr>
          <w:rFonts w:ascii="Times New Roman" w:cs="Times New Roman" w:eastAsia="Times New Roman" w:hAnsi="Times New Roman"/>
          <w:sz w:val="18"/>
          <w:szCs w:val="18"/>
          <w:color w:val="auto"/>
        </w:rPr>
      </w:pPr>
    </w:p>
    <w:p>
      <w:pPr>
        <w:ind w:firstLine="921"/>
        <w:spacing w:after="0" w:line="256" w:lineRule="auto"/>
        <w:tabs>
          <w:tab w:leader="none" w:pos="1162"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covenants that it will pay any and all taxes that may be payable in respect of the issue or delivery of shares of Common Stock on conversion of Convertible Exchangeable Preferred Stock pursuant hereto. The Corporation shall not, however, be required to pay any tax which may be payable in respect of any transfer involved in the issue and delivery of shares of Common Stock in a name other than that of the holder of the shares of Convertible Exchangeable Preferred Stock to be converted, and no such issue or delivery shall be made unless and until the person requesting such issue has paid to the Corporation the amount of any such tax, or has established to the satisfaction of the Corporation that such tax has been paid.</w:t>
      </w:r>
    </w:p>
    <w:p>
      <w:pPr>
        <w:spacing w:after="0" w:line="138" w:lineRule="exact"/>
        <w:rPr>
          <w:rFonts w:ascii="Times New Roman" w:cs="Times New Roman" w:eastAsia="Times New Roman" w:hAnsi="Times New Roman"/>
          <w:sz w:val="18"/>
          <w:szCs w:val="18"/>
          <w:color w:val="auto"/>
        </w:rPr>
      </w:pPr>
    </w:p>
    <w:p>
      <w:pPr>
        <w:ind w:right="80" w:firstLine="921"/>
        <w:spacing w:after="0" w:line="262" w:lineRule="auto"/>
        <w:tabs>
          <w:tab w:leader="none" w:pos="1123"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covenants that all shares of Common Stock which may be issued upon conversion of Convertible Exchangeable Preferred Stock will upon issue be fully paid and nonassessable and, except as provided in Section 6(j) above, the Corporation covenants that it will pay all taxes, liens and charges with respect to the issue thereof.</w:t>
      </w:r>
    </w:p>
    <w:p>
      <w:pPr>
        <w:spacing w:after="0" w:line="118" w:lineRule="exact"/>
        <w:rPr>
          <w:rFonts w:ascii="Times New Roman" w:cs="Times New Roman" w:eastAsia="Times New Roman" w:hAnsi="Times New Roman"/>
          <w:sz w:val="18"/>
          <w:szCs w:val="18"/>
          <w:color w:val="auto"/>
        </w:rPr>
      </w:pPr>
    </w:p>
    <w:p>
      <w:pPr>
        <w:ind w:left="5620" w:hanging="96"/>
        <w:spacing w:after="0"/>
        <w:tabs>
          <w:tab w:leader="none" w:pos="562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w:t>
      </w:r>
    </w:p>
    <w:p>
      <w:pPr>
        <w:sectPr>
          <w:pgSz w:w="11900" w:h="16838" w:orient="portrait"/>
          <w:cols w:equalWidth="0" w:num="1">
            <w:col w:w="11420"/>
          </w:cols>
          <w:pgMar w:left="240" w:top="274" w:right="239" w:bottom="1440" w:gutter="0" w:footer="0" w:header="0"/>
        </w:sectPr>
      </w:pPr>
    </w:p>
    <w:bookmarkStart w:id="210" w:name="page211"/>
    <w:bookmarkEnd w:id="210"/>
    <w:p>
      <w:pPr>
        <w:ind w:left="-921" w:right="160" w:firstLine="921"/>
        <w:spacing w:after="0" w:line="275" w:lineRule="auto"/>
        <w:tabs>
          <w:tab w:leader="none" w:pos="289"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shares of Convertible Exchangeable Preferred Stock delivered for conversion shall be delivered to the Transfer Agent to be cancelled by or at the direction of the Transfer Agent, which shall dispose of the same.</w:t>
      </w:r>
    </w:p>
    <w:p>
      <w:pPr>
        <w:spacing w:after="0" w:line="119" w:lineRule="exact"/>
        <w:rPr>
          <w:rFonts w:ascii="Times New Roman" w:cs="Times New Roman" w:eastAsia="Times New Roman" w:hAnsi="Times New Roman"/>
          <w:sz w:val="18"/>
          <w:szCs w:val="18"/>
          <w:color w:val="auto"/>
        </w:rPr>
      </w:pPr>
    </w:p>
    <w:p>
      <w:pPr>
        <w:ind w:left="-921" w:firstLine="921"/>
        <w:spacing w:after="0" w:line="252" w:lineRule="auto"/>
        <w:tabs>
          <w:tab w:leader="none" w:pos="2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Conversion Rights upon Corporate Change or Ownership Change</w:t>
      </w:r>
      <w:r>
        <w:rPr>
          <w:rFonts w:ascii="Times New Roman" w:cs="Times New Roman" w:eastAsia="Times New Roman" w:hAnsi="Times New Roman"/>
          <w:sz w:val="18"/>
          <w:szCs w:val="18"/>
          <w:color w:val="auto"/>
        </w:rPr>
        <w:t xml:space="preserve">. If a Corporate Change (as defined below) has occurred with respect to the Corporation, except as otherwise provided below, each holder of Convertible Exchangeable Preferred Stock shall have the right, at the holder </w:t>
      </w:r>
      <w:r>
        <w:rPr>
          <w:rFonts w:ascii="Times New Roman" w:cs="Times New Roman" w:eastAsia="Times New Roman" w:hAnsi="Times New Roman"/>
          <w:sz w:val="1"/>
          <w:szCs w:val="1"/>
          <w:color w:val="auto"/>
        </w:rPr>
        <w:drawing>
          <wp:inline distT="0" distB="0" distL="0" distR="0">
            <wp:extent cx="102870" cy="94615"/>
            <wp:effectExtent l="0" t="0" r="0" b="0"/>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 option, for a period of 45 days after the mailing of a notice by the Corporation that a Corporate Change has occurred, to convert all, but not less than all, of such holder </w:t>
      </w:r>
      <w:r>
        <w:rPr>
          <w:rFonts w:ascii="Times New Roman" w:cs="Times New Roman" w:eastAsia="Times New Roman" w:hAnsi="Times New Roman"/>
          <w:sz w:val="1"/>
          <w:szCs w:val="1"/>
          <w:color w:val="auto"/>
        </w:rPr>
        <w:drawing>
          <wp:inline distT="0" distB="0" distL="0" distR="0">
            <wp:extent cx="102870" cy="94615"/>
            <wp:effectExtent l="0" t="0" r="0" b="0"/>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 Convertible Exchangeable Preferred Stock into Marketable Stock (as defined below) with an aggregate Applicable Value (as defined below) equal to the aggregate Stated Value (as defined below) of the Convertible Exchangeable Preferred Stock for which conversion is elected before the close of business on any Business Day. The Corporation may, at its option, in lieu of providing Common Stock upon any such conversion, provide the holders who have elected to convert under this Section 6(m) with cash in an amount equal to the aggregate Stated Value of that portion of the Convertible Exchangeable Preferred Stock for which such conversion is elected and for which the Corporation elects to pay such cash. Any such election by the Corporation may be for all or any portion of the Convertible Exchangeable Preferred Stock for which such conversion under this Section 6(m) was elected by the holders thereof. Shares of Convertible Exchangeable Preferred Stock which are not converted as provided above will remain convertible into the kind and amount of securities, cash or other assets which the holders of the Convertible Exchangeable Preferred Stock would have owned immediately after the Corporate Change if the holders had converted the Convertible Exchangeable Preferred Stock immediately before the effective date of the Corporate Change. The Corporation covenants that it will notify the registered holders of Convertible Exchangeable Preferred Stock of any Corporate Change at least 30 days in advance of the effective date of any such Corporate Change in order to allow such holders an opportunity to exercise their conversion rights prior to the effective date of such Corporate Change and before the special conversion right provided in this Section 6(m) commences.</w:t>
      </w:r>
    </w:p>
    <w:p>
      <w:pPr>
        <w:spacing w:after="0" w:line="129" w:lineRule="exact"/>
        <w:rPr>
          <w:rFonts w:ascii="Times New Roman" w:cs="Times New Roman" w:eastAsia="Times New Roman" w:hAnsi="Times New Roman"/>
          <w:sz w:val="18"/>
          <w:szCs w:val="18"/>
          <w:color w:val="auto"/>
        </w:rPr>
      </w:pPr>
    </w:p>
    <w:p>
      <w:pPr>
        <w:ind w:left="4699" w:hanging="96"/>
        <w:spacing w:after="0"/>
        <w:tabs>
          <w:tab w:leader="none" w:pos="4699"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w:t>
      </w:r>
    </w:p>
    <w:p>
      <w:pPr>
        <w:sectPr>
          <w:pgSz w:w="11900" w:h="16838" w:orient="portrait"/>
          <w:cols w:equalWidth="0" w:num="1">
            <w:col w:w="10499"/>
          </w:cols>
          <w:pgMar w:left="1161" w:top="274" w:right="239" w:bottom="1440" w:gutter="0" w:footer="0" w:header="0"/>
        </w:sectPr>
      </w:pPr>
    </w:p>
    <w:bookmarkStart w:id="211" w:name="page212"/>
    <w:bookmarkEnd w:id="211"/>
    <w:p>
      <w:pPr>
        <w:ind w:firstLine="913"/>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an Ownership Change (as defined below) should occur with respect to the Corporation, except as otherwise provided below, each holder of the Convertible Exchangeable Preferred Stock shall have the right, at the holder </w:t>
      </w:r>
      <w:r>
        <w:rPr>
          <w:sz w:val="1"/>
          <w:szCs w:val="1"/>
          <w:color w:val="auto"/>
        </w:rPr>
        <w:drawing>
          <wp:inline distT="0" distB="0" distL="0" distR="0">
            <wp:extent cx="102870" cy="94615"/>
            <wp:effectExtent l="0" t="0" r="0" b="0"/>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 option, for a period of 45 days after the mailing of a notice by the Corporation that an Ownership Change has occurred, to convert all, but not less than all, of such holder </w:t>
      </w:r>
      <w:r>
        <w:rPr>
          <w:sz w:val="1"/>
          <w:szCs w:val="1"/>
          <w:color w:val="auto"/>
        </w:rPr>
        <w:drawing>
          <wp:inline distT="0" distB="0" distL="0" distR="0">
            <wp:extent cx="102870" cy="94615"/>
            <wp:effectExtent l="0" t="0" r="0" b="0"/>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 Convertible Exchangeable Preferred Stock into Common Stock with an aggregate Applicable Value equal to the aggregate Stated Value of the Convertible Exchangeable Preferred Stock for which conversion is elected before the close of business on any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should the 45th day after the mailing of such notice not be a Business Day, then holders of Convertible Exchangeable Preferred Stock shall additionally have the right to exercise their special conversion rights before the close of business on the next Business Day following the 45th day after the mailing of such notice. The Corporation may, at its option, in lieu of providing Common Stock upon any such conversion, provide to the holders who have elected to convert under this Section 6(m) cash in an amount equal to the aggregate Stated Value of that portion of the Convertible Exchangeable Preferred Stock for which such conversion was elected and for which the Corporation elects to pay such cash. Any such election by the Corporation may be for all or any portion of the Convertible Exchangeable Preferred Stock for which such conversion under this Section 6(m) was elected by the holders thereof. The special conversion right arising upon an Ownership Change will only be applicable with respect to the first Ownership Change that occurs after the date of original issuance of the Convertible Exchangeable Preferred Stock.</w:t>
      </w:r>
    </w:p>
    <w:p>
      <w:pPr>
        <w:spacing w:after="0" w:line="147" w:lineRule="exact"/>
        <w:rPr>
          <w:sz w:val="20"/>
          <w:szCs w:val="20"/>
          <w:color w:val="auto"/>
        </w:rPr>
      </w:pPr>
    </w:p>
    <w:p>
      <w:pPr>
        <w:ind w:right="40" w:firstLine="913"/>
        <w:spacing w:after="0" w:line="254" w:lineRule="auto"/>
        <w:rPr>
          <w:sz w:val="20"/>
          <w:szCs w:val="20"/>
          <w:color w:val="auto"/>
        </w:rPr>
      </w:pPr>
      <w:r>
        <w:rPr>
          <w:rFonts w:ascii="Times New Roman" w:cs="Times New Roman" w:eastAsia="Times New Roman" w:hAnsi="Times New Roman"/>
          <w:sz w:val="18"/>
          <w:szCs w:val="18"/>
          <w:color w:val="auto"/>
        </w:rPr>
        <w:t>If a Corporate Change or an Ownership Change occurs with respect to the Corporation, then, within 30 days after the occurrence of such Corporate Change or Ownership Change, as the case may be, the Corporation covenants that it will mail to each registered holder of Convertible Exchangeable Preferred Stock a notice setting forth details regarding the special conversion right available to such holder based upon such Corporate Change or Ownership Change. A holder of Convertible Exchangeable Preferred Stock must exercise the special conversion right, if at all, within the applicable period (as specified above) after the mailing of such notice by the Corporation. Exercise of such special conversion right shall be irrevocable and dividends on Convertible Exchangeable Preferred Stock tendered for conversion shall cease to accrue from and after the conversion date. The conversion date with respect to the exercise of a special conversion right arising upon a Corporate Change or Ownership Change shall be the 45th day after the mailing of the notice by the Corporation that a Corporate Change or Ownership Change, as the case may be, has occurred.</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- 21 -</w:t>
      </w:r>
    </w:p>
    <w:p>
      <w:pPr>
        <w:sectPr>
          <w:pgSz w:w="11900" w:h="16838" w:orient="portrait"/>
          <w:cols w:equalWidth="0" w:num="1">
            <w:col w:w="11420"/>
          </w:cols>
          <w:pgMar w:left="240" w:top="274" w:right="239" w:bottom="1440" w:gutter="0" w:footer="0" w:header="0"/>
        </w:sectPr>
      </w:pPr>
    </w:p>
    <w:bookmarkStart w:id="212" w:name="page213"/>
    <w:bookmarkEnd w:id="212"/>
    <w:p>
      <w:pPr>
        <w:ind w:right="60" w:firstLine="913"/>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As used in this Section 6(m), a </w:t>
      </w:r>
      <w:r>
        <w:rPr>
          <w:sz w:val="1"/>
          <w:szCs w:val="1"/>
          <w:color w:val="auto"/>
        </w:rPr>
        <w:drawing>
          <wp:inline distT="0" distB="0" distL="0" distR="0">
            <wp:extent cx="102870" cy="94615"/>
            <wp:effectExtent l="0" t="0" r="0" b="0"/>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Corporate Change </w:t>
      </w:r>
      <w:r>
        <w:rPr>
          <w:sz w:val="1"/>
          <w:szCs w:val="1"/>
          <w:color w:val="auto"/>
        </w:rPr>
        <w:drawing>
          <wp:inline distT="0" distB="0" distL="0" distR="0">
            <wp:extent cx="102870" cy="94615"/>
            <wp:effectExtent l="0" t="0" r="0" b="0"/>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with respect to the Corporation shall be deemed to have occurred at such time as the Corporation shall consummate any transaction of merger or consolidation of the Corporation, or shall convey, sell, lease, assign, transfer or otherwise dispose of, all or substantially all of the Corporation </w:t>
      </w:r>
      <w:r>
        <w:rPr>
          <w:sz w:val="1"/>
          <w:szCs w:val="1"/>
          <w:color w:val="auto"/>
        </w:rPr>
        <w:drawing>
          <wp:inline distT="0" distB="0" distL="0" distR="0">
            <wp:extent cx="102870" cy="94615"/>
            <wp:effectExtent l="0" t="0" r="0" b="0"/>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 property, business or assets, except that none of the following shall constitute a corporate change:</w:t>
      </w:r>
    </w:p>
    <w:p>
      <w:pPr>
        <w:spacing w:after="0" w:line="132" w:lineRule="exact"/>
        <w:rPr>
          <w:sz w:val="20"/>
          <w:szCs w:val="20"/>
          <w:color w:val="auto"/>
        </w:rPr>
      </w:pPr>
    </w:p>
    <w:p>
      <w:pPr>
        <w:ind w:firstLine="921"/>
        <w:spacing w:after="0" w:line="262" w:lineRule="auto"/>
        <w:tabs>
          <w:tab w:leader="none" w:pos="1123"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or consolidation of any Subsidiary of the Corporation with or into the Corporation (provided that the Corporation shall be the continuing or surviving corporation) or the merger of consolidation of the Corporation or any Subsidiary with or into any one or more wholly-owned Subsidiaries of the Corporation (provided that a wholly-owned Subsidiary shall be the continuing or surviving corporation); and</w:t>
      </w:r>
    </w:p>
    <w:p>
      <w:pPr>
        <w:spacing w:after="0" w:line="132" w:lineRule="exact"/>
        <w:rPr>
          <w:rFonts w:ascii="Times New Roman" w:cs="Times New Roman" w:eastAsia="Times New Roman" w:hAnsi="Times New Roman"/>
          <w:sz w:val="18"/>
          <w:szCs w:val="18"/>
          <w:color w:val="auto"/>
        </w:rPr>
      </w:pPr>
    </w:p>
    <w:p>
      <w:pPr>
        <w:ind w:right="80" w:firstLine="921"/>
        <w:spacing w:after="0" w:line="262" w:lineRule="auto"/>
        <w:tabs>
          <w:tab w:leader="none" w:pos="1171"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transfer or other disposition by any wholly-owned Subsidiary of any or all of its assets (upon voluntary liquidation or otherwise) to the Corporation or any sale, lease transfer or other disposition by the Corporation of any or all of its assets to a wholly-owned Subsidiary of the Corporation; and</w:t>
      </w:r>
    </w:p>
    <w:p>
      <w:pPr>
        <w:spacing w:after="0" w:line="132" w:lineRule="exact"/>
        <w:rPr>
          <w:rFonts w:ascii="Times New Roman" w:cs="Times New Roman" w:eastAsia="Times New Roman" w:hAnsi="Times New Roman"/>
          <w:sz w:val="18"/>
          <w:szCs w:val="18"/>
          <w:color w:val="auto"/>
        </w:rPr>
      </w:pPr>
    </w:p>
    <w:p>
      <w:pPr>
        <w:ind w:right="180" w:firstLine="921"/>
        <w:spacing w:after="0" w:line="275" w:lineRule="auto"/>
        <w:tabs>
          <w:tab w:leader="none" w:pos="12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transfer or other disposition by the Corporation of any or all of the capital stock or assets of any or all of LSB Chemical Corp., Equity Bank, or EDC, or any of their respective subsidiaries, or any business acquired after the date hereof; and</w:t>
      </w:r>
    </w:p>
    <w:p>
      <w:pPr>
        <w:spacing w:after="0" w:line="119" w:lineRule="exact"/>
        <w:rPr>
          <w:rFonts w:ascii="Times New Roman" w:cs="Times New Roman" w:eastAsia="Times New Roman" w:hAnsi="Times New Roman"/>
          <w:sz w:val="18"/>
          <w:szCs w:val="18"/>
          <w:color w:val="auto"/>
        </w:rPr>
      </w:pPr>
    </w:p>
    <w:p>
      <w:pPr>
        <w:ind w:right="300" w:firstLine="921"/>
        <w:spacing w:after="0" w:line="275" w:lineRule="auto"/>
        <w:tabs>
          <w:tab w:leader="none" w:pos="121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consolidation, sale, lease, assignment, transfer or disposition pursuant to which the consideration received and to be received by holders of the Common Stock consists solely of Marketable Stock.</w:t>
      </w:r>
    </w:p>
    <w:p>
      <w:pPr>
        <w:spacing w:after="0" w:line="120" w:lineRule="exact"/>
        <w:rPr>
          <w:sz w:val="20"/>
          <w:szCs w:val="20"/>
          <w:color w:val="auto"/>
        </w:rPr>
      </w:pPr>
    </w:p>
    <w:p>
      <w:pPr>
        <w:ind w:right="20" w:firstLine="913"/>
        <w:spacing w:after="0" w:line="254" w:lineRule="auto"/>
        <w:rPr>
          <w:sz w:val="20"/>
          <w:szCs w:val="20"/>
          <w:color w:val="auto"/>
        </w:rPr>
      </w:pPr>
      <w:r>
        <w:rPr>
          <w:rFonts w:ascii="Times New Roman" w:cs="Times New Roman" w:eastAsia="Times New Roman" w:hAnsi="Times New Roman"/>
          <w:sz w:val="18"/>
          <w:szCs w:val="18"/>
          <w:color w:val="auto"/>
        </w:rPr>
        <w:t xml:space="preserve">As used in this Section 6(m), an </w:t>
      </w:r>
      <w:r>
        <w:rPr>
          <w:sz w:val="1"/>
          <w:szCs w:val="1"/>
          <w:color w:val="auto"/>
        </w:rPr>
        <w:drawing>
          <wp:inline distT="0" distB="0" distL="0" distR="0">
            <wp:extent cx="102870" cy="94615"/>
            <wp:effectExtent l="0" t="0" r="0" b="0"/>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Ownership Change </w:t>
      </w:r>
      <w:r>
        <w:rPr>
          <w:sz w:val="1"/>
          <w:szCs w:val="1"/>
          <w:color w:val="auto"/>
        </w:rPr>
        <w:drawing>
          <wp:inline distT="0" distB="0" distL="0" distR="0">
            <wp:extent cx="102870" cy="94615"/>
            <wp:effectExtent l="0" t="0" r="0" b="0"/>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with respect to the Corporation shall be deemed to have occurred at such time as any Person (other than Jack E. Golsen and members of his Immediate Family and any entity Controlled by Jack E. Golsen and members of his Immediate Family), together with its affiliates and associates, is or becomes the beneficial owner, directly or indirectly, of more than 50% of the outstanding Common Stock of the Corporation pursuant to a transaction that does not constitute a Corporate Change with respect to the Corporation. </w:t>
      </w:r>
      <w:r>
        <w:rPr>
          <w:sz w:val="1"/>
          <w:szCs w:val="1"/>
          <w:color w:val="auto"/>
        </w:rPr>
        <w:drawing>
          <wp:inline distT="0" distB="0" distL="0" distR="0">
            <wp:extent cx="102870" cy="94615"/>
            <wp:effectExtent l="0" t="0" r="0" b="0"/>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Control </w:t>
      </w:r>
      <w:r>
        <w:rPr>
          <w:sz w:val="1"/>
          <w:szCs w:val="1"/>
          <w:color w:val="auto"/>
        </w:rPr>
        <w:drawing>
          <wp:inline distT="0" distB="0" distL="0" distR="0">
            <wp:extent cx="102870" cy="94615"/>
            <wp:effectExtent l="0" t="0" r="0" b="0"/>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means the possession, directly or indirectly, of the power to direct or cause the direction of the management or policies of a person, whether through the ownership of voting securities, by contract or otherwise and </w:t>
      </w:r>
      <w:r>
        <w:rPr>
          <w:sz w:val="1"/>
          <w:szCs w:val="1"/>
          <w:color w:val="auto"/>
        </w:rPr>
        <w:drawing>
          <wp:inline distT="0" distB="0" distL="0" distR="0">
            <wp:extent cx="102870" cy="94615"/>
            <wp:effectExtent l="0" t="0" r="0" b="0"/>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Controlled </w:t>
      </w:r>
      <w:r>
        <w:rPr>
          <w:sz w:val="1"/>
          <w:szCs w:val="1"/>
          <w:color w:val="auto"/>
        </w:rPr>
        <w:drawing>
          <wp:inline distT="0" distB="0" distL="0" distR="0">
            <wp:extent cx="102870" cy="94615"/>
            <wp:effectExtent l="0" t="0" r="0" b="0"/>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shall have the meaning correlative thereto. </w:t>
      </w:r>
      <w:r>
        <w:rPr>
          <w:sz w:val="1"/>
          <w:szCs w:val="1"/>
          <w:color w:val="auto"/>
        </w:rPr>
        <w:drawing>
          <wp:inline distT="0" distB="0" distL="0" distR="0">
            <wp:extent cx="102870" cy="94615"/>
            <wp:effectExtent l="0" t="0" r="0" b="0"/>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Immediate Family </w:t>
      </w:r>
      <w:r>
        <w:rPr>
          <w:sz w:val="1"/>
          <w:szCs w:val="1"/>
          <w:color w:val="auto"/>
        </w:rPr>
        <w:drawing>
          <wp:inline distT="0" distB="0" distL="0" distR="0">
            <wp:extent cx="102870" cy="94615"/>
            <wp:effectExtent l="0" t="0" r="0" b="0"/>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of any person means the spouse, siblings, parents, children, nieces and nephews of such person.</w:t>
      </w:r>
    </w:p>
    <w:p>
      <w:pPr>
        <w:spacing w:after="0" w:line="1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- 22 -</w:t>
      </w:r>
    </w:p>
    <w:p>
      <w:pPr>
        <w:sectPr>
          <w:pgSz w:w="11900" w:h="16838" w:orient="portrait"/>
          <w:cols w:equalWidth="0" w:num="1">
            <w:col w:w="11380"/>
          </w:cols>
          <w:pgMar w:left="240" w:top="274" w:right="279" w:bottom="1440" w:gutter="0" w:footer="0" w:header="0"/>
        </w:sectPr>
      </w:pPr>
    </w:p>
    <w:bookmarkStart w:id="213" w:name="page214"/>
    <w:bookmarkEnd w:id="213"/>
    <w:p>
      <w:pPr>
        <w:ind w:firstLine="913"/>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As used in this Section 6(m) the </w:t>
      </w:r>
      <w:r>
        <w:rPr>
          <w:sz w:val="1"/>
          <w:szCs w:val="1"/>
          <w:color w:val="auto"/>
        </w:rPr>
        <w:drawing>
          <wp:inline distT="0" distB="0" distL="0" distR="0">
            <wp:extent cx="102870" cy="94615"/>
            <wp:effectExtent l="0" t="0" r="0" b="0"/>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Applicable Value </w:t>
      </w:r>
      <w:r>
        <w:rPr>
          <w:sz w:val="1"/>
          <w:szCs w:val="1"/>
          <w:color w:val="auto"/>
        </w:rPr>
        <w:drawing>
          <wp:inline distT="0" distB="0" distL="0" distR="0">
            <wp:extent cx="102870" cy="94615"/>
            <wp:effectExtent l="0" t="0" r="0" b="0"/>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of a share of the Common Stock or a share of common stock of a corporation that is the successor to all or substantially all of the business and assets of the Corporation as the result of a Corporate Change, shall be the higher of the Market Value or the Reference Value (as defined below).</w:t>
      </w:r>
    </w:p>
    <w:p>
      <w:pPr>
        <w:spacing w:after="0" w:line="132" w:lineRule="exact"/>
        <w:rPr>
          <w:sz w:val="20"/>
          <w:szCs w:val="20"/>
          <w:color w:val="auto"/>
        </w:rPr>
      </w:pPr>
    </w:p>
    <w:p>
      <w:pPr>
        <w:ind w:right="260" w:firstLine="913"/>
        <w:spacing w:after="0" w:line="310" w:lineRule="auto"/>
        <w:rPr>
          <w:sz w:val="20"/>
          <w:szCs w:val="20"/>
          <w:color w:val="auto"/>
        </w:rPr>
      </w:pPr>
      <w:r>
        <w:rPr>
          <w:rFonts w:ascii="Times New Roman" w:cs="Times New Roman" w:eastAsia="Times New Roman" w:hAnsi="Times New Roman"/>
          <w:sz w:val="16"/>
          <w:szCs w:val="16"/>
          <w:color w:val="auto"/>
        </w:rPr>
        <w:t xml:space="preserve">As used in this Section 6(m) the </w:t>
      </w:r>
      <w:r>
        <w:rPr>
          <w:sz w:val="1"/>
          <w:szCs w:val="1"/>
          <w:color w:val="auto"/>
        </w:rPr>
        <w:drawing>
          <wp:inline distT="0" distB="0" distL="0" distR="0">
            <wp:extent cx="102870" cy="94615"/>
            <wp:effectExtent l="0" t="0" r="0" b="0"/>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Market Value </w:t>
      </w:r>
      <w:r>
        <w:rPr>
          <w:sz w:val="1"/>
          <w:szCs w:val="1"/>
          <w:color w:val="auto"/>
        </w:rPr>
        <w:drawing>
          <wp:inline distT="0" distB="0" distL="0" distR="0">
            <wp:extent cx="102870" cy="94615"/>
            <wp:effectExtent l="0" t="0" r="0" b="0"/>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of a share of the Common Stock or a share of common stock of a corporation that is the successor to all or substantially all of the business and assets of the Corporation as the result of a Corporate Change, shall be the average of the closing market prices of such common stock for the five Trading Days ending on the last Trading Day preceding the date of the Corporate Change or Ownership Change.</w:t>
      </w:r>
    </w:p>
    <w:p>
      <w:pPr>
        <w:spacing w:after="0" w:line="97"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 xml:space="preserve">As used in this Section 6(m) the term </w:t>
      </w:r>
      <w:r>
        <w:rPr>
          <w:sz w:val="1"/>
          <w:szCs w:val="1"/>
          <w:color w:val="auto"/>
        </w:rPr>
        <w:drawing>
          <wp:inline distT="0" distB="0" distL="0" distR="0">
            <wp:extent cx="102870" cy="94615"/>
            <wp:effectExtent l="0" t="0" r="0" b="0"/>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Marketable Stock </w:t>
      </w:r>
      <w:r>
        <w:rPr>
          <w:sz w:val="1"/>
          <w:szCs w:val="1"/>
          <w:color w:val="auto"/>
        </w:rPr>
        <w:drawing>
          <wp:inline distT="0" distB="0" distL="0" distR="0">
            <wp:extent cx="102870" cy="94615"/>
            <wp:effectExtent l="0" t="0" r="0" b="0"/>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shall mean Common Stock or common stock of any corporation that is the successor to all or substantially all of the business or assets of the Corporation as a result of a Corporate Change, as the case may be, which is (or will, upon distribution there, be) listed on a national securities exchange or approved for quotation in the NASDAQ/NMS or any similar system of automated dissemination of quotations of securities prices in the United States.</w:t>
      </w:r>
    </w:p>
    <w:p>
      <w:pPr>
        <w:spacing w:after="0" w:line="136" w:lineRule="exact"/>
        <w:rPr>
          <w:sz w:val="20"/>
          <w:szCs w:val="20"/>
          <w:color w:val="auto"/>
        </w:rPr>
      </w:pPr>
    </w:p>
    <w:p>
      <w:pPr>
        <w:ind w:right="520" w:firstLine="913"/>
        <w:spacing w:after="0" w:line="262" w:lineRule="auto"/>
        <w:rPr>
          <w:sz w:val="20"/>
          <w:szCs w:val="20"/>
          <w:color w:val="auto"/>
        </w:rPr>
      </w:pPr>
      <w:r>
        <w:rPr>
          <w:rFonts w:ascii="Times New Roman" w:cs="Times New Roman" w:eastAsia="Times New Roman" w:hAnsi="Times New Roman"/>
          <w:sz w:val="18"/>
          <w:szCs w:val="18"/>
          <w:color w:val="auto"/>
        </w:rPr>
        <w:t xml:space="preserve">As used in this Section 6(m), </w:t>
      </w:r>
      <w:r>
        <w:rPr>
          <w:sz w:val="1"/>
          <w:szCs w:val="1"/>
          <w:color w:val="auto"/>
        </w:rPr>
        <w:drawing>
          <wp:inline distT="0" distB="0" distL="0" distR="0">
            <wp:extent cx="102870" cy="94615"/>
            <wp:effectExtent l="0" t="0" r="0" b="0"/>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Stated Value </w:t>
      </w:r>
      <w:r>
        <w:rPr>
          <w:sz w:val="1"/>
          <w:szCs w:val="1"/>
          <w:color w:val="auto"/>
        </w:rPr>
        <w:drawing>
          <wp:inline distT="0" distB="0" distL="0" distR="0">
            <wp:extent cx="102870" cy="94615"/>
            <wp:effectExtent l="0" t="0" r="0" b="0"/>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of a share of Convertible Exchangeable Preferred Stock converted during the 45-day period following the notice of a Corporate Change or an Ownership Change shall mean $50.00 plus accrued and unpaid dividends, whether or not declared, to the conversion date.</w:t>
      </w:r>
    </w:p>
    <w:p>
      <w:pPr>
        <w:spacing w:after="0" w:line="132" w:lineRule="exact"/>
        <w:rPr>
          <w:sz w:val="20"/>
          <w:szCs w:val="20"/>
          <w:color w:val="auto"/>
        </w:rPr>
      </w:pPr>
    </w:p>
    <w:p>
      <w:pPr>
        <w:ind w:right="320" w:firstLine="913"/>
        <w:spacing w:after="0" w:line="275" w:lineRule="auto"/>
        <w:rPr>
          <w:sz w:val="20"/>
          <w:szCs w:val="20"/>
          <w:color w:val="auto"/>
        </w:rPr>
      </w:pPr>
      <w:r>
        <w:rPr>
          <w:rFonts w:ascii="Times New Roman" w:cs="Times New Roman" w:eastAsia="Times New Roman" w:hAnsi="Times New Roman"/>
          <w:sz w:val="18"/>
          <w:szCs w:val="18"/>
          <w:color w:val="auto"/>
        </w:rPr>
        <w:t xml:space="preserve">As used in this Section 6(m) </w:t>
      </w:r>
      <w:r>
        <w:rPr>
          <w:sz w:val="1"/>
          <w:szCs w:val="1"/>
          <w:color w:val="auto"/>
        </w:rPr>
        <w:drawing>
          <wp:inline distT="0" distB="0" distL="0" distR="0">
            <wp:extent cx="102870" cy="94615"/>
            <wp:effectExtent l="0" t="0" r="0" b="0"/>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Subsidiary </w:t>
      </w:r>
      <w:r>
        <w:rPr>
          <w:sz w:val="1"/>
          <w:szCs w:val="1"/>
          <w:color w:val="auto"/>
        </w:rPr>
        <w:drawing>
          <wp:inline distT="0" distB="0" distL="0" distR="0">
            <wp:extent cx="102870" cy="94615"/>
            <wp:effectExtent l="0" t="0" r="0" b="0"/>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means a corporation more than 50% of the outstanding voting stock of which is owned, directly or indirectly, by the Corporation or by one or more other Subsidiaries, or by the Corporation and one or more other Subsidiaries.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- 23 -</w:t>
      </w:r>
    </w:p>
    <w:p>
      <w:pPr>
        <w:sectPr>
          <w:pgSz w:w="11900" w:h="16838" w:orient="portrait"/>
          <w:cols w:equalWidth="0" w:num="1">
            <w:col w:w="11400"/>
          </w:cols>
          <w:pgMar w:left="240" w:top="274" w:right="259" w:bottom="1440" w:gutter="0" w:footer="0" w:header="0"/>
        </w:sectPr>
      </w:pPr>
    </w:p>
    <w:bookmarkStart w:id="214" w:name="page215"/>
    <w:bookmarkEnd w:id="214"/>
    <w:p>
      <w:pPr>
        <w:ind w:right="20" w:firstLine="913"/>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As used in this Section 6(m) the term </w:t>
      </w:r>
      <w:r>
        <w:rPr>
          <w:sz w:val="1"/>
          <w:szCs w:val="1"/>
          <w:color w:val="auto"/>
        </w:rPr>
        <w:drawing>
          <wp:inline distT="0" distB="0" distL="0" distR="0">
            <wp:extent cx="102870" cy="94615"/>
            <wp:effectExtent l="0" t="0" r="0" b="0"/>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Reference Value </w:t>
      </w:r>
      <w:r>
        <w:rPr>
          <w:sz w:val="1"/>
          <w:szCs w:val="1"/>
          <w:color w:val="auto"/>
        </w:rPr>
        <w:drawing>
          <wp:inline distT="0" distB="0" distL="0" distR="0">
            <wp:extent cx="102870" cy="94615"/>
            <wp:effectExtent l="0" t="0" r="0" b="0"/>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shall initially mean $6.42 per share (which is an amount equal to two-thirds of the closing price of the Common Stock on the Business Day immediately prior to the date of original issuance of the Convertible Exchangeable Preferred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event of any adjustment to the Conversion Price, the Reference Value shall also be adjusted so that the ratio of the Reference Value to the Conversion Price, after giving effect to any such adjustment, shall always be the same as the ratio of $6.42 to the initial Conversion Price ($11.55 per share) (without giving effect to any adjustment);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the Market Value of a share of common stock of a corporation that is the successor to all or substantially all of the business and assets of the Corporation as the result of a Corporate Change is less than the Reference Value (as calculated above), then the Reference Value shall be equal to the amount determined by multiplying the Market Value per share of such successor corporation </w:t>
      </w:r>
      <w:r>
        <w:rPr>
          <w:sz w:val="1"/>
          <w:szCs w:val="1"/>
          <w:color w:val="auto"/>
        </w:rPr>
        <w:drawing>
          <wp:inline distT="0" distB="0" distL="0" distR="0">
            <wp:extent cx="102870" cy="94615"/>
            <wp:effectExtent l="0" t="0" r="0" b="0"/>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 common stock by a fraction of which the numerator shall be the Reference Value of the Common Stock (as calculated above) and the denominator shall be the Market Value of the Common Stock.</w:t>
      </w:r>
    </w:p>
    <w:p>
      <w:pPr>
        <w:spacing w:after="0" w:line="143" w:lineRule="exact"/>
        <w:rPr>
          <w:sz w:val="20"/>
          <w:szCs w:val="20"/>
          <w:color w:val="auto"/>
        </w:rPr>
      </w:pPr>
    </w:p>
    <w:p>
      <w:pPr>
        <w:ind w:firstLine="913"/>
        <w:spacing w:after="0" w:line="252" w:lineRule="auto"/>
        <w:rPr>
          <w:sz w:val="20"/>
          <w:szCs w:val="20"/>
          <w:color w:val="auto"/>
        </w:rPr>
      </w:pPr>
      <w:r>
        <w:rPr>
          <w:rFonts w:ascii="Times New Roman" w:cs="Times New Roman" w:eastAsia="Times New Roman" w:hAnsi="Times New Roman"/>
          <w:sz w:val="18"/>
          <w:szCs w:val="18"/>
          <w:color w:val="auto"/>
        </w:rPr>
        <w:t>Any notice by the Corporation which is mailed as provided in this Section 6(m) shall be conclusively presumed to have been duly given, whether or not the holder of Convertible Exchangeable Preferred Stock receives such notice; and failure to give such notice by mail, or any defect in such notice, to the holders of any shares shall not affect the validity of the proceedings for the conversion of any other shares of Convertible Exchangeable Preferred Stock. An election by a holder of Convertible Exchangeable Preferred Stock to have the Corporation convert such stock pursuant to this Section 6(m) shall become irrevocable when made. On or after the date fixed for conversion as stated in any notice delivered by the Corporation, each holder of the shares called for conversion shall surrender the certificates evidencing such shares to the Corporation at the place designated in such notice and shall thereupon be entitled to receive consideration in accordance with the terms of this Section 6(m). If less than all the shares represented by any such surrendered certificates are converted, a new certificate shall be issued representing the unconverted shares. If, on the date fixed for conversion under any provision of this Section 6(m), notwithstanding that the certificates evidencing any shares which the holders thereof had elected to have converted shall not have been surrendered, the dividends with respect to such shares shall cease to accrue, such shares shall no longer be deemed outstanding, the holders thereof shall cease to be holders of Convertible Exchangeable Preferred Stock, and all rights whatsoever with respect to such shares (except the right of the holders to receive the consideration upon surrender of their certificates therefor) shall terminate.</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- 24 -</w:t>
      </w:r>
    </w:p>
    <w:p>
      <w:pPr>
        <w:sectPr>
          <w:pgSz w:w="11900" w:h="16838" w:orient="portrait"/>
          <w:cols w:equalWidth="0" w:num="1">
            <w:col w:w="11420"/>
          </w:cols>
          <w:pgMar w:left="240" w:top="274" w:right="239" w:bottom="1440" w:gutter="0" w:footer="0" w:header="0"/>
        </w:sectPr>
      </w:pPr>
    </w:p>
    <w:bookmarkStart w:id="215" w:name="page216"/>
    <w:bookmarkEnd w:id="215"/>
    <w:p>
      <w:pPr>
        <w:ind w:right="40" w:firstLine="921"/>
        <w:spacing w:after="0" w:line="255" w:lineRule="auto"/>
        <w:tabs>
          <w:tab w:leader="none" w:pos="1161"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Reservation of Shares; Transfer Taxes; Etc.</w:t>
      </w:r>
      <w:r>
        <w:rPr>
          <w:rFonts w:ascii="Times New Roman" w:cs="Times New Roman" w:eastAsia="Times New Roman" w:hAnsi="Times New Roman"/>
          <w:sz w:val="18"/>
          <w:szCs w:val="18"/>
          <w:color w:val="auto"/>
        </w:rPr>
        <w:t xml:space="preserve"> The Corporation shall at all times reserve and keep available, out of its authorized and unissued stock, solely for the purpose of effecting the conversion of the Convertible Exchangeable Preferred Stock, such number of shares of its Common Stock, free of preemptive rights, as shall from time to time be sufficient to effect the conversion of all shares of Convertible Exchangeable Preferred Stock from time to time outstanding. The Corporation shall from time to time, in accordance with the laws of the State of Delaware, increase the authorized number of shares of Common Stock if at any time the number of shares of Common Stock not outstanding shall not be sufficient to permit the conversion of all the then outstanding shares of Convertible Exchangeable Preferred Stock.</w:t>
      </w:r>
    </w:p>
    <w:p>
      <w:pPr>
        <w:spacing w:after="0" w:line="139" w:lineRule="exact"/>
        <w:rPr>
          <w:sz w:val="20"/>
          <w:szCs w:val="20"/>
          <w:color w:val="auto"/>
        </w:rPr>
      </w:pPr>
    </w:p>
    <w:p>
      <w:pPr>
        <w:ind w:right="100" w:firstLine="913"/>
        <w:spacing w:after="0" w:line="255" w:lineRule="auto"/>
        <w:rPr>
          <w:sz w:val="20"/>
          <w:szCs w:val="20"/>
          <w:color w:val="auto"/>
        </w:rPr>
      </w:pPr>
      <w:r>
        <w:rPr>
          <w:rFonts w:ascii="Times New Roman" w:cs="Times New Roman" w:eastAsia="Times New Roman" w:hAnsi="Times New Roman"/>
          <w:sz w:val="18"/>
          <w:szCs w:val="18"/>
          <w:color w:val="auto"/>
        </w:rPr>
        <w:t>If any shares of Common Stock required to be reserved for purposes of conversion of the Convertible Exchangeable Preferred Stock hereunder require registration with or approval of any governmental authority under any Federal or State law before such shares may be issued upon conversion, the Corporation covenants that it will in good faith and as expeditiously as possible endeavor to cause such shares to be duly registered or approved, as the case may be. If the Common Stock is listed on the ASE or any other national securities exchange, the Corporation covenants that it will, if permitted by the rules of such exchange, list and keep listed on such exchange, upon official notice of issuance, all shares of Common Stock issuable upon conversion of the Convertible Exchangeable Preferred Stock.</w:t>
      </w:r>
    </w:p>
    <w:p>
      <w:pPr>
        <w:spacing w:after="0" w:line="139" w:lineRule="exact"/>
        <w:rPr>
          <w:sz w:val="20"/>
          <w:szCs w:val="20"/>
          <w:color w:val="auto"/>
        </w:rPr>
      </w:pPr>
    </w:p>
    <w:p>
      <w:pPr>
        <w:ind w:firstLine="913"/>
        <w:spacing w:after="0" w:line="256" w:lineRule="auto"/>
        <w:rPr>
          <w:sz w:val="20"/>
          <w:szCs w:val="20"/>
          <w:color w:val="auto"/>
        </w:rPr>
      </w:pPr>
      <w:r>
        <w:rPr>
          <w:rFonts w:ascii="Times New Roman" w:cs="Times New Roman" w:eastAsia="Times New Roman" w:hAnsi="Times New Roman"/>
          <w:sz w:val="18"/>
          <w:szCs w:val="18"/>
          <w:color w:val="auto"/>
        </w:rPr>
        <w:t>The Corporation covenants that it will pay any and all issue or other taxes that may be payable in respect of any issue or delivery of shares of Common Stock on conversion of the Convertible Exchangeable Preferred Stock. The Corporation shall not, however, be required to pay any tax which may be payable in respect of any transfer involved in the issue or delivery of Common Stock (or other securities or assets) in a name other than that in which the shares of Convertible Exchangeable Preferred Stock so converted were registered, and no such issue or delivery shall be made unless and until the person requesting such issue has paid to the Corporation the amount of such tax or has established, to the satisfaction of the Corporation, that such tax has been paid.</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- 25 -</w:t>
      </w:r>
    </w:p>
    <w:p>
      <w:pPr>
        <w:sectPr>
          <w:pgSz w:w="11900" w:h="16838" w:orient="portrait"/>
          <w:cols w:equalWidth="0" w:num="1">
            <w:col w:w="11400"/>
          </w:cols>
          <w:pgMar w:left="240" w:top="274" w:right="259" w:bottom="1440" w:gutter="0" w:footer="0" w:header="0"/>
        </w:sectPr>
      </w:pPr>
    </w:p>
    <w:bookmarkStart w:id="216" w:name="page217"/>
    <w:bookmarkEnd w:id="216"/>
    <w:p>
      <w:pPr>
        <w:ind w:right="180" w:firstLine="913"/>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Before taking any action which would cause an adjustment reducing the Conversion Price below the then par value of the Common Stock, the Corporation covenants that it will take any corporate action which may, in the opinion of its counsel, be necessary in order that the Corporation may validly and legally issue fully paid and non-assessable shares of Common Stock at the Conversion Price as so adjusted.</w:t>
      </w:r>
    </w:p>
    <w:p>
      <w:pPr>
        <w:spacing w:after="0" w:line="132" w:lineRule="exact"/>
        <w:rPr>
          <w:sz w:val="20"/>
          <w:szCs w:val="20"/>
          <w:color w:val="auto"/>
        </w:rPr>
      </w:pPr>
    </w:p>
    <w:p>
      <w:pPr>
        <w:jc w:val="both"/>
        <w:ind w:firstLine="921"/>
        <w:spacing w:after="0" w:line="258" w:lineRule="auto"/>
        <w:tabs>
          <w:tab w:leader="none" w:pos="1161"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Changes in Conversion Price</w:t>
      </w:r>
      <w:r>
        <w:rPr>
          <w:rFonts w:ascii="Times New Roman" w:cs="Times New Roman" w:eastAsia="Times New Roman" w:hAnsi="Times New Roman"/>
          <w:sz w:val="18"/>
          <w:szCs w:val="18"/>
          <w:color w:val="auto"/>
        </w:rPr>
        <w:t>. The Corporation may, but shall not be obligated to, made such decreases in the Conversion Price, in addition of those required or allowed by this Section 6, as shall be determined by it, as evidenced by a resolution of the Board, to be advisable in order to avoid or diminish any income tax to holders of Common Stock resulting from any dividend or distribution of any capital stock of the Corporation or issuance of rights, options or warrants to purchase or subscribe for any such stock or from any event treated as such for income tax purposes.</w:t>
      </w:r>
    </w:p>
    <w:p>
      <w:pPr>
        <w:spacing w:after="0" w:line="136" w:lineRule="exact"/>
        <w:rPr>
          <w:sz w:val="20"/>
          <w:szCs w:val="20"/>
          <w:color w:val="auto"/>
        </w:rPr>
      </w:pPr>
    </w:p>
    <w:p>
      <w:pPr>
        <w:ind w:left="1100" w:hanging="179"/>
        <w:spacing w:after="0"/>
        <w:tabs>
          <w:tab w:leader="none" w:pos="11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260" w:firstLine="921"/>
        <w:spacing w:after="0" w:line="262" w:lineRule="auto"/>
        <w:tabs>
          <w:tab w:leader="none" w:pos="1152"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holders of Convertible Exchangeable Preferred Stock will not have any voting rights except as set forth below or as otherwise required by law. In connection with any right to vote, each holder of Convertible Exchangeable Preferred Stock will have one vote for each share held, with no right to cumulate votes.</w:t>
      </w:r>
    </w:p>
    <w:p>
      <w:pPr>
        <w:spacing w:after="0" w:line="132" w:lineRule="exact"/>
        <w:rPr>
          <w:rFonts w:ascii="Times New Roman" w:cs="Times New Roman" w:eastAsia="Times New Roman" w:hAnsi="Times New Roman"/>
          <w:sz w:val="18"/>
          <w:szCs w:val="18"/>
          <w:color w:val="auto"/>
        </w:rPr>
      </w:pPr>
    </w:p>
    <w:p>
      <w:pPr>
        <w:ind w:right="40" w:firstLine="921"/>
        <w:spacing w:after="0" w:line="253" w:lineRule="auto"/>
        <w:tabs>
          <w:tab w:leader="none" w:pos="1161"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Voting Rights</w:t>
      </w:r>
      <w:r>
        <w:rPr>
          <w:rFonts w:ascii="Times New Roman" w:cs="Times New Roman" w:eastAsia="Times New Roman" w:hAnsi="Times New Roman"/>
          <w:sz w:val="18"/>
          <w:szCs w:val="18"/>
          <w:color w:val="auto"/>
        </w:rPr>
        <w:t>. Whenever dividends on the Convertible Exchangeable Preferred Stock shall be in arrears and unpaid, whether or not declared, in an amount equal to at least six quarterly dividends (whether or not consecutive) (i) the number of members of the Board shall be increased by two, effective as of the time of election of such directors as hereinafter provided, and (ii) the holders of the Convertible Exchangeable Preferred Stock (voting separately as a class with all other affected classes or series of the Parity Stock upon which like voting rights have been conferred and are exercisable) will have the exclusive right to vote for and elect such two additional directors of the Corporation at any meeting of stockholders of the Corporation at which directors are to be elected held during the period that any dividends on the Convertible Exchangeable Preferred Stock remain in arrears. The right of the holders of the Convertible Exchangeable Preferred Stock to vote for such two additional directors shall terminate, subject to re-vesting in the event of a subsequent similar arrearage, when all cumulative and unpaid dividends on the Convertible Exchangeable Preferred Stock have been declared and set apart for payment. The term of office of all directors so elected shall terminate immediately upon the termination of the right of the holders of the Convertible Exchangeable Preferred Stock and such Parity Stock to vote for such two additional directors, subject to the requirements of Delaware law.</w:t>
      </w:r>
    </w:p>
    <w:p>
      <w:pPr>
        <w:spacing w:after="0" w:line="127" w:lineRule="exact"/>
        <w:rPr>
          <w:rFonts w:ascii="Times New Roman" w:cs="Times New Roman" w:eastAsia="Times New Roman" w:hAnsi="Times New Roman"/>
          <w:sz w:val="18"/>
          <w:szCs w:val="18"/>
          <w:color w:val="auto"/>
        </w:rPr>
      </w:pPr>
    </w:p>
    <w:p>
      <w:pPr>
        <w:ind w:left="5620" w:hanging="96"/>
        <w:spacing w:after="0"/>
        <w:tabs>
          <w:tab w:leader="none" w:pos="562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w:t>
      </w:r>
    </w:p>
    <w:p>
      <w:pPr>
        <w:sectPr>
          <w:pgSz w:w="11900" w:h="16838" w:orient="portrait"/>
          <w:cols w:equalWidth="0" w:num="1">
            <w:col w:w="11420"/>
          </w:cols>
          <w:pgMar w:left="240" w:top="274" w:right="239" w:bottom="1440" w:gutter="0" w:footer="0" w:header="0"/>
        </w:sectPr>
      </w:pPr>
    </w:p>
    <w:bookmarkStart w:id="217" w:name="page218"/>
    <w:bookmarkEnd w:id="217"/>
    <w:p>
      <w:pPr>
        <w:ind w:firstLine="913"/>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any time when such voting right created pursuant to this Section 7(b) shall have vested in holders of the shares of Convertible Exchangeable Preferred Stock and if such right shall not already have been initially exercised, a proper officer of the Corporation shall, upon the written request of the record holders of 10% in number of the shares of Convertible Exchangeable Preferred Stock and any other series of preferred stock having such voting right then outstanding, addressed to the Secretary of the Corporation, call a special meeting of the holders of the shares of Convertible Exchangeable Preferred Stock and such other series of preferred stock having such voting right for the purpose of electing such two additional directors. Such meeting shall be held at the earliest practicable date upon the notice required for annual meetings of stockholders at the place for holding annual meetings of stockholders of the Corporation or, if none, at a place designated by the Board of Directors. If such meeting is not called by the proper officers of the Corporation within 30 days after the personal service of such written request upon the Secretary of the Corporation, or within 35 days after mailing the same within the United States of America, by registered mail, addressed to the Secretary of the Corporation at its principal office (such mailing to be evidenced by the registry receipt issued by the postal authorities), then the record holders of 10% in number of shares of Convertible Exchangeable Preferred Stock and such other series of preferred stock then outstanding which would be entitled to vote at such meeting may designate in writing one of their number to call such meeting at the expense of the Corporation, and such meeting may be called by such person so designated upon the notice required for annual meetings of stockholders and shall be held at the same place as is elsewhere provided for in this Section 7(b) or such other place as is selected by such designated stockholder. Any holder of the shares of Convertible Exchangeable Preferred Stock and such other series of preferred stock then outstanding who would be entitled to vote at such meeting shall have access to the stock books of the Corporation for the purpose of causing a meeting of stockholders to be called pursuant to the provisions of this Section 7(b). Notwithstanding the provisions of this Section 7(b), no such special meeting shall be called during a period within 90 days immediately preceding the date fixed for the next annual meeting of stockholders.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- 27 -</w:t>
      </w:r>
    </w:p>
    <w:p>
      <w:pPr>
        <w:sectPr>
          <w:pgSz w:w="11900" w:h="16838" w:orient="portrait"/>
          <w:cols w:equalWidth="0" w:num="1">
            <w:col w:w="11400"/>
          </w:cols>
          <w:pgMar w:left="240" w:top="274" w:right="259" w:bottom="1440" w:gutter="0" w:footer="0" w:header="0"/>
        </w:sectPr>
      </w:pPr>
    </w:p>
    <w:bookmarkStart w:id="218" w:name="page219"/>
    <w:bookmarkEnd w:id="218"/>
    <w:p>
      <w:pPr>
        <w:ind w:right="100" w:firstLine="913"/>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holders of the Convertible Exchangeable Preferred Stock and any Parity Stock referred to above voting as a class shall have the right to remove without cause at any time and replace any directors such holders have elected pursuant to this Section 8.</w:t>
      </w:r>
    </w:p>
    <w:p>
      <w:pPr>
        <w:spacing w:after="0" w:line="120" w:lineRule="exact"/>
        <w:rPr>
          <w:sz w:val="20"/>
          <w:szCs w:val="20"/>
          <w:color w:val="auto"/>
        </w:rPr>
      </w:pPr>
    </w:p>
    <w:p>
      <w:pPr>
        <w:ind w:firstLine="921"/>
        <w:spacing w:after="0" w:line="253" w:lineRule="auto"/>
        <w:tabs>
          <w:tab w:leader="none" w:pos="1152"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Class Voting Rights</w:t>
      </w:r>
      <w:r>
        <w:rPr>
          <w:rFonts w:ascii="Times New Roman" w:cs="Times New Roman" w:eastAsia="Times New Roman" w:hAnsi="Times New Roman"/>
          <w:sz w:val="18"/>
          <w:szCs w:val="18"/>
          <w:color w:val="auto"/>
        </w:rPr>
        <w:t>. So long as any shares of Convertible Exchangeable Preferred Stock remain outstanding, the Corporation shall not, without the affirmative vote or written consent of the holders of at least two-thirds of all outstanding Convertible Exchangeable Preferred Stock voting separately as a class, (i) amend, alter or repeal (by merger or otherwise) any provision of the Certificate of Incorporation of the Corporation, as amended, so as adversely to affect the relative rights, power, preferences, qualifications, limitation or restrictions of the Convertible Exchangeable Preferred Stock, or (ii) increase the authorized amount of the Convertible Exchangeable Preferred Stock. A class vote on the part of the Convertible Exchangeable Preferred Stock shall, without limitation, specifically not be deemed to be required (except as otherwise required by law or resolution of the Board) in connection with: (a) the authorization, issuance or increase in the authorized amount of any shares of Common Stock or other Junior Stock or (b) an increase in the amount of any bonds, mortgages, debentures or other obligations of the Corporation. In addition, the Corporation shall not increase the authorized amount of the Convertible Exchangeable Preferred Stock without the vote or written consent of the holders of at least a majority of the shares of Convertible Exchangeable Preferred Stock then outstanding, voting or consenting separately as a class.</w:t>
      </w:r>
    </w:p>
    <w:p>
      <w:pPr>
        <w:spacing w:after="0" w:line="141" w:lineRule="exact"/>
        <w:rPr>
          <w:sz w:val="20"/>
          <w:szCs w:val="20"/>
          <w:color w:val="auto"/>
        </w:rPr>
      </w:pPr>
    </w:p>
    <w:p>
      <w:pPr>
        <w:ind w:right="20" w:firstLine="921"/>
        <w:spacing w:after="0" w:line="253" w:lineRule="auto"/>
        <w:tabs>
          <w:tab w:leader="none" w:pos="108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xml:space="preserve">. The shares of Convertible Exchangeable Preferred Stock are exchangeable at the option of the Corporation in whole, but not in part, on any dividend payment date beginning June 15, 1996 for the Corporation </w:t>
      </w:r>
      <w:r>
        <w:rPr>
          <w:rFonts w:ascii="Times New Roman" w:cs="Times New Roman" w:eastAsia="Times New Roman" w:hAnsi="Times New Roman"/>
          <w:sz w:val="1"/>
          <w:szCs w:val="1"/>
          <w:color w:val="auto"/>
        </w:rPr>
        <w:drawing>
          <wp:inline distT="0" distB="0" distL="0" distR="0">
            <wp:extent cx="102870" cy="94615"/>
            <wp:effectExtent l="0" t="0" r="0" b="0"/>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 6.5% Convertible Subordinated Debentures due 2018 (the </w:t>
      </w:r>
      <w:r>
        <w:rPr>
          <w:rFonts w:ascii="Times New Roman" w:cs="Times New Roman" w:eastAsia="Times New Roman" w:hAnsi="Times New Roman"/>
          <w:sz w:val="1"/>
          <w:szCs w:val="1"/>
          <w:color w:val="auto"/>
        </w:rPr>
        <w:drawing>
          <wp:inline distT="0" distB="0" distL="0" distR="0">
            <wp:extent cx="102870" cy="94615"/>
            <wp:effectExtent l="0" t="0" r="0" b="0"/>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Debentures </w:t>
      </w:r>
      <w:r>
        <w:rPr>
          <w:rFonts w:ascii="Times New Roman" w:cs="Times New Roman" w:eastAsia="Times New Roman" w:hAnsi="Times New Roman"/>
          <w:sz w:val="1"/>
          <w:szCs w:val="1"/>
          <w:color w:val="auto"/>
        </w:rPr>
        <w:drawing>
          <wp:inline distT="0" distB="0" distL="0" distR="0">
            <wp:extent cx="102870" cy="94615"/>
            <wp:effectExtent l="0" t="0" r="0" b="0"/>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to be issued under an Indenture (the </w:t>
      </w:r>
      <w:r>
        <w:rPr>
          <w:rFonts w:ascii="Times New Roman" w:cs="Times New Roman" w:eastAsia="Times New Roman" w:hAnsi="Times New Roman"/>
          <w:sz w:val="1"/>
          <w:szCs w:val="1"/>
          <w:color w:val="auto"/>
        </w:rPr>
        <w:drawing>
          <wp:inline distT="0" distB="0" distL="0" distR="0">
            <wp:extent cx="102870" cy="94615"/>
            <wp:effectExtent l="0" t="0" r="0" b="0"/>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Indenture </w:t>
      </w:r>
      <w:r>
        <w:rPr>
          <w:rFonts w:ascii="Times New Roman" w:cs="Times New Roman" w:eastAsia="Times New Roman" w:hAnsi="Times New Roman"/>
          <w:sz w:val="1"/>
          <w:szCs w:val="1"/>
          <w:color w:val="auto"/>
        </w:rPr>
        <w:drawing>
          <wp:inline distT="0" distB="0" distL="0" distR="0">
            <wp:extent cx="102870" cy="94615"/>
            <wp:effectExtent l="0" t="0" r="0" b="0"/>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between the Corporation and Liberty Bank and Trust Company of Oklahoma City, N.A., as trustee, or such other party as may reasonably be selected by the Board to then act as trustee under the Indenture (the </w:t>
      </w:r>
      <w:r>
        <w:rPr>
          <w:rFonts w:ascii="Times New Roman" w:cs="Times New Roman" w:eastAsia="Times New Roman" w:hAnsi="Times New Roman"/>
          <w:sz w:val="1"/>
          <w:szCs w:val="1"/>
          <w:color w:val="auto"/>
        </w:rPr>
        <w:drawing>
          <wp:inline distT="0" distB="0" distL="0" distR="0">
            <wp:extent cx="102870" cy="94615"/>
            <wp:effectExtent l="0" t="0" r="0" b="0"/>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Trustee </w:t>
      </w:r>
      <w:r>
        <w:rPr>
          <w:rFonts w:ascii="Times New Roman" w:cs="Times New Roman" w:eastAsia="Times New Roman" w:hAnsi="Times New Roman"/>
          <w:sz w:val="1"/>
          <w:szCs w:val="1"/>
          <w:color w:val="auto"/>
        </w:rPr>
        <w:drawing>
          <wp:inline distT="0" distB="0" distL="0" distR="0">
            <wp:extent cx="102870" cy="94615"/>
            <wp:effectExtent l="0" t="0" r="0" b="0"/>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which shall be in substantially the form filed as an exhibit to the Corporation </w:t>
      </w:r>
      <w:r>
        <w:rPr>
          <w:rFonts w:ascii="Times New Roman" w:cs="Times New Roman" w:eastAsia="Times New Roman" w:hAnsi="Times New Roman"/>
          <w:sz w:val="1"/>
          <w:szCs w:val="1"/>
          <w:color w:val="auto"/>
        </w:rPr>
        <w:drawing>
          <wp:inline distT="0" distB="0" distL="0" distR="0">
            <wp:extent cx="102870" cy="94615"/>
            <wp:effectExtent l="0" t="0" r="0" b="0"/>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 Registration Statement on Form S-2 (Registration No. 33-61640) as filed with the Securities and Exchange Commission and as amended as of May 18, 1993, competed as set forth therein and with such changes as may be required by law or usage. Holders of the outstanding shares of Convertible Exchangeable Preferred Stock will be entitled to receive $50.00 principal amount of the Debentures in exchange for each share of Convertible Exchangeable Preferred Stock held by them at the time of exchange. Dividends due on the shares of Convertible Exchangeable Preferred Stock will be mailed to holders of record in the regular course.</w:t>
      </w:r>
    </w:p>
    <w:p>
      <w:pPr>
        <w:spacing w:after="0" w:line="129" w:lineRule="exact"/>
        <w:rPr>
          <w:rFonts w:ascii="Times New Roman" w:cs="Times New Roman" w:eastAsia="Times New Roman" w:hAnsi="Times New Roman"/>
          <w:sz w:val="18"/>
          <w:szCs w:val="18"/>
          <w:color w:val="auto"/>
        </w:rPr>
      </w:pPr>
    </w:p>
    <w:p>
      <w:pPr>
        <w:ind w:left="5620" w:hanging="96"/>
        <w:spacing w:after="0"/>
        <w:tabs>
          <w:tab w:leader="none" w:pos="562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28 -</w:t>
      </w:r>
    </w:p>
    <w:p>
      <w:pPr>
        <w:sectPr>
          <w:pgSz w:w="11900" w:h="16838" w:orient="portrait"/>
          <w:cols w:equalWidth="0" w:num="1">
            <w:col w:w="11420"/>
          </w:cols>
          <w:pgMar w:left="240" w:top="274" w:right="239" w:bottom="1440" w:gutter="0" w:footer="0" w:header="0"/>
        </w:sectPr>
      </w:pPr>
    </w:p>
    <w:bookmarkStart w:id="219" w:name="page220"/>
    <w:bookmarkEnd w:id="219"/>
    <w:p>
      <w:pPr>
        <w:ind w:right="140" w:firstLine="913"/>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such exchange of Debentures for shares of Convertible Exchangeable Preferred Stock shall be made unless on or prior to the dividend payment date on which such exchange is to be made (i) the Indenture shall have been executed and delivered by the Corporation and the Trustee; (ii) a certificate of the President or any Vice President of the Corporation, reasonably satisfactory to the Trustee, to the effect that the Indenture in question is duly qualified under the Trust Indenture Act of 1939 as then in effect, that the Debentures are valid and binding obligations of the Corporation in accordance with their terms and that all necessary corporate and governmental approvals, including without limitation any securities registrations, for the issuance of the Debentures have been obtained and (iii) an opinion of counsel to the Corporation, reasonably satisfactory to the Trustee, to the same effect as the foregoing certificate has been delivered to the Trustee. Such certificate and opinion shall be available for inspection during normal business hours by the holders of the Convertible Exchangeable Preferred Stock upon request to the Trustee.</w:t>
      </w:r>
    </w:p>
    <w:p>
      <w:pPr>
        <w:spacing w:after="0" w:line="138" w:lineRule="exact"/>
        <w:rPr>
          <w:sz w:val="20"/>
          <w:szCs w:val="20"/>
          <w:color w:val="auto"/>
        </w:rPr>
      </w:pPr>
    </w:p>
    <w:p>
      <w:pPr>
        <w:ind w:firstLine="913"/>
        <w:spacing w:after="0" w:line="252" w:lineRule="auto"/>
        <w:rPr>
          <w:sz w:val="20"/>
          <w:szCs w:val="20"/>
          <w:color w:val="auto"/>
        </w:rPr>
      </w:pPr>
      <w:r>
        <w:rPr>
          <w:rFonts w:ascii="Times New Roman" w:cs="Times New Roman" w:eastAsia="Times New Roman" w:hAnsi="Times New Roman"/>
          <w:sz w:val="18"/>
          <w:szCs w:val="18"/>
          <w:color w:val="auto"/>
        </w:rPr>
        <w:t xml:space="preserve">Upon such exchange or the exchange date specified in the notice mailed by the Corporation as hereinafter provided, whichever occurs first, the rights of the holders of Convertible Exchangeable Preferred Stock as stockholders of the Corporation shall cease (except the right to receive on the date of exchange an amount equal to the amount of accrued and unpaid dividends on the Convertible Exchangeable Preferred Stock to the date of exchange and the Debentures), and the person or persons entitled to receive the Debentures issuable upon such redemption and exchange shall be treated for all purposes as the registered holder or holders of such Debentures. The Corporation covenants that it will mail to each record holder of the Convertible Exchangeable Preferred Stock, at such holder </w:t>
      </w:r>
      <w:r>
        <w:rPr>
          <w:sz w:val="1"/>
          <w:szCs w:val="1"/>
          <w:color w:val="auto"/>
        </w:rPr>
        <w:drawing>
          <wp:inline distT="0" distB="0" distL="0" distR="0">
            <wp:extent cx="102870" cy="94615"/>
            <wp:effectExtent l="0" t="0" r="0" b="0"/>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 address of record, written notice of its intention to exchange the Convertible Exchangeable Preferred Stock not less than 30 nor more than 60 days prior to the exchange date. Such notice shall state: (i) the exchange date; (ii) the place or places where certificates for such shares are to be surrendered in exchange for Debentures; and (iii) that dividends on the shares to be exchanged will cease to accrue on such exchange date. Upon surrender in accordance with said notice of the certificates for any shares so exchanged (properly endorsed or assigned for transfer, if the Corporation shall so require and the notice shall so state), the Corporation covenants that it will cause the Debentures to be authenticated and issued in exchange for such shares of Convertible Exchangeable Preferred Stock to be mailed to each holder of the shares of Convertible Exchangeable Preferred Stock at such holder </w:t>
      </w:r>
      <w:r>
        <w:rPr>
          <w:sz w:val="1"/>
          <w:szCs w:val="1"/>
          <w:color w:val="auto"/>
        </w:rPr>
        <w:drawing>
          <wp:inline distT="0" distB="0" distL="0" distR="0">
            <wp:extent cx="102870" cy="94615"/>
            <wp:effectExtent l="0" t="0" r="0" b="0"/>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 address of record or such other address as the holder shall specify upon such surrender of such certificates.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- 29 -</w:t>
      </w:r>
    </w:p>
    <w:p>
      <w:pPr>
        <w:sectPr>
          <w:pgSz w:w="11900" w:h="16838" w:orient="portrait"/>
          <w:cols w:equalWidth="0" w:num="1">
            <w:col w:w="11420"/>
          </w:cols>
          <w:pgMar w:left="240" w:top="274" w:right="239" w:bottom="1440" w:gutter="0" w:footer="0" w:header="0"/>
        </w:sectPr>
      </w:pPr>
    </w:p>
    <w:bookmarkStart w:id="220" w:name="page221"/>
    <w:bookmarkEnd w:id="220"/>
    <w:p>
      <w:pPr>
        <w:jc w:val="both"/>
        <w:ind w:firstLine="913"/>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on the exchange date the Corporation shall be in default in the payment of any dividends, whether or not declared (including cumulative dividends, if applicable), on Convertible Exchangeable Preferred Stock or on any shares of Senior Stock or Parity Stock, or if such exchange shall on such date be prohibited by applicable law, then no shares of the Convertible Exchangeable Preferred Stock shall be exchanged.</w:t>
      </w:r>
    </w:p>
    <w:p>
      <w:pPr>
        <w:spacing w:after="0" w:line="132" w:lineRule="exact"/>
        <w:rPr>
          <w:sz w:val="20"/>
          <w:szCs w:val="20"/>
          <w:color w:val="auto"/>
        </w:rPr>
      </w:pPr>
    </w:p>
    <w:p>
      <w:pPr>
        <w:ind w:right="100" w:firstLine="921"/>
        <w:spacing w:after="0" w:line="254" w:lineRule="auto"/>
        <w:tabs>
          <w:tab w:leader="none" w:pos="108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Outstanding Shares</w:t>
      </w:r>
      <w:r>
        <w:rPr>
          <w:rFonts w:ascii="Times New Roman" w:cs="Times New Roman" w:eastAsia="Times New Roman" w:hAnsi="Times New Roman"/>
          <w:sz w:val="18"/>
          <w:szCs w:val="18"/>
          <w:color w:val="auto"/>
        </w:rPr>
        <w:t>. For purposes of this Certificate of Designations, all shares of Convertible Exchangeable Preferred Stock shall be deemed outstanding except (i) from the date fixed for redemption pursuant to Section 5 hereof, all shares of Convertible Exchangeable Preferred Stock that have been so called for redemption under Section 5 and not converted at the option of the holder thereof pursuant to Section 6 hereof if funds necessary for the redemption of such shares are available, (ii) from the date of exchange determined pursuant to Section 8 hereof, all shares of Convertible Exchangeable Preferred Stock so called for exchange for Debentures if an amount equal to all accrued and unpaid dividends on such shares has been set apart for payment and the Debentures are issuable upon surrender of such shares; (iii) from the date of surrender of certificates representing shares of Convertible Exchangeable Preferred Stock, all shares of Convertible Exchangeable Preferred Stock converted into Common Stock; and (iv) from the date of registration of transfer, all shares of Convertible Exchangeable Preferred Stock held of record by the Corporation or any subsidiary of the Corporation.</w:t>
      </w:r>
    </w:p>
    <w:p>
      <w:pPr>
        <w:spacing w:after="0" w:line="138" w:lineRule="exact"/>
        <w:rPr>
          <w:rFonts w:ascii="Times New Roman" w:cs="Times New Roman" w:eastAsia="Times New Roman" w:hAnsi="Times New Roman"/>
          <w:sz w:val="18"/>
          <w:szCs w:val="18"/>
          <w:color w:val="auto"/>
        </w:rPr>
      </w:pPr>
    </w:p>
    <w:p>
      <w:pPr>
        <w:ind w:right="60" w:firstLine="921"/>
        <w:spacing w:after="0" w:line="258" w:lineRule="auto"/>
        <w:tabs>
          <w:tab w:leader="none" w:pos="117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Acquired Shares</w:t>
      </w:r>
      <w:r>
        <w:rPr>
          <w:rFonts w:ascii="Times New Roman" w:cs="Times New Roman" w:eastAsia="Times New Roman" w:hAnsi="Times New Roman"/>
          <w:sz w:val="18"/>
          <w:szCs w:val="18"/>
          <w:color w:val="auto"/>
        </w:rPr>
        <w:t>. Shares of Convertible Exchangeable Preferred Stock redeemed by the Corporation pursuant to Section 5 or received upon conversion pursuant to Section 6 or upon exchange pursuant to Section 8 or otherwise acquired by the Corporation will be restored to the status of authorized but unissued shares of Class C Preferred Stock, without designation as to class or series, and may thereafter be issued, but not as shares of Convertible Exchangeable Preferred Stock and not in a manner inconsistent with the terms of this Certificate of Designations.</w:t>
      </w:r>
    </w:p>
    <w:p>
      <w:pPr>
        <w:spacing w:after="0" w:line="122" w:lineRule="exact"/>
        <w:rPr>
          <w:rFonts w:ascii="Times New Roman" w:cs="Times New Roman" w:eastAsia="Times New Roman" w:hAnsi="Times New Roman"/>
          <w:sz w:val="18"/>
          <w:szCs w:val="18"/>
          <w:color w:val="auto"/>
        </w:rPr>
      </w:pPr>
    </w:p>
    <w:p>
      <w:pPr>
        <w:ind w:left="5620" w:hanging="96"/>
        <w:spacing w:after="0"/>
        <w:tabs>
          <w:tab w:leader="none" w:pos="562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w:t>
      </w:r>
    </w:p>
    <w:p>
      <w:pPr>
        <w:sectPr>
          <w:pgSz w:w="11900" w:h="16838" w:orient="portrait"/>
          <w:cols w:equalWidth="0" w:num="1">
            <w:col w:w="11420"/>
          </w:cols>
          <w:pgMar w:left="240" w:top="274" w:right="239" w:bottom="1440" w:gutter="0" w:footer="0" w:header="0"/>
        </w:sectPr>
      </w:pPr>
    </w:p>
    <w:bookmarkStart w:id="221" w:name="page222"/>
    <w:bookmarkEnd w:id="221"/>
    <w:p>
      <w:pPr>
        <w:ind w:right="100" w:firstLine="921"/>
        <w:spacing w:after="0" w:line="275" w:lineRule="auto"/>
        <w:tabs>
          <w:tab w:leader="none" w:pos="117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Preemptive Rights</w:t>
      </w:r>
      <w:r>
        <w:rPr>
          <w:rFonts w:ascii="Times New Roman" w:cs="Times New Roman" w:eastAsia="Times New Roman" w:hAnsi="Times New Roman"/>
          <w:sz w:val="18"/>
          <w:szCs w:val="18"/>
          <w:color w:val="auto"/>
        </w:rPr>
        <w:t>. The holders of Convertible Exchangeable Preferred Stock are not entitled to any preemptive or subscription rights in respect of any securities of the Corporation.</w:t>
      </w:r>
    </w:p>
    <w:p>
      <w:pPr>
        <w:spacing w:after="0" w:line="119" w:lineRule="exact"/>
        <w:rPr>
          <w:rFonts w:ascii="Times New Roman" w:cs="Times New Roman" w:eastAsia="Times New Roman" w:hAnsi="Times New Roman"/>
          <w:sz w:val="18"/>
          <w:szCs w:val="18"/>
          <w:color w:val="auto"/>
        </w:rPr>
      </w:pPr>
    </w:p>
    <w:p>
      <w:pPr>
        <w:ind w:firstLine="921"/>
        <w:spacing w:after="0" w:line="296" w:lineRule="auto"/>
        <w:tabs>
          <w:tab w:leader="none" w:pos="1176"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 of Provisions</w:t>
      </w:r>
      <w:r>
        <w:rPr>
          <w:rFonts w:ascii="Times New Roman" w:cs="Times New Roman" w:eastAsia="Times New Roman" w:hAnsi="Times New Roman"/>
          <w:sz w:val="16"/>
          <w:szCs w:val="16"/>
          <w:color w:val="auto"/>
        </w:rPr>
        <w:t>. Whenever possible, each provision hereof shall be interpreted in a manner as to be effective and valid under applicable law, but if any provision hereof is held to be prohibited by or invalid under applicable law, such provision shall be ineffective only to the extent of such prohibition or invalidity, without invalidating or otherwise adversely affective the remaining provisions hereof. If a court of competent jurisdiction should determine that a provision hereof would be valid or enforceable if a period of time were extended or shortened or a particular percentage were increased or decreased, then such court may make such change as shall be necessary to render the provision in question effective and valid under applicable law.</w:t>
      </w:r>
    </w:p>
    <w:p>
      <w:pPr>
        <w:spacing w:after="0" w:line="108" w:lineRule="exact"/>
        <w:rPr>
          <w:sz w:val="20"/>
          <w:szCs w:val="20"/>
          <w:color w:val="auto"/>
        </w:rPr>
      </w:pPr>
    </w:p>
    <w:p>
      <w:pPr>
        <w:ind w:right="60" w:firstLine="913"/>
        <w:spacing w:after="0" w:line="275" w:lineRule="auto"/>
        <w:rPr>
          <w:sz w:val="20"/>
          <w:szCs w:val="20"/>
          <w:color w:val="auto"/>
        </w:rPr>
      </w:pPr>
      <w:r>
        <w:rPr>
          <w:rFonts w:ascii="Times New Roman" w:cs="Times New Roman" w:eastAsia="Times New Roman" w:hAnsi="Times New Roman"/>
          <w:sz w:val="18"/>
          <w:szCs w:val="18"/>
          <w:color w:val="auto"/>
        </w:rPr>
        <w:t>IN WITNESS WHEREOF, LSB INDUSTRIES, INC. has caused this Certificate of Designations to be duly executed by its President and attested to by its Secretary and has caused its corporate seal to be affixed hereto, this May 19, 1993.</w:t>
      </w:r>
    </w:p>
    <w:p>
      <w:pPr>
        <w:spacing w:after="0" w:line="16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LSB INDUSTRIES, INC.</w:t>
      </w:r>
    </w:p>
    <w:p>
      <w:pPr>
        <w:sectPr>
          <w:pgSz w:w="11900" w:h="16838" w:orient="portrait"/>
          <w:cols w:equalWidth="0" w:num="1">
            <w:col w:w="11400"/>
          </w:cols>
          <w:pgMar w:left="240" w:top="274" w:right="25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[Corporate Seal]</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Jack Golsen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Jack E. Golsen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w:t>
      </w:r>
    </w:p>
    <w:p>
      <w:pPr>
        <w:spacing w:after="0" w:line="199" w:lineRule="exact"/>
        <w:rPr>
          <w:sz w:val="20"/>
          <w:szCs w:val="20"/>
          <w:color w:val="auto"/>
        </w:rPr>
      </w:pPr>
    </w:p>
    <w:p>
      <w:pPr>
        <w:sectPr>
          <w:pgSz w:w="11900" w:h="16838" w:orient="portrait"/>
          <w:cols w:equalWidth="0" w:num="3">
            <w:col w:w="4860" w:space="720"/>
            <w:col w:w="260" w:space="120"/>
            <w:col w:w="5440"/>
          </w:cols>
          <w:pgMar w:left="240" w:top="274"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M. Shear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- 31 -</w:t>
      </w:r>
    </w:p>
    <w:p>
      <w:pPr>
        <w:sectPr>
          <w:pgSz w:w="11900" w:h="16838" w:orient="portrait"/>
          <w:cols w:equalWidth="0" w:num="1">
            <w:col w:w="11400"/>
          </w:cols>
          <w:pgMar w:left="240" w:top="274" w:right="259" w:bottom="1440" w:gutter="0" w:footer="0" w:header="0"/>
          <w:type w:val="continuous"/>
        </w:sectPr>
      </w:pPr>
    </w:p>
    <w:bookmarkStart w:id="222" w:name="page223"/>
    <w:bookmarkEnd w:id="222"/>
    <w:p>
      <w:pPr>
        <w:jc w:val="center"/>
        <w:ind w:right="-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CERTIFICATE OF AMENDMENT</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OF</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RESTATED CERTIFICATE OF INCORPORATION</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OF</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3" w:lineRule="exact"/>
        <w:rPr>
          <w:sz w:val="20"/>
          <w:szCs w:val="20"/>
          <w:color w:val="auto"/>
        </w:rPr>
      </w:pPr>
    </w:p>
    <w:p>
      <w:pPr>
        <w:jc w:val="right"/>
        <w:ind w:right="9100"/>
        <w:spacing w:after="0"/>
        <w:tabs>
          <w:tab w:leader="none" w:pos="1090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6"/>
          <w:szCs w:val="16"/>
          <w:color w:val="auto"/>
        </w:rPr>
        <w:t>SECRETARY OF STATE</w:t>
      </w:r>
    </w:p>
    <w:p>
      <w:pPr>
        <w:spacing w:after="0" w:line="21" w:lineRule="exact"/>
        <w:rPr>
          <w:sz w:val="20"/>
          <w:szCs w:val="20"/>
          <w:color w:val="auto"/>
        </w:rPr>
      </w:pPr>
    </w:p>
    <w:p>
      <w:pPr>
        <w:jc w:val="right"/>
        <w:ind w:right="9140"/>
        <w:spacing w:after="0"/>
        <w:rPr>
          <w:sz w:val="20"/>
          <w:szCs w:val="20"/>
          <w:color w:val="auto"/>
        </w:rPr>
      </w:pPr>
      <w:r>
        <w:rPr>
          <w:rFonts w:ascii="Times New Roman" w:cs="Times New Roman" w:eastAsia="Times New Roman" w:hAnsi="Times New Roman"/>
          <w:sz w:val="18"/>
          <w:szCs w:val="18"/>
          <w:color w:val="auto"/>
        </w:rPr>
        <w:t>STATE OF DELAWARE</w:t>
      </w:r>
    </w:p>
    <w:p>
      <w:pPr>
        <w:spacing w:after="0" w:line="159" w:lineRule="exact"/>
        <w:rPr>
          <w:sz w:val="20"/>
          <w:szCs w:val="20"/>
          <w:color w:val="auto"/>
        </w:rPr>
      </w:pPr>
    </w:p>
    <w:p>
      <w:pPr>
        <w:ind w:right="200" w:firstLine="913"/>
        <w:spacing w:after="0" w:line="275" w:lineRule="auto"/>
        <w:rPr>
          <w:sz w:val="20"/>
          <w:szCs w:val="20"/>
          <w:color w:val="auto"/>
        </w:rPr>
      </w:pPr>
      <w:r>
        <w:rPr>
          <w:rFonts w:ascii="Times New Roman" w:cs="Times New Roman" w:eastAsia="Times New Roman" w:hAnsi="Times New Roman"/>
          <w:sz w:val="18"/>
          <w:szCs w:val="18"/>
          <w:color w:val="auto"/>
        </w:rPr>
        <w:t xml:space="preserve">LSB INDUSTRIES, INC., a Delaware corporation (the </w:t>
      </w:r>
      <w:r>
        <w:rPr>
          <w:sz w:val="1"/>
          <w:szCs w:val="1"/>
          <w:color w:val="auto"/>
        </w:rPr>
        <w:drawing>
          <wp:inline distT="0" distB="0" distL="0" distR="0">
            <wp:extent cx="102870" cy="94615"/>
            <wp:effectExtent l="0" t="0" r="0" b="0"/>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Company </w:t>
      </w:r>
      <w:r>
        <w:rPr>
          <w:sz w:val="1"/>
          <w:szCs w:val="1"/>
          <w:color w:val="auto"/>
        </w:rPr>
        <w:drawing>
          <wp:inline distT="0" distB="0" distL="0" distR="0">
            <wp:extent cx="102870" cy="94615"/>
            <wp:effectExtent l="0" t="0" r="0" b="0"/>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for the purpose of amending its Restated Certificate of Incorporation, as provided by Section 242 of the Delaware General Corporation Law, hereby certifies: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7. Paragraph (A) of Article FOURTH of the Restated Certificate of Incorporation of the Company is hereby amended to read as follows:</w:t>
      </w:r>
    </w:p>
    <w:p>
      <w:pPr>
        <w:spacing w:after="0" w:line="171" w:lineRule="exact"/>
        <w:rPr>
          <w:sz w:val="20"/>
          <w:szCs w:val="20"/>
          <w:color w:val="auto"/>
        </w:rPr>
      </w:pPr>
    </w:p>
    <w:p>
      <w:pPr>
        <w:spacing w:after="0"/>
        <w:rPr>
          <w:sz w:val="20"/>
          <w:szCs w:val="20"/>
          <w:color w:val="auto"/>
        </w:rPr>
      </w:pPr>
      <w:r>
        <w:rPr>
          <w:sz w:val="1"/>
          <w:szCs w:val="1"/>
          <w:color w:val="auto"/>
        </w:rPr>
        <w:drawing>
          <wp:inline distT="0" distB="0" distL="0" distR="0">
            <wp:extent cx="102870" cy="94615"/>
            <wp:effectExtent l="0" t="0" r="0" b="0"/>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(A) The total number of shares of stock which the Corporation shall have authority to issue is eighty million two hundred fifty thousand (80,250,000) of which</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seventy-five million (75,000,000) shares shall be Common Stock of the par value of ten cents ($.10) a share;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two hundred fifty thousand (250,000) shares shall be Preferred Stock of the par value of one hundred dollars ($100) a share; and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five million (5,000,000) shares shall be Class C Preferred Stock, no par value.</w:t>
      </w:r>
    </w:p>
    <w:p>
      <w:pPr>
        <w:spacing w:after="0" w:line="171"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 xml:space="preserve">For purposes of all other provisions of this Certificate of Incorporation, the term </w:t>
      </w:r>
      <w:r>
        <w:rPr>
          <w:sz w:val="1"/>
          <w:szCs w:val="1"/>
          <w:color w:val="auto"/>
        </w:rPr>
        <w:drawing>
          <wp:inline distT="0" distB="0" distL="0" distR="0">
            <wp:extent cx="102870" cy="94615"/>
            <wp:effectExtent l="0" t="0" r="0" b="0"/>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Preferred Stock </w:t>
      </w:r>
      <w:r>
        <w:rPr>
          <w:sz w:val="1"/>
          <w:szCs w:val="1"/>
          <w:color w:val="auto"/>
        </w:rPr>
        <w:drawing>
          <wp:inline distT="0" distB="0" distL="0" distR="0">
            <wp:extent cx="102870" cy="94615"/>
            <wp:effectExtent l="0" t="0" r="0" b="0"/>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shall mean the Preferred Stock, Class C Preferred Stock and all other classes of preferred stock authorized under this paragraph (A). </w:t>
      </w:r>
      <w:r>
        <w:rPr>
          <w:sz w:val="1"/>
          <w:szCs w:val="1"/>
          <w:color w:val="auto"/>
        </w:rPr>
        <w:drawing>
          <wp:inline distT="0" distB="0" distL="0" distR="0">
            <wp:extent cx="102870" cy="94615"/>
            <wp:effectExtent l="0" t="0" r="0" b="0"/>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p>
    <w:p>
      <w:pPr>
        <w:spacing w:after="0" w:line="120" w:lineRule="exact"/>
        <w:rPr>
          <w:sz w:val="20"/>
          <w:szCs w:val="20"/>
          <w:color w:val="auto"/>
        </w:rPr>
      </w:pPr>
    </w:p>
    <w:p>
      <w:pPr>
        <w:ind w:left="640" w:hanging="176"/>
        <w:spacing w:after="0"/>
        <w:tabs>
          <w:tab w:leader="none" w:pos="6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provisions of the Restated Certificate of Incorporation of the Company are amended or changed by this Amendment.</w:t>
      </w:r>
    </w:p>
    <w:p>
      <w:pPr>
        <w:spacing w:after="0" w:line="171" w:lineRule="exact"/>
        <w:rPr>
          <w:rFonts w:ascii="Times New Roman" w:cs="Times New Roman" w:eastAsia="Times New Roman" w:hAnsi="Times New Roman"/>
          <w:sz w:val="18"/>
          <w:szCs w:val="18"/>
          <w:color w:val="auto"/>
        </w:rPr>
      </w:pPr>
    </w:p>
    <w:p>
      <w:pPr>
        <w:ind w:right="280" w:firstLine="464"/>
        <w:spacing w:after="0" w:line="262" w:lineRule="auto"/>
        <w:tabs>
          <w:tab w:leader="none" w:pos="632"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meeting of the Board of Directors held on the 5th day of August, 1993, a resolution was duly adopted setting forth the foregoing proposed amendment to paragraph (A) of Article FOURTH of the Restated Certificate of Incorporation of the Company, declaring such amendment to be advisable and setting the next Annual Meeting of Shareholders of the Company for consideration thereof.</w:t>
      </w:r>
    </w:p>
    <w:p>
      <w:pPr>
        <w:spacing w:after="0" w:line="118" w:lineRule="exact"/>
        <w:rPr>
          <w:rFonts w:ascii="Times New Roman" w:cs="Times New Roman" w:eastAsia="Times New Roman" w:hAnsi="Times New Roman"/>
          <w:sz w:val="18"/>
          <w:szCs w:val="18"/>
          <w:color w:val="auto"/>
        </w:rPr>
      </w:pPr>
    </w:p>
    <w:p>
      <w:pPr>
        <w:ind w:left="5680" w:hanging="112"/>
        <w:spacing w:after="0"/>
        <w:tabs>
          <w:tab w:leader="none" w:pos="568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w:t>
      </w:r>
    </w:p>
    <w:p>
      <w:pPr>
        <w:sectPr>
          <w:pgSz w:w="11900" w:h="16838" w:orient="portrait"/>
          <w:cols w:equalWidth="0" w:num="1">
            <w:col w:w="11380"/>
          </w:cols>
          <w:pgMar w:left="240" w:top="274" w:right="279" w:bottom="1440" w:gutter="0" w:footer="0" w:header="0"/>
        </w:sectPr>
      </w:pPr>
    </w:p>
    <w:bookmarkStart w:id="223" w:name="page224"/>
    <w:bookmarkEnd w:id="223"/>
    <w:p>
      <w:pPr>
        <w:ind w:right="60" w:firstLine="464"/>
        <w:spacing w:after="0" w:line="275" w:lineRule="auto"/>
        <w:tabs>
          <w:tab w:leader="none" w:pos="72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Thereafter, pursuant to said resolution of its Board of Directors, the Annual Meeting of Shareholders of the Company was duly called and held on September 13, 1993, at which meeting the necessary number of shares as required by statute were voted in favor of such amendment.</w:t>
      </w:r>
    </w:p>
    <w:p>
      <w:pPr>
        <w:spacing w:after="0" w:line="120" w:lineRule="exact"/>
        <w:rPr>
          <w:sz w:val="20"/>
          <w:szCs w:val="20"/>
          <w:color w:val="auto"/>
        </w:rPr>
      </w:pPr>
    </w:p>
    <w:p>
      <w:pPr>
        <w:ind w:right="220" w:firstLine="913"/>
        <w:spacing w:after="0" w:line="275" w:lineRule="auto"/>
        <w:rPr>
          <w:sz w:val="20"/>
          <w:szCs w:val="20"/>
          <w:color w:val="auto"/>
        </w:rPr>
      </w:pPr>
      <w:r>
        <w:rPr>
          <w:rFonts w:ascii="Times New Roman" w:cs="Times New Roman" w:eastAsia="Times New Roman" w:hAnsi="Times New Roman"/>
          <w:sz w:val="18"/>
          <w:szCs w:val="18"/>
          <w:color w:val="auto"/>
        </w:rPr>
        <w:t>SUCH AMENDMENT WAS DULY ADOPTED IN ACCORDANCE WITH THE PROVISIONS OF SECTION 242 OF THE DELAWARE GENERAL CORPORATION LAW.</w:t>
      </w:r>
    </w:p>
    <w:p>
      <w:pPr>
        <w:spacing w:after="0" w:line="120" w:lineRule="exact"/>
        <w:rPr>
          <w:sz w:val="20"/>
          <w:szCs w:val="20"/>
          <w:color w:val="auto"/>
        </w:rPr>
      </w:pPr>
    </w:p>
    <w:p>
      <w:pPr>
        <w:ind w:firstLine="913"/>
        <w:spacing w:after="0" w:line="275" w:lineRule="auto"/>
        <w:rPr>
          <w:sz w:val="20"/>
          <w:szCs w:val="20"/>
          <w:color w:val="auto"/>
        </w:rPr>
      </w:pPr>
      <w:r>
        <w:rPr>
          <w:rFonts w:ascii="Times New Roman" w:cs="Times New Roman" w:eastAsia="Times New Roman" w:hAnsi="Times New Roman"/>
          <w:sz w:val="18"/>
          <w:szCs w:val="18"/>
          <w:color w:val="auto"/>
        </w:rPr>
        <w:t>IN WITNESS WHEREOF, the undersigned does cause this Certificate to be signed by its President and attested by its Secretary this 14th day of September, 1993.</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48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LSB INDUSTRIES, INC.,</w:t>
            </w:r>
          </w:p>
        </w:tc>
        <w:tc>
          <w:tcPr>
            <w:tcW w:w="0" w:type="dxa"/>
            <w:vAlign w:val="bottom"/>
          </w:tcPr>
          <w:p>
            <w:pPr>
              <w:spacing w:after="0"/>
              <w:rPr>
                <w:sz w:val="1"/>
                <w:szCs w:val="1"/>
                <w:color w:val="auto"/>
              </w:rPr>
            </w:pPr>
          </w:p>
        </w:tc>
      </w:tr>
      <w:tr>
        <w:trPr>
          <w:trHeight w:val="228"/>
        </w:trPr>
        <w:tc>
          <w:tcPr>
            <w:tcW w:w="3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ATTEST:</w:t>
            </w:r>
          </w:p>
        </w:tc>
        <w:tc>
          <w:tcPr>
            <w:tcW w:w="48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a Delaware Corporation</w:t>
            </w:r>
          </w:p>
        </w:tc>
        <w:tc>
          <w:tcPr>
            <w:tcW w:w="0" w:type="dxa"/>
            <w:vAlign w:val="bottom"/>
          </w:tcPr>
          <w:p>
            <w:pPr>
              <w:spacing w:after="0"/>
              <w:rPr>
                <w:sz w:val="1"/>
                <w:szCs w:val="1"/>
                <w:color w:val="auto"/>
              </w:rPr>
            </w:pPr>
          </w:p>
        </w:tc>
      </w:tr>
      <w:tr>
        <w:trPr>
          <w:trHeight w:val="216"/>
        </w:trPr>
        <w:tc>
          <w:tcPr>
            <w:tcW w:w="3460" w:type="dxa"/>
            <w:vAlign w:val="bottom"/>
            <w:vMerge w:val="continue"/>
          </w:tcPr>
          <w:p>
            <w:pPr>
              <w:spacing w:after="0"/>
              <w:rPr>
                <w:sz w:val="18"/>
                <w:szCs w:val="18"/>
                <w:color w:val="auto"/>
              </w:rPr>
            </w:pPr>
          </w:p>
        </w:tc>
        <w:tc>
          <w:tcPr>
            <w:tcW w:w="4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 Heidi Brown</w:t>
            </w:r>
          </w:p>
        </w:tc>
        <w:tc>
          <w:tcPr>
            <w:tcW w:w="48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By  /s/ Jim D. Jones</w:t>
            </w:r>
          </w:p>
        </w:tc>
        <w:tc>
          <w:tcPr>
            <w:tcW w:w="0" w:type="dxa"/>
            <w:vAlign w:val="bottom"/>
          </w:tcPr>
          <w:p>
            <w:pPr>
              <w:spacing w:after="0"/>
              <w:rPr>
                <w:sz w:val="1"/>
                <w:szCs w:val="1"/>
                <w:color w:val="auto"/>
              </w:rPr>
            </w:pPr>
          </w:p>
        </w:tc>
      </w:tr>
      <w:tr>
        <w:trPr>
          <w:trHeight w:val="22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Assistant Secretary</w:t>
            </w:r>
          </w:p>
        </w:tc>
        <w:tc>
          <w:tcPr>
            <w:tcW w:w="4840" w:type="dxa"/>
            <w:vAlign w:val="bottom"/>
          </w:tcPr>
          <w:p>
            <w:pPr>
              <w:ind w:left="2820"/>
              <w:spacing w:after="0"/>
              <w:rPr>
                <w:sz w:val="20"/>
                <w:szCs w:val="20"/>
                <w:color w:val="auto"/>
              </w:rPr>
            </w:pPr>
            <w:r>
              <w:rPr>
                <w:rFonts w:ascii="Times New Roman" w:cs="Times New Roman" w:eastAsia="Times New Roman" w:hAnsi="Times New Roman"/>
                <w:sz w:val="18"/>
                <w:szCs w:val="18"/>
                <w:color w:val="auto"/>
                <w:w w:val="96"/>
              </w:rPr>
              <w:t>Jim D. Jones, Vice President</w:t>
            </w:r>
          </w:p>
        </w:tc>
        <w:tc>
          <w:tcPr>
            <w:tcW w:w="0" w:type="dxa"/>
            <w:vAlign w:val="bottom"/>
          </w:tcPr>
          <w:p>
            <w:pPr>
              <w:spacing w:after="0"/>
              <w:rPr>
                <w:sz w:val="1"/>
                <w:szCs w:val="1"/>
                <w:color w:val="auto"/>
              </w:rPr>
            </w:pPr>
          </w:p>
        </w:tc>
      </w:tr>
      <w:tr>
        <w:trPr>
          <w:trHeight w:val="32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(SEAL)</w:t>
            </w:r>
          </w:p>
        </w:tc>
        <w:tc>
          <w:tcPr>
            <w:tcW w:w="4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460" w:type="dxa"/>
            <w:vAlign w:val="bottom"/>
          </w:tcPr>
          <w:p>
            <w:pPr>
              <w:spacing w:after="0"/>
              <w:rPr>
                <w:sz w:val="24"/>
                <w:szCs w:val="24"/>
                <w:color w:val="auto"/>
              </w:rPr>
            </w:pPr>
          </w:p>
        </w:tc>
        <w:tc>
          <w:tcPr>
            <w:tcW w:w="48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- 2 -</w:t>
            </w:r>
          </w:p>
        </w:tc>
        <w:tc>
          <w:tcPr>
            <w:tcW w:w="0" w:type="dxa"/>
            <w:vAlign w:val="bottom"/>
          </w:tcPr>
          <w:p>
            <w:pPr>
              <w:spacing w:after="0"/>
              <w:rPr>
                <w:sz w:val="1"/>
                <w:szCs w:val="1"/>
                <w:color w:val="auto"/>
              </w:rPr>
            </w:pPr>
          </w:p>
        </w:tc>
      </w:tr>
    </w:tbl>
    <w:p>
      <w:pPr>
        <w:sectPr>
          <w:pgSz w:w="11900" w:h="16838" w:orient="portrait"/>
          <w:cols w:equalWidth="0" w:num="1">
            <w:col w:w="11040"/>
          </w:cols>
          <w:pgMar w:left="240" w:top="274" w:right="619" w:bottom="1440" w:gutter="0" w:footer="0" w:header="0"/>
        </w:sectPr>
      </w:pPr>
    </w:p>
    <w:bookmarkStart w:id="224" w:name="page225"/>
    <w:bookmarkEnd w:id="224"/>
    <w:p>
      <w:pPr>
        <w:jc w:val="center"/>
        <w:ind w:right="-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 OF CHANGE OF LOCATION OF REGISTERED OFFICE</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AND OF REGISTERED AGENT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hereby certified that:</w:t>
      </w:r>
    </w:p>
    <w:p>
      <w:pPr>
        <w:spacing w:after="0" w:line="90" w:lineRule="exact"/>
        <w:rPr>
          <w:sz w:val="20"/>
          <w:szCs w:val="20"/>
          <w:color w:val="auto"/>
        </w:rPr>
      </w:pPr>
    </w:p>
    <w:p>
      <w:pPr>
        <w:ind w:left="640" w:hanging="176"/>
        <w:spacing w:after="0"/>
        <w:tabs>
          <w:tab w:leader="none" w:pos="64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name of the corporation (hereinafter called the </w:t>
      </w:r>
      <w:r>
        <w:rPr>
          <w:rFonts w:ascii="Times New Roman" w:cs="Times New Roman" w:eastAsia="Times New Roman" w:hAnsi="Times New Roman"/>
          <w:sz w:val="1"/>
          <w:szCs w:val="1"/>
          <w:color w:val="auto"/>
        </w:rPr>
        <w:drawing>
          <wp:inline distT="0" distB="0" distL="0" distR="0">
            <wp:extent cx="102870" cy="94615"/>
            <wp:effectExtent l="0" t="0" r="0" b="0"/>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Corporation </w:t>
      </w:r>
      <w:r>
        <w:rPr>
          <w:rFonts w:ascii="Times New Roman" w:cs="Times New Roman" w:eastAsia="Times New Roman" w:hAnsi="Times New Roman"/>
          <w:sz w:val="1"/>
          <w:szCs w:val="1"/>
          <w:color w:val="auto"/>
        </w:rPr>
        <w:drawing>
          <wp:inline distT="0" distB="0" distL="0" distR="0">
            <wp:extent cx="102870" cy="94615"/>
            <wp:effectExtent l="0" t="0" r="0" b="0"/>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is LSB INDUSTRIES, INC.</w:t>
      </w:r>
    </w:p>
    <w:p>
      <w:pPr>
        <w:spacing w:after="0" w:line="171"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registered office of the Corporation within the State of Delaware is hereby changed to 9 East Loockerman Street, City of Dover 19901, County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Kent.</w:t>
      </w:r>
    </w:p>
    <w:p>
      <w:pPr>
        <w:spacing w:after="0" w:line="159" w:lineRule="exact"/>
        <w:rPr>
          <w:sz w:val="20"/>
          <w:szCs w:val="20"/>
          <w:color w:val="auto"/>
        </w:rPr>
      </w:pPr>
    </w:p>
    <w:p>
      <w:pPr>
        <w:ind w:firstLine="464"/>
        <w:spacing w:after="0" w:line="275" w:lineRule="auto"/>
        <w:tabs>
          <w:tab w:leader="none" w:pos="632"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agent of the Corporation within the State of Delaware is hereby changed to Capitol Services, Inc., the business office of which is identical with the registered office of the corporation as hereby changed.</w:t>
      </w:r>
    </w:p>
    <w:p>
      <w:pPr>
        <w:spacing w:after="0" w:line="119"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has authorized the changes hereinbefore set forth by resolution of its Board of Directors.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on 8/21/98.</w:t>
      </w:r>
    </w:p>
    <w:p>
      <w:pPr>
        <w:spacing w:after="0" w:line="2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David R. Goss</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David R. Goss, V.P.</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Printed Name and Title</w:t>
      </w:r>
    </w:p>
    <w:p>
      <w:pPr>
        <w:sectPr>
          <w:pgSz w:w="11900" w:h="16838" w:orient="portrait"/>
          <w:cols w:equalWidth="0" w:num="1">
            <w:col w:w="11380"/>
          </w:cols>
          <w:pgMar w:left="240" w:top="274" w:right="279" w:bottom="1440" w:gutter="0" w:footer="0" w:header="0"/>
        </w:sectPr>
      </w:pPr>
    </w:p>
    <w:bookmarkStart w:id="225" w:name="page226"/>
    <w:bookmarkEnd w:id="225"/>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LSB INDUSTRIES,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CERTIFICATE OF DESIGNATIONS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SERIES 3 PARTICIPATING CLASS C PREFERRED STOCK</w:t>
      </w:r>
    </w:p>
    <w:p>
      <w:pPr>
        <w:spacing w:after="0" w:line="17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LSB Industries, Inc. (the </w:t>
      </w:r>
      <w:r>
        <w:rPr>
          <w:sz w:val="1"/>
          <w:szCs w:val="1"/>
          <w:color w:val="auto"/>
        </w:rPr>
        <w:drawing>
          <wp:inline distT="0" distB="0" distL="0" distR="0">
            <wp:extent cx="102870" cy="94615"/>
            <wp:effectExtent l="0" t="0" r="0" b="0"/>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Corporation </w:t>
      </w:r>
      <w:r>
        <w:rPr>
          <w:sz w:val="1"/>
          <w:szCs w:val="1"/>
          <w:color w:val="auto"/>
        </w:rPr>
        <w:drawing>
          <wp:inline distT="0" distB="0" distL="0" distR="0">
            <wp:extent cx="102870" cy="94615"/>
            <wp:effectExtent l="0" t="0" r="0" b="0"/>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a corporation organized and existing under the General Corporation Law of the State of Delaware, does hereby certify that, pursuant to the authority conferred upon the Board of Directors by the Corporation </w:t>
      </w:r>
      <w:r>
        <w:rPr>
          <w:sz w:val="1"/>
          <w:szCs w:val="1"/>
          <w:color w:val="auto"/>
        </w:rPr>
        <w:drawing>
          <wp:inline distT="0" distB="0" distL="0" distR="0">
            <wp:extent cx="102870" cy="94615"/>
            <wp:effectExtent l="0" t="0" r="0" b="0"/>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 Restated Certificate of Incorporation, as amended, and pursuant to the provisions of Section 151 of the Delaware Corporation Law, the Board of Directors of the Corporation has adopted resolutions, a copy of which is attached hereto, establishing and providing for the issuance of a series of preferred stock, no par value, designated as Series 3 Participating Class C Preferred Stock and has established and fixed the voting powers, designations, preferences and relative participating, optional and other special rights and qualifications, limitations and restrictions of such Series 3 Participating Class C Preferred Stock as set forth in the attached resolutions.</w:t>
      </w:r>
    </w:p>
    <w:p>
      <w:pPr>
        <w:sectPr>
          <w:pgSz w:w="11900" w:h="16838" w:orient="portrait"/>
          <w:cols w:equalWidth="0" w:num="1">
            <w:col w:w="11400"/>
          </w:cols>
          <w:pgMar w:left="240" w:top="274" w:right="259" w:bottom="1440" w:gutter="0" w:footer="0" w:header="0"/>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February 2, 1999.</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200" w:lineRule="exact"/>
        <w:rPr>
          <w:sz w:val="20"/>
          <w:szCs w:val="20"/>
          <w:color w:val="auto"/>
        </w:rPr>
      </w:pPr>
    </w:p>
    <w:p>
      <w:pPr>
        <w:sectPr>
          <w:pgSz w:w="11900" w:h="16838" w:orient="portrait"/>
          <w:cols w:equalWidth="0" w:num="2">
            <w:col w:w="5240" w:space="720"/>
            <w:col w:w="5440"/>
          </w:cols>
          <w:pgMar w:left="240" w:top="274" w:right="259" w:bottom="1440" w:gutter="0" w:footer="0" w:header="0"/>
          <w:type w:val="continuous"/>
        </w:sectPr>
      </w:pPr>
    </w:p>
    <w:p>
      <w:pPr>
        <w:spacing w:after="0" w:line="4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Heidi L. Brown, VP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Heidi L. Brown, Vice President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Managing Counsel</w:t>
      </w:r>
    </w:p>
    <w:p>
      <w:pPr>
        <w:spacing w:after="0" w:line="199" w:lineRule="exact"/>
        <w:rPr>
          <w:sz w:val="20"/>
          <w:szCs w:val="20"/>
          <w:color w:val="auto"/>
        </w:rPr>
      </w:pPr>
    </w:p>
    <w:p>
      <w:pPr>
        <w:sectPr>
          <w:pgSz w:w="11900" w:h="16838" w:orient="portrait"/>
          <w:cols w:equalWidth="0" w:num="2">
            <w:col w:w="6160" w:space="120"/>
            <w:col w:w="5120"/>
          </w:cols>
          <w:pgMar w:left="240" w:top="274"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M. Shear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David M. Shear, Secretary</w:t>
      </w:r>
    </w:p>
    <w:p>
      <w:pPr>
        <w:sectPr>
          <w:pgSz w:w="11900" w:h="16838" w:orient="portrait"/>
          <w:cols w:equalWidth="0" w:num="1">
            <w:col w:w="11400"/>
          </w:cols>
          <w:pgMar w:left="240" w:top="274" w:right="259" w:bottom="1440" w:gutter="0" w:footer="0" w:header="0"/>
          <w:type w:val="continuous"/>
        </w:sectPr>
      </w:pPr>
    </w:p>
    <w:bookmarkStart w:id="226" w:name="page227"/>
    <w:bookmarkEnd w:id="226"/>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LSB INDUSTRIES,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RESOLUTIONS OF THE BOARD OF DIRECTORS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FIXING THE NUMBER AND DESIGNATING THE RIGHTS,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PRIVILEGES, RESTRICTIONS AND CONDITIONS ATTACHING</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THE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SERIES 3 PARTICIPATING CLASS C PREFERRED STOCK</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Creation of Series 3 Participating Class C Preferred Stock</w:t>
      </w:r>
    </w:p>
    <w:p>
      <w:pPr>
        <w:spacing w:after="0" w:line="171"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 xml:space="preserve">RESOLVED, that pursuant to the authority granted to and vested in the Board of Directors of LSB Industries, Inc. (the </w:t>
      </w:r>
      <w:r>
        <w:rPr>
          <w:sz w:val="1"/>
          <w:szCs w:val="1"/>
          <w:color w:val="auto"/>
        </w:rPr>
        <w:drawing>
          <wp:inline distT="0" distB="0" distL="0" distR="0">
            <wp:extent cx="102870" cy="94615"/>
            <wp:effectExtent l="0" t="0" r="0" b="0"/>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Corporation </w:t>
      </w:r>
      <w:r>
        <w:rPr>
          <w:sz w:val="1"/>
          <w:szCs w:val="1"/>
          <w:color w:val="auto"/>
        </w:rPr>
        <w:drawing>
          <wp:inline distT="0" distB="0" distL="0" distR="0">
            <wp:extent cx="102870" cy="94615"/>
            <wp:effectExtent l="0" t="0" r="0" b="0"/>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(hereinafter called the </w:t>
      </w:r>
      <w:r>
        <w:rPr>
          <w:sz w:val="1"/>
          <w:szCs w:val="1"/>
          <w:color w:val="auto"/>
        </w:rPr>
        <w:drawing>
          <wp:inline distT="0" distB="0" distL="0" distR="0">
            <wp:extent cx="102870" cy="94615"/>
            <wp:effectExtent l="0" t="0" r="0" b="0"/>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Board of Directors </w:t>
      </w:r>
      <w:r>
        <w:rPr>
          <w:sz w:val="1"/>
          <w:szCs w:val="1"/>
          <w:color w:val="auto"/>
        </w:rPr>
        <w:drawing>
          <wp:inline distT="0" distB="0" distL="0" distR="0">
            <wp:extent cx="102870" cy="94615"/>
            <wp:effectExtent l="0" t="0" r="0" b="0"/>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or the </w:t>
      </w:r>
      <w:r>
        <w:rPr>
          <w:sz w:val="1"/>
          <w:szCs w:val="1"/>
          <w:color w:val="auto"/>
        </w:rPr>
        <w:drawing>
          <wp:inline distT="0" distB="0" distL="0" distR="0">
            <wp:extent cx="102870" cy="94615"/>
            <wp:effectExtent l="0" t="0" r="0" b="0"/>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Board </w:t>
      </w:r>
      <w:r>
        <w:rPr>
          <w:sz w:val="1"/>
          <w:szCs w:val="1"/>
          <w:color w:val="auto"/>
        </w:rPr>
        <w:drawing>
          <wp:inline distT="0" distB="0" distL="0" distR="0">
            <wp:extent cx="102870" cy="94615"/>
            <wp:effectExtent l="0" t="0" r="0" b="0"/>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in accordance with the provisions of the Corporation </w:t>
      </w:r>
      <w:r>
        <w:rPr>
          <w:sz w:val="1"/>
          <w:szCs w:val="1"/>
          <w:color w:val="auto"/>
        </w:rPr>
        <w:drawing>
          <wp:inline distT="0" distB="0" distL="0" distR="0">
            <wp:extent cx="102870" cy="94615"/>
            <wp:effectExtent l="0" t="0" r="0" b="0"/>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 Restated Certificate of Incorporation, the Board of Directors hereby creates a new series of Class C Preferred Stock, no par value, designated as Series 3 Participating Class C Preferred Stock, no par value, of the Corporation and hereby states the designation and number of shares, and does hereby establish and fix the relative rights, preferences, designations and relative participating, optional and other special rights, and qualifications, limitations and restrictions thereof as follows: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Series 3 Participating Class C Preferred Stock</w:t>
      </w:r>
    </w:p>
    <w:p>
      <w:pPr>
        <w:spacing w:after="0" w:line="17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Designation and Amount</w:t>
      </w:r>
      <w:r>
        <w:rPr>
          <w:rFonts w:ascii="Times New Roman" w:cs="Times New Roman" w:eastAsia="Times New Roman" w:hAnsi="Times New Roman"/>
          <w:sz w:val="18"/>
          <w:szCs w:val="18"/>
          <w:color w:val="auto"/>
        </w:rPr>
        <w:t xml:space="preserve">. The shares of such series shall be designated as </w:t>
      </w:r>
      <w:r>
        <w:rPr>
          <w:sz w:val="1"/>
          <w:szCs w:val="1"/>
          <w:color w:val="auto"/>
        </w:rPr>
        <w:drawing>
          <wp:inline distT="0" distB="0" distL="0" distR="0">
            <wp:extent cx="102870" cy="94615"/>
            <wp:effectExtent l="0" t="0" r="0" b="0"/>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Series 3 Participating Class C Preferred Stock </w:t>
      </w:r>
      <w:r>
        <w:rPr>
          <w:sz w:val="1"/>
          <w:szCs w:val="1"/>
          <w:color w:val="auto"/>
        </w:rPr>
        <w:drawing>
          <wp:inline distT="0" distB="0" distL="0" distR="0">
            <wp:extent cx="102870" cy="94615"/>
            <wp:effectExtent l="0" t="0" r="0" b="0"/>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w:t>
      </w:r>
      <w:r>
        <w:rPr>
          <w:sz w:val="1"/>
          <w:szCs w:val="1"/>
          <w:color w:val="auto"/>
        </w:rPr>
        <w:drawing>
          <wp:inline distT="0" distB="0" distL="0" distR="0">
            <wp:extent cx="102870" cy="94615"/>
            <wp:effectExtent l="0" t="0" r="0" b="0"/>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Series 3 Class C Preferred Stock </w:t>
      </w:r>
      <w:r>
        <w:rPr>
          <w:sz w:val="1"/>
          <w:szCs w:val="1"/>
          <w:color w:val="auto"/>
        </w:rPr>
        <w:drawing>
          <wp:inline distT="0" distB="0" distL="0" distR="0">
            <wp:extent cx="102870" cy="94615"/>
            <wp:effectExtent l="0" t="0" r="0" b="0"/>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the shares of such series shall be no par value, and the number of shares constituting the Series 3 Class C Preferred Stock shall be 250,000. Such number of shares of Series 3 Class C Preferred Stock may be increased or decreased by resolution of the Board of Directors;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decrease shall reduce the number of shares of Series 3 Class C Preferred Stock to a number less than the number of shares then outstanding plus the number of shares reserved for issuance upon the exercise of outstanding options, rights or warrants or upon the conversion of any outstanding securities issued by the Corporation convertible into Series 3 Class C Preferred Stock.</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Dividends and Distributions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firstLine="464"/>
        <w:spacing w:after="0" w:line="285" w:lineRule="auto"/>
        <w:tabs>
          <w:tab w:leader="none" w:pos="744"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the prior and superior rights of the holders of any shares of any series of the Corporation </w:t>
      </w:r>
      <w:r>
        <w:rPr>
          <w:rFonts w:ascii="Times New Roman" w:cs="Times New Roman" w:eastAsia="Times New Roman" w:hAnsi="Times New Roman"/>
          <w:sz w:val="1"/>
          <w:szCs w:val="1"/>
          <w:color w:val="auto"/>
        </w:rPr>
        <w:drawing>
          <wp:inline distT="0" distB="0" distL="0" distR="0">
            <wp:extent cx="102870" cy="94615"/>
            <wp:effectExtent l="0" t="0" r="0" b="0"/>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s preferred stock and/or Class C Preferred Stock ranking prior and superior to the shares of Series 3 Class C Preferred Stock with respect to dividends, if any, the holders of shares of Series 3 Class C Preferred Stock, in preference to the holders of Common Stock, par value $0.10 per share (the </w:t>
      </w:r>
      <w:r>
        <w:rPr>
          <w:rFonts w:ascii="Times New Roman" w:cs="Times New Roman" w:eastAsia="Times New Roman" w:hAnsi="Times New Roman"/>
          <w:sz w:val="1"/>
          <w:szCs w:val="1"/>
          <w:color w:val="auto"/>
        </w:rPr>
        <w:drawing>
          <wp:inline distT="0" distB="0" distL="0" distR="0">
            <wp:extent cx="102870" cy="94615"/>
            <wp:effectExtent l="0" t="0" r="0" b="0"/>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Common Stock </w:t>
      </w:r>
      <w:r>
        <w:rPr>
          <w:rFonts w:ascii="Times New Roman" w:cs="Times New Roman" w:eastAsia="Times New Roman" w:hAnsi="Times New Roman"/>
          <w:sz w:val="1"/>
          <w:szCs w:val="1"/>
          <w:color w:val="auto"/>
        </w:rPr>
        <w:drawing>
          <wp:inline distT="0" distB="0" distL="0" distR="0">
            <wp:extent cx="102870" cy="94615"/>
            <wp:effectExtent l="0" t="0" r="0" b="0"/>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 of the Corporation, and of any other junior stock, shall be entitled to receive, when, as and if declared by the Board of Directors out of funds legally available for the purpose, quarterly dividends payable in cash on the last business day of March, June, September and December in each year (each such date being referred to herein as a </w:t>
      </w:r>
      <w:r>
        <w:rPr>
          <w:rFonts w:ascii="Times New Roman" w:cs="Times New Roman" w:eastAsia="Times New Roman" w:hAnsi="Times New Roman"/>
          <w:sz w:val="1"/>
          <w:szCs w:val="1"/>
          <w:color w:val="auto"/>
        </w:rPr>
        <w:drawing>
          <wp:inline distT="0" distB="0" distL="0" distR="0">
            <wp:extent cx="102870" cy="94615"/>
            <wp:effectExtent l="0" t="0" r="0" b="0"/>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Quarterly Dividend Payment Date </w:t>
      </w:r>
      <w:r>
        <w:rPr>
          <w:rFonts w:ascii="Times New Roman" w:cs="Times New Roman" w:eastAsia="Times New Roman" w:hAnsi="Times New Roman"/>
          <w:sz w:val="1"/>
          <w:szCs w:val="1"/>
          <w:color w:val="auto"/>
        </w:rPr>
        <w:drawing>
          <wp:inline distT="0" distB="0" distL="0" distR="0">
            <wp:extent cx="102870" cy="94615"/>
            <wp:effectExtent l="0" t="0" r="0" b="0"/>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 commencing on the first Quarterly Dividend Payment Date after the first issuance of a share or fraction of a share of Series 3 Class C Preferred Stock, in an amount per share (rounded to the nearest cent) equal to the greater of (a) $1, or (b) subject to the provision for adjustment hereafter set forth, 100 times the aggregate per share amount of all cash dividends, and 100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3 Class C Preferred Stock.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to which holders of shares of Series 3 Class C Preferred Stock were entitled immediately prior to such event under clause (b)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Exhibit </w:t>
      </w:r>
      <w:r>
        <w:rPr>
          <w:sz w:val="1"/>
          <w:szCs w:val="1"/>
          <w:color w:val="auto"/>
        </w:rPr>
        <w:drawing>
          <wp:inline distT="0" distB="0" distL="0" distR="0">
            <wp:extent cx="102870" cy="94615"/>
            <wp:effectExtent l="0" t="0" r="0" b="0"/>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A </w:t>
      </w:r>
      <w:r>
        <w:rPr>
          <w:sz w:val="1"/>
          <w:szCs w:val="1"/>
          <w:color w:val="auto"/>
        </w:rPr>
        <w:drawing>
          <wp:inline distT="0" distB="0" distL="0" distR="0">
            <wp:extent cx="102870" cy="94615"/>
            <wp:effectExtent l="0" t="0" r="0" b="0"/>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6</w:t>
      </w:r>
    </w:p>
    <w:p>
      <w:pPr>
        <w:sectPr>
          <w:pgSz w:w="11900" w:h="16838" w:orient="portrait"/>
          <w:cols w:equalWidth="0" w:num="1">
            <w:col w:w="11420"/>
          </w:cols>
          <w:pgMar w:left="240" w:top="274" w:right="239" w:bottom="1440" w:gutter="0" w:footer="0" w:header="0"/>
        </w:sectPr>
      </w:pPr>
    </w:p>
    <w:bookmarkStart w:id="227" w:name="page228"/>
    <w:bookmarkEnd w:id="227"/>
    <w:p>
      <w:pPr>
        <w:ind w:right="200" w:firstLine="464"/>
        <w:spacing w:after="0" w:line="256" w:lineRule="auto"/>
        <w:tabs>
          <w:tab w:leader="none" w:pos="734"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Corporation shall declare a dividend or distribution on the Series 3 Class C Preferred Stock as provided in paragraph (A) of this Section immediately after it declares a dividend or distribution on the Common Stock (other than a dividend payable in shares of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no dividend or distribution shall have been declared on the Common Stock during the period between any Quarterly Dividend Payment Date and the next subsequent Quarterly Dividend Payment Date, a dividend of $1 per share on the Series 3 Class C Preferred Stock shall nevertheless be payable on such subsequent Quarterly Dividend Payment Date.</w:t>
      </w:r>
    </w:p>
    <w:p>
      <w:pPr>
        <w:spacing w:after="0" w:line="138" w:lineRule="exact"/>
        <w:rPr>
          <w:rFonts w:ascii="Times New Roman" w:cs="Times New Roman" w:eastAsia="Times New Roman" w:hAnsi="Times New Roman"/>
          <w:sz w:val="18"/>
          <w:szCs w:val="18"/>
          <w:color w:val="auto"/>
        </w:rPr>
      </w:pPr>
    </w:p>
    <w:p>
      <w:pPr>
        <w:ind w:right="40" w:firstLine="464"/>
        <w:spacing w:after="0" w:line="253" w:lineRule="auto"/>
        <w:tabs>
          <w:tab w:leader="none" w:pos="734"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shall begin to accrue and be cumulative on outstanding shares of Series 3 Class C Preferred Stock from the Quarterly Dividend Payment Date next preceding the date of issue of such shares of Series 3 Class C Preferred Stock, unless the date of issue of such shares is prior to the record date for the first Quarterly Dividend Payment Date, in which case dividends on such shares shall begin to accrue and be cumulative from the date of issue of such shares, or unless the date of issue is a Quarterly Dividend Payment Date or is a date after the record date for the determination of holders of shares of Series 3 Class C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3 Class C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3 Class C Preferred Stock entitled to receive payment of a dividend or distribution declared thereon, which record date shall be not more than 60 days prior to the date fixed for the payment thereof.</w:t>
      </w:r>
    </w:p>
    <w:p>
      <w:pPr>
        <w:spacing w:after="0" w:line="1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Exhibit </w:t>
      </w:r>
      <w:r>
        <w:rPr>
          <w:sz w:val="1"/>
          <w:szCs w:val="1"/>
          <w:color w:val="auto"/>
        </w:rPr>
        <w:drawing>
          <wp:inline distT="0" distB="0" distL="0" distR="0">
            <wp:extent cx="102870" cy="94615"/>
            <wp:effectExtent l="0" t="0" r="0" b="0"/>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A </w:t>
      </w:r>
      <w:r>
        <w:rPr>
          <w:sz w:val="1"/>
          <w:szCs w:val="1"/>
          <w:color w:val="auto"/>
        </w:rPr>
        <w:drawing>
          <wp:inline distT="0" distB="0" distL="0" distR="0">
            <wp:extent cx="102870" cy="94615"/>
            <wp:effectExtent l="0" t="0" r="0" b="0"/>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 of 6</w:t>
      </w:r>
    </w:p>
    <w:p>
      <w:pPr>
        <w:sectPr>
          <w:pgSz w:w="11900" w:h="16838" w:orient="portrait"/>
          <w:cols w:equalWidth="0" w:num="1">
            <w:col w:w="11420"/>
          </w:cols>
          <w:pgMar w:left="240" w:top="274" w:right="239" w:bottom="1440" w:gutter="0" w:footer="0" w:header="0"/>
        </w:sectPr>
      </w:pPr>
    </w:p>
    <w:bookmarkStart w:id="228" w:name="page229"/>
    <w:bookmarkEnd w:id="228"/>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The holders of shares of Series 3 Class C Preferred Stock shall have the following voting rights:</w:t>
      </w:r>
    </w:p>
    <w:p>
      <w:pPr>
        <w:spacing w:after="0" w:line="90" w:lineRule="exact"/>
        <w:rPr>
          <w:sz w:val="20"/>
          <w:szCs w:val="20"/>
          <w:color w:val="auto"/>
        </w:rPr>
      </w:pPr>
    </w:p>
    <w:p>
      <w:pPr>
        <w:ind w:right="120" w:firstLine="464"/>
        <w:spacing w:after="0" w:line="275" w:lineRule="auto"/>
        <w:tabs>
          <w:tab w:leader="none" w:pos="744"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Series 3 Class C Preferred Stock shall entitle the holder thereof to 100 votes on all matters submitted to a vote of the stockholders of the Corporation.</w:t>
      </w:r>
    </w:p>
    <w:p>
      <w:pPr>
        <w:spacing w:after="0" w:line="119" w:lineRule="exact"/>
        <w:rPr>
          <w:rFonts w:ascii="Times New Roman" w:cs="Times New Roman" w:eastAsia="Times New Roman" w:hAnsi="Times New Roman"/>
          <w:sz w:val="18"/>
          <w:szCs w:val="18"/>
          <w:color w:val="auto"/>
        </w:rPr>
      </w:pPr>
    </w:p>
    <w:p>
      <w:pPr>
        <w:ind w:right="60" w:firstLine="464"/>
        <w:spacing w:after="0" w:line="258" w:lineRule="auto"/>
        <w:tabs>
          <w:tab w:leader="none" w:pos="734"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in the Restated Certificate of Incorporation of the Corporation, in any other Certificate of Designation of the Corporation or by applicable law, the holders of shares of Series 3 Class C Preferred Stock, the holders of shares of Common Stock and the holders of any other class or series of capital stock of the Corporation having general voting rights shall vote together as one class on all matters submitted to a vote of stockholders of the Corporation.</w:t>
      </w:r>
    </w:p>
    <w:p>
      <w:pPr>
        <w:spacing w:after="0" w:line="136" w:lineRule="exact"/>
        <w:rPr>
          <w:rFonts w:ascii="Times New Roman" w:cs="Times New Roman" w:eastAsia="Times New Roman" w:hAnsi="Times New Roman"/>
          <w:sz w:val="18"/>
          <w:szCs w:val="18"/>
          <w:color w:val="auto"/>
        </w:rPr>
      </w:pPr>
    </w:p>
    <w:p>
      <w:pPr>
        <w:ind w:right="20" w:firstLine="464"/>
        <w:spacing w:after="0" w:line="262" w:lineRule="auto"/>
        <w:tabs>
          <w:tab w:leader="none" w:pos="734"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herein or as otherwise required by applicable law, holders of Series 3 Class C Preferred Stock shall have no special voting rights and their consent shall not be required (except to the extent that they are entitled to vote with holders of Common Stock as set forth herein) for taking any corporate action.</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Certain Restrictions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right="40" w:firstLine="464"/>
        <w:spacing w:after="0" w:line="258" w:lineRule="auto"/>
        <w:tabs>
          <w:tab w:leader="none" w:pos="744"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quarterly dividends or other dividends or distributions payable on the Series 3 Class C Preferred Stock as provided in Section 2 hereof are in arrears, thereafter and until all accrued and unpaid dividends and distributions, whether or not declared, on shares of Series 3 Class C Preferred Stock outstanding shall have been paid in full, or declared and a sum sufficient for the payment therefor be set apart for payment and be in the process of payment, the Corporation shall not:</w:t>
      </w:r>
    </w:p>
    <w:p>
      <w:pPr>
        <w:spacing w:after="0" w:line="136" w:lineRule="exact"/>
        <w:rPr>
          <w:sz w:val="20"/>
          <w:szCs w:val="20"/>
          <w:color w:val="auto"/>
        </w:rPr>
      </w:pPr>
    </w:p>
    <w:p>
      <w:pPr>
        <w:ind w:right="20" w:firstLine="464"/>
        <w:spacing w:after="0" w:line="275" w:lineRule="auto"/>
        <w:tabs>
          <w:tab w:leader="none" w:pos="66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dividends, or make any other distributions, on any shares of stock ranking junior (either as to dividends or upon liquidation, dissolution or winding up) to the Series 3 Class C Preferred Stock;</w:t>
      </w:r>
    </w:p>
    <w:p>
      <w:pPr>
        <w:spacing w:after="0" w:line="119" w:lineRule="exact"/>
        <w:rPr>
          <w:rFonts w:ascii="Times New Roman" w:cs="Times New Roman" w:eastAsia="Times New Roman" w:hAnsi="Times New Roman"/>
          <w:sz w:val="18"/>
          <w:szCs w:val="18"/>
          <w:color w:val="auto"/>
        </w:rPr>
      </w:pPr>
    </w:p>
    <w:p>
      <w:pPr>
        <w:ind w:right="320" w:firstLine="464"/>
        <w:spacing w:after="0" w:line="262" w:lineRule="auto"/>
        <w:tabs>
          <w:tab w:leader="none" w:pos="71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dividends, or make any other distributions, on any shares of stock ranking on a parity (either as to dividends or upon liquidation, dissolution or winding up) with the Series 3 Class C Preferred Stock, except dividends paid ratably on the Series 3 Class C Preferred Stock and all such parity stock on which dividends are payable or in arrears in proportion to the total amounts to which the holders of all such shares are then entitled;</w:t>
      </w:r>
    </w:p>
    <w:p>
      <w:pPr>
        <w:spacing w:after="0" w:line="132" w:lineRule="exact"/>
        <w:rPr>
          <w:rFonts w:ascii="Times New Roman" w:cs="Times New Roman" w:eastAsia="Times New Roman" w:hAnsi="Times New Roman"/>
          <w:sz w:val="18"/>
          <w:szCs w:val="18"/>
          <w:color w:val="auto"/>
        </w:rPr>
      </w:pPr>
    </w:p>
    <w:p>
      <w:pPr>
        <w:ind w:right="100" w:firstLine="464"/>
        <w:spacing w:after="0" w:line="258" w:lineRule="auto"/>
        <w:tabs>
          <w:tab w:leader="none" w:pos="764"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or purchase or otherwise acquire for consideration shares of any stock ranking junior (either as to dividends or upon liquidation, dissolution or winding up) to the Series 3 Class C Preferred Stock, provided that the Corporation may at any time redeem, purchase or otherwise acquire shares of any such junior stock in exchange for shares of any stock of the Corporation ranking junior (either as to dividends or upon dissolution, liquidation or winding up) to the Series 3 Class C Preferred Stock; or</w:t>
      </w:r>
    </w:p>
    <w:p>
      <w:pPr>
        <w:spacing w:after="0" w:line="1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Exhibit </w:t>
      </w:r>
      <w:r>
        <w:rPr>
          <w:sz w:val="1"/>
          <w:szCs w:val="1"/>
          <w:color w:val="auto"/>
        </w:rPr>
        <w:drawing>
          <wp:inline distT="0" distB="0" distL="0" distR="0">
            <wp:extent cx="102870" cy="94615"/>
            <wp:effectExtent l="0" t="0" r="0" b="0"/>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A </w:t>
      </w:r>
      <w:r>
        <w:rPr>
          <w:sz w:val="1"/>
          <w:szCs w:val="1"/>
          <w:color w:val="auto"/>
        </w:rPr>
        <w:drawing>
          <wp:inline distT="0" distB="0" distL="0" distR="0">
            <wp:extent cx="102870" cy="94615"/>
            <wp:effectExtent l="0" t="0" r="0" b="0"/>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 of 6</w:t>
      </w:r>
    </w:p>
    <w:p>
      <w:pPr>
        <w:sectPr>
          <w:pgSz w:w="11900" w:h="16838" w:orient="portrait"/>
          <w:cols w:equalWidth="0" w:num="1">
            <w:col w:w="11420"/>
          </w:cols>
          <w:pgMar w:left="240" w:top="274" w:right="239" w:bottom="1440" w:gutter="0" w:footer="0" w:header="0"/>
        </w:sectPr>
      </w:pPr>
    </w:p>
    <w:bookmarkStart w:id="229" w:name="page230"/>
    <w:bookmarkEnd w:id="229"/>
    <w:p>
      <w:pPr>
        <w:ind w:right="200" w:firstLine="464"/>
        <w:spacing w:after="0" w:line="256" w:lineRule="auto"/>
        <w:tabs>
          <w:tab w:leader="none" w:pos="75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redeem or purchase or otherwise acquire for consideration any shares of Series 3 Class C Preferred Stock, or any shares of stock ranking on a parity with the Series 3 Class C Preferred Stock, except in accordance with the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39" w:lineRule="exact"/>
        <w:rPr>
          <w:sz w:val="20"/>
          <w:szCs w:val="20"/>
          <w:color w:val="auto"/>
        </w:rPr>
      </w:pPr>
    </w:p>
    <w:p>
      <w:pPr>
        <w:ind w:right="400" w:firstLine="464"/>
        <w:spacing w:after="0" w:line="339" w:lineRule="auto"/>
        <w:tabs>
          <w:tab w:leader="none" w:pos="734"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Corporation shall not permit any subsidiary of the Corporation to purchase or otherwise acquire for consideration any shares of stock of the Corporation unless the Corporation could, under paragraph (A) of this Section 4, purchase or otherwise acquire such shares at such time and in such manner.</w:t>
      </w:r>
    </w:p>
    <w:p>
      <w:pPr>
        <w:spacing w:after="0" w:line="7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Reacquired Shares</w:t>
      </w:r>
      <w:r>
        <w:rPr>
          <w:rFonts w:ascii="Times New Roman" w:cs="Times New Roman" w:eastAsia="Times New Roman" w:hAnsi="Times New Roman"/>
          <w:sz w:val="18"/>
          <w:szCs w:val="18"/>
          <w:color w:val="auto"/>
        </w:rPr>
        <w:t>. Any shares of Series 3 Class C Stock purchased or otherwise acquired by the Corporation in any manner whatsoever shall be retired and cancelled promptly after the acquisition thereof. All such shares shall upon their cancellation become authorized but unissued shares of Class C Preferred Stock and may be reissued as part of a new series of Class C Preferred Stock subject to the conditions and restrictions on issuance set forth herein, in the Restated Certificate of Incorporation of the Corporation, or in any other Certificate of Designations creating a series of Class C Preferred Stock or any other preferred stock or any similar stock or as otherwise required by law.</w:t>
      </w:r>
    </w:p>
    <w:p>
      <w:pPr>
        <w:spacing w:after="0" w:line="139"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Liquidation, Dissolution or Winding Up</w:t>
      </w:r>
      <w:r>
        <w:rPr>
          <w:rFonts w:ascii="Times New Roman" w:cs="Times New Roman" w:eastAsia="Times New Roman" w:hAnsi="Times New Roman"/>
          <w:sz w:val="18"/>
          <w:szCs w:val="18"/>
          <w:color w:val="auto"/>
        </w:rPr>
        <w:t>. Upon any liquidation, dissolution or winding up of the Corporation, no distribution shall be made (1) to the holders of shares of stock ranking junior (either as to dividends or upon liquidation, dissolution or winding up) to the Series 3 Participating Class C Preferred Stock unless, prior thereto, the holders of shares of Series 3 Class C Preferred Stock shall have received $100 per share, plus an amount equal to accrued and unpaid dividends and distributions thereon, whether or not declared, to the date of such payment, provided that the holders of shares of Series 3 Class C Preferred Stock shall be entitled to receive an aggregate amount per share, subject to the provision for adjustment hereinafter set forth, equal to 100 times the aggregate amount to be distributed per share to holders of shares of Common Stock, or (2) to the holders of shares of stock ranking on a parity (either as to dividends or upon liquidation, dissolution or winding up) with the Series 3 Class C Preferred Stock, except distributions made ratably on the Series 3 Class C Preferred Stock and all such parity stock in proportion to the total amounts to which the holders of all such shares are entitled upon such liquidation, dissolution or winding up.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aggregate amount to which holders of shares of Series 3 Class C Preferred Stock were entitled immediately prior to such event under the proviso in clause (1)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Exhibit </w:t>
      </w:r>
      <w:r>
        <w:rPr>
          <w:sz w:val="1"/>
          <w:szCs w:val="1"/>
          <w:color w:val="auto"/>
        </w:rPr>
        <w:drawing>
          <wp:inline distT="0" distB="0" distL="0" distR="0">
            <wp:extent cx="102870" cy="94615"/>
            <wp:effectExtent l="0" t="0" r="0" b="0"/>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A </w:t>
      </w:r>
      <w:r>
        <w:rPr>
          <w:sz w:val="1"/>
          <w:szCs w:val="1"/>
          <w:color w:val="auto"/>
        </w:rPr>
        <w:drawing>
          <wp:inline distT="0" distB="0" distL="0" distR="0">
            <wp:extent cx="102870" cy="94615"/>
            <wp:effectExtent l="0" t="0" r="0" b="0"/>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 of 6</w:t>
      </w:r>
    </w:p>
    <w:p>
      <w:pPr>
        <w:sectPr>
          <w:pgSz w:w="11900" w:h="16838" w:orient="portrait"/>
          <w:cols w:equalWidth="0" w:num="1">
            <w:col w:w="11420"/>
          </w:cols>
          <w:pgMar w:left="240" w:top="274" w:right="239" w:bottom="1440" w:gutter="0" w:footer="0" w:header="0"/>
        </w:sectPr>
      </w:pPr>
    </w:p>
    <w:bookmarkStart w:id="230" w:name="page231"/>
    <w:bookmarkEnd w:id="230"/>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 </w:t>
      </w:r>
      <w:r>
        <w:rPr>
          <w:rFonts w:ascii="Times New Roman" w:cs="Times New Roman" w:eastAsia="Times New Roman" w:hAnsi="Times New Roman"/>
          <w:sz w:val="18"/>
          <w:szCs w:val="18"/>
          <w:u w:val="single" w:color="auto"/>
          <w:color w:val="auto"/>
        </w:rPr>
        <w:t>Consolidation, Merger, etc.</w:t>
      </w:r>
      <w:r>
        <w:rPr>
          <w:rFonts w:ascii="Times New Roman" w:cs="Times New Roman" w:eastAsia="Times New Roman" w:hAnsi="Times New Roman"/>
          <w:sz w:val="18"/>
          <w:szCs w:val="18"/>
          <w:color w:val="auto"/>
        </w:rPr>
        <w:t xml:space="preserve"> In case the Corporation shall enter into any consolidation, merger, combination or other transaction in which the shares of Common Stock are exchanged for or changed into other stock or securities, cash and/or any other property, then in any such case each share of Series 3 Class C Preferred Stock shall at the same time be similarly exchanged or changed into an amount per share, subject to the provision for adjustment hereinafter set forth, equal to 100 times the aggregate amount of stock, securities, cash and/or any other property (payable in kind), as the case may be, into which or for which each share of Common Stock is changed or exchanged.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set forth in the preceding sentence with respect to the exchange or change of shares of Series 3 Class C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No Redemption</w:t>
      </w:r>
      <w:r>
        <w:rPr>
          <w:rFonts w:ascii="Times New Roman" w:cs="Times New Roman" w:eastAsia="Times New Roman" w:hAnsi="Times New Roman"/>
          <w:sz w:val="18"/>
          <w:szCs w:val="18"/>
          <w:color w:val="auto"/>
        </w:rPr>
        <w:t>. The shares of Series 3 Class C Preferred Stock shall not be redeemable.</w:t>
      </w:r>
    </w:p>
    <w:p>
      <w:pPr>
        <w:spacing w:after="0" w:line="171"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Ranking</w:t>
      </w:r>
      <w:r>
        <w:rPr>
          <w:rFonts w:ascii="Times New Roman" w:cs="Times New Roman" w:eastAsia="Times New Roman" w:hAnsi="Times New Roman"/>
          <w:sz w:val="18"/>
          <w:szCs w:val="18"/>
          <w:color w:val="auto"/>
        </w:rPr>
        <w:t xml:space="preserve">. The Series 3 Class C Preferred Stock shall rank junior to all other series of the Corporation </w:t>
      </w:r>
      <w:r>
        <w:rPr>
          <w:sz w:val="1"/>
          <w:szCs w:val="1"/>
          <w:color w:val="auto"/>
        </w:rPr>
        <w:drawing>
          <wp:inline distT="0" distB="0" distL="0" distR="0">
            <wp:extent cx="102870" cy="94615"/>
            <wp:effectExtent l="0" t="0" r="0" b="0"/>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 Class C Preferred Stock and all other series of the Corporation </w:t>
      </w:r>
      <w:r>
        <w:rPr>
          <w:sz w:val="1"/>
          <w:szCs w:val="1"/>
          <w:color w:val="auto"/>
        </w:rPr>
        <w:drawing>
          <wp:inline distT="0" distB="0" distL="0" distR="0">
            <wp:extent cx="102870" cy="94615"/>
            <wp:effectExtent l="0" t="0" r="0" b="0"/>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 other classes of preferred stock as to the payment of dividends and the distribution of assets upon any liquidation, dissolution or winding up of the Corporation unless the terms of any such series shall provide otherwise.</w:t>
      </w:r>
    </w:p>
    <w:p>
      <w:pPr>
        <w:spacing w:after="0" w:line="1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Exhibit </w:t>
      </w:r>
      <w:r>
        <w:rPr>
          <w:sz w:val="1"/>
          <w:szCs w:val="1"/>
          <w:color w:val="auto"/>
        </w:rPr>
        <w:drawing>
          <wp:inline distT="0" distB="0" distL="0" distR="0">
            <wp:extent cx="102870" cy="94615"/>
            <wp:effectExtent l="0" t="0" r="0" b="0"/>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A </w:t>
      </w:r>
      <w:r>
        <w:rPr>
          <w:sz w:val="1"/>
          <w:szCs w:val="1"/>
          <w:color w:val="auto"/>
        </w:rPr>
        <w:drawing>
          <wp:inline distT="0" distB="0" distL="0" distR="0">
            <wp:extent cx="102870" cy="94615"/>
            <wp:effectExtent l="0" t="0" r="0" b="0"/>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 of 6</w:t>
      </w:r>
    </w:p>
    <w:p>
      <w:pPr>
        <w:sectPr>
          <w:pgSz w:w="11900" w:h="16838" w:orient="portrait"/>
          <w:cols w:equalWidth="0" w:num="1">
            <w:col w:w="11420"/>
          </w:cols>
          <w:pgMar w:left="240" w:top="274" w:right="239" w:bottom="1440" w:gutter="0" w:footer="0" w:header="0"/>
        </w:sectPr>
      </w:pPr>
    </w:p>
    <w:bookmarkStart w:id="231" w:name="page232"/>
    <w:bookmarkEnd w:id="231"/>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So long as any shares of the Series 3 Class C Preferred Stock are outstanding, the Corporation shall not, without the affirmative vote of at least a majority in number of shares of the Series 3 Class C Preferred Stock then outstanding, amend, alter, or repeal any of the provisions of this Certificate of Designations or the Corporation </w:t>
      </w:r>
      <w:r>
        <w:rPr>
          <w:sz w:val="1"/>
          <w:szCs w:val="1"/>
          <w:color w:val="auto"/>
        </w:rPr>
        <w:drawing>
          <wp:inline distT="0" distB="0" distL="0" distR="0">
            <wp:extent cx="102870" cy="94615"/>
            <wp:effectExtent l="0" t="0" r="0" b="0"/>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 Restated Certificate of Incorporation so as to affect adversely the preferences, special rights or powers of the shares of Series 3 Class C Preferred Stock.</w:t>
      </w:r>
    </w:p>
    <w:p>
      <w:pPr>
        <w:spacing w:after="0" w:line="1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Exhibit </w:t>
      </w:r>
      <w:r>
        <w:rPr>
          <w:sz w:val="1"/>
          <w:szCs w:val="1"/>
          <w:color w:val="auto"/>
        </w:rPr>
        <w:drawing>
          <wp:inline distT="0" distB="0" distL="0" distR="0">
            <wp:extent cx="102870" cy="94615"/>
            <wp:effectExtent l="0" t="0" r="0" b="0"/>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A </w:t>
      </w:r>
      <w:r>
        <w:rPr>
          <w:sz w:val="1"/>
          <w:szCs w:val="1"/>
          <w:color w:val="auto"/>
        </w:rPr>
        <w:drawing>
          <wp:inline distT="0" distB="0" distL="0" distR="0">
            <wp:extent cx="102870" cy="94615"/>
            <wp:effectExtent l="0" t="0" r="0" b="0"/>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 of 6</w:t>
      </w:r>
    </w:p>
    <w:p>
      <w:pPr>
        <w:sectPr>
          <w:pgSz w:w="11900" w:h="16838" w:orient="portrait"/>
          <w:cols w:equalWidth="0" w:num="1">
            <w:col w:w="11420"/>
          </w:cols>
          <w:pgMar w:left="240" w:top="274" w:right="239" w:bottom="1440" w:gutter="0" w:footer="0" w:header="0"/>
        </w:sectPr>
      </w:pPr>
    </w:p>
    <w:bookmarkStart w:id="232" w:name="page233"/>
    <w:bookmarkEnd w:id="232"/>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 OF ELIMINATION</w:t>
      </w:r>
    </w:p>
    <w:p>
      <w:pPr>
        <w:spacing w:after="0" w:line="17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7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SERIES 2 PARTICIPATING CLASS C PREFERRED STOCK</w:t>
      </w:r>
    </w:p>
    <w:p>
      <w:pPr>
        <w:spacing w:after="0" w:line="17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7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196215</wp:posOffset>
            </wp:positionV>
            <wp:extent cx="151765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 xml:space="preserve">LSB INDUSTRIES, INC., a corporation existing under the General Corporation Law of the State of Delaware (hereinafter called the </w:t>
      </w:r>
      <w:r>
        <w:rPr>
          <w:sz w:val="1"/>
          <w:szCs w:val="1"/>
          <w:color w:val="auto"/>
        </w:rPr>
        <w:drawing>
          <wp:inline distT="0" distB="0" distL="0" distR="0">
            <wp:extent cx="102870" cy="94615"/>
            <wp:effectExtent l="0" t="0" r="0" b="0"/>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Corporation </w:t>
      </w:r>
      <w:r>
        <w:rPr>
          <w:sz w:val="1"/>
          <w:szCs w:val="1"/>
          <w:color w:val="auto"/>
        </w:rPr>
        <w:drawing>
          <wp:inline distT="0" distB="0" distL="0" distR="0">
            <wp:extent cx="102870" cy="94615"/>
            <wp:effectExtent l="0" t="0" r="0" b="0"/>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hereby certifies the following:</w:t>
      </w:r>
    </w:p>
    <w:p>
      <w:pPr>
        <w:spacing w:after="0" w:line="120" w:lineRule="exact"/>
        <w:rPr>
          <w:sz w:val="20"/>
          <w:szCs w:val="20"/>
          <w:color w:val="auto"/>
        </w:rPr>
      </w:pPr>
    </w:p>
    <w:p>
      <w:pPr>
        <w:ind w:right="20" w:firstLine="464"/>
        <w:spacing w:after="0" w:line="275" w:lineRule="auto"/>
        <w:tabs>
          <w:tab w:leader="none" w:pos="647"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the Certificate of Designations of Series 2 Participating Class Preferred Stock of the Corporation (the </w:t>
      </w:r>
      <w:r>
        <w:rPr>
          <w:rFonts w:ascii="Times New Roman" w:cs="Times New Roman" w:eastAsia="Times New Roman" w:hAnsi="Times New Roman"/>
          <w:sz w:val="1"/>
          <w:szCs w:val="1"/>
          <w:color w:val="auto"/>
        </w:rPr>
        <w:drawing>
          <wp:inline distT="0" distB="0" distL="0" distR="0">
            <wp:extent cx="102870" cy="94615"/>
            <wp:effectExtent l="0" t="0" r="0" b="0"/>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Series 2 Preferred </w:t>
      </w:r>
      <w:r>
        <w:rPr>
          <w:rFonts w:ascii="Times New Roman" w:cs="Times New Roman" w:eastAsia="Times New Roman" w:hAnsi="Times New Roman"/>
          <w:sz w:val="1"/>
          <w:szCs w:val="1"/>
          <w:color w:val="auto"/>
        </w:rPr>
        <w:drawing>
          <wp:inline distT="0" distB="0" distL="0" distR="0">
            <wp:extent cx="102870" cy="94615"/>
            <wp:effectExtent l="0" t="0" r="0" b="0"/>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was filed with the Delaware Secretary of State on February 21, 1989 (the </w:t>
      </w:r>
      <w:r>
        <w:rPr>
          <w:rFonts w:ascii="Times New Roman" w:cs="Times New Roman" w:eastAsia="Times New Roman" w:hAnsi="Times New Roman"/>
          <w:sz w:val="1"/>
          <w:szCs w:val="1"/>
          <w:color w:val="auto"/>
        </w:rPr>
        <w:drawing>
          <wp:inline distT="0" distB="0" distL="0" distR="0">
            <wp:extent cx="102870" cy="94615"/>
            <wp:effectExtent l="0" t="0" r="0" b="0"/>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Series 2 Certificate of Designations </w:t>
      </w:r>
      <w:r>
        <w:rPr>
          <w:rFonts w:ascii="Times New Roman" w:cs="Times New Roman" w:eastAsia="Times New Roman" w:hAnsi="Times New Roman"/>
          <w:sz w:val="1"/>
          <w:szCs w:val="1"/>
          <w:color w:val="auto"/>
        </w:rPr>
        <w:drawing>
          <wp:inline distT="0" distB="0" distL="0" distR="0">
            <wp:extent cx="102870" cy="94615"/>
            <wp:effectExtent l="0" t="0" r="0" b="0"/>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w:t>
      </w:r>
    </w:p>
    <w:p>
      <w:pPr>
        <w:spacing w:after="0" w:line="119" w:lineRule="exact"/>
        <w:rPr>
          <w:rFonts w:ascii="Times New Roman" w:cs="Times New Roman" w:eastAsia="Times New Roman" w:hAnsi="Times New Roman"/>
          <w:sz w:val="18"/>
          <w:szCs w:val="18"/>
          <w:color w:val="auto"/>
        </w:rPr>
      </w:pPr>
    </w:p>
    <w:p>
      <w:pPr>
        <w:ind w:left="660" w:hanging="196"/>
        <w:spacing w:after="0"/>
        <w:tabs>
          <w:tab w:leader="none" w:pos="6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shares of the Series 2 Preferred have been issued by the Corporation, and no shares of Series 2 Preferred are outstanding.</w:t>
      </w:r>
    </w:p>
    <w:p>
      <w:pPr>
        <w:spacing w:after="0" w:line="171" w:lineRule="exact"/>
        <w:rPr>
          <w:rFonts w:ascii="Times New Roman" w:cs="Times New Roman" w:eastAsia="Times New Roman" w:hAnsi="Times New Roman"/>
          <w:sz w:val="18"/>
          <w:szCs w:val="18"/>
          <w:color w:val="auto"/>
        </w:rPr>
      </w:pPr>
    </w:p>
    <w:p>
      <w:pPr>
        <w:ind w:left="660" w:hanging="196"/>
        <w:spacing w:after="0"/>
        <w:tabs>
          <w:tab w:leader="none" w:pos="6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effective April 12, 1999, the Board of Directors of the Corporation duly adopted the following resolutions:</w:t>
      </w:r>
    </w:p>
    <w:p>
      <w:pPr>
        <w:spacing w:after="0" w:line="171" w:lineRule="exact"/>
        <w:rPr>
          <w:sz w:val="20"/>
          <w:szCs w:val="20"/>
          <w:color w:val="auto"/>
        </w:rPr>
      </w:pPr>
    </w:p>
    <w:p>
      <w:pPr>
        <w:ind w:right="180"/>
        <w:spacing w:after="0" w:line="339" w:lineRule="auto"/>
        <w:rPr>
          <w:sz w:val="20"/>
          <w:szCs w:val="20"/>
          <w:color w:val="auto"/>
        </w:rPr>
      </w:pPr>
      <w:r>
        <w:rPr>
          <w:rFonts w:ascii="Times New Roman" w:cs="Times New Roman" w:eastAsia="Times New Roman" w:hAnsi="Times New Roman"/>
          <w:sz w:val="16"/>
          <w:szCs w:val="16"/>
          <w:color w:val="auto"/>
        </w:rPr>
        <w:t>RESOLVED, no authorized shares of Series 2 Participating Class C Preferred Stock are outstanding, and no shares of Series 2 Participating Class C Preferred Stock will be issued subject to the Certificate of Designations previously filed with respect to the Series 2 Participating Class C Preferred Stock; and</w:t>
      </w:r>
    </w:p>
    <w:p>
      <w:pPr>
        <w:spacing w:after="0" w:line="7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FURTHER RESOLVED, that the officers of the Corporation are hereby authorized and directed, for and on behalf of the Corporation, to execute and deliver the Certificate of Elimination to the Secretary of State of Delaware regarding the Series 2 Participating Class C Preferred Stock.</w:t>
      </w:r>
    </w:p>
    <w:p>
      <w:pPr>
        <w:spacing w:after="0" w:line="120" w:lineRule="exact"/>
        <w:rPr>
          <w:sz w:val="20"/>
          <w:szCs w:val="20"/>
          <w:color w:val="auto"/>
        </w:rPr>
      </w:pPr>
    </w:p>
    <w:p>
      <w:pPr>
        <w:ind w:right="220" w:firstLine="464"/>
        <w:spacing w:after="0" w:line="262" w:lineRule="auto"/>
        <w:tabs>
          <w:tab w:leader="none" w:pos="647"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pursuant to the provisions of Section 151(g) of the Delaware General Corporation Law, upon the effective date of filing of this Certificate, this Certificate will have the effect of eliminating from the Corporations Restated Certificate of Incorporation all matters set forth in the Series 2 Certificate of Designations with respect to the Series 2 Preferred.</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WITNESS WHEREOF, this Certificate of Elimination has been executed this 12th day of April, 1999, by the President of the Corporation.</w:t>
      </w:r>
    </w:p>
    <w:p>
      <w:pPr>
        <w:sectPr>
          <w:pgSz w:w="11900" w:h="16838" w:orient="portrait"/>
          <w:cols w:equalWidth="0" w:num="1">
            <w:col w:w="11260"/>
          </w:cols>
          <w:pgMar w:left="240" w:top="272" w:right="399" w:bottom="1440" w:gutter="0" w:footer="0" w:header="0"/>
        </w:sect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ATTEST:</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200" w:lineRule="exact"/>
        <w:rPr>
          <w:sz w:val="20"/>
          <w:szCs w:val="20"/>
          <w:color w:val="auto"/>
        </w:rPr>
      </w:pPr>
    </w:p>
    <w:p>
      <w:pPr>
        <w:sectPr>
          <w:pgSz w:w="11900" w:h="16838" w:orient="portrait"/>
          <w:cols w:equalWidth="0" w:num="2">
            <w:col w:w="5180" w:space="720"/>
            <w:col w:w="5360"/>
          </w:cols>
          <w:pgMar w:left="240" w:top="272" w:right="39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M. Shear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David M. Shear, Secretary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Jack E. Golsen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Jack E. Golsen, President</w:t>
      </w:r>
    </w:p>
    <w:p>
      <w:pPr>
        <w:spacing w:after="0" w:line="200" w:lineRule="exact"/>
        <w:rPr>
          <w:sz w:val="20"/>
          <w:szCs w:val="20"/>
          <w:color w:val="auto"/>
        </w:rPr>
      </w:pPr>
    </w:p>
    <w:p>
      <w:pPr>
        <w:sectPr>
          <w:pgSz w:w="11900" w:h="16838" w:orient="portrait"/>
          <w:cols w:equalWidth="0" w:num="3">
            <w:col w:w="5180" w:space="720"/>
            <w:col w:w="260" w:space="120"/>
            <w:col w:w="4980"/>
          </w:cols>
          <w:pgMar w:left="240" w:top="272" w:right="399" w:bottom="1440" w:gutter="0" w:footer="0" w:header="0"/>
          <w:type w:val="continuous"/>
        </w:sectPr>
      </w:pP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[CORPORATE SEAL]</w:t>
      </w:r>
    </w:p>
    <w:p>
      <w:pPr>
        <w:sectPr>
          <w:pgSz w:w="11900" w:h="16838" w:orient="portrait"/>
          <w:cols w:equalWidth="0" w:num="1">
            <w:col w:w="11260"/>
          </w:cols>
          <w:pgMar w:left="240" w:top="272" w:right="399" w:bottom="1440" w:gutter="0" w:footer="0" w:header="0"/>
          <w:type w:val="continuous"/>
        </w:sectPr>
      </w:pPr>
    </w:p>
    <w:bookmarkStart w:id="233" w:name="page234"/>
    <w:bookmarkEnd w:id="233"/>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CERTIFICATE OF DESIGNATIONS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ind w:right="180" w:firstLine="456"/>
        <w:spacing w:after="0" w:line="301" w:lineRule="auto"/>
        <w:rPr>
          <w:sz w:val="20"/>
          <w:szCs w:val="20"/>
          <w:color w:val="auto"/>
        </w:rPr>
      </w:pPr>
      <w:r>
        <w:rPr>
          <w:rFonts w:ascii="Times New Roman" w:cs="Times New Roman" w:eastAsia="Times New Roman" w:hAnsi="Times New Roman"/>
          <w:sz w:val="16"/>
          <w:szCs w:val="16"/>
          <w:color w:val="auto"/>
        </w:rPr>
        <w:t xml:space="preserve">LSB Industries, Inc. (the </w:t>
      </w:r>
      <w:r>
        <w:rPr>
          <w:sz w:val="1"/>
          <w:szCs w:val="1"/>
          <w:color w:val="auto"/>
        </w:rPr>
        <w:drawing>
          <wp:inline distT="0" distB="0" distL="0" distR="0">
            <wp:extent cx="102870" cy="94615"/>
            <wp:effectExtent l="0" t="0" r="0" b="0"/>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Corporation </w:t>
      </w:r>
      <w:r>
        <w:rPr>
          <w:sz w:val="1"/>
          <w:szCs w:val="1"/>
          <w:color w:val="auto"/>
        </w:rPr>
        <w:drawing>
          <wp:inline distT="0" distB="0" distL="0" distR="0">
            <wp:extent cx="102870" cy="94615"/>
            <wp:effectExtent l="0" t="0" r="0" b="0"/>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or </w:t>
      </w:r>
      <w:r>
        <w:rPr>
          <w:sz w:val="1"/>
          <w:szCs w:val="1"/>
          <w:color w:val="auto"/>
        </w:rPr>
        <w:drawing>
          <wp:inline distT="0" distB="0" distL="0" distR="0">
            <wp:extent cx="102870" cy="94615"/>
            <wp:effectExtent l="0" t="0" r="0" b="0"/>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LSB </w:t>
      </w:r>
      <w:r>
        <w:rPr>
          <w:sz w:val="1"/>
          <w:szCs w:val="1"/>
          <w:color w:val="auto"/>
        </w:rPr>
        <w:drawing>
          <wp:inline distT="0" distB="0" distL="0" distR="0">
            <wp:extent cx="102870" cy="94615"/>
            <wp:effectExtent l="0" t="0" r="0" b="0"/>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 a corporation organized and existing under the Delaware General Corporation Law, hereby certifies pursuant to Section 151(g) of the General Corporation Law of the State of Delaware, that the following resolutions relating to the issuance of a new series of Class C Preferred Stock, no par value, of the Corporation consisting of 1,000,000 shares were duly adopted by a Special Committee of the members of the Board of Directors of the Corporation at a meeting held on October 9, 2001, pursuant to resolutions of the whole Board of Directors of the Corporation.</w:t>
      </w:r>
    </w:p>
    <w:p>
      <w:pPr>
        <w:spacing w:after="0" w:line="10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RESOLVED, that pursuant to authority expressly granted to and vested in the Board of Directors of LSB Industries, Inc. ( </w:t>
      </w:r>
      <w:r>
        <w:rPr>
          <w:sz w:val="1"/>
          <w:szCs w:val="1"/>
          <w:color w:val="auto"/>
        </w:rPr>
        <w:drawing>
          <wp:inline distT="0" distB="0" distL="0" distR="0">
            <wp:extent cx="102870" cy="94615"/>
            <wp:effectExtent l="0" t="0" r="0" b="0"/>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LSB </w:t>
      </w:r>
      <w:r>
        <w:rPr>
          <w:sz w:val="1"/>
          <w:szCs w:val="1"/>
          <w:color w:val="auto"/>
        </w:rPr>
        <w:drawing>
          <wp:inline distT="0" distB="0" distL="0" distR="0">
            <wp:extent cx="102870" cy="94615"/>
            <wp:effectExtent l="0" t="0" r="0" b="0"/>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or the </w:t>
      </w:r>
      <w:r>
        <w:rPr>
          <w:sz w:val="1"/>
          <w:szCs w:val="1"/>
          <w:color w:val="auto"/>
        </w:rPr>
        <w:drawing>
          <wp:inline distT="0" distB="0" distL="0" distR="0">
            <wp:extent cx="102870" cy="94615"/>
            <wp:effectExtent l="0" t="0" r="0" b="0"/>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Corporation </w:t>
      </w:r>
      <w:r>
        <w:rPr>
          <w:sz w:val="1"/>
          <w:szCs w:val="1"/>
          <w:color w:val="auto"/>
        </w:rPr>
        <w:drawing>
          <wp:inline distT="0" distB="0" distL="0" distR="0">
            <wp:extent cx="102870" cy="94615"/>
            <wp:effectExtent l="0" t="0" r="0" b="0"/>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by the provisions of the Restated Certificate of Incorporation of LSB, the Board of Directors of LSB does hereby create, and LSB may issue, pursuant to the terms of the Agreement, dated October 18, 2001, between LSB, Prime Financial Corporation, an Oklahoma corporation ( </w:t>
      </w:r>
      <w:r>
        <w:rPr>
          <w:sz w:val="1"/>
          <w:szCs w:val="1"/>
          <w:color w:val="auto"/>
        </w:rPr>
        <w:drawing>
          <wp:inline distT="0" distB="0" distL="0" distR="0">
            <wp:extent cx="102870" cy="94615"/>
            <wp:effectExtent l="0" t="0" r="0" b="0"/>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Prime </w:t>
      </w:r>
      <w:r>
        <w:rPr>
          <w:sz w:val="1"/>
          <w:szCs w:val="1"/>
          <w:color w:val="auto"/>
        </w:rPr>
        <w:drawing>
          <wp:inline distT="0" distB="0" distL="0" distR="0">
            <wp:extent cx="102870" cy="94615"/>
            <wp:effectExtent l="0" t="0" r="0" b="0"/>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and a wholly owned subsidiary of LSB, and Stillwater National Bank and Trust Company ( </w:t>
      </w:r>
      <w:r>
        <w:rPr>
          <w:sz w:val="1"/>
          <w:szCs w:val="1"/>
          <w:color w:val="auto"/>
        </w:rPr>
        <w:drawing>
          <wp:inline distT="0" distB="0" distL="0" distR="0">
            <wp:extent cx="102870" cy="94615"/>
            <wp:effectExtent l="0" t="0" r="0" b="0"/>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Stillwater Bank </w:t>
      </w:r>
      <w:r>
        <w:rPr>
          <w:sz w:val="1"/>
          <w:szCs w:val="1"/>
          <w:color w:val="auto"/>
        </w:rPr>
        <w:drawing>
          <wp:inline distT="0" distB="0" distL="0" distR="0">
            <wp:extent cx="102870" cy="94615"/>
            <wp:effectExtent l="0" t="0" r="0" b="0"/>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(the </w:t>
      </w:r>
      <w:r>
        <w:rPr>
          <w:sz w:val="1"/>
          <w:szCs w:val="1"/>
          <w:color w:val="auto"/>
        </w:rPr>
        <w:drawing>
          <wp:inline distT="0" distB="0" distL="0" distR="0">
            <wp:extent cx="102870" cy="94615"/>
            <wp:effectExtent l="0" t="0" r="0" b="0"/>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Agreement </w:t>
      </w:r>
      <w:r>
        <w:rPr>
          <w:sz w:val="1"/>
          <w:szCs w:val="1"/>
          <w:color w:val="auto"/>
        </w:rPr>
        <w:drawing>
          <wp:inline distT="0" distB="0" distL="0" distR="0">
            <wp:extent cx="102870" cy="94615"/>
            <wp:effectExtent l="0" t="0" r="0" b="0"/>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from LSB </w:t>
      </w:r>
      <w:r>
        <w:rPr>
          <w:sz w:val="1"/>
          <w:szCs w:val="1"/>
          <w:color w:val="auto"/>
        </w:rPr>
        <w:drawing>
          <wp:inline distT="0" distB="0" distL="0" distR="0">
            <wp:extent cx="102870" cy="94615"/>
            <wp:effectExtent l="0" t="0" r="0" b="0"/>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 Class C Preferred Stock, no par value, a new series consisting of 1,000,000 shares designated as </w:t>
      </w:r>
      <w:r>
        <w:rPr>
          <w:sz w:val="1"/>
          <w:szCs w:val="1"/>
          <w:color w:val="auto"/>
        </w:rPr>
        <w:drawing>
          <wp:inline distT="0" distB="0" distL="0" distR="0">
            <wp:extent cx="102870" cy="94615"/>
            <wp:effectExtent l="0" t="0" r="0" b="0"/>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Series D 6% Cumulative, Convertible Class C Preferred Stock, </w:t>
      </w:r>
      <w:r>
        <w:rPr>
          <w:sz w:val="1"/>
          <w:szCs w:val="1"/>
          <w:color w:val="auto"/>
        </w:rPr>
        <w:drawing>
          <wp:inline distT="0" distB="0" distL="0" distR="0">
            <wp:extent cx="102870" cy="94615"/>
            <wp:effectExtent l="0" t="0" r="0" b="0"/>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 par value, and hereby fixes the designations, preferences, rights and privileges of such Series D 6% Cumulative, Convertible Class C Preferred Stock and the qualifications, limitations or restrictions thereof, as follows:</w:t>
      </w:r>
    </w:p>
    <w:p>
      <w:pPr>
        <w:spacing w:after="0" w:line="139" w:lineRule="exact"/>
        <w:rPr>
          <w:sz w:val="20"/>
          <w:szCs w:val="20"/>
          <w:color w:val="auto"/>
        </w:rPr>
      </w:pPr>
    </w:p>
    <w:p>
      <w:pPr>
        <w:ind w:right="240" w:firstLine="8"/>
        <w:spacing w:after="0" w:line="342" w:lineRule="auto"/>
        <w:tabs>
          <w:tab w:leader="none" w:pos="176"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Designation</w:t>
      </w:r>
      <w:r>
        <w:rPr>
          <w:rFonts w:ascii="Times New Roman" w:cs="Times New Roman" w:eastAsia="Times New Roman" w:hAnsi="Times New Roman"/>
          <w:sz w:val="16"/>
          <w:szCs w:val="16"/>
          <w:color w:val="auto"/>
        </w:rPr>
        <w:t xml:space="preserve">. The shares of this series of Class C Preferred Stock shall be designated as </w:t>
      </w:r>
      <w:r>
        <w:rPr>
          <w:rFonts w:ascii="Times New Roman" w:cs="Times New Roman" w:eastAsia="Times New Roman" w:hAnsi="Times New Roman"/>
          <w:sz w:val="1"/>
          <w:szCs w:val="1"/>
          <w:color w:val="auto"/>
        </w:rPr>
        <w:drawing>
          <wp:inline distT="0" distB="0" distL="0" distR="0">
            <wp:extent cx="102870" cy="94615"/>
            <wp:effectExtent l="0" t="0" r="0" b="0"/>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Series D 6% Cumulative, Convertible Class C Preferred Stock </w:t>
      </w:r>
      <w:r>
        <w:rPr>
          <w:rFonts w:ascii="Times New Roman" w:cs="Times New Roman" w:eastAsia="Times New Roman" w:hAnsi="Times New Roman"/>
          <w:sz w:val="1"/>
          <w:szCs w:val="1"/>
          <w:color w:val="auto"/>
        </w:rPr>
        <w:drawing>
          <wp:inline distT="0" distB="0" distL="0" distR="0">
            <wp:extent cx="102870" cy="94615"/>
            <wp:effectExtent l="0" t="0" r="0" b="0"/>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(hereinafter called </w:t>
      </w:r>
      <w:r>
        <w:rPr>
          <w:rFonts w:ascii="Times New Roman" w:cs="Times New Roman" w:eastAsia="Times New Roman" w:hAnsi="Times New Roman"/>
          <w:sz w:val="1"/>
          <w:szCs w:val="1"/>
          <w:color w:val="auto"/>
        </w:rPr>
        <w:drawing>
          <wp:inline distT="0" distB="0" distL="0" distR="0">
            <wp:extent cx="102870" cy="94615"/>
            <wp:effectExtent l="0" t="0" r="0" b="0"/>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Series D Preferred Stock </w:t>
      </w:r>
      <w:r>
        <w:rPr>
          <w:rFonts w:ascii="Times New Roman" w:cs="Times New Roman" w:eastAsia="Times New Roman" w:hAnsi="Times New Roman"/>
          <w:sz w:val="1"/>
          <w:szCs w:val="1"/>
          <w:color w:val="auto"/>
        </w:rPr>
        <w:drawing>
          <wp:inline distT="0" distB="0" distL="0" distR="0">
            <wp:extent cx="102870" cy="94615"/>
            <wp:effectExtent l="0" t="0" r="0" b="0"/>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 having no par value, with said Series D Preferred Stock to consist of one million (1,000,000) shares.</w:t>
      </w:r>
    </w:p>
    <w:p>
      <w:pPr>
        <w:spacing w:after="0" w:line="69" w:lineRule="exact"/>
        <w:rPr>
          <w:rFonts w:ascii="Times New Roman" w:cs="Times New Roman" w:eastAsia="Times New Roman" w:hAnsi="Times New Roman"/>
          <w:sz w:val="16"/>
          <w:szCs w:val="16"/>
          <w:color w:val="auto"/>
        </w:rPr>
      </w:pPr>
    </w:p>
    <w:p>
      <w:pPr>
        <w:ind w:right="40" w:firstLine="8"/>
        <w:spacing w:after="0" w:line="259" w:lineRule="auto"/>
        <w:tabs>
          <w:tab w:leader="none" w:pos="176"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Dividends; Cumulative</w:t>
      </w:r>
      <w:r>
        <w:rPr>
          <w:rFonts w:ascii="Times New Roman" w:cs="Times New Roman" w:eastAsia="Times New Roman" w:hAnsi="Times New Roman"/>
          <w:sz w:val="18"/>
          <w:szCs w:val="18"/>
          <w:color w:val="auto"/>
        </w:rPr>
        <w:t>. The holders of shares of the Series D Preferred Stock shall be entitled to receive cash dividends, but only when, as and if declared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Board of Directors of LSB, in a manner as permitted by law, at the rate of six percent (6%) per annum of the Liquidation Preference (as defined below) of such Series D Preferred Stock and no more, payable annually on such date in each year as shall be fixed by the Board of Directors of LSB ( </w:t>
      </w:r>
      <w:r>
        <w:rPr>
          <w:rFonts w:ascii="Times New Roman" w:cs="Times New Roman" w:eastAsia="Times New Roman" w:hAnsi="Times New Roman"/>
          <w:sz w:val="1"/>
          <w:szCs w:val="1"/>
          <w:color w:val="auto"/>
        </w:rPr>
        <w:drawing>
          <wp:inline distT="0" distB="0" distL="0" distR="0">
            <wp:extent cx="102870" cy="94615"/>
            <wp:effectExtent l="0" t="0" r="0" b="0"/>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Cash Dividends </w:t>
      </w:r>
      <w:r>
        <w:rPr>
          <w:rFonts w:ascii="Times New Roman" w:cs="Times New Roman" w:eastAsia="Times New Roman" w:hAnsi="Times New Roman"/>
          <w:sz w:val="1"/>
          <w:szCs w:val="1"/>
          <w:color w:val="auto"/>
        </w:rPr>
        <w:drawing>
          <wp:inline distT="0" distB="0" distL="0" distR="0">
            <wp:extent cx="102870" cy="94615"/>
            <wp:effectExtent l="0" t="0" r="0" b="0"/>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w:t>
      </w:r>
    </w:p>
    <w:p>
      <w:pPr>
        <w:spacing w:after="0" w:line="121" w:lineRule="exact"/>
        <w:rPr>
          <w:rFonts w:ascii="Times New Roman" w:cs="Times New Roman" w:eastAsia="Times New Roman" w:hAnsi="Times New Roman"/>
          <w:sz w:val="18"/>
          <w:szCs w:val="18"/>
          <w:color w:val="auto"/>
        </w:rPr>
      </w:pPr>
    </w:p>
    <w:p>
      <w:pPr>
        <w:ind w:left="5680" w:hanging="112"/>
        <w:spacing w:after="0"/>
        <w:tabs>
          <w:tab w:leader="none" w:pos="568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w:t>
      </w:r>
    </w:p>
    <w:p>
      <w:pPr>
        <w:sectPr>
          <w:pgSz w:w="11900" w:h="16838" w:orient="portrait"/>
          <w:cols w:equalWidth="0" w:num="1">
            <w:col w:w="11420"/>
          </w:cols>
          <w:pgMar w:left="240" w:top="274" w:right="239" w:bottom="1440" w:gutter="0" w:footer="0" w:header="0"/>
        </w:sectPr>
      </w:pPr>
    </w:p>
    <w:bookmarkStart w:id="234" w:name="page235"/>
    <w:bookmarkEnd w:id="234"/>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Cash Dividends on the Series D Preferred Stock for any year shall not have been paid or set apart in full for the Series D Preferred Stock, the aggregate deficiency shall be cumulative and shall be paid or set apart for payment before any dividends shall be paid upon or set apart for payment for any class of common stock of LSB (other than a dividend payable in common stock of LSB).</w:t>
      </w:r>
    </w:p>
    <w:p>
      <w:pPr>
        <w:spacing w:after="0" w:line="132"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Any accumulation of dividends on the Series D Preferred Stock shall not bear interest. The holders of Series D Preferred Stock shall not be entitled to receive any dividends thereon other than the dividends provided for in this paragraph 2.</w:t>
      </w:r>
    </w:p>
    <w:p>
      <w:pPr>
        <w:spacing w:after="0" w:line="120"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Cash Dividends on Series D Preferred Stock shall be declared if, when and as the Board of Directors shall in their sole discretion deem advisable, and only from the net profits or surplus of the Corporation, in a manner as permitted by law as such shall be fixed and determined by the said Board of Directors. The determination of the Board of Directors at any time of the amount of net profits or surplus available for a Cash Dividend shall be binding and conclusive on the holders of all the Series D Preferred Stock of the Corporation at the time outstanding.</w:t>
      </w:r>
    </w:p>
    <w:p>
      <w:pPr>
        <w:spacing w:after="0" w:line="136" w:lineRule="exact"/>
        <w:rPr>
          <w:sz w:val="20"/>
          <w:szCs w:val="20"/>
          <w:color w:val="auto"/>
        </w:rPr>
      </w:pPr>
    </w:p>
    <w:p>
      <w:pPr>
        <w:ind w:firstLine="456"/>
        <w:spacing w:after="0" w:line="289" w:lineRule="auto"/>
        <w:rPr>
          <w:sz w:val="20"/>
          <w:szCs w:val="20"/>
          <w:color w:val="auto"/>
        </w:rPr>
      </w:pPr>
      <w:r>
        <w:rPr>
          <w:rFonts w:ascii="Times New Roman" w:cs="Times New Roman" w:eastAsia="Times New Roman" w:hAnsi="Times New Roman"/>
          <w:sz w:val="16"/>
          <w:szCs w:val="16"/>
          <w:color w:val="auto"/>
        </w:rPr>
        <w:t>Except as otherwise provided in the last paragraph of this Section 2, when dividends are not paid in full upon the shares of this Series D Preferred Stock and any other preferred stock of LSB ranking on a parity as to dividends with this Series D Preferred Stock, all dividends declared upon shares of this Series D Preferred Stock and any other preferred stock of LSB ranking on a parity as to dividends with Series D Preferred Stock shall be declared pro rata so that the amount of dividends declared per share on this Series D Preferred Stock and such other preferred stock shall in all cases bear to each other the same ratio that accrued dividends per share on the shares of this Series D Preferred Stock and such other preferred stock bear to each other; provided, however, that dividends on preferred stock that provides for non-cumulative dividends shall be entitled to participate, and shall rank on a parity, to the extent of dividends due in the then current period for which such dividends are paid. Holders of share of Series D Preferred Stock shall not be entitled to any dividends, whether payable in cash, property or stock, in excess of the full cumulative dividends, as herein provided, on this Series D Preferred Stock. No interest or sum of money in lieu of interest, shall be payable in respect of any dividend payment or payments on this Series D Preferred Stock which may be in arrears.</w:t>
      </w:r>
    </w:p>
    <w:p>
      <w:pPr>
        <w:spacing w:after="0" w:line="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1360"/>
          </w:cols>
          <w:pgMar w:left="240" w:top="274" w:right="299" w:bottom="1440" w:gutter="0" w:footer="0" w:header="0"/>
        </w:sectPr>
      </w:pPr>
    </w:p>
    <w:bookmarkStart w:id="235" w:name="page236"/>
    <w:bookmarkEnd w:id="235"/>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Notwithstanding anything herein to the contrary, if at any time any dividend on LSB </w:t>
      </w:r>
      <w:r>
        <w:rPr>
          <w:sz w:val="1"/>
          <w:szCs w:val="1"/>
          <w:color w:val="auto"/>
        </w:rPr>
        <w:drawing>
          <wp:inline distT="0" distB="0" distL="0" distR="0">
            <wp:extent cx="102870" cy="94615"/>
            <wp:effectExtent l="0" t="0" r="0" b="0"/>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 then outstanding $3.25 Convertible Exchangeable Class C Preferred Stock, Series 2 ($3.25 Preferred </w:t>
      </w:r>
      <w:r>
        <w:rPr>
          <w:sz w:val="1"/>
          <w:szCs w:val="1"/>
          <w:color w:val="auto"/>
        </w:rPr>
        <w:drawing>
          <wp:inline distT="0" distB="0" distL="0" distR="0">
            <wp:extent cx="102870" cy="94615"/>
            <wp:effectExtent l="0" t="0" r="0" b="0"/>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shall be in default, in whole or in part, then no dividend shall be paid or declared and set apart for payment on the Series D Preferred Stock unless and until all cumulative accrued and unpaid dividends with respect to such $3.25 Preferred shall have been paid or declared and set apart for payment.</w:t>
      </w:r>
    </w:p>
    <w:p>
      <w:pPr>
        <w:spacing w:after="0" w:line="136" w:lineRule="exact"/>
        <w:rPr>
          <w:sz w:val="20"/>
          <w:szCs w:val="20"/>
          <w:color w:val="auto"/>
        </w:rPr>
      </w:pPr>
    </w:p>
    <w:p>
      <w:pPr>
        <w:ind w:firstLine="8"/>
        <w:spacing w:after="0" w:line="256" w:lineRule="auto"/>
        <w:tabs>
          <w:tab w:leader="none" w:pos="176"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Preemptive Rights</w:t>
      </w:r>
      <w:r>
        <w:rPr>
          <w:rFonts w:ascii="Times New Roman" w:cs="Times New Roman" w:eastAsia="Times New Roman" w:hAnsi="Times New Roman"/>
          <w:sz w:val="18"/>
          <w:szCs w:val="18"/>
          <w:color w:val="auto"/>
        </w:rPr>
        <w:t>. No holder of the Series D Preferred Stock shall have any preemptive rights. No holder of the Series D Preferred Stock shall be entitled to purchase or subscribe for any part of the unissued stock of LSB or of any stock of LSB to be issued by reason of any increase of the authorized capital stock of LSB, or to purchase or subscribe for any bonds, certificates of indebtedness, debentures or other securities convertible into or carrying options or warrants to purchase stock or other securities of LSB or to purchase or subscribe for any stock of LSB purchased by LSB or by its nominee or nominees, or to have any other preemptive rights now or hereafter defined by the laws of the State of Delaware.</w:t>
      </w:r>
    </w:p>
    <w:p>
      <w:pPr>
        <w:spacing w:after="0" w:line="138" w:lineRule="exact"/>
        <w:rPr>
          <w:rFonts w:ascii="Times New Roman" w:cs="Times New Roman" w:eastAsia="Times New Roman" w:hAnsi="Times New Roman"/>
          <w:sz w:val="18"/>
          <w:szCs w:val="18"/>
          <w:color w:val="auto"/>
        </w:rPr>
      </w:pPr>
    </w:p>
    <w:p>
      <w:pPr>
        <w:ind w:firstLine="8"/>
        <w:spacing w:after="0" w:line="285" w:lineRule="auto"/>
        <w:tabs>
          <w:tab w:leader="none" w:pos="176"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Preference on Liquidation, etc.</w:t>
      </w:r>
      <w:r>
        <w:rPr>
          <w:rFonts w:ascii="Times New Roman" w:cs="Times New Roman" w:eastAsia="Times New Roman" w:hAnsi="Times New Roman"/>
          <w:sz w:val="16"/>
          <w:szCs w:val="16"/>
          <w:color w:val="auto"/>
        </w:rPr>
        <w:t xml:space="preserve"> In the event of any voluntary or involuntary liquidation, dissolution or winding up of LSB, or any reduction in its capital resulting in any distribution of assets to its stockholders, the holders of the Series D Preferred Stock shall be entitled to receive in cash out of the assets of LSB, whether from capital or from earnings, available for distribution to its stockholders, before any amount shall be paid to the holders of the common stock of LSB, the sum of One and No/100 Dollar ($1.00), per share ( </w:t>
      </w:r>
      <w:r>
        <w:rPr>
          <w:rFonts w:ascii="Times New Roman" w:cs="Times New Roman" w:eastAsia="Times New Roman" w:hAnsi="Times New Roman"/>
          <w:sz w:val="1"/>
          <w:szCs w:val="1"/>
          <w:color w:val="auto"/>
        </w:rPr>
        <w:drawing>
          <wp:inline distT="0" distB="0" distL="0" distR="0">
            <wp:extent cx="102870" cy="94615"/>
            <wp:effectExtent l="0" t="0" r="0" b="0"/>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Liquidation Preference </w:t>
      </w:r>
      <w:r>
        <w:rPr>
          <w:rFonts w:ascii="Times New Roman" w:cs="Times New Roman" w:eastAsia="Times New Roman" w:hAnsi="Times New Roman"/>
          <w:sz w:val="1"/>
          <w:szCs w:val="1"/>
          <w:color w:val="auto"/>
        </w:rPr>
        <w:drawing>
          <wp:inline distT="0" distB="0" distL="0" distR="0">
            <wp:extent cx="102870" cy="94615"/>
            <wp:effectExtent l="0" t="0" r="0" b="0"/>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 plus an amount equal to all accumulated and unpaid Cash Dividends thereon as of the date fixed for payment of such distributive amount. The purchase or redemption by LSB of stock of any class, in any manner permitted by law, shall not for the purpose of this paragraph be regarded as a liquidation, dissolution or winding up of LSB or as a reduction of its capital. Neither the consolidation nor merger of LSB with or into any other corporation or corporations, nor the sale or transfer by LSB of all or any part of its assets, shall be deemed to be a liquidation, dissolution or winding up of LSB for the purpose of this paragraph. A dividend or distribution to stockholders from net profits or surplus earned after the date of any reduction of capital shall not be deemed to be a distribution resulting from such reduction in capital. No holders of Series D Preferred Stock shall be entitled to receive or participate in any amounts with respect thereto upon any liquidation, dissolution or winding up of LSB other than the amounts provided for in this paragraph. If, in the event of any such liquidation, dissolution or winding up of LSB, there shall be shares of more than one class or series of preferred stock outstanding, and such other class or classes or series of preferred stock by their terms have a parity with the Series D Preferred Stock, and in such event there shall be assets distributable upon all shares of the Series D Preferred Stock and of such other classes or series of preferred stock in an amount less than the amount of which the holders thereof are entitled, then any amount available to be paid upon all such shares of preferred stock (including the Series D Preferred Stock) shall be divided among said classes or series of preferred stock in proportion to the aggregate amounts which would have been paid to the holders of the shares of each class or series had they received payment in the full amount to which they would be entitled in such event.</w:t>
      </w:r>
    </w:p>
    <w:p>
      <w:pPr>
        <w:spacing w:after="0" w:line="328" w:lineRule="exact"/>
        <w:rPr>
          <w:rFonts w:ascii="Times New Roman" w:cs="Times New Roman" w:eastAsia="Times New Roman" w:hAnsi="Times New Roman"/>
          <w:sz w:val="16"/>
          <w:szCs w:val="16"/>
          <w:color w:val="auto"/>
        </w:rPr>
      </w:pPr>
    </w:p>
    <w:p>
      <w:pPr>
        <w:ind w:left="5680" w:hanging="112"/>
        <w:spacing w:after="0"/>
        <w:tabs>
          <w:tab w:leader="none" w:pos="568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11360"/>
          </w:cols>
          <w:pgMar w:left="240" w:top="274" w:right="299" w:bottom="1440" w:gutter="0" w:footer="0" w:header="0"/>
        </w:sectPr>
      </w:pPr>
    </w:p>
    <w:bookmarkStart w:id="236" w:name="page237"/>
    <w:bookmarkEnd w:id="236"/>
    <w:p>
      <w:pPr>
        <w:ind w:left="-8" w:right="160" w:firstLine="8"/>
        <w:spacing w:after="0" w:line="301" w:lineRule="auto"/>
        <w:tabs>
          <w:tab w:leader="none" w:pos="168"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Voting Rights</w:t>
      </w:r>
      <w:r>
        <w:rPr>
          <w:rFonts w:ascii="Times New Roman" w:cs="Times New Roman" w:eastAsia="Times New Roman" w:hAnsi="Times New Roman"/>
          <w:sz w:val="16"/>
          <w:szCs w:val="16"/>
          <w:color w:val="auto"/>
        </w:rPr>
        <w:t xml:space="preserve">. Subject to the provisions of this paragraph 5, at every meeting of stockholders of LSB each holder of the Series D Preferred Stock shall be entitled to .875 votes for each share of Series D Preferred Stock held of record in his, her or its name on all matters submitted to a vote of the stockholders of LSB. The Series D Preferred Stock, the Common Stock (as defined below) of LSB, LSB </w:t>
      </w:r>
      <w:r>
        <w:rPr>
          <w:rFonts w:ascii="Times New Roman" w:cs="Times New Roman" w:eastAsia="Times New Roman" w:hAnsi="Times New Roman"/>
          <w:sz w:val="1"/>
          <w:szCs w:val="1"/>
          <w:color w:val="auto"/>
        </w:rPr>
        <w:drawing>
          <wp:inline distT="0" distB="0" distL="0" distR="0">
            <wp:extent cx="102870" cy="94615"/>
            <wp:effectExtent l="0" t="0" r="0" b="0"/>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s Series B 12% Cumulative, Convertible Preferred Stock, par value $100.00 per share, and LSB </w:t>
      </w:r>
      <w:r>
        <w:rPr>
          <w:rFonts w:ascii="Times New Roman" w:cs="Times New Roman" w:eastAsia="Times New Roman" w:hAnsi="Times New Roman"/>
          <w:sz w:val="1"/>
          <w:szCs w:val="1"/>
          <w:color w:val="auto"/>
        </w:rPr>
        <w:drawing>
          <wp:inline distT="0" distB="0" distL="0" distR="0">
            <wp:extent cx="102870" cy="94615"/>
            <wp:effectExtent l="0" t="0" r="0" b="0"/>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s Series of Convertible Non-Cumulative Preferred Stock, par value $100.00 per share, shall vote together as one class.</w:t>
      </w:r>
    </w:p>
    <w:p>
      <w:pPr>
        <w:spacing w:after="0" w:line="103" w:lineRule="exact"/>
        <w:rPr>
          <w:rFonts w:ascii="Times New Roman" w:cs="Times New Roman" w:eastAsia="Times New Roman" w:hAnsi="Times New Roman"/>
          <w:sz w:val="16"/>
          <w:szCs w:val="16"/>
          <w:color w:val="auto"/>
        </w:rPr>
      </w:pPr>
    </w:p>
    <w:p>
      <w:pPr>
        <w:ind w:left="-8" w:firstLine="8"/>
        <w:spacing w:after="0" w:line="310" w:lineRule="auto"/>
        <w:tabs>
          <w:tab w:leader="none" w:pos="168"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Conversion Privileges</w:t>
      </w:r>
      <w:r>
        <w:rPr>
          <w:rFonts w:ascii="Times New Roman" w:cs="Times New Roman" w:eastAsia="Times New Roman" w:hAnsi="Times New Roman"/>
          <w:sz w:val="16"/>
          <w:szCs w:val="16"/>
          <w:color w:val="auto"/>
        </w:rPr>
        <w:t xml:space="preserve">. Subject to the terms of this paragraph 6, the holder of record of any share or shares of Series D Preferred Stock shall have the right at any time, at his, her or its option and election, to convert four (4) shares of Series D Preferred Stock into one (1) share of LSB common stock, par value $0.10 per share ( </w:t>
      </w:r>
      <w:r>
        <w:rPr>
          <w:rFonts w:ascii="Times New Roman" w:cs="Times New Roman" w:eastAsia="Times New Roman" w:hAnsi="Times New Roman"/>
          <w:sz w:val="1"/>
          <w:szCs w:val="1"/>
          <w:color w:val="auto"/>
        </w:rPr>
        <w:drawing>
          <wp:inline distT="0" distB="0" distL="0" distR="0">
            <wp:extent cx="102870" cy="94615"/>
            <wp:effectExtent l="0" t="0" r="0" b="0"/>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Common Stock </w:t>
      </w:r>
      <w:r>
        <w:rPr>
          <w:rFonts w:ascii="Times New Roman" w:cs="Times New Roman" w:eastAsia="Times New Roman" w:hAnsi="Times New Roman"/>
          <w:sz w:val="1"/>
          <w:szCs w:val="1"/>
          <w:color w:val="auto"/>
        </w:rPr>
        <w:drawing>
          <wp:inline distT="0" distB="0" distL="0" distR="0">
            <wp:extent cx="102870" cy="94615"/>
            <wp:effectExtent l="0" t="0" r="0" b="0"/>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 (equivalent to a conversion price of $4.00 per share of LSB Common Stock) on the following terms and conditions:</w:t>
      </w:r>
    </w:p>
    <w:p>
      <w:pPr>
        <w:spacing w:after="0" w:line="83" w:lineRule="exact"/>
        <w:rPr>
          <w:rFonts w:ascii="Times New Roman" w:cs="Times New Roman" w:eastAsia="Times New Roman" w:hAnsi="Times New Roman"/>
          <w:sz w:val="16"/>
          <w:szCs w:val="16"/>
          <w:color w:val="auto"/>
        </w:rPr>
      </w:pPr>
    </w:p>
    <w:p>
      <w:pPr>
        <w:ind w:left="5672" w:hanging="112"/>
        <w:spacing w:after="0"/>
        <w:tabs>
          <w:tab w:leader="none" w:pos="5672"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ectPr>
          <w:pgSz w:w="11900" w:h="16838" w:orient="portrait"/>
          <w:cols w:equalWidth="0" w:num="1">
            <w:col w:w="11352"/>
          </w:cols>
          <w:pgMar w:left="248" w:top="274" w:right="299" w:bottom="1440" w:gutter="0" w:footer="0" w:header="0"/>
        </w:sectPr>
      </w:pPr>
    </w:p>
    <w:bookmarkStart w:id="237" w:name="page238"/>
    <w:bookmarkEnd w:id="237"/>
    <w:p>
      <w:pPr>
        <w:ind w:left="-464" w:firstLine="464"/>
        <w:spacing w:after="0" w:line="252" w:lineRule="auto"/>
        <w:tabs>
          <w:tab w:leader="none" w:pos="231"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LSB shall at the time of such conversion pay to the holder of record of any share or shares of Series D Preferred Stock any accrued but unpaid dividends on said Series D Preferred Stock so surrendered for conversion, except: (i) as otherwise limited by law or by any agreement or instrument to which LSB is a party or may be bound by (including, but not limited to, this Certificate of Designations), and (ii) that the amount of the dividend paid for the then current annual dividend period in which such conversion occurs shall be pro-rated for that portion of such year that has elapsed prior to the time the holder of such share or shares of Series D Preferred Stock exercises his, her or its rights of conversion. If LSB is limited by law from paying such accrued but unpaid dividends, in whole or in part, on the share or shares of Series D Preferred Stock surrendered for conversion at the time such are surrendered for conversion, then LSB shall only be required to pay that amount of such accrued but unpaid dividends as allowed by such law at the time of such conversion and no more. If LSB is limited under any agreement (including, but not limited to, this Certificate of Designations) from paying such accrued but unpaid dividends, in whole or in part, on the share or shares of Series D Preferred Stock surrendered for conversion at the time such are surrendered for conversion, then LSB shall pay to the holder of record thereof that portion of such accrued but unpaid dividends that LSB is unable to pay on such share or shares of Series D Preferred Stock at the time such are surrendered for conversion due to said agreement ( </w:t>
      </w:r>
      <w:r>
        <w:rPr>
          <w:rFonts w:ascii="Times New Roman" w:cs="Times New Roman" w:eastAsia="Times New Roman" w:hAnsi="Times New Roman"/>
          <w:sz w:val="1"/>
          <w:szCs w:val="1"/>
          <w:color w:val="auto"/>
        </w:rPr>
        <w:drawing>
          <wp:inline distT="0" distB="0" distL="0" distR="0">
            <wp:extent cx="102870" cy="94615"/>
            <wp:effectExtent l="0" t="0" r="0" b="0"/>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Unpaid Dividends </w:t>
      </w:r>
      <w:r>
        <w:rPr>
          <w:rFonts w:ascii="Times New Roman" w:cs="Times New Roman" w:eastAsia="Times New Roman" w:hAnsi="Times New Roman"/>
          <w:sz w:val="1"/>
          <w:szCs w:val="1"/>
          <w:color w:val="auto"/>
        </w:rPr>
        <w:drawing>
          <wp:inline distT="0" distB="0" distL="0" distR="0">
            <wp:extent cx="102870" cy="94615"/>
            <wp:effectExtent l="0" t="0" r="0" b="0"/>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when LSB is no longer prohibited from paying such Unpaid Dividends under an agreement and prior to any dividends being paid upon or set apart for payment for any class of Common Stock of LSB (other than a dividend payable in Common Stock of LSB); and in connection therewith, LSB and such holder shall, at the time of such conversion, enter into a separate contract, the terms of which are to be satisfactory to LSB and such holder, evidencing LSB </w:t>
      </w:r>
      <w:r>
        <w:rPr>
          <w:rFonts w:ascii="Times New Roman" w:cs="Times New Roman" w:eastAsia="Times New Roman" w:hAnsi="Times New Roman"/>
          <w:sz w:val="1"/>
          <w:szCs w:val="1"/>
          <w:color w:val="auto"/>
        </w:rPr>
        <w:drawing>
          <wp:inline distT="0" distB="0" distL="0" distR="0">
            <wp:extent cx="102870" cy="94615"/>
            <wp:effectExtent l="0" t="0" r="0" b="0"/>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 obligation to pay to the holder thereof the Unpaid Dividends (without interest) after such conversion when LSB is no longer prohibited from paying such under an agreement and prior to any dividends being paid upon or set apart for payment for any class of Common Stock of LSB (other than a dividend payable in Common Stock of LSB).</w:t>
      </w:r>
    </w:p>
    <w:p>
      <w:pPr>
        <w:spacing w:after="0" w:line="128" w:lineRule="exact"/>
        <w:rPr>
          <w:rFonts w:ascii="Times New Roman" w:cs="Times New Roman" w:eastAsia="Times New Roman" w:hAnsi="Times New Roman"/>
          <w:sz w:val="18"/>
          <w:szCs w:val="18"/>
          <w:color w:val="auto"/>
        </w:rPr>
      </w:pPr>
    </w:p>
    <w:p>
      <w:pPr>
        <w:ind w:left="5216" w:hanging="112"/>
        <w:spacing w:after="0"/>
        <w:tabs>
          <w:tab w:leader="none" w:pos="5216"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ectPr>
          <w:pgSz w:w="11900" w:h="16838" w:orient="portrait"/>
          <w:cols w:equalWidth="0" w:num="1">
            <w:col w:w="10956"/>
          </w:cols>
          <w:pgMar w:left="704" w:top="274" w:right="239" w:bottom="1440" w:gutter="0" w:footer="0" w:header="0"/>
        </w:sectPr>
      </w:pPr>
    </w:p>
    <w:bookmarkStart w:id="238" w:name="page239"/>
    <w:bookmarkEnd w:id="238"/>
    <w:p>
      <w:pPr>
        <w:ind w:left="-8" w:right="20" w:firstLine="464"/>
        <w:spacing w:after="0" w:line="289" w:lineRule="auto"/>
        <w:tabs>
          <w:tab w:leader="none" w:pos="697" w:val="left"/>
        </w:tabs>
        <w:numPr>
          <w:ilvl w:val="1"/>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that LSB shall (i) pay to the holders of its Common Stock a stock dividend payable in its Common Stock, the number of shares of Common Stock issuable upon conversion of the Series D Preferred Stock shall be proportionately adjusted, effective as of the date of payment of such stock dividend; or</w:t>
      </w:r>
    </w:p>
    <w:p>
      <w:pPr>
        <w:spacing w:after="0" w:line="1" w:lineRule="exact"/>
        <w:rPr>
          <w:rFonts w:ascii="Times New Roman" w:cs="Times New Roman" w:eastAsia="Times New Roman" w:hAnsi="Times New Roman"/>
          <w:sz w:val="16"/>
          <w:szCs w:val="16"/>
          <w:color w:val="auto"/>
        </w:rPr>
      </w:pPr>
    </w:p>
    <w:p>
      <w:pPr>
        <w:ind w:left="-8" w:right="20" w:firstLine="8"/>
        <w:spacing w:after="0" w:line="286" w:lineRule="auto"/>
        <w:tabs>
          <w:tab w:leader="none" w:pos="250"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have a stock split, reclassification, recapitalization, combination of outstanding shares or similar corporate rearrangement (other than a stock dividend which is provided for in (i) above), without any consideration therefor being received by LSB, increasing or decreasing the number of shares of LSB </w:t>
      </w:r>
      <w:r>
        <w:rPr>
          <w:rFonts w:ascii="Times New Roman" w:cs="Times New Roman" w:eastAsia="Times New Roman" w:hAnsi="Times New Roman"/>
          <w:sz w:val="1"/>
          <w:szCs w:val="1"/>
          <w:color w:val="auto"/>
        </w:rPr>
        <w:drawing>
          <wp:inline distT="0" distB="0" distL="0" distR="0">
            <wp:extent cx="102870" cy="94615"/>
            <wp:effectExtent l="0" t="0" r="0" b="0"/>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s Common Stock, the number of shares of Common Stock issuable upon conversion of the Series D Preferred Stock shall be proportionately increased or decreased, effective as of the date of the payment of or happening of such event; or (iii) be consolidated with or merge into another corporation, in which LSB is the non-surviving corporation, or sell all or substantially all of LSB </w:t>
      </w:r>
      <w:r>
        <w:rPr>
          <w:rFonts w:ascii="Times New Roman" w:cs="Times New Roman" w:eastAsia="Times New Roman" w:hAnsi="Times New Roman"/>
          <w:sz w:val="1"/>
          <w:szCs w:val="1"/>
          <w:color w:val="auto"/>
        </w:rPr>
        <w:drawing>
          <wp:inline distT="0" distB="0" distL="0" distR="0">
            <wp:extent cx="102870" cy="94615"/>
            <wp:effectExtent l="0" t="0" r="0" b="0"/>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s assets as an entirety under one plan or arrangement to another corporation and such consolidation, merger or sale shall be effected in such a way that holders of LSB </w:t>
      </w:r>
      <w:r>
        <w:rPr>
          <w:rFonts w:ascii="Times New Roman" w:cs="Times New Roman" w:eastAsia="Times New Roman" w:hAnsi="Times New Roman"/>
          <w:sz w:val="1"/>
          <w:szCs w:val="1"/>
          <w:color w:val="auto"/>
        </w:rPr>
        <w:drawing>
          <wp:inline distT="0" distB="0" distL="0" distR="0">
            <wp:extent cx="102870" cy="94615"/>
            <wp:effectExtent l="0" t="0" r="0" b="0"/>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s Common Stock shall be entitled to receive stock, securities or assets with respect to or in exchange for such Common Stock, then after the effective date of such consolidation, merger or sale each share of Series D Preferred Stock shall be convertible into (in lieu of LSB Common Stock) the number of shares of stock or other securities or assets to which such holder of the Series D Preferred Stock would have been entitled to upon such consummation as if the holder of the Series D Preferred Stock had so exercised his, her or its right of conversion under such Series D Preferred Stock immediately prior to such consolidation, merger or sale, and LSB shall make lawful provision therefor as part of such consolidation, merger or sale.</w:t>
      </w:r>
    </w:p>
    <w:p>
      <w:pPr>
        <w:spacing w:after="0" w:line="118" w:lineRule="exact"/>
        <w:rPr>
          <w:rFonts w:ascii="Times New Roman" w:cs="Times New Roman" w:eastAsia="Times New Roman" w:hAnsi="Times New Roman"/>
          <w:sz w:val="16"/>
          <w:szCs w:val="16"/>
          <w:color w:val="auto"/>
        </w:rPr>
      </w:pPr>
    </w:p>
    <w:p>
      <w:pPr>
        <w:ind w:left="-8" w:firstLine="464"/>
        <w:spacing w:after="0" w:line="289" w:lineRule="auto"/>
        <w:tabs>
          <w:tab w:leader="none" w:pos="687" w:val="left"/>
        </w:tabs>
        <w:numPr>
          <w:ilvl w:val="1"/>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LSB shall not be required to issue any fraction of a share of Common Stock upon any conversion, but (i) may deliver scrip therefor, which shall not entitle the bearer thereof to vote, or to receive dividends or to any other or further right or interest, except to convert the same in amounts aggregating one or more whole shares of LSB Common Stock at any time within a period, fixed by the Board of Directors of LSB, which shall be stated in the scrip, or (ii) may pay in cash therefor an amount equal to the same fraction of the fair market value of a full share of LSB Common Stock. For such purpose of determining the fair market value of LSB Common Stock, the fair market value of a share of LSB Common Stock, shall be the last recorded sale price of such a share of LSB Common Stock on a national securities exchange on the day immediately preceding the date upon which such Series D Preferred Stock is surrendered for conversion or, if there be no recorded sale price on such day, the last quoted bid price per share of LSB Common Stock on such exchange at the close of trading on such date. If LSB Common Stock shall not be at the time dealt in on a national security exchange, such fair market value of LSB Common Stock shall be the prevailing market value of such Common Stock on any other securities exchange or in the open market, as determined by LSB, which determination shall be conclusive.</w:t>
      </w:r>
    </w:p>
    <w:p>
      <w:pPr>
        <w:spacing w:after="0" w:line="99" w:lineRule="exact"/>
        <w:rPr>
          <w:rFonts w:ascii="Times New Roman" w:cs="Times New Roman" w:eastAsia="Times New Roman" w:hAnsi="Times New Roman"/>
          <w:sz w:val="16"/>
          <w:szCs w:val="16"/>
          <w:color w:val="auto"/>
        </w:rPr>
      </w:pPr>
    </w:p>
    <w:p>
      <w:pPr>
        <w:ind w:left="5672" w:hanging="112"/>
        <w:spacing w:after="0"/>
        <w:tabs>
          <w:tab w:leader="none" w:pos="5672" w:val="left"/>
        </w:tabs>
        <w:numPr>
          <w:ilvl w:val="2"/>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ectPr>
          <w:pgSz w:w="11900" w:h="16838" w:orient="portrait"/>
          <w:cols w:equalWidth="0" w:num="1">
            <w:col w:w="11412"/>
          </w:cols>
          <w:pgMar w:left="248" w:top="274" w:right="239" w:bottom="1440" w:gutter="0" w:footer="0" w:header="0"/>
        </w:sectPr>
      </w:pPr>
    </w:p>
    <w:bookmarkStart w:id="239" w:name="page240"/>
    <w:bookmarkEnd w:id="239"/>
    <w:p>
      <w:pPr>
        <w:ind w:left="-8" w:right="40" w:firstLine="464"/>
        <w:spacing w:after="0" w:line="256" w:lineRule="auto"/>
        <w:tabs>
          <w:tab w:leader="none" w:pos="697"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holder of a share or shares of Series D Preferred Stock desiring to convert such Series D Preferred Stock into Common Stock of LSB shall surrender the certificate or certificate representing the share or shares of Series D Preferred Stock so to be converted, duly endorsed to LSB in blank, with the signature of said endorsement guaranteed by a national bank or investment banking firm, at the principal office of LSB (or such other place as may be designated by LSB), and shall give written notice to LSB at said office that he elects to convert the same, and setting forth the name or names (with the address or addresses) in which the shares of Common Stock are to be issued.</w:t>
      </w:r>
    </w:p>
    <w:p>
      <w:pPr>
        <w:spacing w:after="0" w:line="138" w:lineRule="exact"/>
        <w:rPr>
          <w:rFonts w:ascii="Times New Roman" w:cs="Times New Roman" w:eastAsia="Times New Roman" w:hAnsi="Times New Roman"/>
          <w:sz w:val="18"/>
          <w:szCs w:val="18"/>
          <w:color w:val="auto"/>
        </w:rPr>
      </w:pPr>
    </w:p>
    <w:p>
      <w:pPr>
        <w:ind w:left="-8" w:right="40" w:firstLine="464"/>
        <w:spacing w:after="0" w:line="258" w:lineRule="auto"/>
        <w:tabs>
          <w:tab w:leader="none" w:pos="687"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certificates for shares of Common Stock upon conversion of the Series D Preferred Stock shall be made without charge for tax in respect of such issuance; however, if any certificate is to be issued in any name other than that of the holder of record of the Series D Preferred Stock so converted, the person or persons requesting the issuance thereof shall pay to LSB the amount of any tax which may be payable in respect of any transfer involved in such issuance, or shall establish to the satisfaction of LSB that such tax has been paid or is not due and payable.</w:t>
      </w:r>
    </w:p>
    <w:p>
      <w:pPr>
        <w:spacing w:after="0" w:line="136"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There shall be no mandatory or optional redemption rights with respect to the Series D Preferred Stock.</w:t>
      </w:r>
    </w:p>
    <w:p>
      <w:pPr>
        <w:spacing w:after="0" w:line="171" w:lineRule="exact"/>
        <w:rPr>
          <w:rFonts w:ascii="Times New Roman" w:cs="Times New Roman" w:eastAsia="Times New Roman" w:hAnsi="Times New Roman"/>
          <w:sz w:val="18"/>
          <w:szCs w:val="18"/>
          <w:color w:val="auto"/>
        </w:rPr>
      </w:pPr>
    </w:p>
    <w:p>
      <w:pPr>
        <w:ind w:left="-8" w:firstLine="8"/>
        <w:spacing w:after="0" w:line="262" w:lineRule="auto"/>
        <w:tabs>
          <w:tab w:leader="none" w:pos="168"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Reacquired Shares</w:t>
      </w:r>
      <w:r>
        <w:rPr>
          <w:rFonts w:ascii="Times New Roman" w:cs="Times New Roman" w:eastAsia="Times New Roman" w:hAnsi="Times New Roman"/>
          <w:sz w:val="18"/>
          <w:szCs w:val="18"/>
          <w:color w:val="auto"/>
        </w:rPr>
        <w:t>. Shares of the Series D Preferred Stock which have been issued and reacquired in any manner (until LSB elects to retire them) shall (upon compliance with any applicable provisions of the laws of the State of Delaware) have the status of authorized and unissued shares of the class of Class C Preferred Stock of LSB undesignated as to series and may be redesignated and reissued.</w:t>
      </w:r>
    </w:p>
    <w:p>
      <w:pPr>
        <w:spacing w:after="0" w:line="132"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Priority</w:t>
      </w:r>
      <w:r>
        <w:rPr>
          <w:rFonts w:ascii="Times New Roman" w:cs="Times New Roman" w:eastAsia="Times New Roman" w:hAnsi="Times New Roman"/>
          <w:sz w:val="18"/>
          <w:szCs w:val="18"/>
          <w:color w:val="auto"/>
        </w:rPr>
        <w:t>. (a) For purposes of this resolution, any stock of any class or series of LSB shall be deemed to rank:</w:t>
      </w:r>
    </w:p>
    <w:p>
      <w:pPr>
        <w:spacing w:after="0" w:line="171" w:lineRule="exact"/>
        <w:rPr>
          <w:rFonts w:ascii="Times New Roman" w:cs="Times New Roman" w:eastAsia="Times New Roman" w:hAnsi="Times New Roman"/>
          <w:sz w:val="18"/>
          <w:szCs w:val="18"/>
          <w:color w:val="auto"/>
        </w:rPr>
      </w:pPr>
    </w:p>
    <w:p>
      <w:pPr>
        <w:ind w:left="-8" w:right="160" w:firstLine="464"/>
        <w:spacing w:after="0" w:line="262" w:lineRule="auto"/>
        <w:tabs>
          <w:tab w:leader="none" w:pos="658"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or senior to the shares of this Series D Preferred Stock either as to dividends or upon liquidation, if the holders of such class or classes shall be entitled to the receipt of dividends or of amounts distributable upon dissolution, liquidation or winding up of LSB, whether voluntary or involuntary, as the case may be, in preference or priority to the holders of shares of this Series D Preferred Stock;</w:t>
      </w:r>
    </w:p>
    <w:p>
      <w:pPr>
        <w:spacing w:after="0" w:line="118" w:lineRule="exact"/>
        <w:rPr>
          <w:rFonts w:ascii="Times New Roman" w:cs="Times New Roman" w:eastAsia="Times New Roman" w:hAnsi="Times New Roman"/>
          <w:sz w:val="18"/>
          <w:szCs w:val="18"/>
          <w:color w:val="auto"/>
        </w:rPr>
      </w:pPr>
    </w:p>
    <w:p>
      <w:pPr>
        <w:ind w:left="5672" w:hanging="112"/>
        <w:spacing w:after="0"/>
        <w:tabs>
          <w:tab w:leader="none" w:pos="5672" w:val="left"/>
        </w:tabs>
        <w:numPr>
          <w:ilvl w:val="2"/>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ectPr>
          <w:pgSz w:w="11900" w:h="16838" w:orient="portrait"/>
          <w:cols w:equalWidth="0" w:num="1">
            <w:col w:w="11392"/>
          </w:cols>
          <w:pgMar w:left="248" w:top="274" w:right="259" w:bottom="1440" w:gutter="0" w:footer="0" w:header="0"/>
        </w:sectPr>
      </w:pPr>
    </w:p>
    <w:bookmarkStart w:id="240" w:name="page241"/>
    <w:bookmarkEnd w:id="240"/>
    <w:p>
      <w:pPr>
        <w:ind w:right="40" w:firstLine="464"/>
        <w:spacing w:after="0" w:line="256" w:lineRule="auto"/>
        <w:tabs>
          <w:tab w:leader="none" w:pos="715"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a parity with or equal to shares of this Series D Preferred Stock, either as to dividends or upon liquidation, whether or not the dividend rates, dividend payment dates or redemption or liquidation prices per share or sinking fund provisions, if any, are different from those of this Series D Preferred Stock, if the holders of such stock are entitled to the receipt of dividends or of amounts distributable upon dissolution, liquidation or winding up of LSB, whether voluntary or involuntary, in proportion to their respective dividend rates or liquidation prices, without preference or priority, one over the other, as between the holders of such stock and the holders of shares of this Series D Preferred Stock; and</w:t>
      </w:r>
    </w:p>
    <w:p>
      <w:pPr>
        <w:spacing w:after="0" w:line="138" w:lineRule="exact"/>
        <w:rPr>
          <w:rFonts w:ascii="Times New Roman" w:cs="Times New Roman" w:eastAsia="Times New Roman" w:hAnsi="Times New Roman"/>
          <w:sz w:val="18"/>
          <w:szCs w:val="18"/>
          <w:color w:val="auto"/>
        </w:rPr>
      </w:pPr>
    </w:p>
    <w:p>
      <w:pPr>
        <w:ind w:firstLine="464"/>
        <w:spacing w:after="0" w:line="262" w:lineRule="auto"/>
        <w:tabs>
          <w:tab w:leader="none" w:pos="764"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to shares of this Series D Preferred Stock, either as to dividends or upon liquidation, if such class or series shall be Common Stock or if the holders of shares of this Series D Preferred Stock shall be entitled to receipt of dividends or of amounts distributable upon dissolution, liquidation or involuntary, as the case may be, in preference or priority to the holders of shares of such class or series.</w:t>
      </w:r>
    </w:p>
    <w:p>
      <w:pPr>
        <w:spacing w:after="0" w:line="132" w:lineRule="exact"/>
        <w:rPr>
          <w:rFonts w:ascii="Times New Roman" w:cs="Times New Roman" w:eastAsia="Times New Roman" w:hAnsi="Times New Roman"/>
          <w:sz w:val="18"/>
          <w:szCs w:val="18"/>
          <w:color w:val="auto"/>
        </w:rPr>
      </w:pPr>
    </w:p>
    <w:p>
      <w:pPr>
        <w:ind w:right="340" w:firstLine="8"/>
        <w:spacing w:after="0" w:line="275" w:lineRule="auto"/>
        <w:tabs>
          <w:tab w:leader="none" w:pos="263"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The shares of the Series D Preferred Stock shall not be subject to the operation of or to the benefit of any retirement or sinking fund. The shares of the Series D Preferred Stock shall not have any other relative, participating, optional or other rights and powers not set forth above.</w:t>
      </w:r>
    </w:p>
    <w:p>
      <w:pPr>
        <w:spacing w:after="0" w:line="120"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IN WITNESS WHEREOF, this Corporation has caused this Certificate of Designations to be signed and attested by its duly authorized officers this 18th day of October, 2001.</w:t>
      </w:r>
    </w:p>
    <w:p>
      <w:pPr>
        <w:spacing w:after="0" w:line="16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Jack E. Golsen</w:t>
      </w:r>
    </w:p>
    <w:p>
      <w:pPr>
        <w:spacing w:after="0" w:line="21"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Jack E. Golsen, President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M. Shear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M. Shear, Secretary</w:t>
      </w:r>
    </w:p>
    <w:p>
      <w:pPr>
        <w:spacing w:after="0" w:line="1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- 8 -</w:t>
      </w:r>
    </w:p>
    <w:p>
      <w:pPr>
        <w:sectPr>
          <w:pgSz w:w="11900" w:h="16838" w:orient="portrait"/>
          <w:cols w:equalWidth="0" w:num="1">
            <w:col w:w="11320"/>
          </w:cols>
          <w:pgMar w:left="240" w:top="274" w:right="339" w:bottom="1440" w:gutter="0" w:footer="0" w:header="0"/>
        </w:sectPr>
      </w:pPr>
    </w:p>
    <w:bookmarkStart w:id="241" w:name="page242"/>
    <w:bookmarkEnd w:id="241"/>
    <w:p>
      <w:pPr>
        <w:jc w:val="center"/>
        <w:ind w:right="-9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w:t>
      </w:r>
      <w:r>
        <w:rPr>
          <w:rFonts w:ascii="Times New Roman" w:cs="Times New Roman" w:eastAsia="Times New Roman" w:hAnsi="Times New Roman"/>
          <w:sz w:val="14"/>
          <w:szCs w:val="14"/>
          <w:color w:val="auto"/>
        </w:rPr>
        <w:t>ERTIFICATE OF</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MENDMENT</w:t>
      </w:r>
    </w:p>
    <w:p>
      <w:pPr>
        <w:spacing w:after="0" w:line="20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color w:val="auto"/>
        </w:rPr>
        <w:t>TO THE</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ERTIFICATE OF</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ESIGNATIONS OF THE</w:t>
      </w:r>
    </w:p>
    <w:p>
      <w:pPr>
        <w:spacing w:after="0" w:line="1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$3.25 C</w:t>
      </w:r>
      <w:r>
        <w:rPr>
          <w:rFonts w:ascii="Times New Roman" w:cs="Times New Roman" w:eastAsia="Times New Roman" w:hAnsi="Times New Roman"/>
          <w:sz w:val="14"/>
          <w:szCs w:val="14"/>
          <w:color w:val="auto"/>
        </w:rPr>
        <w:t>ONVERTIBLE</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XCHANGEABLE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LASS</w:t>
      </w:r>
      <w:r>
        <w:rPr>
          <w:rFonts w:ascii="Times New Roman" w:cs="Times New Roman" w:eastAsia="Times New Roman" w:hAnsi="Times New Roman"/>
          <w:sz w:val="18"/>
          <w:szCs w:val="18"/>
          <w:color w:val="auto"/>
        </w:rPr>
        <w:t xml:space="preserve"> C P</w:t>
      </w:r>
      <w:r>
        <w:rPr>
          <w:rFonts w:ascii="Times New Roman" w:cs="Times New Roman" w:eastAsia="Times New Roman" w:hAnsi="Times New Roman"/>
          <w:sz w:val="14"/>
          <w:szCs w:val="14"/>
          <w:color w:val="auto"/>
        </w:rPr>
        <w:t>REFERRED</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18"/>
          <w:szCs w:val="18"/>
          <w:color w:val="auto"/>
        </w:rPr>
        <w:t>, S</w:t>
      </w:r>
      <w:r>
        <w:rPr>
          <w:rFonts w:ascii="Times New Roman" w:cs="Times New Roman" w:eastAsia="Times New Roman" w:hAnsi="Times New Roman"/>
          <w:sz w:val="14"/>
          <w:szCs w:val="14"/>
          <w:color w:val="auto"/>
        </w:rPr>
        <w:t>ERIES</w:t>
      </w:r>
      <w:r>
        <w:rPr>
          <w:rFonts w:ascii="Times New Roman" w:cs="Times New Roman" w:eastAsia="Times New Roman" w:hAnsi="Times New Roman"/>
          <w:sz w:val="18"/>
          <w:szCs w:val="18"/>
          <w:color w:val="auto"/>
        </w:rPr>
        <w:t xml:space="preserve"> 2</w:t>
      </w:r>
    </w:p>
    <w:p>
      <w:pPr>
        <w:spacing w:after="0" w:line="1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color w:val="auto"/>
        </w:rPr>
        <w:t>OF</w:t>
      </w:r>
    </w:p>
    <w:p>
      <w:pPr>
        <w:spacing w:after="0" w:line="14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LSB I</w:t>
      </w:r>
      <w:r>
        <w:rPr>
          <w:rFonts w:ascii="Times New Roman" w:cs="Times New Roman" w:eastAsia="Times New Roman" w:hAnsi="Times New Roman"/>
          <w:sz w:val="14"/>
          <w:szCs w:val="14"/>
          <w:color w:val="auto"/>
        </w:rPr>
        <w:t>NDUSTRIES</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323850</wp:posOffset>
            </wp:positionV>
            <wp:extent cx="151765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20"/>
          </w:cols>
          <w:pgMar w:left="240" w:top="274"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Secretary of State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State of Delaware</w:t>
      </w:r>
    </w:p>
    <w:p>
      <w:pPr>
        <w:spacing w:after="0" w:line="182" w:lineRule="exact"/>
        <w:rPr>
          <w:sz w:val="20"/>
          <w:szCs w:val="20"/>
          <w:color w:val="auto"/>
        </w:rPr>
      </w:pPr>
    </w:p>
    <w:p>
      <w:pPr>
        <w:sectPr>
          <w:pgSz w:w="11900" w:h="16838" w:orient="portrait"/>
          <w:cols w:equalWidth="0" w:num="2">
            <w:col w:w="240" w:space="460"/>
            <w:col w:w="10620"/>
          </w:cols>
          <w:pgMar w:left="240" w:top="274" w:right="339" w:bottom="1440" w:gutter="0" w:footer="0" w:header="0"/>
          <w:type w:val="continuous"/>
        </w:sect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 xml:space="preserve">LSB Industries, Inc., a Delaware corporation (the </w:t>
      </w:r>
      <w:r>
        <w:rPr>
          <w:sz w:val="1"/>
          <w:szCs w:val="1"/>
          <w:color w:val="auto"/>
        </w:rPr>
        <w:drawing>
          <wp:inline distT="0" distB="0" distL="0" distR="0">
            <wp:extent cx="102870" cy="94615"/>
            <wp:effectExtent l="0" t="0" r="0" b="0"/>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Company </w:t>
      </w:r>
      <w:r>
        <w:rPr>
          <w:sz w:val="1"/>
          <w:szCs w:val="1"/>
          <w:color w:val="auto"/>
        </w:rPr>
        <w:drawing>
          <wp:inline distT="0" distB="0" distL="0" distR="0">
            <wp:extent cx="102870" cy="94615"/>
            <wp:effectExtent l="0" t="0" r="0" b="0"/>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for the purpose of amending its Restated Certificate of Incorporation by amending the Certificate of Designations of the $3.25 Convertible Exchangeable Class C Stock, Series 2 (the </w:t>
      </w:r>
      <w:r>
        <w:rPr>
          <w:sz w:val="1"/>
          <w:szCs w:val="1"/>
          <w:color w:val="auto"/>
        </w:rPr>
        <w:drawing>
          <wp:inline distT="0" distB="0" distL="0" distR="0">
            <wp:extent cx="102870" cy="94615"/>
            <wp:effectExtent l="0" t="0" r="0" b="0"/>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Certificate of Designations </w:t>
      </w:r>
      <w:r>
        <w:rPr>
          <w:sz w:val="1"/>
          <w:szCs w:val="1"/>
          <w:color w:val="auto"/>
        </w:rPr>
        <w:drawing>
          <wp:inline distT="0" distB="0" distL="0" distR="0">
            <wp:extent cx="102870" cy="94615"/>
            <wp:effectExtent l="0" t="0" r="0" b="0"/>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as provided by Section 242 of the Delaware General Corporation Law, hereby certifies:</w:t>
      </w:r>
    </w:p>
    <w:p>
      <w:pPr>
        <w:spacing w:after="0" w:line="132" w:lineRule="exact"/>
        <w:rPr>
          <w:sz w:val="20"/>
          <w:szCs w:val="20"/>
          <w:color w:val="auto"/>
        </w:rPr>
      </w:pPr>
    </w:p>
    <w:p>
      <w:pPr>
        <w:ind w:left="640" w:hanging="176"/>
        <w:spacing w:after="0"/>
        <w:tabs>
          <w:tab w:leader="none" w:pos="6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Designations was originally filed with the Secretary of State on May 21, 1993.</w:t>
      </w:r>
    </w:p>
    <w:p>
      <w:pPr>
        <w:spacing w:after="0" w:line="171"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paragraph of Section 3(a) of the Certificate of Designations is hereby amended and restated to read in its entirety as follows:</w:t>
      </w:r>
    </w:p>
    <w:p>
      <w:pPr>
        <w:spacing w:after="0" w:line="17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No dividends or other distributions, other than dividends payable solely in shares of Common Stock or other Junior Stock or distributions of Rights, as defined below, shall be declared, paid or set apart for payment on, and, except as otherwise provided below in this Section 3(a), no purchase, redemption or other acquisition shall be made by the Corporation of, any shares of Common Stock or other Junior Stock (or any payment made in respect of or made available to a sinking fund for the redemption of any shares of Junior Stock) unless and until all cumulative and unpaid dividends on the Convertible Exchangeable Preferred Stock shall have been paid or declared and set apart for payment through the last dividend Due Date.</w:t>
      </w:r>
    </w:p>
    <w:p>
      <w:pPr>
        <w:spacing w:after="0" w:line="13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Notwithstanding the foregoing, during the period that cumulative and unpaid dividends exist on the Convertible Exchangeable Preferred Stock, the Corporation may purchase, redeem or otherwise acquire in any manner or for any reason any shares of Common Stock or other Junior Stock (including, but not limited to, pursuant to existing or future stock option plans or otherwise) for a period of five years from the completion of an exchange or tender offer by the Corporation occurring after January 1, 2007, for at least 180,000 outstanding shares of the Convertible Exchangeable Preferred Stock.</w:t>
      </w:r>
    </w:p>
    <w:p>
      <w:pPr>
        <w:spacing w:after="0" w:line="136" w:lineRule="exact"/>
        <w:rPr>
          <w:sz w:val="20"/>
          <w:szCs w:val="20"/>
          <w:color w:val="auto"/>
        </w:rPr>
      </w:pPr>
    </w:p>
    <w:p>
      <w:pPr>
        <w:ind w:left="640" w:hanging="176"/>
        <w:spacing w:after="0"/>
        <w:tabs>
          <w:tab w:leader="none" w:pos="64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sentence of the first paragraph of Section 7(b) of the Certificate of Designations is hereby amended and restated to read in its entirety as</w:t>
      </w:r>
    </w:p>
    <w:p>
      <w:pPr>
        <w:spacing w:after="0" w:line="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and only so long as, at least 140,000 shares of Convertible Exchangeable Preferred Stock are issued and outstanding (excluding shares held in treasury), whenever dividends on the Convertible Exchangeable Preferred Stock shall be in arrears and unpaid, whether or not declared, in an amount equal to at least six quarterly dividends (whether or not consecutive) (i) the number of members of the Board shall be increased by two, effective as of the time of election of such directors as hereinafter provided, and (ii) the holders of the Convertible Exchangeable Preferred Stock (voting separately as a class with all other affected classes or series of the Parity Stock upon which like voting rights have been conferred and are exercisable) will have the exclusive right to vote for and elect such two additional directors of the Corporation at any meeting of stockholders of the Corporation at which directors are to be elected held during the period that any dividends on the Convertible Exchangeable Preferred Stock remain in arrears.</w:t>
      </w:r>
    </w:p>
    <w:p>
      <w:pPr>
        <w:spacing w:after="0" w:line="1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- 1 -</w:t>
      </w:r>
    </w:p>
    <w:p>
      <w:pPr>
        <w:sectPr>
          <w:pgSz w:w="11900" w:h="16838" w:orient="portrait"/>
          <w:cols w:equalWidth="0" w:num="1">
            <w:col w:w="11320"/>
          </w:cols>
          <w:pgMar w:left="240" w:top="274" w:right="339" w:bottom="1440" w:gutter="0" w:footer="0" w:header="0"/>
          <w:type w:val="continuous"/>
        </w:sectPr>
      </w:pPr>
    </w:p>
    <w:bookmarkStart w:id="242" w:name="page243"/>
    <w:bookmarkEnd w:id="242"/>
    <w:p>
      <w:pPr>
        <w:ind w:right="380" w:firstLine="464"/>
        <w:spacing w:after="0" w:line="275" w:lineRule="auto"/>
        <w:tabs>
          <w:tab w:leader="none" w:pos="632"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other provisions of the Certificate of Designations or the Restated Certificate of Incorporation of the Company are amended or changed by this Amendment.</w:t>
      </w:r>
    </w:p>
    <w:p>
      <w:pPr>
        <w:spacing w:after="0" w:line="119" w:lineRule="exact"/>
        <w:rPr>
          <w:rFonts w:ascii="Times New Roman" w:cs="Times New Roman" w:eastAsia="Times New Roman" w:hAnsi="Times New Roman"/>
          <w:sz w:val="18"/>
          <w:szCs w:val="18"/>
          <w:color w:val="auto"/>
        </w:rPr>
      </w:pPr>
    </w:p>
    <w:p>
      <w:pPr>
        <w:ind w:right="640" w:firstLine="464"/>
        <w:spacing w:after="0" w:line="339" w:lineRule="auto"/>
        <w:tabs>
          <w:tab w:leader="none" w:pos="632" w:val="left"/>
        </w:tabs>
        <w:numPr>
          <w:ilvl w:val="0"/>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a meeting of the Board of Directors held on the 9th day of January 2007, a resolution was duly adopted setting forth the foregoing proposed amendment declaring such amendment to be advisable and setting a Special Meeting of Stockholders of the Company for consideration thereof.</w:t>
      </w:r>
    </w:p>
    <w:p>
      <w:pPr>
        <w:spacing w:after="0" w:line="74" w:lineRule="exact"/>
        <w:rPr>
          <w:rFonts w:ascii="Times New Roman" w:cs="Times New Roman" w:eastAsia="Times New Roman" w:hAnsi="Times New Roman"/>
          <w:sz w:val="16"/>
          <w:szCs w:val="16"/>
          <w:color w:val="auto"/>
        </w:rPr>
      </w:pPr>
    </w:p>
    <w:p>
      <w:pPr>
        <w:ind w:right="440" w:firstLine="464"/>
        <w:spacing w:after="0" w:line="262" w:lineRule="auto"/>
        <w:tabs>
          <w:tab w:leader="none" w:pos="632"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pursuant to said resolution of its Board of Directors, the Special Meeting of Stockholders of the Company was duly called and held on March 6, 2007, at which meeting the necessary number of shares as required by statute and the Certificate of Designations were voted in favor of such amendment.</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UCH</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MENDMENT WAS</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ULY</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DOPTED IN</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CCORDANCE WITH THE PROVISIONS OF</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18"/>
          <w:szCs w:val="18"/>
          <w:color w:val="auto"/>
        </w:rPr>
        <w:t xml:space="preserve"> 242 </w:t>
      </w:r>
      <w:r>
        <w:rPr>
          <w:rFonts w:ascii="Times New Roman" w:cs="Times New Roman" w:eastAsia="Times New Roman" w:hAnsi="Times New Roman"/>
          <w:sz w:val="14"/>
          <w:szCs w:val="14"/>
          <w:color w:val="auto"/>
        </w:rPr>
        <w:t>OF THE</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ELAWARE</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ENERAL</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ORPORATION</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A</w:t>
      </w:r>
      <w:r>
        <w:rPr>
          <w:rFonts w:ascii="Times New Roman" w:cs="Times New Roman" w:eastAsia="Times New Roman" w:hAnsi="Times New Roman"/>
          <w:sz w:val="18"/>
          <w:szCs w:val="18"/>
          <w:color w:val="auto"/>
        </w:rPr>
        <w:t>W.</w:t>
      </w:r>
    </w:p>
    <w:p>
      <w:pPr>
        <w:spacing w:after="0" w:line="171"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N</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4"/>
          <w:szCs w:val="14"/>
          <w:color w:val="auto"/>
        </w:rPr>
        <w:t>ITNESS</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4"/>
          <w:szCs w:val="14"/>
          <w:color w:val="auto"/>
        </w:rPr>
        <w:t>HEREOF</w:t>
      </w:r>
      <w:r>
        <w:rPr>
          <w:rFonts w:ascii="Times New Roman" w:cs="Times New Roman" w:eastAsia="Times New Roman" w:hAnsi="Times New Roman"/>
          <w:sz w:val="18"/>
          <w:szCs w:val="18"/>
          <w:color w:val="auto"/>
        </w:rPr>
        <w:t>, the undersigned does cause this Certificate to be signed by its Chief Executive Officer and attested by its Secretary this 6th day of March 2007.</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Attest:</w:t>
            </w:r>
          </w:p>
        </w:tc>
        <w:tc>
          <w:tcPr>
            <w:tcW w:w="5700" w:type="dxa"/>
            <w:vAlign w:val="bottom"/>
          </w:tcPr>
          <w:p>
            <w:pPr>
              <w:ind w:left="2340"/>
              <w:spacing w:after="0"/>
              <w:rPr>
                <w:sz w:val="20"/>
                <w:szCs w:val="20"/>
                <w:color w:val="auto"/>
              </w:rPr>
            </w:pPr>
            <w:r>
              <w:rPr>
                <w:rFonts w:ascii="Times New Roman" w:cs="Times New Roman" w:eastAsia="Times New Roman" w:hAnsi="Times New Roman"/>
                <w:sz w:val="18"/>
                <w:szCs w:val="18"/>
                <w:color w:val="auto"/>
                <w:w w:val="98"/>
              </w:rPr>
              <w:t>LSB I</w:t>
            </w:r>
            <w:r>
              <w:rPr>
                <w:rFonts w:ascii="Times New Roman" w:cs="Times New Roman" w:eastAsia="Times New Roman" w:hAnsi="Times New Roman"/>
                <w:sz w:val="14"/>
                <w:szCs w:val="14"/>
                <w:color w:val="auto"/>
                <w:w w:val="98"/>
              </w:rPr>
              <w:t>NDUSTRIES</w:t>
            </w:r>
            <w:r>
              <w:rPr>
                <w:rFonts w:ascii="Times New Roman" w:cs="Times New Roman" w:eastAsia="Times New Roman" w:hAnsi="Times New Roman"/>
                <w:sz w:val="18"/>
                <w:szCs w:val="18"/>
                <w:color w:val="auto"/>
                <w:w w:val="98"/>
              </w:rPr>
              <w:t>, I</w:t>
            </w:r>
            <w:r>
              <w:rPr>
                <w:rFonts w:ascii="Times New Roman" w:cs="Times New Roman" w:eastAsia="Times New Roman" w:hAnsi="Times New Roman"/>
                <w:sz w:val="14"/>
                <w:szCs w:val="14"/>
                <w:color w:val="auto"/>
                <w:w w:val="98"/>
              </w:rPr>
              <w:t>NC</w:t>
            </w:r>
            <w:r>
              <w:rPr>
                <w:rFonts w:ascii="Times New Roman" w:cs="Times New Roman" w:eastAsia="Times New Roman" w:hAnsi="Times New Roman"/>
                <w:sz w:val="18"/>
                <w:szCs w:val="18"/>
                <w:color w:val="auto"/>
                <w:w w:val="98"/>
              </w:rPr>
              <w:t>., a Delaware corporation</w:t>
            </w:r>
          </w:p>
        </w:tc>
        <w:tc>
          <w:tcPr>
            <w:tcW w:w="0" w:type="dxa"/>
            <w:vAlign w:val="bottom"/>
          </w:tcPr>
          <w:p>
            <w:pPr>
              <w:spacing w:after="0"/>
              <w:rPr>
                <w:sz w:val="1"/>
                <w:szCs w:val="1"/>
                <w:color w:val="auto"/>
              </w:rPr>
            </w:pPr>
          </w:p>
        </w:tc>
      </w:tr>
      <w:tr>
        <w:trPr>
          <w:trHeight w:val="216"/>
        </w:trPr>
        <w:tc>
          <w:tcPr>
            <w:tcW w:w="3720" w:type="dxa"/>
            <w:vAlign w:val="bottom"/>
            <w:vMerge w:val="continue"/>
          </w:tcPr>
          <w:p>
            <w:pPr>
              <w:spacing w:after="0"/>
              <w:rPr>
                <w:sz w:val="18"/>
                <w:szCs w:val="18"/>
                <w:color w:val="auto"/>
              </w:rPr>
            </w:pPr>
          </w:p>
        </w:tc>
        <w:tc>
          <w:tcPr>
            <w:tcW w:w="5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 David M. Shear</w:t>
            </w:r>
          </w:p>
        </w:tc>
        <w:tc>
          <w:tcPr>
            <w:tcW w:w="570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/s/ Jack E. Golsen</w:t>
            </w:r>
          </w:p>
        </w:tc>
        <w:tc>
          <w:tcPr>
            <w:tcW w:w="0" w:type="dxa"/>
            <w:vAlign w:val="bottom"/>
          </w:tcPr>
          <w:p>
            <w:pPr>
              <w:spacing w:after="0"/>
              <w:rPr>
                <w:sz w:val="1"/>
                <w:szCs w:val="1"/>
                <w:color w:val="auto"/>
              </w:rPr>
            </w:pPr>
          </w:p>
        </w:tc>
      </w:tr>
      <w:tr>
        <w:trPr>
          <w:trHeight w:val="22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David M. Shear, Secretary</w:t>
            </w:r>
          </w:p>
        </w:tc>
        <w:tc>
          <w:tcPr>
            <w:tcW w:w="570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Jack E. Golsen, Chief Executive Officer</w:t>
            </w:r>
          </w:p>
        </w:tc>
        <w:tc>
          <w:tcPr>
            <w:tcW w:w="0" w:type="dxa"/>
            <w:vAlign w:val="bottom"/>
          </w:tcPr>
          <w:p>
            <w:pPr>
              <w:spacing w:after="0"/>
              <w:rPr>
                <w:sz w:val="1"/>
                <w:szCs w:val="1"/>
                <w:color w:val="auto"/>
              </w:rPr>
            </w:pPr>
          </w:p>
        </w:tc>
      </w:tr>
      <w:tr>
        <w:trPr>
          <w:trHeight w:val="365"/>
        </w:trPr>
        <w:tc>
          <w:tcPr>
            <w:tcW w:w="3720" w:type="dxa"/>
            <w:vAlign w:val="bottom"/>
          </w:tcPr>
          <w:p>
            <w:pPr>
              <w:spacing w:after="0"/>
              <w:rPr>
                <w:sz w:val="24"/>
                <w:szCs w:val="24"/>
                <w:color w:val="auto"/>
              </w:rPr>
            </w:pPr>
          </w:p>
        </w:tc>
        <w:tc>
          <w:tcPr>
            <w:tcW w:w="5700" w:type="dxa"/>
            <w:vAlign w:val="bottom"/>
          </w:tcPr>
          <w:p>
            <w:pPr>
              <w:jc w:val="right"/>
              <w:ind w:right="3472"/>
              <w:spacing w:after="0"/>
              <w:rPr>
                <w:sz w:val="20"/>
                <w:szCs w:val="20"/>
                <w:color w:val="auto"/>
              </w:rPr>
            </w:pPr>
            <w:r>
              <w:rPr>
                <w:rFonts w:ascii="Times New Roman" w:cs="Times New Roman" w:eastAsia="Times New Roman" w:hAnsi="Times New Roman"/>
                <w:sz w:val="18"/>
                <w:szCs w:val="18"/>
                <w:color w:val="auto"/>
              </w:rPr>
              <w:t>- 2 -</w:t>
            </w:r>
          </w:p>
        </w:tc>
        <w:tc>
          <w:tcPr>
            <w:tcW w:w="0" w:type="dxa"/>
            <w:vAlign w:val="bottom"/>
          </w:tcPr>
          <w:p>
            <w:pPr>
              <w:spacing w:after="0"/>
              <w:rPr>
                <w:sz w:val="1"/>
                <w:szCs w:val="1"/>
                <w:color w:val="auto"/>
              </w:rPr>
            </w:pPr>
          </w:p>
        </w:tc>
      </w:tr>
    </w:tbl>
    <w:p>
      <w:pPr>
        <w:sectPr>
          <w:pgSz w:w="11900" w:h="16838" w:orient="portrait"/>
          <w:cols w:equalWidth="0" w:num="1">
            <w:col w:w="11320"/>
          </w:cols>
          <w:pgMar w:left="240" w:top="274" w:right="339" w:bottom="1440" w:gutter="0" w:footer="0" w:header="0"/>
        </w:sectPr>
      </w:pPr>
    </w:p>
    <w:bookmarkStart w:id="243" w:name="page244"/>
    <w:bookmarkEnd w:id="243"/>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 of Delaware</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Secretary of State</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Division of Corporations</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Delivered 06:32 PM 10/12/2007</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Filed 06:32 PM 10/12/2007</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SRV 071113807 </w:t>
      </w:r>
      <w:r>
        <w:rPr>
          <w:sz w:val="1"/>
          <w:szCs w:val="1"/>
          <w:color w:val="auto"/>
        </w:rPr>
        <w:drawing>
          <wp:inline distT="0" distB="0" distL="0" distR="0">
            <wp:extent cx="102870" cy="94615"/>
            <wp:effectExtent l="0" t="0" r="0" b="0"/>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b w:val="1"/>
          <w:bCs w:val="1"/>
          <w:i w:val="1"/>
          <w:iCs w:val="1"/>
          <w:color w:val="auto"/>
        </w:rPr>
        <w:t xml:space="preserve"> 0833781 FILE</w:t>
      </w:r>
    </w:p>
    <w:p>
      <w:pPr>
        <w:spacing w:after="0" w:line="1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CERTIFICATE OF ELIMINATION</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$3.25 CONVERTIBLE EXCHANGEABLE CLASS C</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PREFERRED STOCK, SERIES 2</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196215</wp:posOffset>
            </wp:positionV>
            <wp:extent cx="151765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LSB INDUSTRIES, INC., a corporation organized and existing under the General Corporation Law of the State of Delaware (hereinafter called the </w:t>
      </w:r>
      <w:r>
        <w:rPr>
          <w:sz w:val="1"/>
          <w:szCs w:val="1"/>
          <w:color w:val="auto"/>
        </w:rPr>
        <w:drawing>
          <wp:inline distT="0" distB="0" distL="0" distR="0">
            <wp:extent cx="102870" cy="94615"/>
            <wp:effectExtent l="0" t="0" r="0" b="0"/>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Corporation </w:t>
      </w:r>
      <w:r>
        <w:rPr>
          <w:sz w:val="1"/>
          <w:szCs w:val="1"/>
          <w:color w:val="auto"/>
        </w:rPr>
        <w:drawing>
          <wp:inline distT="0" distB="0" distL="0" distR="0">
            <wp:extent cx="102870" cy="94615"/>
            <wp:effectExtent l="0" t="0" r="0" b="0"/>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hereby certifies the following:</w:t>
      </w:r>
    </w:p>
    <w:p>
      <w:pPr>
        <w:spacing w:after="0" w:line="159" w:lineRule="exact"/>
        <w:rPr>
          <w:sz w:val="20"/>
          <w:szCs w:val="20"/>
          <w:color w:val="auto"/>
        </w:rPr>
      </w:pPr>
    </w:p>
    <w:p>
      <w:pPr>
        <w:ind w:right="200" w:firstLine="464"/>
        <w:spacing w:after="0" w:line="275" w:lineRule="auto"/>
        <w:tabs>
          <w:tab w:leader="none" w:pos="632"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the Certificate of Designations of the $3.25 Convertible Exchangeable Class C Preferred Stock, Series 2, no par value, of the Corporation (the </w:t>
      </w:r>
      <w:r>
        <w:rPr>
          <w:rFonts w:ascii="Times New Roman" w:cs="Times New Roman" w:eastAsia="Times New Roman" w:hAnsi="Times New Roman"/>
          <w:sz w:val="1"/>
          <w:szCs w:val="1"/>
          <w:color w:val="auto"/>
        </w:rPr>
        <w:drawing>
          <wp:inline distT="0" distB="0" distL="0" distR="0">
            <wp:extent cx="102870" cy="94615"/>
            <wp:effectExtent l="0" t="0" r="0" b="0"/>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$3.25 Preferred </w:t>
      </w:r>
      <w:r>
        <w:rPr>
          <w:rFonts w:ascii="Times New Roman" w:cs="Times New Roman" w:eastAsia="Times New Roman" w:hAnsi="Times New Roman"/>
          <w:sz w:val="1"/>
          <w:szCs w:val="1"/>
          <w:color w:val="auto"/>
        </w:rPr>
        <w:drawing>
          <wp:inline distT="0" distB="0" distL="0" distR="0">
            <wp:extent cx="102870" cy="94615"/>
            <wp:effectExtent l="0" t="0" r="0" b="0"/>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was filed with the Delaware Secretary of State on May 21, 1993 (the </w:t>
      </w:r>
      <w:r>
        <w:rPr>
          <w:rFonts w:ascii="Times New Roman" w:cs="Times New Roman" w:eastAsia="Times New Roman" w:hAnsi="Times New Roman"/>
          <w:sz w:val="1"/>
          <w:szCs w:val="1"/>
          <w:color w:val="auto"/>
        </w:rPr>
        <w:drawing>
          <wp:inline distT="0" distB="0" distL="0" distR="0">
            <wp:extent cx="102870" cy="94615"/>
            <wp:effectExtent l="0" t="0" r="0" b="0"/>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Certificate of Designations </w:t>
      </w:r>
      <w:r>
        <w:rPr>
          <w:rFonts w:ascii="Times New Roman" w:cs="Times New Roman" w:eastAsia="Times New Roman" w:hAnsi="Times New Roman"/>
          <w:sz w:val="1"/>
          <w:szCs w:val="1"/>
          <w:color w:val="auto"/>
        </w:rPr>
        <w:drawing>
          <wp:inline distT="0" distB="0" distL="0" distR="0">
            <wp:extent cx="102870" cy="94615"/>
            <wp:effectExtent l="0" t="0" r="0" b="0"/>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w:t>
      </w:r>
    </w:p>
    <w:p>
      <w:pPr>
        <w:spacing w:after="0" w:line="119"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shares of $3.25 Preferred are outstanding.</w:t>
      </w:r>
    </w:p>
    <w:p>
      <w:pPr>
        <w:spacing w:after="0" w:line="171" w:lineRule="exact"/>
        <w:rPr>
          <w:rFonts w:ascii="Times New Roman" w:cs="Times New Roman" w:eastAsia="Times New Roman" w:hAnsi="Times New Roman"/>
          <w:sz w:val="18"/>
          <w:szCs w:val="18"/>
          <w:color w:val="auto"/>
        </w:rPr>
      </w:pPr>
    </w:p>
    <w:p>
      <w:pPr>
        <w:ind w:firstLine="464"/>
        <w:spacing w:after="0" w:line="262" w:lineRule="auto"/>
        <w:tabs>
          <w:tab w:leader="none" w:pos="632"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all shares of the $3.25 Preferred have been converted, exchanged, redeemed or otherwise acquired by the Corporation, and such shares have the status of authorized and unissued shares of the Corporation </w:t>
      </w:r>
      <w:r>
        <w:rPr>
          <w:rFonts w:ascii="Times New Roman" w:cs="Times New Roman" w:eastAsia="Times New Roman" w:hAnsi="Times New Roman"/>
          <w:sz w:val="1"/>
          <w:szCs w:val="1"/>
          <w:color w:val="auto"/>
        </w:rPr>
        <w:drawing>
          <wp:inline distT="0" distB="0" distL="0" distR="0">
            <wp:extent cx="102870" cy="94615"/>
            <wp:effectExtent l="0" t="0" r="0" b="0"/>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 Class C Preferred Stock, without designation as to class or series, until such shares are once more designated as part of a particular series by the Board of Directors.</w:t>
      </w:r>
    </w:p>
    <w:p>
      <w:pPr>
        <w:spacing w:after="0" w:line="132"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effective October 10, 2007, the Board of Directors of the Corporation unanimously adopted the following resolutions: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RESOLVED, no authorized shares of the Corporation </w:t>
      </w:r>
      <w:r>
        <w:rPr>
          <w:sz w:val="1"/>
          <w:szCs w:val="1"/>
          <w:color w:val="auto"/>
        </w:rPr>
        <w:drawing>
          <wp:inline distT="0" distB="0" distL="0" distR="0">
            <wp:extent cx="102870" cy="94615"/>
            <wp:effectExtent l="0" t="0" r="0" b="0"/>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 $3.25 Preferred are outstanding;</w:t>
      </w:r>
    </w:p>
    <w:p>
      <w:pPr>
        <w:spacing w:after="0" w:line="171"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FURTHER RESOLVED, no authorized shares of the $3.25 Preferred will be issued subject to the Certificate of Designations previously filed with respect to the $3.25 Preferred; and</w:t>
      </w:r>
    </w:p>
    <w:p>
      <w:pPr>
        <w:spacing w:after="0" w:line="120"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FURTHER RESOLVED, that the officers of the Corporation are hereby authorized and directed, for and on behalf of the Corporation, to execute and deliver the Certificate of Elimination to the Secretary of State of the State of Delaware regarding the $3.25 Preferred.</w:t>
      </w:r>
    </w:p>
    <w:p>
      <w:pPr>
        <w:spacing w:after="0" w:line="120" w:lineRule="exact"/>
        <w:rPr>
          <w:sz w:val="20"/>
          <w:szCs w:val="20"/>
          <w:color w:val="auto"/>
        </w:rPr>
      </w:pPr>
    </w:p>
    <w:p>
      <w:pPr>
        <w:ind w:right="480" w:firstLine="464"/>
        <w:spacing w:after="0" w:line="262" w:lineRule="auto"/>
        <w:tabs>
          <w:tab w:leader="none" w:pos="632"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pursuant to the provisions of </w:t>
      </w:r>
      <w:r>
        <w:rPr>
          <w:rFonts w:ascii="Times New Roman" w:cs="Times New Roman" w:eastAsia="Times New Roman" w:hAnsi="Times New Roman"/>
          <w:sz w:val="1"/>
          <w:szCs w:val="1"/>
          <w:color w:val="auto"/>
        </w:rPr>
        <w:drawing>
          <wp:inline distT="0" distB="0" distL="0" distR="0">
            <wp:extent cx="102870" cy="94615"/>
            <wp:effectExtent l="0" t="0" r="0" b="0"/>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151(g) of the Delaware General Corporation Law, upon the effective date of the filing of this Certificate, this Certificate will have the effect of eliminating from the Corporation </w:t>
      </w:r>
      <w:r>
        <w:rPr>
          <w:rFonts w:ascii="Times New Roman" w:cs="Times New Roman" w:eastAsia="Times New Roman" w:hAnsi="Times New Roman"/>
          <w:sz w:val="1"/>
          <w:szCs w:val="1"/>
          <w:color w:val="auto"/>
        </w:rPr>
        <w:drawing>
          <wp:inline distT="0" distB="0" distL="0" distR="0">
            <wp:extent cx="102870" cy="94615"/>
            <wp:effectExtent l="0" t="0" r="0" b="0"/>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 Restated Certificate of Incorporation only those matters set forth in the Restated Certificate of Incorporation, as amended, with respect to the $3.25 Preferred.</w:t>
      </w:r>
    </w:p>
    <w:p>
      <w:pPr>
        <w:spacing w:after="0" w:line="118" w:lineRule="exact"/>
        <w:rPr>
          <w:rFonts w:ascii="Times New Roman" w:cs="Times New Roman" w:eastAsia="Times New Roman" w:hAnsi="Times New Roman"/>
          <w:sz w:val="18"/>
          <w:szCs w:val="18"/>
          <w:color w:val="auto"/>
        </w:rPr>
      </w:pPr>
    </w:p>
    <w:p>
      <w:pPr>
        <w:ind w:left="5680" w:hanging="112"/>
        <w:spacing w:after="0"/>
        <w:tabs>
          <w:tab w:leader="none" w:pos="568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w:t>
      </w:r>
    </w:p>
    <w:p>
      <w:pPr>
        <w:sectPr>
          <w:pgSz w:w="11900" w:h="16838" w:orient="portrait"/>
          <w:cols w:equalWidth="0" w:num="1">
            <w:col w:w="11380"/>
          </w:cols>
          <w:pgMar w:left="240" w:top="270" w:right="279" w:bottom="1440" w:gutter="0" w:footer="0" w:header="0"/>
        </w:sectPr>
      </w:pPr>
    </w:p>
    <w:bookmarkStart w:id="244" w:name="page245"/>
    <w:bookmarkEnd w:id="244"/>
    <w:p>
      <w:pPr>
        <w:ind w:left="4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this Certificate of Elimination has been executed this 12</w:t>
      </w:r>
      <w:r>
        <w:rPr>
          <w:rFonts w:ascii="Times New Roman" w:cs="Times New Roman" w:eastAsia="Times New Roman" w:hAnsi="Times New Roman"/>
          <w:sz w:val="10"/>
          <w:szCs w:val="10"/>
          <w:color w:val="auto"/>
        </w:rPr>
        <w:t>th</w:t>
      </w:r>
      <w:r>
        <w:rPr>
          <w:rFonts w:ascii="Times New Roman" w:cs="Times New Roman" w:eastAsia="Times New Roman" w:hAnsi="Times New Roman"/>
          <w:sz w:val="16"/>
          <w:szCs w:val="16"/>
          <w:color w:val="auto"/>
        </w:rPr>
        <w:t xml:space="preserve"> day of October 2007, by the President of the Company.</w:t>
      </w:r>
    </w:p>
    <w:p>
      <w:pPr>
        <w:sectPr>
          <w:pgSz w:w="11900" w:h="16838" w:orient="portrait"/>
          <w:cols w:equalWidth="0" w:num="1">
            <w:col w:w="10360"/>
          </w:cols>
          <w:pgMar w:left="240" w:top="274" w:right="1299" w:bottom="1440" w:gutter="0" w:footer="0" w:header="0"/>
        </w:sect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ATTEST:</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200" w:lineRule="exact"/>
        <w:rPr>
          <w:sz w:val="20"/>
          <w:szCs w:val="20"/>
          <w:color w:val="auto"/>
        </w:rPr>
      </w:pPr>
    </w:p>
    <w:p>
      <w:pPr>
        <w:sectPr>
          <w:pgSz w:w="11900" w:h="16838" w:orient="portrait"/>
          <w:cols w:equalWidth="0" w:num="2">
            <w:col w:w="5180" w:space="720"/>
            <w:col w:w="4460"/>
          </w:cols>
          <w:pgMar w:left="240" w:top="274" w:right="129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Heidi Brown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Jack E. Golsen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Jack E. Golsen, President</w:t>
      </w:r>
    </w:p>
    <w:p>
      <w:pPr>
        <w:spacing w:after="0" w:line="222" w:lineRule="exact"/>
        <w:rPr>
          <w:sz w:val="20"/>
          <w:szCs w:val="20"/>
          <w:color w:val="auto"/>
        </w:rPr>
      </w:pPr>
    </w:p>
    <w:p>
      <w:pPr>
        <w:sectPr>
          <w:pgSz w:w="11900" w:h="16838" w:orient="portrait"/>
          <w:cols w:equalWidth="0" w:num="3">
            <w:col w:w="5180" w:space="720"/>
            <w:col w:w="260" w:space="120"/>
            <w:col w:w="4080"/>
          </w:cols>
          <w:pgMar w:left="240" w:top="274" w:right="1299"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15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6"/>
          <w:szCs w:val="16"/>
          <w:color w:val="auto"/>
        </w:rPr>
        <w:t>- 2 -</w:t>
      </w:r>
    </w:p>
    <w:p>
      <w:pPr>
        <w:sectPr>
          <w:pgSz w:w="11900" w:h="16838" w:orient="portrait"/>
          <w:cols w:equalWidth="0" w:num="1">
            <w:col w:w="10360"/>
          </w:cols>
          <w:pgMar w:left="240" w:top="274" w:right="1299" w:bottom="1440" w:gutter="0" w:footer="0" w:header="0"/>
          <w:type w:val="continuous"/>
        </w:sectPr>
      </w:pPr>
    </w:p>
    <w:bookmarkStart w:id="245" w:name="page246"/>
    <w:bookmarkEnd w:id="245"/>
    <w:p>
      <w:pPr>
        <w:jc w:val="center"/>
        <w:ind w:right="-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 OF</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CERTIFICATE OF DESIGNATIONS</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of</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SERIES 4 JUNIOR PARTICIPATING CLASS C PREFERRED STOCK</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of</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(Pursuant to Section 151 of the</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Delaware General Corporation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auto"/>
        </w:rPr>
        <w:t>LSB INDUSTRIES, INC., a corporation organized and existing under the General Corporation Law of the State of Delaware (hereinafter called the “Corporation”), hereby certifies that the following resolution was duly adopted by the Board of Directors of the Corporation as required by Section 151 of the General Corporation Law at a meeting duly called and held on November 13, 2008:</w:t>
      </w:r>
    </w:p>
    <w:p>
      <w:pPr>
        <w:spacing w:after="0" w:line="1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Creation of Series 4 Junior Participating Class C Preferred Stock</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RESOLVED, that pursuant to the authority granted to and vested in the Board of Directors of this Corporation (hereinafter called the “Board of Directors” or the “Board”) in accordance with the provisions of the Corporation’s Restated Certificate of Incorporation, the Board of Directors hereby creates a new series of Class C Preferred Stock, no par value, designated as Series 4 Junior Participating Class C Preferred Stock, no par value, of the Corporation and hereby states the designation and number of shares, and does hereby establish and fix the relative rights, preferences, designations and relative participating, optional and other special rights, and qualifications, limitations and restrictions thereof as follows: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4 Junior Participating Class C Preferred Stock</w:t>
      </w:r>
    </w:p>
    <w:p>
      <w:pPr>
        <w:spacing w:after="0" w:line="9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Section 1. Designation and Amount. The shares of such series shall be designated as “Series 4 Junior Participating Class C Preferred Stock” (“Series 4 Class C Preferred Stock”), the shares of such series shall be no par value, and the number of shares constituting the Series 4 Class C Preferred Stock shall be 350,000. Such number of shares of Series 4 Class C Preferred Stock may not be issued in fraction of a share (other than fractions which are integral multiples of one one-hundredth of a preferred share). The number of shares constituting Series 4 Class C Preferred Stock may be increased or decreased by resolution of the Board of Directors; provided, that no decrease shall reduce the number of shares of Series 4 Class C Preferred Stock to a number less than the number of shares then outstanding plus the number of shares reserved for issuance upon the exercise of outstanding options, rights or warrants or upon the conversion of any outstanding securities issued by the Corporation convertible into Series 4 Class C Preferred Stock.</w:t>
      </w:r>
    </w:p>
    <w:p>
      <w:pPr>
        <w:spacing w:after="0" w:line="1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Page 1 of 6</w:t>
      </w:r>
    </w:p>
    <w:p>
      <w:pPr>
        <w:sectPr>
          <w:pgSz w:w="11900" w:h="16838" w:orient="portrait"/>
          <w:cols w:equalWidth="0" w:num="1">
            <w:col w:w="11360"/>
          </w:cols>
          <w:pgMar w:left="240" w:top="274" w:right="29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 Dividends and Distributions.</w:t>
      </w:r>
    </w:p>
    <w:p>
      <w:pPr>
        <w:spacing w:after="0" w:line="90" w:lineRule="exact"/>
        <w:rPr>
          <w:sz w:val="20"/>
          <w:szCs w:val="20"/>
          <w:color w:val="auto"/>
        </w:rPr>
      </w:pPr>
    </w:p>
    <w:p>
      <w:pPr>
        <w:ind w:firstLine="8"/>
        <w:spacing w:after="0" w:line="285" w:lineRule="auto"/>
        <w:tabs>
          <w:tab w:leader="none" w:pos="288"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prior and superior rights of the holders of any shares of any series of the Corporation’s preferred stock and/or Class C Preferred Stock ranking prior and superior to the shares of Series 4 Class C Preferred Stock with respect to dividends, if any, the holders of shares of Series 4 Class C Preferred Stock, in preference to the holders of Common Stock, par value $0.10 per share (the “Common Stock”), of the Corporation, and of any other junior stock, shall be entitled to receive, when, as and if declared by the Board of Directors out of funds legally available for the purpose, quarterly dividends payable in cash on the last business day of March, June, September and December in each year (each such date being referred to herein as a “Quarterly Dividend Payment Date”), commencing on the first Quarterly Dividend Payment Date after the first issuance of a share or fraction of a share of Series 4 Class C Preferred Stock, in an amount per share (rounded to the nearest cent) equal to the greater of (a) $1.00, or (b) subject to the provision for adjustment hereinafter set forth, 100 times the aggregate per share amount of all cash dividends, and 100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4 Class C Preferred Stock.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to which holders of shares of Series 4 Class C Preferred Stock were entitled immediately prior to such event under clause (b)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342" w:lineRule="exact"/>
        <w:rPr>
          <w:rFonts w:ascii="Times New Roman" w:cs="Times New Roman" w:eastAsia="Times New Roman" w:hAnsi="Times New Roman"/>
          <w:sz w:val="16"/>
          <w:szCs w:val="16"/>
          <w:color w:val="auto"/>
        </w:rPr>
      </w:pPr>
    </w:p>
    <w:p>
      <w:pPr>
        <w:ind w:right="20" w:firstLine="8"/>
        <w:spacing w:after="0" w:line="256" w:lineRule="auto"/>
        <w:tabs>
          <w:tab w:leader="none" w:pos="278"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declare a dividend or distribution on the Series 4 Class C Preferred Stock as provided in paragraph (A) of this Section immediately after it declares a dividend or distribution on the Common Stock (other than a dividend payable in shares of Common Stock); provided that, in the event no dividend or distribution shall have been declared on the Common Stock during the period between any Quarterly Dividend Payment Date and the next subsequent Quarterly Dividend Payment Date, a dividend of $1 per share on the Series 4 Class C Preferred Stock shall nevertheless be payable on such subsequent Quarterly Dividend Payment Date.</w:t>
      </w:r>
    </w:p>
    <w:p>
      <w:pPr>
        <w:spacing w:after="0" w:line="138" w:lineRule="exact"/>
        <w:rPr>
          <w:rFonts w:ascii="Times New Roman" w:cs="Times New Roman" w:eastAsia="Times New Roman" w:hAnsi="Times New Roman"/>
          <w:sz w:val="18"/>
          <w:szCs w:val="18"/>
          <w:color w:val="auto"/>
        </w:rPr>
      </w:pPr>
    </w:p>
    <w:p>
      <w:pPr>
        <w:ind w:right="20" w:firstLine="8"/>
        <w:spacing w:after="0" w:line="253" w:lineRule="auto"/>
        <w:tabs>
          <w:tab w:leader="none" w:pos="278"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shall begin to accrue and be cumulative on outstanding shares of Series 4 Class C Preferred Stock from the Quarterly Dividend Payment Date next preceding the date of issue of such shares of Series 4 Class C Preferred Stock, unless the date of issue of such shares is prior to the record date for the first Quarterly Dividend Payment Date, in which case dividends on such shares shall begin to accrue and be cumulative from the date of issue of such shares, or unless the date of issue is a Quarterly Dividend Payment Date or is a date after the record date for the determination of holders of shares of Series 4 Class C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4 Class C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4 Class C Preferred Stock entitled to receive payment of a dividend or distribution declared thereon, which record date shall be not more than 60 days prior to the date fixed for the payment thereof.</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2 of 6</w:t>
      </w:r>
    </w:p>
    <w:p>
      <w:pPr>
        <w:sectPr>
          <w:pgSz w:w="11900" w:h="16838" w:orient="portrait"/>
          <w:cols w:equalWidth="0" w:num="1">
            <w:col w:w="11420"/>
          </w:cols>
          <w:pgMar w:left="240" w:top="274" w:right="2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3. Voting Rights. The holders of shares of Series 4 Class C Preferred Stock shall have the following voting rights:</w:t>
      </w:r>
    </w:p>
    <w:p>
      <w:pPr>
        <w:spacing w:after="0" w:line="171" w:lineRule="exact"/>
        <w:rPr>
          <w:sz w:val="20"/>
          <w:szCs w:val="20"/>
          <w:color w:val="auto"/>
        </w:rPr>
      </w:pPr>
    </w:p>
    <w:p>
      <w:pPr>
        <w:ind w:right="520" w:firstLine="8"/>
        <w:spacing w:after="0" w:line="275" w:lineRule="auto"/>
        <w:tabs>
          <w:tab w:leader="none" w:pos="288"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Series 4 Class C Preferred Stock shall entitle the holder thereof to 100 votes on all matters submitted to a vote of the stockholders of the Corporation.</w:t>
      </w:r>
    </w:p>
    <w:p>
      <w:pPr>
        <w:spacing w:after="0" w:line="119" w:lineRule="exact"/>
        <w:rPr>
          <w:rFonts w:ascii="Times New Roman" w:cs="Times New Roman" w:eastAsia="Times New Roman" w:hAnsi="Times New Roman"/>
          <w:sz w:val="18"/>
          <w:szCs w:val="18"/>
          <w:color w:val="auto"/>
        </w:rPr>
      </w:pPr>
    </w:p>
    <w:p>
      <w:pPr>
        <w:ind w:firstLine="8"/>
        <w:spacing w:after="0" w:line="258" w:lineRule="auto"/>
        <w:tabs>
          <w:tab w:leader="none" w:pos="278"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in the Restated Certificate of Incorporation of the Corporation, in any other Certificate of Designation of the Corporation or by applicable law, the holders of shares of Series 4 Class C Preferred Stock, the holders of shares of Common Stock and the holders of any other class or series of capital stock of the Corporation having general voting rights shall vote together as one class on all matters submitted to a vote of stockholders of the Corporation.</w:t>
      </w:r>
    </w:p>
    <w:p>
      <w:pPr>
        <w:spacing w:after="0" w:line="136" w:lineRule="exact"/>
        <w:rPr>
          <w:rFonts w:ascii="Times New Roman" w:cs="Times New Roman" w:eastAsia="Times New Roman" w:hAnsi="Times New Roman"/>
          <w:sz w:val="18"/>
          <w:szCs w:val="18"/>
          <w:color w:val="auto"/>
        </w:rPr>
      </w:pPr>
    </w:p>
    <w:p>
      <w:pPr>
        <w:ind w:right="120" w:firstLine="8"/>
        <w:spacing w:after="0" w:line="262" w:lineRule="auto"/>
        <w:tabs>
          <w:tab w:leader="none" w:pos="278"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this Certificate of Designations or as otherwise required by applicable law, holders of Series 4 Class C Preferred Stock shall have no special voting rights and their consent shall not be required (except to the extent that they are entitled to vote with holders of Common Stock as set forth herein) for taking any corporate action.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 Certain Restrictions.</w:t>
      </w:r>
    </w:p>
    <w:p>
      <w:pPr>
        <w:spacing w:after="0" w:line="90" w:lineRule="exact"/>
        <w:rPr>
          <w:sz w:val="20"/>
          <w:szCs w:val="20"/>
          <w:color w:val="auto"/>
        </w:rPr>
      </w:pPr>
    </w:p>
    <w:p>
      <w:pPr>
        <w:ind w:firstLine="8"/>
        <w:spacing w:after="0" w:line="258" w:lineRule="auto"/>
        <w:tabs>
          <w:tab w:leader="none" w:pos="288"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quarterly dividends or other dividends or distributions payable on the Series 4 Class C Preferred Stock as provided in Section 2 hereof are in arrears, thereafter and until all accrued and unpaid dividends and distributions, whether or not declared, on shares of Series 4 Class C Preferred Stock outstanding shall have been paid in full, or declared and a sum sufficient for the payment therefor be set apart for payment and be in the process of payment, the Corporation shall not:</w:t>
      </w:r>
    </w:p>
    <w:p>
      <w:pPr>
        <w:spacing w:after="0" w:line="136"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18"/>
          <w:szCs w:val="18"/>
          <w:color w:val="auto"/>
        </w:rPr>
        <w:t>i. declare or pay dividends, or make any other distributions, on any shares of stock ranking junior (either as to dividends or upon liquidation, dissolution or winding up) to the Series 4 Class C Preferred Stock;</w:t>
      </w:r>
    </w:p>
    <w:p>
      <w:pPr>
        <w:spacing w:after="0" w:line="120" w:lineRule="exact"/>
        <w:rPr>
          <w:sz w:val="20"/>
          <w:szCs w:val="20"/>
          <w:color w:val="auto"/>
        </w:rPr>
      </w:pPr>
    </w:p>
    <w:p>
      <w:pPr>
        <w:jc w:val="both"/>
        <w:ind w:right="100" w:firstLine="8"/>
        <w:spacing w:after="0" w:line="262" w:lineRule="auto"/>
        <w:tabs>
          <w:tab w:leader="none" w:pos="18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dividends, or make any other distributions, on any shares of stock ranking on a parity (either as to dividends or upon liquidation, dissolution or winding up) with the Series 4 Class C Preferred Stock, except dividends paid ratably on the Series 4 Class C Preferred Stock and all such parity stock on which dividends are payable or in arrears in proportion to the total amounts to which the holders of all such shares are then entitled;</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Page 3 of 6</w:t>
      </w:r>
    </w:p>
    <w:p>
      <w:pPr>
        <w:sectPr>
          <w:pgSz w:w="11900" w:h="16838" w:orient="portrait"/>
          <w:cols w:equalWidth="0" w:num="1">
            <w:col w:w="11360"/>
          </w:cols>
          <w:pgMar w:left="240" w:top="274" w:right="299" w:bottom="1440" w:gutter="0" w:footer="0" w:header="0"/>
        </w:sectPr>
      </w:pPr>
    </w:p>
    <w:bookmarkStart w:id="248" w:name="page249"/>
    <w:bookmarkEnd w:id="248"/>
    <w:p>
      <w:pPr>
        <w:ind w:firstLine="8"/>
        <w:spacing w:after="0" w:line="258" w:lineRule="auto"/>
        <w:tabs>
          <w:tab w:leader="none" w:pos="234"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redeem or purchase or otherwise acquire for consideration shares of any stock ranking junior (either as to dividends or upon liquidation, dissolution or winding up) to the Series 4 Class C Preferred Stock, provided that the Corporation may at any time redeem, purchase or otherwise acquire shares of any such junior stock in exchange for shares of any stock of the Corporation ranking junior (either as to dividends or upon dissolution, liquidation or winding up) to the Series 4 Class C Preferred Stock; or</w:t>
      </w:r>
    </w:p>
    <w:p>
      <w:pPr>
        <w:spacing w:after="0" w:line="136" w:lineRule="exact"/>
        <w:rPr>
          <w:rFonts w:ascii="Times New Roman" w:cs="Times New Roman" w:eastAsia="Times New Roman" w:hAnsi="Times New Roman"/>
          <w:sz w:val="18"/>
          <w:szCs w:val="18"/>
          <w:color w:val="auto"/>
        </w:rPr>
      </w:pPr>
    </w:p>
    <w:p>
      <w:pPr>
        <w:ind w:right="200" w:firstLine="8"/>
        <w:spacing w:after="0" w:line="301" w:lineRule="auto"/>
        <w:tabs>
          <w:tab w:leader="none" w:pos="213" w:val="left"/>
        </w:tabs>
        <w:numPr>
          <w:ilvl w:val="0"/>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redeem or purchase or otherwise acquire for consideration any shares of Series 4 Class C Preferred Stock, or any shares of stock ranking on a parity with the Series 4 Class C Preferred Stock, except in accordance with a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03" w:lineRule="exact"/>
        <w:rPr>
          <w:sz w:val="20"/>
          <w:szCs w:val="20"/>
          <w:color w:val="auto"/>
        </w:rPr>
      </w:pPr>
    </w:p>
    <w:p>
      <w:pPr>
        <w:ind w:right="120" w:firstLine="8"/>
        <w:spacing w:after="0" w:line="275" w:lineRule="auto"/>
        <w:tabs>
          <w:tab w:leader="none" w:pos="278"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not permit any subsidiary of the Corporation to purchase or otherwise acquire for consideration any shares of stock of the Corporation unless the Corporation could, under paragraph (A) of this Section 4, purchase or otherwise acquire such shares at such time and in such manner.</w:t>
      </w:r>
    </w:p>
    <w:p>
      <w:pPr>
        <w:spacing w:after="0" w:line="12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Section 5. Reacquired Shares. Any shares of Series 4 Class C Preferred Stock purchased or otherwise acquired by the Corporation in any manner whatsoever shall be retired and cancelled promptly after the acquisition thereof. All such shares shall upon their cancellation become authorized but unissued shares of Class C Preferred Stock and may be reissued as part of a new series of Class C Preferred Stock subject to the conditions and restrictions on issuance set forth herein, in the Restated Certificate of Incorporation of the Corporation, or in any other Certificate of Designations creating a series of Class C Preferred Stock or any other preferred stock or any similar stock or as otherwise required by law.</w:t>
      </w:r>
    </w:p>
    <w:p>
      <w:pPr>
        <w:spacing w:after="0" w:line="13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Section 6. Liquidation, Dissolution or Winding Up. Upon any liquidation, dissolution or winding up of the Corporation, no distribution shall be made (1) to the holders of shares of stock ranking junior (either as to dividends or upon liquidation, dissolution or winding up) to the Series 4 Class C Preferred Stock unless, prior thereto, the holders of shares of Series 4 Class C Preferred Stock shall have received $100 per share, plus an amount equal to accrued and unpaid dividends and distributions thereon, whether or not declared, to the date of such payment, provided that the holders of shares of Series 4 Class C Preferred Stock shall be entitled to receive an aggregate amount per share, subject to the provision for adjustment hereinafter set forth, equal to 100 times the aggregate amount to be distributed per share to holders of shares of Common Stock, or (2) to the holders of shares of stock ranking on a parity (either as to dividends or upon liquidation, dissolution or winding up) with the Series 4 Class C Preferred Stock, except distributions made ratably on the Series 4 Class C Preferred Stock and all such parity stock in proportion to the total amounts to which the holders of all such shares are entitled upon such liquidation, dissolution or winding up.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aggregate amount to which holders of shares of Series 4 Class C Preferred Stock were entitled immediately prior to such event under the proviso in clause (1)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 of 6</w:t>
      </w:r>
    </w:p>
    <w:p>
      <w:pPr>
        <w:sectPr>
          <w:pgSz w:w="11900" w:h="16838" w:orient="portrait"/>
          <w:cols w:equalWidth="0" w:num="1">
            <w:col w:w="11420"/>
          </w:cols>
          <w:pgMar w:left="240" w:top="274" w:right="239" w:bottom="1440" w:gutter="0" w:footer="0" w:header="0"/>
        </w:sectPr>
      </w:pPr>
    </w:p>
    <w:bookmarkStart w:id="249" w:name="page250"/>
    <w:bookmarkEnd w:id="24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7. Consolidation, Merger, etc. In case the Corporation shall enter into any consolidation, merger, combination or other transaction in which the shares of Common Stock are exchanged for or changed into other stock or securities, cash and/or any other property, then in any such case each share of Series 4 Class C Preferred Stock shall at the same time be similarly exchanged or changed into an amount per share, subject to the provision for adjustment hereinafter set forth, equal to 100 times the aggregate amount of stock, securities, cash and/or any other property (payable in kind), as the case may be, into which or for which each share of Common Stock is changed or exchanged.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set forth in the preceding sentence with respect to the exchange or change of shares of Series 4 Class C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8. No Redemption. The shares of Series 4 Class C Preferred Stock shall not be redeemable.</w:t>
      </w:r>
    </w:p>
    <w:p>
      <w:pPr>
        <w:spacing w:after="0" w:line="171"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Section 9. Ranking. The Series 4 Class C Preferred Stock shall rank junior to all other series of the Corporation’s Class C Preferred Stock and all other series of the Corporation’s other classes of preferred stock as to the payment of dividends and the distribution of assets upon any liquidation, dissolution or winding up of the Corporation unless the terms of any such series shall provide otherwise.</w:t>
      </w:r>
    </w:p>
    <w:p>
      <w:pPr>
        <w:spacing w:after="0" w:line="132"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Section 10. Amendment. So long as any shares of the Series 4 Class C Preferred Stock are outstanding, the Corporation shall not, without the affirmative vote of at least a majority in number of shares of the Series 4 Class C Preferred Stock then outstanding, amend, alter, or repeal any of the provisions of this Certificate of Designations or the Corporation’s Restated Certificate of Incorporation so as to affect adversely the preferences, special rights or powers of the shares of Series 4 Class C Preferred Stock.</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Page 5 of 6</w:t>
      </w:r>
    </w:p>
    <w:p>
      <w:pPr>
        <w:sectPr>
          <w:pgSz w:w="11900" w:h="16838" w:orient="portrait"/>
          <w:cols w:equalWidth="0" w:num="1">
            <w:col w:w="11380"/>
          </w:cols>
          <w:pgMar w:left="240" w:top="274" w:right="279" w:bottom="1440" w:gutter="0" w:footer="0" w:header="0"/>
        </w:sectPr>
      </w:pPr>
    </w:p>
    <w:bookmarkStart w:id="250" w:name="page251"/>
    <w:bookmarkEnd w:id="250"/>
    <w:p>
      <w:pPr>
        <w:ind w:left="540" w:hanging="52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this Certificate of Designation is executed on behalf of the Corporation by its President and attested by its Secretary this , 2009.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day of</w:t>
      </w:r>
    </w:p>
    <w:p>
      <w:pPr>
        <w:spacing w:after="0" w:line="490" w:lineRule="exact"/>
        <w:rPr>
          <w:sz w:val="20"/>
          <w:szCs w:val="20"/>
          <w:color w:val="auto"/>
        </w:rPr>
      </w:pPr>
    </w:p>
    <w:p>
      <w:pPr>
        <w:sectPr>
          <w:pgSz w:w="11900" w:h="16838" w:orient="portrait"/>
          <w:cols w:equalWidth="0" w:num="2">
            <w:col w:w="10400" w:space="560"/>
            <w:col w:w="440"/>
          </w:cols>
          <w:pgMar w:left="240" w:top="274" w:right="259" w:bottom="1440" w:gutter="0" w:footer="0" w:header="0"/>
        </w:sectPr>
      </w:pP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 President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Page 6 of 6</w:t>
      </w:r>
    </w:p>
    <w:p>
      <w:pPr>
        <w:sectPr>
          <w:pgSz w:w="11900" w:h="16838" w:orient="portrait"/>
          <w:cols w:equalWidth="0" w:num="1">
            <w:col w:w="11400"/>
          </w:cols>
          <w:pgMar w:left="240" w:top="274" w:right="259" w:bottom="1440" w:gutter="0" w:footer="0" w:header="0"/>
          <w:type w:val="continuous"/>
        </w:sectPr>
      </w:pPr>
    </w:p>
    <w:bookmarkStart w:id="251" w:name="page252"/>
    <w:bookmarkEnd w:id="251"/>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 OF ELIMINATION</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OF</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SERIES 3 PARTICIPATING CLASS C</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PREFERRED STOCK</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OF</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40"/>
        <w:spacing w:after="0" w:line="275" w:lineRule="auto"/>
        <w:rPr>
          <w:sz w:val="20"/>
          <w:szCs w:val="20"/>
          <w:color w:val="auto"/>
        </w:rPr>
      </w:pPr>
      <w:r>
        <w:rPr>
          <w:rFonts w:ascii="Times New Roman" w:cs="Times New Roman" w:eastAsia="Times New Roman" w:hAnsi="Times New Roman"/>
          <w:sz w:val="18"/>
          <w:szCs w:val="18"/>
          <w:color w:val="auto"/>
        </w:rPr>
        <w:t>LSB INDUSTRIES, INC., a corporation organized and existing under the General Corporation Law of the State of Delaware (hereinafter called the “Corporation”), hereby certifies the following:</w:t>
      </w:r>
    </w:p>
    <w:p>
      <w:pPr>
        <w:spacing w:after="0" w:line="120" w:lineRule="exact"/>
        <w:rPr>
          <w:sz w:val="20"/>
          <w:szCs w:val="20"/>
          <w:color w:val="auto"/>
        </w:rPr>
      </w:pPr>
    </w:p>
    <w:p>
      <w:pPr>
        <w:ind w:right="120" w:firstLine="8"/>
        <w:spacing w:after="0" w:line="275" w:lineRule="auto"/>
        <w:tabs>
          <w:tab w:leader="none" w:pos="176"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Certificate of Designations of the Series 3 Participating Class C Preferred Stock, no par value, of the Corporation (the “Series 3 Preferred”) was filed with the Delaware Secretary of State on February 5, 1999 (the “Certificate of Designations”).</w:t>
      </w:r>
    </w:p>
    <w:p>
      <w:pPr>
        <w:spacing w:after="0" w:line="119" w:lineRule="exact"/>
        <w:rPr>
          <w:rFonts w:ascii="Times New Roman" w:cs="Times New Roman" w:eastAsia="Times New Roman" w:hAnsi="Times New Roman"/>
          <w:sz w:val="18"/>
          <w:szCs w:val="18"/>
          <w:color w:val="auto"/>
        </w:rPr>
      </w:pPr>
    </w:p>
    <w:p>
      <w:pPr>
        <w:ind w:right="400" w:firstLine="8"/>
        <w:spacing w:after="0" w:line="275" w:lineRule="auto"/>
        <w:tabs>
          <w:tab w:leader="none" w:pos="176"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shares of the Series 3 Preferred are outstanding and no shares of Series 3 Preferred subject to the Certificate of Designations previously filed with respect to the Series 3 Preferred will be issued.</w:t>
      </w:r>
    </w:p>
    <w:p>
      <w:pPr>
        <w:spacing w:after="0" w:line="11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Series 3 Preferred reserved for issuance shall have the status of authorized and unissued shares of the Corporation’s Class C Preferred Stock.</w:t>
      </w:r>
    </w:p>
    <w:p>
      <w:pPr>
        <w:spacing w:after="0" w:line="17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effective November 13, 2008, the Board of Directors of the Corporation unanimously adopted the following resolutions:</w:t>
      </w:r>
    </w:p>
    <w:p>
      <w:pPr>
        <w:spacing w:after="0" w:line="171" w:lineRule="exact"/>
        <w:rPr>
          <w:sz w:val="20"/>
          <w:szCs w:val="20"/>
          <w:color w:val="auto"/>
        </w:rPr>
      </w:pPr>
    </w:p>
    <w:p>
      <w:pPr>
        <w:ind w:right="180"/>
        <w:spacing w:after="0" w:line="301" w:lineRule="auto"/>
        <w:rPr>
          <w:sz w:val="20"/>
          <w:szCs w:val="20"/>
          <w:color w:val="auto"/>
        </w:rPr>
      </w:pPr>
      <w:r>
        <w:rPr>
          <w:rFonts w:ascii="Times New Roman" w:cs="Times New Roman" w:eastAsia="Times New Roman" w:hAnsi="Times New Roman"/>
          <w:sz w:val="16"/>
          <w:szCs w:val="16"/>
          <w:color w:val="auto"/>
        </w:rPr>
        <w:t>RESOLVED FURTHER, that upon the Existing Rights Plan Expiration Date it does not appear that any shares of the series designated as Series 3 Participating Class C Preferred Stock will be issued and outstanding and, if, upon the Existing Rights Plan Expiration Date, no shares of Series 3 Participating Class C Preferred Stock are outstanding, the officers of the Corporation are hereby authorized and directed, for and on behalf of the Corporation, to execute, deliver and file with the Delaware Secretary of State a Certificate of Elimination to eliminate the Series designated as Series 3 Participating Class C Preferred Stock.</w:t>
      </w:r>
    </w:p>
    <w:p>
      <w:pPr>
        <w:spacing w:after="0" w:line="103" w:lineRule="exact"/>
        <w:rPr>
          <w:sz w:val="20"/>
          <w:szCs w:val="20"/>
          <w:color w:val="auto"/>
        </w:rPr>
      </w:pPr>
    </w:p>
    <w:p>
      <w:pPr>
        <w:ind w:firstLine="8"/>
        <w:spacing w:after="0" w:line="262" w:lineRule="auto"/>
        <w:tabs>
          <w:tab w:leader="none" w:pos="176"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pursuant to the provisions of § 151(g) of the Delaware General Corporation Law, upon the effective date of the filing of this Certificate, this Certificate will have the effect of eliminating from the Corporation’s Restated Certificate of Incorporation only those matters set forth in the Certificate of Designations, with respect to the Series 3 Preferred.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this Certificate of Elimination has been executed this 7th day of January 2009, by the Chief Financial Officer of the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Tony M. Shelby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Tony M. Shelby,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00"/>
          </w:cols>
          <w:pgMar w:left="240" w:top="274" w:right="259" w:bottom="1440" w:gutter="0" w:footer="0" w:header="0"/>
        </w:sectPr>
      </w:pPr>
    </w:p>
    <w:bookmarkStart w:id="252" w:name="page253"/>
    <w:bookmarkEnd w:id="252"/>
    <w:p>
      <w:pPr>
        <w:jc w:val="center"/>
        <w:ind w:right="-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CERTIFICATE OF DESIGNATIONS</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of</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SERIES 4 JUNIOR PARTICIPATING CLASS C PREFERRED STOCK</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of</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(Pursuant to Section 151 of the</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Delaware General Corporation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auto"/>
        </w:rPr>
        <w:t>LSB INDUSTRIES, INC., a corporation organized and existing under the General Corporation Law of the State of Delaware (hereinafter called the “Corporation”), hereby certifies that the following resolution was duly adopted by the Board of Directors of the Corporation as required by Section 151 of the General Corporation Law at a meeting duly called and held on November 13, 2008:</w:t>
      </w: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Creation of Series 4 Junior Participating Class C Preferred Stock</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RESOLVED, that pursuant to the authority granted to and vested in the Board of Directors of this Corporation (hereinafter called the “Board of Directors” or the “Board”) in accordance with the provisions of the Corporation’s Restated Certificate of Incorporation, the Board of Directors hereby creates a new series of Class C Preferred Stock, no par value, designated as Series 4 Junior Participating Class C Preferred Stock, no par value, of the Corporation and hereby states the designation and number of shares, and does hereby establish and fix the relative rights, preferences, designations and relative participating, optional and other special rights, and qualifications, limitations and restrictions thereof as follows: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4 Junior Participating Class C Preferred Stock</w:t>
      </w:r>
    </w:p>
    <w:p>
      <w:pPr>
        <w:spacing w:after="0" w:line="17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Section 1. Designation and Amount. The shares of such series shall be designated as “Series 4 Junior Participating Class C Preferred Stock” (“Series 4 Class C Preferred Stock”), the shares of such series shall be no par value, and the number of shares constituting the Series 4 Class C Preferred Stock shall be 350,000. Such number of shares of Series 4 Class C Preferred Stock may not be issued in fraction of a share (other than fractions which are integral multiples of one one-hundredth of a preferred share). The number of shares constituting Series 4 Class C Preferred Stock may be increased or decreased by resolution of the Board of Directors; provided, that no decrease shall reduce the number of shares of Series 4 Class C Preferred Stock to a number less than the number of shares then outstanding plus the number of shares reserved for issuance upon the exercise of outstanding options, rights or warrants or upon the conversion of any outstanding securities issued by the Corporation convertible into Series 4 Class C Preferred Stock.</w:t>
      </w:r>
    </w:p>
    <w:p>
      <w:pPr>
        <w:spacing w:after="0" w:line="1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Page 1 of 6</w:t>
      </w:r>
    </w:p>
    <w:p>
      <w:pPr>
        <w:sectPr>
          <w:pgSz w:w="11900" w:h="16838" w:orient="portrait"/>
          <w:cols w:equalWidth="0" w:num="1">
            <w:col w:w="11360"/>
          </w:cols>
          <w:pgMar w:left="240" w:top="274" w:right="29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 Dividends and Distributions.</w:t>
      </w:r>
    </w:p>
    <w:p>
      <w:pPr>
        <w:spacing w:after="0" w:line="90" w:lineRule="exact"/>
        <w:rPr>
          <w:sz w:val="20"/>
          <w:szCs w:val="20"/>
          <w:color w:val="auto"/>
        </w:rPr>
      </w:pPr>
    </w:p>
    <w:p>
      <w:pPr>
        <w:ind w:firstLine="8"/>
        <w:spacing w:after="0" w:line="285" w:lineRule="auto"/>
        <w:tabs>
          <w:tab w:leader="none" w:pos="288" w:val="left"/>
        </w:tabs>
        <w:numPr>
          <w:ilvl w:val="0"/>
          <w:numId w:val="2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prior and superior rights of the holders of any shares of any series of the Corporation’s preferred stock and/or Class C Preferred Stock ranking prior and superior to the shares of Series 4 Class C Preferred Stock with respect to dividends, if any, the holders of shares of Series 4 Class C Preferred Stock, in preference to the holders of Common Stock, par value $0.10 per share (the “Common Stock”), of the Corporation, and of any other junior stock, shall be entitled to receive, when, as and if declared by the Board of Directors out of funds legally available for the purpose, quarterly dividends payable in cash on the last business day of March, June, September and December in each year (each such date being referred to herein as a “Quarterly Dividend Payment Date”), commencing on the first Quarterly Dividend Payment Date after the first issuance of a share or fraction of a share of Series 4 Class C Preferred Stock, in an amount per share (rounded to the nearest cent) equal to the greater of (a) $1.00, or (b) subject to the provision for adjustment hereinafter set forth, 100 times the aggregate per share amount of all cash dividends, and 100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4 Class C Preferred Stock.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to which holders of shares of Series 4 Class C Preferred Stock were entitled immediately prior to such event under clause (b)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342" w:lineRule="exact"/>
        <w:rPr>
          <w:rFonts w:ascii="Times New Roman" w:cs="Times New Roman" w:eastAsia="Times New Roman" w:hAnsi="Times New Roman"/>
          <w:sz w:val="16"/>
          <w:szCs w:val="16"/>
          <w:color w:val="auto"/>
        </w:rPr>
      </w:pPr>
    </w:p>
    <w:p>
      <w:pPr>
        <w:ind w:right="20" w:firstLine="8"/>
        <w:spacing w:after="0" w:line="256" w:lineRule="auto"/>
        <w:tabs>
          <w:tab w:leader="none" w:pos="278"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declare a dividend or distribution on the Series 4 Class C Preferred Stock as provided in paragraph (A) of this Section immediately after it declares a dividend or distribution on the Common Stock (other than a dividend payable in shares of Common Stock); provided that, in the event no dividend or distribution shall have been declared on the Common Stock during the period between any Quarterly Dividend Payment Date and the next subsequent Quarterly Dividend Payment Date, a dividend of $1 per share on the Series 4 Class C Preferred Stock shall nevertheless be payable on such subsequent Quarterly Dividend Payment Date.</w:t>
      </w:r>
    </w:p>
    <w:p>
      <w:pPr>
        <w:spacing w:after="0" w:line="138" w:lineRule="exact"/>
        <w:rPr>
          <w:rFonts w:ascii="Times New Roman" w:cs="Times New Roman" w:eastAsia="Times New Roman" w:hAnsi="Times New Roman"/>
          <w:sz w:val="18"/>
          <w:szCs w:val="18"/>
          <w:color w:val="auto"/>
        </w:rPr>
      </w:pPr>
    </w:p>
    <w:p>
      <w:pPr>
        <w:ind w:right="20" w:firstLine="8"/>
        <w:spacing w:after="0" w:line="253" w:lineRule="auto"/>
        <w:tabs>
          <w:tab w:leader="none" w:pos="278"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shall begin to accrue and be cumulative on outstanding shares of Series 4 Class C Preferred Stock from the Quarterly Dividend Payment Date next preceding the date of issue of such shares of Series 4 Class C Preferred Stock, unless the date of issue of such shares is prior to the record date for the first Quarterly Dividend Payment Date, in which case dividends on such shares shall begin to accrue and be cumulative from the date of issue of such shares, or unless the date of issue is a Quarterly Dividend Payment Date or is a date after the record date for the determination of holders of shares of Series 4 Class C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4 Class C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4 Class C Preferred Stock entitled to receive payment of a dividend or distribution declared thereon, which record date shall be not more than 60 days prior to the date fixed for the payment thereof.</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2 of 6</w:t>
      </w:r>
    </w:p>
    <w:p>
      <w:pPr>
        <w:sectPr>
          <w:pgSz w:w="11900" w:h="16838" w:orient="portrait"/>
          <w:cols w:equalWidth="0" w:num="1">
            <w:col w:w="11420"/>
          </w:cols>
          <w:pgMar w:left="240" w:top="274" w:right="23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3. Voting Rights. The holders of shares of Series 4 Class C Preferred Stock shall have the following voting rights:</w:t>
      </w:r>
    </w:p>
    <w:p>
      <w:pPr>
        <w:spacing w:after="0" w:line="90" w:lineRule="exact"/>
        <w:rPr>
          <w:sz w:val="20"/>
          <w:szCs w:val="20"/>
          <w:color w:val="auto"/>
        </w:rPr>
      </w:pPr>
    </w:p>
    <w:p>
      <w:pPr>
        <w:ind w:right="520" w:firstLine="8"/>
        <w:spacing w:after="0" w:line="275" w:lineRule="auto"/>
        <w:tabs>
          <w:tab w:leader="none" w:pos="288"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Series 4 Class C Preferred Stock shall entitle the holder thereof to 100 votes on all matters submitted to a vote of the stockholders of the Corporation.</w:t>
      </w:r>
    </w:p>
    <w:p>
      <w:pPr>
        <w:spacing w:after="0" w:line="119" w:lineRule="exact"/>
        <w:rPr>
          <w:rFonts w:ascii="Times New Roman" w:cs="Times New Roman" w:eastAsia="Times New Roman" w:hAnsi="Times New Roman"/>
          <w:sz w:val="18"/>
          <w:szCs w:val="18"/>
          <w:color w:val="auto"/>
        </w:rPr>
      </w:pPr>
    </w:p>
    <w:p>
      <w:pPr>
        <w:ind w:firstLine="8"/>
        <w:spacing w:after="0" w:line="258" w:lineRule="auto"/>
        <w:tabs>
          <w:tab w:leader="none" w:pos="278"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in the Restated Certificate of Incorporation of the Corporation, in any other Certificate of Designation of the Corporation or by applicable law, the holders of shares of Series 4 Class C Preferred Stock, the holders of shares of Common Stock and the holders of any other class or series of capital stock of the Corporation having general voting rights shall vote together as one class on all matters submitted to a vote of stockholders of the Corporation.</w:t>
      </w:r>
    </w:p>
    <w:p>
      <w:pPr>
        <w:spacing w:after="0" w:line="136" w:lineRule="exact"/>
        <w:rPr>
          <w:rFonts w:ascii="Times New Roman" w:cs="Times New Roman" w:eastAsia="Times New Roman" w:hAnsi="Times New Roman"/>
          <w:sz w:val="18"/>
          <w:szCs w:val="18"/>
          <w:color w:val="auto"/>
        </w:rPr>
      </w:pPr>
    </w:p>
    <w:p>
      <w:pPr>
        <w:ind w:right="120" w:firstLine="8"/>
        <w:spacing w:after="0" w:line="262" w:lineRule="auto"/>
        <w:tabs>
          <w:tab w:leader="none" w:pos="278"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this Certificate of Designations or as otherwise required by applicable law, holders of Series 4 Class C Preferred Stock shall have no special voting rights and their consent shall not be required (except to the extent that they are entitled to vote with holders of Common Stock as set forth herein) for taking any corporate action.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 Certain Restrictions.</w:t>
      </w:r>
    </w:p>
    <w:p>
      <w:pPr>
        <w:spacing w:after="0" w:line="90" w:lineRule="exact"/>
        <w:rPr>
          <w:sz w:val="20"/>
          <w:szCs w:val="20"/>
          <w:color w:val="auto"/>
        </w:rPr>
      </w:pPr>
    </w:p>
    <w:p>
      <w:pPr>
        <w:ind w:firstLine="8"/>
        <w:spacing w:after="0" w:line="258" w:lineRule="auto"/>
        <w:tabs>
          <w:tab w:leader="none" w:pos="288"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quarterly dividends or other dividends or distributions payable on the Series 4 Class C Preferred Stock as provided in Section 2 hereof are in arrears, thereafter and until all accrued and unpaid dividends and distributions, whether or not declared, on shares of Series 4 Class C Preferred Stock outstanding shall have been paid in full, or declared and a sum sufficient for the payment therefor be set apart for payment and be in the process of payment, the Corporation shall not:</w:t>
      </w:r>
    </w:p>
    <w:p>
      <w:pPr>
        <w:spacing w:after="0" w:line="55"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18"/>
          <w:szCs w:val="18"/>
          <w:color w:val="auto"/>
        </w:rPr>
        <w:t>i. declare or pay dividends, or make any other distributions, on any shares of stock ranking junior (either as to dividends or upon liquidation, dissolution or winding up) to the Series 4 Class C Preferred Stock;</w:t>
      </w:r>
    </w:p>
    <w:p>
      <w:pPr>
        <w:spacing w:after="0" w:line="39" w:lineRule="exact"/>
        <w:rPr>
          <w:sz w:val="20"/>
          <w:szCs w:val="20"/>
          <w:color w:val="auto"/>
        </w:rPr>
      </w:pPr>
    </w:p>
    <w:p>
      <w:pPr>
        <w:jc w:val="both"/>
        <w:ind w:right="100" w:firstLine="8"/>
        <w:spacing w:after="0" w:line="262" w:lineRule="auto"/>
        <w:tabs>
          <w:tab w:leader="none" w:pos="185"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dividends, or make any other distributions, on any shares of stock ranking on a parity (either as to dividends or upon liquidation, dissolution or winding up) with the Series 4 Class C Preferred Stock, except dividends paid ratably on the Series 4 Class C Preferred Stock and all such parity stock on which dividends are payable or in arrears in proportion to the total amounts to which the holders of all such shares are then entitled;</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Page 3 of 6</w:t>
      </w:r>
    </w:p>
    <w:p>
      <w:pPr>
        <w:sectPr>
          <w:pgSz w:w="11900" w:h="16838" w:orient="portrait"/>
          <w:cols w:equalWidth="0" w:num="1">
            <w:col w:w="11360"/>
          </w:cols>
          <w:pgMar w:left="240" w:top="274" w:right="299" w:bottom="1440" w:gutter="0" w:footer="0" w:header="0"/>
        </w:sectPr>
      </w:pPr>
    </w:p>
    <w:bookmarkStart w:id="255" w:name="page256"/>
    <w:bookmarkEnd w:id="255"/>
    <w:p>
      <w:pPr>
        <w:ind w:firstLine="8"/>
        <w:spacing w:after="0" w:line="258" w:lineRule="auto"/>
        <w:tabs>
          <w:tab w:leader="none" w:pos="234"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redeem or purchase or otherwise acquire for consideration shares of any stock ranking junior (either as to dividends or upon liquidation, dissolution or winding up) to the Series 4 Class C Preferred Stock, provided that the Corporation may at any time redeem, purchase or otherwise acquire shares of any such junior stock in exchange for shares of any stock of the Corporation ranking junior (either as to dividends or upon dissolution, liquidation or winding up) to the Series 4 Class C Preferred Stock; or</w:t>
      </w:r>
    </w:p>
    <w:p>
      <w:pPr>
        <w:spacing w:after="0" w:line="55" w:lineRule="exact"/>
        <w:rPr>
          <w:rFonts w:ascii="Times New Roman" w:cs="Times New Roman" w:eastAsia="Times New Roman" w:hAnsi="Times New Roman"/>
          <w:sz w:val="18"/>
          <w:szCs w:val="18"/>
          <w:color w:val="auto"/>
        </w:rPr>
      </w:pPr>
    </w:p>
    <w:p>
      <w:pPr>
        <w:ind w:right="200" w:firstLine="8"/>
        <w:spacing w:after="0" w:line="301" w:lineRule="auto"/>
        <w:tabs>
          <w:tab w:leader="none" w:pos="213"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redeem or purchase or otherwise acquire for consideration any shares of Series 4 Class C Preferred Stock, or any shares of stock ranking on a parity with the Series 4 Class C Preferred Stock, except in accordance with a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03" w:lineRule="exact"/>
        <w:rPr>
          <w:sz w:val="20"/>
          <w:szCs w:val="20"/>
          <w:color w:val="auto"/>
        </w:rPr>
      </w:pPr>
    </w:p>
    <w:p>
      <w:pPr>
        <w:ind w:right="120" w:firstLine="8"/>
        <w:spacing w:after="0" w:line="275" w:lineRule="auto"/>
        <w:tabs>
          <w:tab w:leader="none" w:pos="278"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not permit any subsidiary of the Corporation to purchase or otherwise acquire for consideration any shares of stock of the Corporation unless the Corporation could, under paragraph (A) of this Section 4, purchase or otherwise acquire such shares at such time and in such manner.</w:t>
      </w:r>
    </w:p>
    <w:p>
      <w:pPr>
        <w:spacing w:after="0" w:line="12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Section 5. Reacquired Shares. Any shares of Series 4 Class C Preferred Stock purchased or otherwise acquired by the Corporation in any manner whatsoever shall be retired and cancelled promptly after the acquisition thereof. All such shares shall upon their cancellation become authorized but unissued shares of Class C Preferred Stock and may be reissued as part of a new series of Class C Preferred Stock subject to the conditions and restrictions on issuance set forth herein, in the Restated Certificate of Incorporation of the Corporation, or in any other Certificate of Designations creating a series of Class C Preferred Stock or any other preferred stock or any similar stock or as otherwise required by law.</w:t>
      </w:r>
    </w:p>
    <w:p>
      <w:pPr>
        <w:spacing w:after="0" w:line="13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Section 6. Liquidation, Dissolution or Winding Up. Upon any liquidation, dissolution or winding up of the Corporation, no distribution shall be made (1) to the holders of shares of stock ranking junior (either as to dividends or upon liquidation, dissolution or winding up) to the Series 4 Class C Preferred Stock unless, prior thereto, the holders of shares of Series 4 Class C Preferred Stock shall have received $100 per share, plus an amount equal to accrued and unpaid dividends and distributions thereon, whether or not declared, to the date of such payment, provided that the holders of shares of Series 4 Class C Preferred Stock shall be entitled to receive an aggregate amount per share, subject to the provision for adjustment hereinafter set forth, equal to 100 times the aggregate amount to be distributed per share to holders of shares of Common Stock, or (2) to the holders of shares of stock ranking on a parity (either as to dividends or upon liquidation, dissolution or winding up) with the Series 4 Class C Preferred Stock, except distributions made ratably on the Series 4 Class C Preferred Stock and all such parity stock in proportion to the total amounts to which the holders of all such shares are entitled upon such liquidation, dissolution or winding up.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aggregate amount to which holders of shares of Series 4 Class C Preferred Stock were entitled immediately prior to such event under the proviso in clause (1)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 of 6</w:t>
      </w:r>
    </w:p>
    <w:p>
      <w:pPr>
        <w:sectPr>
          <w:pgSz w:w="11900" w:h="16838" w:orient="portrait"/>
          <w:cols w:equalWidth="0" w:num="1">
            <w:col w:w="11420"/>
          </w:cols>
          <w:pgMar w:left="240" w:top="274" w:right="239" w:bottom="1440" w:gutter="0" w:footer="0" w:header="0"/>
        </w:sectPr>
      </w:pPr>
    </w:p>
    <w:bookmarkStart w:id="256" w:name="page257"/>
    <w:bookmarkEnd w:id="256"/>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7. Consolidation, Merger, etc. In case the Corporation shall enter into any consolidation, merger, combination or other transaction in which the shares of Common Stock are exchanged for or changed into other stock or securities, cash and/or any other property, then in any such case each share of Series 4 Class C Preferred Stock shall at the same time be similarly exchanged or changed into an amount per share, subject to the provision for adjustment hereinafter set forth, equal to 100 times the aggregate amount of stock, securities, cash and/or any other property (payable in kind), as the case may be, into which or for which each share of Common Stock is changed or exchanged.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set forth in the preceding sentence with respect to the exchange or change of shares of Series 4 Class C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8. No Redemption. The shares of Series 4 Class C Preferred Stock shall not be redeemable.</w:t>
      </w:r>
    </w:p>
    <w:p>
      <w:pPr>
        <w:spacing w:after="0" w:line="171"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Section 9. Ranking. The Series 4 Class C Preferred Stock shall rank junior to all other series of the Corporation’s Class C Preferred Stock and all other series of the Corporation’s other classes of preferred stock as to the payment of dividends and the distribution of assets upon any liquidation, dissolution or winding up of the Corporation unless the terms of any such series shall provide otherwise.</w:t>
      </w:r>
    </w:p>
    <w:p>
      <w:pPr>
        <w:spacing w:after="0" w:line="132"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Section 10. Amendment. So long as any shares of the Series 4 Class C Preferred Stock are outstanding, the Corporation shall not, without the affirmative vote of at least a majority in number of shares of the Series 4 Class C Preferred Stock then outstanding, amend, alter, or repeal any of the provisions of this Certificate of Designations or the Corporation’s Restated Certificate of Incorporation so as to affect adversely the preferences, special rights or powers of the shares of Series 4 Class C Preferred Stock.</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Page 5 of 6</w:t>
      </w:r>
    </w:p>
    <w:p>
      <w:pPr>
        <w:sectPr>
          <w:pgSz w:w="11900" w:h="16838" w:orient="portrait"/>
          <w:cols w:equalWidth="0" w:num="1">
            <w:col w:w="11380"/>
          </w:cols>
          <w:pgMar w:left="240" w:top="274" w:right="279" w:bottom="1440" w:gutter="0" w:footer="0" w:header="0"/>
        </w:sectPr>
      </w:pPr>
    </w:p>
    <w:bookmarkStart w:id="257" w:name="page258"/>
    <w:bookmarkEnd w:id="257"/>
    <w:p>
      <w:pPr>
        <w:ind w:left="540" w:hanging="52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this Certificate of Designation is executed on behalf of the Corporation by its President and attested by its Secretary this , 2009.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day of</w:t>
      </w:r>
    </w:p>
    <w:p>
      <w:pPr>
        <w:spacing w:after="0" w:line="410" w:lineRule="exact"/>
        <w:rPr>
          <w:sz w:val="20"/>
          <w:szCs w:val="20"/>
          <w:color w:val="auto"/>
        </w:rPr>
      </w:pPr>
    </w:p>
    <w:p>
      <w:pPr>
        <w:sectPr>
          <w:pgSz w:w="11900" w:h="16838" w:orient="portrait"/>
          <w:cols w:equalWidth="0" w:num="2">
            <w:col w:w="10400" w:space="560"/>
            <w:col w:w="440"/>
          </w:cols>
          <w:pgMar w:left="240" w:top="274" w:right="25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 President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Page 6 of 6</w:t>
      </w:r>
    </w:p>
    <w:p>
      <w:pPr>
        <w:sectPr>
          <w:pgSz w:w="11900" w:h="16838" w:orient="portrait"/>
          <w:cols w:equalWidth="0" w:num="1">
            <w:col w:w="11400"/>
          </w:cols>
          <w:pgMar w:left="240" w:top="274" w:right="259" w:bottom="1440" w:gutter="0" w:footer="0" w:header="0"/>
          <w:type w:val="continuous"/>
        </w:sectPr>
      </w:pPr>
    </w:p>
    <w:bookmarkStart w:id="258" w:name="page259"/>
    <w:bookmarkEnd w:id="258"/>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CERTIFICATE OF ELIMINATION</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OF</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SERIES 3 PARTICIPATING CLASS C</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PREFERRED STOCK</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OF</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40"/>
        <w:spacing w:after="0" w:line="275" w:lineRule="auto"/>
        <w:rPr>
          <w:sz w:val="20"/>
          <w:szCs w:val="20"/>
          <w:color w:val="auto"/>
        </w:rPr>
      </w:pPr>
      <w:r>
        <w:rPr>
          <w:rFonts w:ascii="Times New Roman" w:cs="Times New Roman" w:eastAsia="Times New Roman" w:hAnsi="Times New Roman"/>
          <w:sz w:val="18"/>
          <w:szCs w:val="18"/>
          <w:color w:val="auto"/>
        </w:rPr>
        <w:t>LSB INDUSTRIES, INC., a corporation organized and existing under the General Corporation Law of the State of Delaware (hereinafter called the “Corporation”), hereby certifies the following:</w:t>
      </w:r>
    </w:p>
    <w:p>
      <w:pPr>
        <w:spacing w:after="0" w:line="120" w:lineRule="exact"/>
        <w:rPr>
          <w:sz w:val="20"/>
          <w:szCs w:val="20"/>
          <w:color w:val="auto"/>
        </w:rPr>
      </w:pPr>
    </w:p>
    <w:p>
      <w:pPr>
        <w:ind w:right="120" w:firstLine="8"/>
        <w:spacing w:after="0" w:line="275" w:lineRule="auto"/>
        <w:tabs>
          <w:tab w:leader="none" w:pos="176"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Certificate of Designations of the Series 3 Participating Class C Preferred Stock, no par value, of the Corporation (the “Series 3 Preferred”) was filed with the Delaware Secretary of State on February 5, 1999 (the “Certificate of Designations”).</w:t>
      </w:r>
    </w:p>
    <w:p>
      <w:pPr>
        <w:spacing w:after="0" w:line="119" w:lineRule="exact"/>
        <w:rPr>
          <w:rFonts w:ascii="Times New Roman" w:cs="Times New Roman" w:eastAsia="Times New Roman" w:hAnsi="Times New Roman"/>
          <w:sz w:val="18"/>
          <w:szCs w:val="18"/>
          <w:color w:val="auto"/>
        </w:rPr>
      </w:pPr>
    </w:p>
    <w:p>
      <w:pPr>
        <w:ind w:right="400" w:firstLine="8"/>
        <w:spacing w:after="0" w:line="275" w:lineRule="auto"/>
        <w:tabs>
          <w:tab w:leader="none" w:pos="176"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shares of the Series 3 Preferred are outstanding and no shares of Series 3 Preferred subject to the Certificate of Designations previously filed with respect to the Series 3 Preferred will be issued.</w:t>
      </w:r>
    </w:p>
    <w:p>
      <w:pPr>
        <w:spacing w:after="0" w:line="11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Series 3 Preferred reserved for issuance shall have the status of authorized and unissued shares of the Corporation’s Class C Preferred Stock.</w:t>
      </w:r>
    </w:p>
    <w:p>
      <w:pPr>
        <w:spacing w:after="0" w:line="17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effective November 13, 2008, the Board of Directors of the Corporation unanimously adopted the following resolutions:</w:t>
      </w:r>
    </w:p>
    <w:p>
      <w:pPr>
        <w:spacing w:after="0" w:line="171" w:lineRule="exact"/>
        <w:rPr>
          <w:sz w:val="20"/>
          <w:szCs w:val="20"/>
          <w:color w:val="auto"/>
        </w:rPr>
      </w:pPr>
    </w:p>
    <w:p>
      <w:pPr>
        <w:ind w:right="180"/>
        <w:spacing w:after="0" w:line="301" w:lineRule="auto"/>
        <w:rPr>
          <w:sz w:val="20"/>
          <w:szCs w:val="20"/>
          <w:color w:val="auto"/>
        </w:rPr>
      </w:pPr>
      <w:r>
        <w:rPr>
          <w:rFonts w:ascii="Times New Roman" w:cs="Times New Roman" w:eastAsia="Times New Roman" w:hAnsi="Times New Roman"/>
          <w:sz w:val="16"/>
          <w:szCs w:val="16"/>
          <w:color w:val="auto"/>
        </w:rPr>
        <w:t>RESOLVED FURTHER, that upon the Existing Rights Plan Expiration Date it does not appear that any shares of the series designated as Series 3 Participating Class C Preferred Stock will be issued and outstanding and, if, upon the Existing Rights Plan Expiration Date, no shares of Series 3 Participating Class C Preferred Stock are outstanding, the officers of the Corporation are hereby authorized and directed, for and on behalf of the Corporation, to execute, deliver and file with the Delaware Secretary of State a Certificate of Elimination to eliminate the Series designated as Series 3 Participating Class C Preferred Stock.</w:t>
      </w:r>
    </w:p>
    <w:p>
      <w:pPr>
        <w:spacing w:after="0" w:line="103" w:lineRule="exact"/>
        <w:rPr>
          <w:sz w:val="20"/>
          <w:szCs w:val="20"/>
          <w:color w:val="auto"/>
        </w:rPr>
      </w:pPr>
    </w:p>
    <w:p>
      <w:pPr>
        <w:ind w:firstLine="8"/>
        <w:spacing w:after="0" w:line="262" w:lineRule="auto"/>
        <w:tabs>
          <w:tab w:leader="none" w:pos="176"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pursuant to the provisions of § 151(g) of the Delaware General Corporation Law, upon the effective date of the filing of this Certificate, this Certificate will have the effect of eliminating from the Corporation’s Restated Certificate of Incorporation only those matters set forth in the Certificate of Designations, with respect to the Series 3 Preferred.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this Certificate of Elimination has been executed this 7th day of January 2009, by the Chief Financial Officer of the Company.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Tony M. Shelby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Tony M. Shelby,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00"/>
          </w:cols>
          <w:pgMar w:left="240" w:top="274" w:right="259" w:bottom="1440" w:gutter="0" w:footer="0" w:header="0"/>
        </w:sectPr>
      </w:pPr>
    </w:p>
    <w:bookmarkStart w:id="259" w:name="page260"/>
    <w:bookmarkEnd w:id="25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 OF ELIMINATION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CONVERTIBLE, NONCUMULATIVE PREFERRED STOCK</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196215</wp:posOffset>
            </wp:positionV>
            <wp:extent cx="151765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LSB INDUSTRIES, INC., a corporation organized and existing under the General Corporation Law of the State of Delaware (the “Corporation”), hereby certifies the following:</w:t>
      </w:r>
    </w:p>
    <w:p>
      <w:pPr>
        <w:spacing w:after="0" w:line="39" w:lineRule="exact"/>
        <w:rPr>
          <w:sz w:val="20"/>
          <w:szCs w:val="20"/>
          <w:color w:val="auto"/>
        </w:rPr>
      </w:pPr>
    </w:p>
    <w:p>
      <w:pPr>
        <w:ind w:right="260" w:firstLine="464"/>
        <w:spacing w:after="0" w:line="258" w:lineRule="auto"/>
        <w:tabs>
          <w:tab w:leader="none" w:pos="632"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Certificate of Designations of the Convertible, Noncumulative Preferred Stock, par value $100 per share, of the Corporation (the “Noncumulative Preferred”) was filed with the Delaware Secretary of State on August 25, 1983 (the “Certificate of Designations”), and the terms of the Certificate of Designation were included in the Corporation’s Restated Certificate of Incorporation, filed with the Delaware Secretary of State on September 2, 1987 (as amended, the “Restated Certificate of Incorporation”).</w:t>
      </w:r>
    </w:p>
    <w:p>
      <w:pPr>
        <w:spacing w:after="0" w:line="55"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shares of Noncumulative Preferred are outstanding.</w:t>
      </w:r>
    </w:p>
    <w:p>
      <w:pPr>
        <w:spacing w:after="0" w:line="90" w:lineRule="exact"/>
        <w:rPr>
          <w:rFonts w:ascii="Times New Roman" w:cs="Times New Roman" w:eastAsia="Times New Roman" w:hAnsi="Times New Roman"/>
          <w:sz w:val="18"/>
          <w:szCs w:val="18"/>
          <w:color w:val="auto"/>
        </w:rPr>
      </w:pPr>
    </w:p>
    <w:p>
      <w:pPr>
        <w:jc w:val="both"/>
        <w:ind w:right="260" w:firstLine="464"/>
        <w:spacing w:after="0" w:line="262" w:lineRule="auto"/>
        <w:tabs>
          <w:tab w:leader="none" w:pos="632"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all shares of the Noncumulative Preferred have been converted, exchanged, redeemed or otherwise acquired by the Corporation, and such shares have the status of authorized and unissued shares of the Corporation’s preferred stock, par value $100 per share, without designation as to class or series, until such shares are once more designated as part of a particular series by the Board of Directors.</w:t>
      </w:r>
    </w:p>
    <w:p>
      <w:pPr>
        <w:spacing w:after="0" w:line="51"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on February 22, 2013, the Board of Directors of the Corporation unanimously adopted the following resolutions:</w:t>
      </w:r>
    </w:p>
    <w:p>
      <w:pPr>
        <w:spacing w:after="0" w:line="90" w:lineRule="exact"/>
        <w:rPr>
          <w:sz w:val="20"/>
          <w:szCs w:val="20"/>
          <w:color w:val="auto"/>
        </w:rPr>
      </w:pPr>
    </w:p>
    <w:p>
      <w:pPr>
        <w:ind w:left="460" w:right="20"/>
        <w:spacing w:after="0" w:line="275" w:lineRule="auto"/>
        <w:rPr>
          <w:sz w:val="20"/>
          <w:szCs w:val="20"/>
          <w:color w:val="auto"/>
        </w:rPr>
      </w:pPr>
      <w:r>
        <w:rPr>
          <w:rFonts w:ascii="Times New Roman" w:cs="Times New Roman" w:eastAsia="Times New Roman" w:hAnsi="Times New Roman"/>
          <w:sz w:val="18"/>
          <w:szCs w:val="18"/>
          <w:color w:val="auto"/>
        </w:rPr>
        <w:t>RESOLVED, that no authorized shares of the Noncumulative Preferred are outstanding, and no shares of the Noncumulative Preferred will be issued by the Corporation;</w:t>
      </w:r>
    </w:p>
    <w:p>
      <w:pPr>
        <w:spacing w:after="0" w:line="39" w:lineRule="exact"/>
        <w:rPr>
          <w:sz w:val="20"/>
          <w:szCs w:val="20"/>
          <w:color w:val="auto"/>
        </w:rPr>
      </w:pPr>
    </w:p>
    <w:p>
      <w:pPr>
        <w:ind w:left="460" w:right="160"/>
        <w:spacing w:after="0" w:line="275" w:lineRule="auto"/>
        <w:rPr>
          <w:sz w:val="20"/>
          <w:szCs w:val="20"/>
          <w:color w:val="auto"/>
        </w:rPr>
      </w:pPr>
      <w:r>
        <w:rPr>
          <w:rFonts w:ascii="Times New Roman" w:cs="Times New Roman" w:eastAsia="Times New Roman" w:hAnsi="Times New Roman"/>
          <w:sz w:val="18"/>
          <w:szCs w:val="18"/>
          <w:color w:val="auto"/>
        </w:rPr>
        <w:t>FURTHER RESOLVED, that the Noncumulative Preferred be eliminated as an authorized series within the class of the Corporation’s preferred stock, par value $100 per share; and</w:t>
      </w:r>
    </w:p>
    <w:p>
      <w:pPr>
        <w:spacing w:after="0" w:line="39" w:lineRule="exact"/>
        <w:rPr>
          <w:sz w:val="20"/>
          <w:szCs w:val="20"/>
          <w:color w:val="auto"/>
        </w:rPr>
      </w:pPr>
    </w:p>
    <w:p>
      <w:pPr>
        <w:ind w:left="460" w:right="300"/>
        <w:spacing w:after="0" w:line="262" w:lineRule="auto"/>
        <w:rPr>
          <w:sz w:val="20"/>
          <w:szCs w:val="20"/>
          <w:color w:val="auto"/>
        </w:rPr>
      </w:pPr>
      <w:r>
        <w:rPr>
          <w:rFonts w:ascii="Times New Roman" w:cs="Times New Roman" w:eastAsia="Times New Roman" w:hAnsi="Times New Roman"/>
          <w:sz w:val="18"/>
          <w:szCs w:val="18"/>
          <w:color w:val="auto"/>
        </w:rPr>
        <w:t>FURTHER RESOLVED, that the Chief Executive Officer, President, and each Senior Vice President is hereby authorized and directed to execute and deliver, for filing and on behalf of and in the name of the Corporation, a Certificate of Elimination with the Delaware Secretary of State to eliminate the Noncumulative Preferred.</w:t>
      </w:r>
    </w:p>
    <w:p>
      <w:pPr>
        <w:spacing w:after="0" w:line="132" w:lineRule="exact"/>
        <w:rPr>
          <w:sz w:val="20"/>
          <w:szCs w:val="20"/>
          <w:color w:val="auto"/>
        </w:rPr>
      </w:pPr>
    </w:p>
    <w:p>
      <w:pPr>
        <w:ind w:right="580" w:firstLine="464"/>
        <w:spacing w:after="0" w:line="262" w:lineRule="auto"/>
        <w:tabs>
          <w:tab w:leader="none" w:pos="632"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pursuant to the provisions of § 151(g) of the Delaware General Corporation Law, upon the effective date of the filing of this Certificate, this Certificate will have the effect of eliminating from the Restated Certificate of Incorporation only those matters set forth in the Restated Certificate of Incorporation with respect to the Noncumulative Preferred.</w:t>
      </w:r>
    </w:p>
    <w:p>
      <w:pPr>
        <w:spacing w:after="0" w:line="132" w:lineRule="exact"/>
        <w:rPr>
          <w:sz w:val="20"/>
          <w:szCs w:val="20"/>
          <w:color w:val="auto"/>
        </w:rPr>
      </w:pPr>
    </w:p>
    <w:p>
      <w:pPr>
        <w:ind w:right="620" w:firstLine="456"/>
        <w:spacing w:after="0" w:line="275" w:lineRule="auto"/>
        <w:rPr>
          <w:sz w:val="20"/>
          <w:szCs w:val="20"/>
          <w:color w:val="auto"/>
        </w:rPr>
      </w:pPr>
      <w:r>
        <w:rPr>
          <w:rFonts w:ascii="Times New Roman" w:cs="Times New Roman" w:eastAsia="Times New Roman" w:hAnsi="Times New Roman"/>
          <w:sz w:val="18"/>
          <w:szCs w:val="18"/>
          <w:color w:val="auto"/>
        </w:rPr>
        <w:t>IN WITNESS WHEREOF, this Certificate of Elimination has been executed this 22nd day of February 2013, by the Chief Executive Officer of the Corporation.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ATTEST:</w:t>
            </w:r>
          </w:p>
        </w:tc>
        <w:tc>
          <w:tcPr>
            <w:tcW w:w="61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LSB INDUSTRIES, INC.</w:t>
            </w:r>
          </w:p>
        </w:tc>
      </w:tr>
      <w:tr>
        <w:trPr>
          <w:trHeight w:val="432"/>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David Shear</w:t>
            </w:r>
          </w:p>
        </w:tc>
        <w:tc>
          <w:tcPr>
            <w:tcW w:w="61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By: /s/ Jack E. Golsen</w:t>
            </w:r>
          </w:p>
        </w:tc>
      </w:tr>
      <w:tr>
        <w:trPr>
          <w:trHeight w:val="224"/>
        </w:trPr>
        <w:tc>
          <w:tcPr>
            <w:tcW w:w="20" w:type="dxa"/>
            <w:vAlign w:val="bottom"/>
          </w:tcPr>
          <w:p>
            <w:pPr>
              <w:spacing w:after="0"/>
              <w:rPr>
                <w:sz w:val="19"/>
                <w:szCs w:val="19"/>
                <w:color w:val="auto"/>
              </w:rPr>
            </w:pPr>
          </w:p>
        </w:tc>
        <w:tc>
          <w:tcPr>
            <w:tcW w:w="5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David Shear, Secretary</w:t>
            </w:r>
          </w:p>
        </w:tc>
        <w:tc>
          <w:tcPr>
            <w:tcW w:w="940" w:type="dxa"/>
            <w:vAlign w:val="bottom"/>
          </w:tcPr>
          <w:p>
            <w:pPr>
              <w:spacing w:after="0"/>
              <w:rPr>
                <w:sz w:val="19"/>
                <w:szCs w:val="19"/>
                <w:color w:val="auto"/>
              </w:rPr>
            </w:pPr>
          </w:p>
        </w:tc>
        <w:tc>
          <w:tcPr>
            <w:tcW w:w="52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Jack E. Golsen, Chief Executive Officer</w:t>
            </w:r>
          </w:p>
        </w:tc>
      </w:tr>
      <w:tr>
        <w:trPr>
          <w:trHeight w:val="364"/>
        </w:trPr>
        <w:tc>
          <w:tcPr>
            <w:tcW w:w="20" w:type="dxa"/>
            <w:vAlign w:val="bottom"/>
          </w:tcPr>
          <w:p>
            <w:pPr>
              <w:spacing w:after="0"/>
              <w:rPr>
                <w:sz w:val="24"/>
                <w:szCs w:val="24"/>
                <w:color w:val="auto"/>
              </w:rPr>
            </w:pPr>
          </w:p>
        </w:tc>
        <w:tc>
          <w:tcPr>
            <w:tcW w:w="5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(SEAL)</w:t>
            </w:r>
          </w:p>
        </w:tc>
        <w:tc>
          <w:tcPr>
            <w:tcW w:w="940" w:type="dxa"/>
            <w:vAlign w:val="bottom"/>
          </w:tcPr>
          <w:p>
            <w:pPr>
              <w:spacing w:after="0"/>
              <w:rPr>
                <w:sz w:val="24"/>
                <w:szCs w:val="24"/>
                <w:color w:val="auto"/>
              </w:rPr>
            </w:pPr>
          </w:p>
        </w:tc>
        <w:tc>
          <w:tcPr>
            <w:tcW w:w="5240" w:type="dxa"/>
            <w:vAlign w:val="bottom"/>
          </w:tcPr>
          <w:p>
            <w:pPr>
              <w:spacing w:after="0"/>
              <w:rPr>
                <w:sz w:val="24"/>
                <w:szCs w:val="24"/>
                <w:color w:val="auto"/>
              </w:rPr>
            </w:pPr>
          </w:p>
        </w:tc>
      </w:tr>
    </w:tbl>
    <w:p>
      <w:pPr>
        <w:sectPr>
          <w:pgSz w:w="11900" w:h="16838" w:orient="portrait"/>
          <w:cols w:equalWidth="0" w:num="1">
            <w:col w:w="11420"/>
          </w:cols>
          <w:pgMar w:left="240" w:top="272" w:right="239" w:bottom="1440" w:gutter="0" w:footer="0" w:header="0"/>
        </w:sectPr>
      </w:pPr>
    </w:p>
    <w:bookmarkStart w:id="260" w:name="page261"/>
    <w:bookmarkEnd w:id="260"/>
    <w:p>
      <w:pPr>
        <w:ind w:left="10520"/>
        <w:spacing w:after="0"/>
        <w:rPr>
          <w:sz w:val="20"/>
          <w:szCs w:val="20"/>
          <w:color w:val="auto"/>
        </w:rPr>
      </w:pPr>
      <w:r>
        <w:rPr>
          <w:rFonts w:ascii="Times New Roman" w:cs="Times New Roman" w:eastAsia="Times New Roman" w:hAnsi="Times New Roman"/>
          <w:sz w:val="16"/>
          <w:szCs w:val="16"/>
          <w:b w:val="1"/>
          <w:bCs w:val="1"/>
          <w:color w:val="auto"/>
        </w:rPr>
        <w:t>Exhibit 12.1</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Computation of Ratios of Earnings to Fixed Charges and Combined Fixed Charges and Preferred Stock Dividends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color w:val="auto"/>
              </w:rPr>
              <w:t>2008</w:t>
            </w: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color w:val="auto"/>
              </w:rPr>
              <w:t>2009</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color w:val="auto"/>
              </w:rPr>
              <w:t>2010</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color w:val="auto"/>
              </w:rPr>
              <w:t>2011</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6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Income from continuing operations before provisions for income taxes and equity in earnings of</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affiliate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2"/>
              </w:rPr>
              <w:t>54,399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35,877</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2"/>
              </w:rPr>
              <w:t>48,499</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129,649</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91,699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Fixed charges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2"/>
              </w:rPr>
              <w:t>12,042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Share of distributed income of 50% owned affiliate</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735</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Earnings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2"/>
              </w:rPr>
              <w:t>67,176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44,663</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2"/>
              </w:rPr>
              <w:t>56,578</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137,846</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98,448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Fixed charges: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expense (1)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8,510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6,016</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5,900</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Estimate of interest in rental expense</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3,532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charges: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2"/>
              </w:rPr>
              <w:t>12,042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8,001</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7,254</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6,548</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Preferred stock dividends</w:t>
            </w:r>
          </w:p>
        </w:tc>
        <w:tc>
          <w:tcPr>
            <w:tcW w:w="100" w:type="dxa"/>
            <w:vAlign w:val="bottom"/>
          </w:tcPr>
          <w:p>
            <w:pPr>
              <w:spacing w:after="0"/>
              <w:rPr>
                <w:sz w:val="24"/>
                <w:szCs w:val="24"/>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463</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509</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Combined fixed charges and preferred stock dividends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2"/>
              </w:rPr>
              <w:t>12,505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8,520</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7,763</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7,021</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8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earnings to combined fixed charges and preferred stock dividends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right="620" w:hanging="452"/>
        <w:spacing w:after="0" w:line="275" w:lineRule="auto"/>
        <w:tabs>
          <w:tab w:leader="none" w:pos="46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includes amortization of deferred debt issuance costs and excludes realized and unrealized gains or losses on interest rate financial instruments that are reported as interest expense.</w:t>
      </w:r>
    </w:p>
    <w:p>
      <w:pPr>
        <w:sectPr>
          <w:pgSz w:w="11900" w:h="16838" w:orient="portrait"/>
          <w:cols w:equalWidth="0" w:num="1">
            <w:col w:w="11420"/>
          </w:cols>
          <w:pgMar w:left="240" w:top="123" w:right="239" w:bottom="1440" w:gutter="0" w:footer="0" w:header="0"/>
        </w:sectPr>
      </w:pPr>
    </w:p>
    <w:bookmarkStart w:id="261" w:name="page262"/>
    <w:bookmarkEnd w:id="26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SUBSIDIARY LISTING</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LSB INDUSTRIES, INC.</w:t>
      </w:r>
      <w:r>
        <w:rPr>
          <w:rFonts w:ascii="Times New Roman" w:cs="Times New Roman" w:eastAsia="Times New Roman" w:hAnsi="Times New Roman"/>
          <w:sz w:val="18"/>
          <w:szCs w:val="18"/>
          <w:color w:val="auto"/>
        </w:rPr>
        <w:t xml:space="preserve"> (Direct subsidiaries in bold italics)</w:t>
      </w:r>
    </w:p>
    <w:p>
      <w:pPr>
        <w:spacing w:after="0" w:line="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Consolidated Industries Corp.</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Summit Machine Tool Manufacturing L.L.C. (f/k/a Summit Machine Tool Manufacturing Corp.)</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LSB-Europa Limited</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ClimateCraft Technologies, Inc.</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Cherokee Nitrogen Holdings, Inc. (f/k/a Cherokee Nitrogen Company)</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Pryor Chemical Company (f/k/a Pryor Plant Chemical Company, f/k/a LSB Financial Corp.)</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Chemical Properties L.L.C.</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Chemical Transport L.L.C.</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Zena Energy L.L.C.</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ThermaClime, L.L.C. (f/k/a ThermaClime, Inc., f/k/a ClimaChem, Inc.)</w:t>
      </w:r>
    </w:p>
    <w:p>
      <w:pPr>
        <w:spacing w:after="0" w:line="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Climate Control Group, Inc. (f/k/a APR Corporation)</w:t>
      </w:r>
    </w:p>
    <w:p>
      <w:pPr>
        <w:spacing w:after="0" w:line="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XpediAir, Inc. (f/k/a The Environmental Group, Inc.)</w:t>
      </w:r>
    </w:p>
    <w:p>
      <w:pPr>
        <w:spacing w:after="0" w:line="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International Environmental Corporation</w:t>
      </w:r>
    </w:p>
    <w:p>
      <w:pPr>
        <w:spacing w:after="0" w:line="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Climate Master, Inc.</w:t>
      </w:r>
    </w:p>
    <w:p>
      <w:pPr>
        <w:spacing w:after="0" w:line="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ClimateCraft, Inc. (f/k/a Summit Machine Tool Systems, Inc.)</w:t>
      </w:r>
    </w:p>
    <w:p>
      <w:pPr>
        <w:spacing w:after="0" w:line="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ThermaClime Technologies, Inc. (f/k/a ACP International Limited, f/k/a ACP Manufacturing Corp.)</w:t>
      </w:r>
    </w:p>
    <w:p>
      <w:pPr>
        <w:spacing w:after="0" w:line="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CEPOLK Holdings, Inc. (f/k/a ThermalClime, Inc.; f/k/a LSB South America Corporation)</w:t>
      </w:r>
    </w:p>
    <w:p>
      <w:pPr>
        <w:spacing w:after="0" w:line="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ClimaCool Corp. (f/k/a MultiClima Holdings, Inc., f/k/a LSB International Corp.)</w:t>
      </w:r>
    </w:p>
    <w:p>
      <w:pPr>
        <w:spacing w:after="0" w:line="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TRISON Construction, Inc.</w:t>
      </w:r>
    </w:p>
    <w:p>
      <w:pPr>
        <w:spacing w:after="0" w:line="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Koax Corp.</w:t>
      </w:r>
    </w:p>
    <w:p>
      <w:pPr>
        <w:spacing w:after="0" w:line="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LSB Chemical Corp.</w:t>
      </w:r>
    </w:p>
    <w:p>
      <w:pPr>
        <w:spacing w:after="0" w:line="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Northwest Financial Corporation</w:t>
      </w:r>
    </w:p>
    <w:p>
      <w:pPr>
        <w:spacing w:after="0" w:line="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El Dorado Chemical Company</w:t>
      </w:r>
    </w:p>
    <w:p>
      <w:pPr>
        <w:spacing w:after="0" w:line="9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EDC Ag Products Company L.L.C.</w:t>
      </w:r>
    </w:p>
    <w:p>
      <w:pPr>
        <w:spacing w:after="0" w:line="9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Chemex I Corp. (f/k/a Slurry Explosive Corporation)</w:t>
      </w:r>
    </w:p>
    <w:p>
      <w:pPr>
        <w:spacing w:after="0" w:line="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Cherokee Nitrogen Company</w:t>
      </w:r>
    </w:p>
    <w:p>
      <w:pPr>
        <w:spacing w:after="0" w:line="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El Dorado Nitric Company (f/k/a El Dorado Nitrogen Company, f/k/a LSB Nitrogen Corporation, f/k/a LSB Import Corp.)</w:t>
      </w:r>
    </w:p>
    <w:p>
      <w:pPr>
        <w:spacing w:after="0" w:line="9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El Dorado Acid, L.L.C. (General Partner of El Dorado Nitrogen, L.P.)</w:t>
      </w:r>
    </w:p>
    <w:p>
      <w:pPr>
        <w:spacing w:after="0" w:line="9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El Dorado Nitrogen, L.P. (1% ownership)</w:t>
      </w:r>
    </w:p>
    <w:p>
      <w:pPr>
        <w:spacing w:after="0" w:line="9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El Dorado Acid II, L.L.C. (Limited Partner of El Dorado Nitrogen, L.P.)</w:t>
      </w:r>
    </w:p>
    <w:p>
      <w:pPr>
        <w:spacing w:after="0" w:line="9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El Dorado Nitrogen, L.P. (99% ownership)</w:t>
      </w:r>
    </w:p>
    <w:p>
      <w:pPr>
        <w:spacing w:after="0" w:line="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Prime Financial L.L.C. (f/k/a Prime Financial Corporation)</w:t>
      </w:r>
    </w:p>
    <w:p>
      <w:pPr>
        <w:spacing w:after="0" w:line="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Prime Holdings Corporation (f/k/a Tower IV Corporation, f/k/a LSB Leasing Corp.)</w:t>
      </w:r>
    </w:p>
    <w:p>
      <w:pPr>
        <w:sectPr>
          <w:pgSz w:w="11900" w:h="16838" w:orient="portrait"/>
          <w:cols w:equalWidth="0" w:num="1">
            <w:col w:w="11420"/>
          </w:cols>
          <w:pgMar w:left="240" w:top="123" w:right="23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color w:val="auto"/>
        </w:rPr>
        <w:t>Exhibit 23.1</w:t>
      </w:r>
    </w:p>
    <w:p>
      <w:pPr>
        <w:spacing w:after="0" w:line="171" w:lineRule="exact"/>
        <w:rPr>
          <w:sz w:val="20"/>
          <w:szCs w:val="20"/>
          <w:color w:val="auto"/>
        </w:rPr>
      </w:pPr>
    </w:p>
    <w:p>
      <w:pPr>
        <w:ind w:right="3600" w:firstLine="3600"/>
        <w:spacing w:after="0" w:line="391" w:lineRule="auto"/>
        <w:rPr>
          <w:sz w:val="20"/>
          <w:szCs w:val="20"/>
          <w:color w:val="auto"/>
        </w:rPr>
      </w:pPr>
      <w:r>
        <w:rPr>
          <w:rFonts w:ascii="Times New Roman" w:cs="Times New Roman" w:eastAsia="Times New Roman" w:hAnsi="Times New Roman"/>
          <w:sz w:val="18"/>
          <w:szCs w:val="18"/>
          <w:color w:val="auto"/>
        </w:rPr>
        <w:t>Consent of Independent Registered Public Accounting Firm We consent to the incorporation by reference in the following Registration Statements:</w:t>
      </w:r>
    </w:p>
    <w:p>
      <w:pPr>
        <w:spacing w:after="0" w:line="1" w:lineRule="exact"/>
        <w:rPr>
          <w:sz w:val="20"/>
          <w:szCs w:val="20"/>
          <w:color w:val="auto"/>
        </w:rPr>
      </w:pPr>
    </w:p>
    <w:p>
      <w:pPr>
        <w:ind w:left="900" w:right="360" w:hanging="446"/>
        <w:spacing w:after="0" w:line="275" w:lineRule="auto"/>
        <w:tabs>
          <w:tab w:leader="none" w:pos="90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333-98359) pertaining to the 1998 Stock Option and Incentive Plan and Outside Directors Stock Purchase Plan,</w:t>
      </w:r>
    </w:p>
    <w:p>
      <w:pPr>
        <w:spacing w:after="0" w:line="38" w:lineRule="exact"/>
        <w:rPr>
          <w:rFonts w:ascii="Times New Roman" w:cs="Times New Roman" w:eastAsia="Times New Roman" w:hAnsi="Times New Roman"/>
          <w:sz w:val="18"/>
          <w:szCs w:val="18"/>
          <w:color w:val="auto"/>
        </w:rPr>
      </w:pPr>
    </w:p>
    <w:p>
      <w:pPr>
        <w:ind w:left="900" w:right="340" w:hanging="446"/>
        <w:spacing w:after="0" w:line="275" w:lineRule="auto"/>
        <w:tabs>
          <w:tab w:leader="none" w:pos="90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333-145957) pertaining to the registration of an aggregate of 450,000 shares of common stock pursuant to certain Non-Qualified Stock Option Agreements for two employees,</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333-153103) pertaining to the 2008 Incentive Stock Plan,</w:t>
      </w:r>
    </w:p>
    <w:p>
      <w:pPr>
        <w:spacing w:after="0" w:line="90" w:lineRule="exact"/>
        <w:rPr>
          <w:rFonts w:ascii="Times New Roman" w:cs="Times New Roman" w:eastAsia="Times New Roman" w:hAnsi="Times New Roman"/>
          <w:sz w:val="18"/>
          <w:szCs w:val="18"/>
          <w:color w:val="auto"/>
        </w:rPr>
      </w:pPr>
    </w:p>
    <w:p>
      <w:pPr>
        <w:ind w:left="900" w:right="80" w:hanging="446"/>
        <w:spacing w:after="0" w:line="275" w:lineRule="auto"/>
        <w:tabs>
          <w:tab w:leader="none" w:pos="90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33-69800) pertaining to the registration of an aggregate of 645,000 shares of common stock issued or issuable under certain warrants and non-qualified stock options, and</w:t>
      </w:r>
    </w:p>
    <w:p>
      <w:pPr>
        <w:spacing w:after="0" w:line="38" w:lineRule="exact"/>
        <w:rPr>
          <w:rFonts w:ascii="Times New Roman" w:cs="Times New Roman" w:eastAsia="Times New Roman" w:hAnsi="Times New Roman"/>
          <w:sz w:val="18"/>
          <w:szCs w:val="18"/>
          <w:color w:val="auto"/>
        </w:rPr>
      </w:pPr>
    </w:p>
    <w:p>
      <w:pPr>
        <w:ind w:left="900" w:right="380" w:hanging="446"/>
        <w:spacing w:after="0" w:line="275" w:lineRule="auto"/>
        <w:tabs>
          <w:tab w:leader="none" w:pos="90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333-184995) of LSB Industries, Inc. and in the related Prospectuses for the registration of common stock, preferred stock, debt securities, warrants, units or any combination of the foregoing</w:t>
      </w:r>
    </w:p>
    <w:p>
      <w:pPr>
        <w:spacing w:after="0" w:line="120" w:lineRule="exact"/>
        <w:rPr>
          <w:sz w:val="20"/>
          <w:szCs w:val="20"/>
          <w:color w:val="auto"/>
        </w:rPr>
      </w:pPr>
    </w:p>
    <w:p>
      <w:pPr>
        <w:ind w:right="560"/>
        <w:spacing w:after="0" w:line="262" w:lineRule="auto"/>
        <w:rPr>
          <w:sz w:val="20"/>
          <w:szCs w:val="20"/>
          <w:color w:val="auto"/>
        </w:rPr>
      </w:pPr>
      <w:r>
        <w:rPr>
          <w:rFonts w:ascii="Times New Roman" w:cs="Times New Roman" w:eastAsia="Times New Roman" w:hAnsi="Times New Roman"/>
          <w:sz w:val="18"/>
          <w:szCs w:val="18"/>
          <w:color w:val="auto"/>
        </w:rPr>
        <w:t>of our reports dated February 28, 2013, with respect to the consolidated financial statements and schedules of LSB Industries, Inc. and the effectiveness of internal control over financial reporting of LSB Industries, Inc., included in this Annual Report (Form 10-K) of LSB Industries, Inc. for the year ended December 31, 2012.</w:t>
      </w: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Oklahoma City, Oklahoma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2013</w:t>
      </w:r>
    </w:p>
    <w:p>
      <w:pPr>
        <w:sectPr>
          <w:pgSz w:w="11900" w:h="16838" w:orient="portrait"/>
          <w:cols w:equalWidth="0" w:num="1">
            <w:col w:w="11420"/>
          </w:cols>
          <w:pgMar w:left="240" w:top="125" w:right="2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color w:val="auto"/>
        </w:rPr>
        <w:t>Exhibit 31.1</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Jack E. Golsen, certify that:</w:t>
      </w:r>
    </w:p>
    <w:p>
      <w:pPr>
        <w:spacing w:after="0" w:line="90" w:lineRule="exact"/>
        <w:rPr>
          <w:sz w:val="20"/>
          <w:szCs w:val="20"/>
          <w:color w:val="auto"/>
        </w:rPr>
      </w:pPr>
    </w:p>
    <w:p>
      <w:pPr>
        <w:ind w:left="460" w:hanging="452"/>
        <w:spacing w:after="0"/>
        <w:tabs>
          <w:tab w:leader="none" w:pos="46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LSB Industries, Inc. (the “registrant”);</w:t>
      </w:r>
    </w:p>
    <w:p>
      <w:pPr>
        <w:spacing w:after="0" w:line="90" w:lineRule="exact"/>
        <w:rPr>
          <w:rFonts w:ascii="Times New Roman" w:cs="Times New Roman" w:eastAsia="Times New Roman" w:hAnsi="Times New Roman"/>
          <w:sz w:val="18"/>
          <w:szCs w:val="18"/>
          <w:color w:val="auto"/>
        </w:rPr>
      </w:pPr>
    </w:p>
    <w:p>
      <w:pPr>
        <w:ind w:left="460" w:right="240" w:hanging="452"/>
        <w:spacing w:after="0" w:line="334" w:lineRule="auto"/>
        <w:tabs>
          <w:tab w:leader="none" w:pos="460" w:val="left"/>
        </w:tabs>
        <w:numPr>
          <w:ilvl w:val="0"/>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60" w:right="40" w:hanging="452"/>
        <w:spacing w:after="0" w:line="275" w:lineRule="auto"/>
        <w:tabs>
          <w:tab w:leader="none" w:pos="46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Times New Roman" w:cs="Times New Roman" w:eastAsia="Times New Roman" w:hAnsi="Times New Roman"/>
          <w:sz w:val="18"/>
          <w:szCs w:val="18"/>
          <w:color w:val="auto"/>
        </w:rPr>
      </w:pPr>
    </w:p>
    <w:p>
      <w:pPr>
        <w:ind w:left="460" w:hanging="452"/>
        <w:spacing w:after="0" w:line="262" w:lineRule="auto"/>
        <w:tabs>
          <w:tab w:leader="none" w:pos="46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Times New Roman" w:cs="Times New Roman" w:eastAsia="Times New Roman" w:hAnsi="Times New Roman"/>
          <w:sz w:val="18"/>
          <w:szCs w:val="18"/>
          <w:color w:val="auto"/>
        </w:rPr>
      </w:pPr>
    </w:p>
    <w:p>
      <w:pPr>
        <w:ind w:left="1480" w:right="140" w:hanging="567"/>
        <w:spacing w:after="0" w:line="262" w:lineRule="auto"/>
        <w:tabs>
          <w:tab w:leader="none" w:pos="148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1480" w:right="260" w:hanging="567"/>
        <w:spacing w:after="0" w:line="262" w:lineRule="auto"/>
        <w:tabs>
          <w:tab w:leader="none" w:pos="148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Times New Roman" w:cs="Times New Roman" w:eastAsia="Times New Roman" w:hAnsi="Times New Roman"/>
          <w:sz w:val="18"/>
          <w:szCs w:val="18"/>
          <w:color w:val="auto"/>
        </w:rPr>
      </w:pPr>
    </w:p>
    <w:p>
      <w:pPr>
        <w:jc w:val="both"/>
        <w:ind w:left="1480" w:right="420" w:hanging="567"/>
        <w:spacing w:after="0" w:line="334" w:lineRule="auto"/>
        <w:tabs>
          <w:tab w:leader="none" w:pos="1480" w:val="left"/>
        </w:tabs>
        <w:numPr>
          <w:ilvl w:val="1"/>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6"/>
          <w:szCs w:val="16"/>
          <w:color w:val="auto"/>
        </w:rPr>
      </w:pPr>
    </w:p>
    <w:p>
      <w:pPr>
        <w:ind w:left="1480" w:right="100" w:hanging="567"/>
        <w:spacing w:after="0" w:line="262" w:lineRule="auto"/>
        <w:tabs>
          <w:tab w:leader="none" w:pos="148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51" w:lineRule="exact"/>
        <w:rPr>
          <w:rFonts w:ascii="Times New Roman" w:cs="Times New Roman" w:eastAsia="Times New Roman" w:hAnsi="Times New Roman"/>
          <w:sz w:val="18"/>
          <w:szCs w:val="18"/>
          <w:color w:val="auto"/>
        </w:rPr>
      </w:pPr>
    </w:p>
    <w:p>
      <w:pPr>
        <w:ind w:left="460" w:right="440" w:hanging="452"/>
        <w:spacing w:after="0" w:line="275" w:lineRule="auto"/>
        <w:tabs>
          <w:tab w:leader="none" w:pos="46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Times New Roman" w:cs="Times New Roman" w:eastAsia="Times New Roman" w:hAnsi="Times New Roman"/>
          <w:sz w:val="18"/>
          <w:szCs w:val="18"/>
          <w:color w:val="auto"/>
        </w:rPr>
      </w:pPr>
    </w:p>
    <w:p>
      <w:pPr>
        <w:ind w:left="1480" w:right="660" w:hanging="567"/>
        <w:spacing w:after="0" w:line="334" w:lineRule="auto"/>
        <w:tabs>
          <w:tab w:leader="none" w:pos="1480" w:val="left"/>
        </w:tabs>
        <w:numPr>
          <w:ilvl w:val="1"/>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6"/>
          <w:szCs w:val="16"/>
          <w:color w:val="auto"/>
        </w:rPr>
      </w:pPr>
    </w:p>
    <w:p>
      <w:pPr>
        <w:ind w:left="1480" w:right="360" w:hanging="567"/>
        <w:spacing w:after="0" w:line="275" w:lineRule="auto"/>
        <w:tabs>
          <w:tab w:leader="none" w:pos="148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2013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Jack E. Golsen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69037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69037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Jack E. Golsen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00"/>
          </w:cols>
          <w:pgMar w:left="240" w:top="125" w:right="25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color w:val="auto"/>
        </w:rPr>
        <w:t>Exhibit 31.2</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Tony M. Shelby, certify that:</w:t>
      </w:r>
    </w:p>
    <w:p>
      <w:pPr>
        <w:spacing w:after="0" w:line="90" w:lineRule="exact"/>
        <w:rPr>
          <w:sz w:val="20"/>
          <w:szCs w:val="20"/>
          <w:color w:val="auto"/>
        </w:rPr>
      </w:pPr>
    </w:p>
    <w:p>
      <w:pPr>
        <w:ind w:left="460" w:hanging="452"/>
        <w:spacing w:after="0"/>
        <w:tabs>
          <w:tab w:leader="none" w:pos="46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LSB Industries, Inc. (the “registrant”);</w:t>
      </w:r>
    </w:p>
    <w:p>
      <w:pPr>
        <w:spacing w:after="0" w:line="90" w:lineRule="exact"/>
        <w:rPr>
          <w:rFonts w:ascii="Times New Roman" w:cs="Times New Roman" w:eastAsia="Times New Roman" w:hAnsi="Times New Roman"/>
          <w:sz w:val="18"/>
          <w:szCs w:val="18"/>
          <w:color w:val="auto"/>
        </w:rPr>
      </w:pPr>
    </w:p>
    <w:p>
      <w:pPr>
        <w:ind w:left="460" w:right="240" w:hanging="452"/>
        <w:spacing w:after="0" w:line="334" w:lineRule="auto"/>
        <w:tabs>
          <w:tab w:leader="none" w:pos="460" w:val="left"/>
        </w:tabs>
        <w:numPr>
          <w:ilvl w:val="0"/>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60" w:right="40" w:hanging="452"/>
        <w:spacing w:after="0" w:line="275" w:lineRule="auto"/>
        <w:tabs>
          <w:tab w:leader="none" w:pos="46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Times New Roman" w:cs="Times New Roman" w:eastAsia="Times New Roman" w:hAnsi="Times New Roman"/>
          <w:sz w:val="18"/>
          <w:szCs w:val="18"/>
          <w:color w:val="auto"/>
        </w:rPr>
      </w:pPr>
    </w:p>
    <w:p>
      <w:pPr>
        <w:ind w:left="460" w:hanging="452"/>
        <w:spacing w:after="0" w:line="262" w:lineRule="auto"/>
        <w:tabs>
          <w:tab w:leader="none" w:pos="46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Times New Roman" w:cs="Times New Roman" w:eastAsia="Times New Roman" w:hAnsi="Times New Roman"/>
          <w:sz w:val="18"/>
          <w:szCs w:val="18"/>
          <w:color w:val="auto"/>
        </w:rPr>
      </w:pPr>
    </w:p>
    <w:p>
      <w:pPr>
        <w:ind w:left="1480" w:right="140" w:hanging="567"/>
        <w:spacing w:after="0" w:line="262" w:lineRule="auto"/>
        <w:tabs>
          <w:tab w:leader="none" w:pos="148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1480" w:right="260" w:hanging="567"/>
        <w:spacing w:after="0" w:line="262" w:lineRule="auto"/>
        <w:tabs>
          <w:tab w:leader="none" w:pos="148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Times New Roman" w:cs="Times New Roman" w:eastAsia="Times New Roman" w:hAnsi="Times New Roman"/>
          <w:sz w:val="18"/>
          <w:szCs w:val="18"/>
          <w:color w:val="auto"/>
        </w:rPr>
      </w:pPr>
    </w:p>
    <w:p>
      <w:pPr>
        <w:jc w:val="both"/>
        <w:ind w:left="1480" w:right="420" w:hanging="567"/>
        <w:spacing w:after="0" w:line="334" w:lineRule="auto"/>
        <w:tabs>
          <w:tab w:leader="none" w:pos="1480" w:val="left"/>
        </w:tabs>
        <w:numPr>
          <w:ilvl w:val="1"/>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6"/>
          <w:szCs w:val="16"/>
          <w:color w:val="auto"/>
        </w:rPr>
      </w:pPr>
    </w:p>
    <w:p>
      <w:pPr>
        <w:ind w:left="1480" w:right="100" w:hanging="567"/>
        <w:spacing w:after="0" w:line="262" w:lineRule="auto"/>
        <w:tabs>
          <w:tab w:leader="none" w:pos="148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51" w:lineRule="exact"/>
        <w:rPr>
          <w:rFonts w:ascii="Times New Roman" w:cs="Times New Roman" w:eastAsia="Times New Roman" w:hAnsi="Times New Roman"/>
          <w:sz w:val="18"/>
          <w:szCs w:val="18"/>
          <w:color w:val="auto"/>
        </w:rPr>
      </w:pPr>
    </w:p>
    <w:p>
      <w:pPr>
        <w:ind w:left="460" w:right="440" w:hanging="452"/>
        <w:spacing w:after="0" w:line="275" w:lineRule="auto"/>
        <w:tabs>
          <w:tab w:leader="none" w:pos="46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Times New Roman" w:cs="Times New Roman" w:eastAsia="Times New Roman" w:hAnsi="Times New Roman"/>
          <w:sz w:val="18"/>
          <w:szCs w:val="18"/>
          <w:color w:val="auto"/>
        </w:rPr>
      </w:pPr>
    </w:p>
    <w:p>
      <w:pPr>
        <w:ind w:left="1480" w:right="660" w:hanging="567"/>
        <w:spacing w:after="0" w:line="334" w:lineRule="auto"/>
        <w:tabs>
          <w:tab w:leader="none" w:pos="1480" w:val="left"/>
        </w:tabs>
        <w:numPr>
          <w:ilvl w:val="1"/>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6"/>
          <w:szCs w:val="16"/>
          <w:color w:val="auto"/>
        </w:rPr>
      </w:pPr>
    </w:p>
    <w:p>
      <w:pPr>
        <w:ind w:left="1480" w:right="360" w:hanging="567"/>
        <w:spacing w:after="0" w:line="275" w:lineRule="auto"/>
        <w:tabs>
          <w:tab w:leader="none" w:pos="148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2013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Tony M. Shelby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of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Chief Financial Officer</w:t>
      </w:r>
    </w:p>
    <w:p>
      <w:pPr>
        <w:sectPr>
          <w:pgSz w:w="11900" w:h="16838" w:orient="portrait"/>
          <w:cols w:equalWidth="0" w:num="1">
            <w:col w:w="11400"/>
          </w:cols>
          <w:pgMar w:left="240" w:top="125" w:right="25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color w:val="auto"/>
        </w:rPr>
        <w:t>Exhibit 32.1</w:t>
      </w:r>
    </w:p>
    <w:p>
      <w:pPr>
        <w:spacing w:after="0" w:line="17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5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In connection with the annual report of LSB Industries, Inc. (“LSB”) on Form 10-K for the year ended December 31, 2012 as filed with the Securities and Exchange Commission on the date hereof (the “Report”). I, Jack E. Golsen, Chairman of the Board and Chief Executive Officer of LSB, certify pursuant to 18 U.S.C. §1350, as adopted pursuant to §906 of the Sarbanes-Oxley Act of 2002, that:</w:t>
      </w:r>
    </w:p>
    <w:p>
      <w:pPr>
        <w:spacing w:after="0" w:line="51" w:lineRule="exact"/>
        <w:rPr>
          <w:sz w:val="20"/>
          <w:szCs w:val="20"/>
          <w:color w:val="auto"/>
        </w:rPr>
      </w:pPr>
    </w:p>
    <w:p>
      <w:pPr>
        <w:ind w:left="1480" w:hanging="567"/>
        <w:spacing w:after="0"/>
        <w:tabs>
          <w:tab w:leader="none" w:pos="14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LSB.</w:t>
      </w:r>
    </w:p>
    <w:p>
      <w:pPr>
        <w:spacing w:after="0" w:line="23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Jack E. Golsen</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Jack E. Golsen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Chairman of the Board and</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2013</w:t>
      </w:r>
    </w:p>
    <w:p>
      <w:pPr>
        <w:spacing w:after="0" w:line="171"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This certification is furnished to the Securities and Exchange Commission solely for purpose of 18 U.S.C. §1350 subject to the knowledge standard contained therein, and not for any other purpose.</w:t>
      </w:r>
    </w:p>
    <w:p>
      <w:pPr>
        <w:sectPr>
          <w:pgSz w:w="11900" w:h="16838" w:orient="portrait"/>
          <w:cols w:equalWidth="0" w:num="1">
            <w:col w:w="11160"/>
          </w:cols>
          <w:pgMar w:left="240" w:top="125" w:right="49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color w:val="auto"/>
        </w:rPr>
        <w:t>Exhibit 32.2</w:t>
      </w:r>
    </w:p>
    <w:p>
      <w:pPr>
        <w:spacing w:after="0" w:line="17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5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In connection with the annual report of LSB Industries, Inc. (“LSB”) on Form 10-K for the year ended December 31, 2012 as filed with the Securities and Exchange Commission on the date hereof (the “Report”), I, Tony M. Shelby, Executive Vice President of Finance and Chief Financial Officer of LSB, certify pursuant to 18 U.S.C. §1350, as adopted pursuant to §906 of the Sarbanes-Oxley Act of 2002, that:</w:t>
      </w:r>
    </w:p>
    <w:p>
      <w:pPr>
        <w:spacing w:after="0" w:line="51" w:lineRule="exact"/>
        <w:rPr>
          <w:sz w:val="20"/>
          <w:szCs w:val="20"/>
          <w:color w:val="auto"/>
        </w:rPr>
      </w:pPr>
    </w:p>
    <w:p>
      <w:pPr>
        <w:ind w:left="1480" w:hanging="567"/>
        <w:spacing w:after="0"/>
        <w:tabs>
          <w:tab w:leader="none" w:pos="14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 (a) or 15 (d) of the Securities Exchange Act of 1934; and</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LSB.</w:t>
      </w:r>
    </w:p>
    <w:p>
      <w:pPr>
        <w:spacing w:after="0" w:line="23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Tony M. Shelby</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Executive Vice President of Finance and</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2013</w:t>
      </w:r>
    </w:p>
    <w:p>
      <w:pPr>
        <w:spacing w:after="0" w:line="17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This certification is furnished to the Securities and Exchange Commission solely for purpose of 18 U.S.C. §1350 subject to the knowledge standard contained therein and not for any other purpose.</w:t>
      </w:r>
    </w:p>
    <w:sectPr>
      <w:pgSz w:w="11900" w:h="16838" w:orient="portrait"/>
      <w:cols w:equalWidth="0" w:num="1">
        <w:col w:w="11100"/>
      </w:cols>
      <w:pgMar w:left="240" w:top="12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3584BCB"/>
    <w:multiLevelType w:val="hybridMultilevel"/>
    <w:lvl w:ilvl="0">
      <w:lvlJc w:val="left"/>
      <w:lvlText w:val="☒"/>
      <w:numFmt w:val="bullet"/>
      <w:start w:val="1"/>
    </w:lvl>
  </w:abstractNum>
  <w:abstractNum w:abstractNumId="1">
    <w:nsid w:val="415E286C"/>
    <w:multiLevelType w:val="hybridMultilevel"/>
    <w:lvl w:ilvl="0">
      <w:lvlJc w:val="left"/>
      <w:lvlText w:val="☐"/>
      <w:numFmt w:val="bullet"/>
      <w:start w:val="1"/>
    </w:lvl>
  </w:abstractNum>
  <w:abstractNum w:abstractNumId="2">
    <w:nsid w:val="7C58FD05"/>
    <w:multiLevelType w:val="hybridMultilevel"/>
    <w:lvl w:ilvl="0">
      <w:lvlJc w:val="left"/>
      <w:lvlText w:val="%1."/>
      <w:numFmt w:val="upperLetter"/>
      <w:start w:val="11"/>
    </w:lvl>
  </w:abstractNum>
  <w:abstractNum w:abstractNumId="3">
    <w:nsid w:val="23D86AAC"/>
    <w:multiLevelType w:val="hybridMultilevel"/>
    <w:lvl w:ilvl="0">
      <w:lvlJc w:val="left"/>
      <w:lvlText w:val="•"/>
      <w:numFmt w:val="bullet"/>
      <w:start w:val="1"/>
    </w:lvl>
  </w:abstractNum>
  <w:abstractNum w:abstractNumId="4">
    <w:nsid w:val="45E6D486"/>
    <w:multiLevelType w:val="hybridMultilevel"/>
    <w:lvl w:ilvl="0">
      <w:lvlJc w:val="left"/>
      <w:lvlText w:val="•"/>
      <w:numFmt w:val="bullet"/>
      <w:start w:val="1"/>
    </w:lvl>
  </w:abstractNum>
  <w:abstractNum w:abstractNumId="5">
    <w:nsid w:val="5C10FE21"/>
    <w:multiLevelType w:val="hybridMultilevel"/>
    <w:lvl w:ilvl="0">
      <w:lvlJc w:val="left"/>
      <w:lvlText w:val="*"/>
      <w:numFmt w:val="bullet"/>
      <w:start w:val="1"/>
    </w:lvl>
  </w:abstractNum>
  <w:abstractNum w:abstractNumId="6">
    <w:nsid w:val="E7FFA2B"/>
    <w:multiLevelType w:val="hybridMultilevel"/>
    <w:lvl w:ilvl="0">
      <w:lvlJc w:val="left"/>
      <w:lvlText w:val="•"/>
      <w:numFmt w:val="bullet"/>
      <w:start w:val="1"/>
    </w:lvl>
  </w:abstractNum>
  <w:abstractNum w:abstractNumId="7">
    <w:nsid w:val="3C5991AA"/>
    <w:multiLevelType w:val="hybridMultilevel"/>
    <w:lvl w:ilvl="0">
      <w:lvlJc w:val="left"/>
      <w:lvlText w:val="•"/>
      <w:numFmt w:val="bullet"/>
      <w:start w:val="1"/>
    </w:lvl>
  </w:abstractNum>
  <w:abstractNum w:abstractNumId="8">
    <w:nsid w:val="4BD8591A"/>
    <w:multiLevelType w:val="hybridMultilevel"/>
    <w:lvl w:ilvl="0">
      <w:lvlJc w:val="left"/>
      <w:lvlText w:val="•"/>
      <w:numFmt w:val="bullet"/>
      <w:start w:val="1"/>
    </w:lvl>
  </w:abstractNum>
  <w:abstractNum w:abstractNumId="9">
    <w:nsid w:val="78DF6A55"/>
    <w:multiLevelType w:val="hybridMultilevel"/>
    <w:lvl w:ilvl="0">
      <w:lvlJc w:val="left"/>
      <w:lvlText w:val="(%1)"/>
      <w:numFmt w:val="decimal"/>
      <w:start w:val="1"/>
    </w:lvl>
  </w:abstractNum>
  <w:abstractNum w:abstractNumId="10">
    <w:nsid w:val="39B7AAA2"/>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11">
    <w:nsid w:val="2B0D8DBE"/>
    <w:multiLevelType w:val="hybridMultilevel"/>
    <w:lvl w:ilvl="0">
      <w:lvlJc w:val="left"/>
      <w:lvlText w:val="(%1)"/>
      <w:numFmt w:val="decimal"/>
      <w:start w:val="1"/>
    </w:lvl>
  </w:abstractNum>
  <w:abstractNum w:abstractNumId="12">
    <w:nsid w:val="6C80EC70"/>
    <w:multiLevelType w:val="hybridMultilevel"/>
    <w:lvl w:ilvl="0">
      <w:lvlJc w:val="left"/>
      <w:lvlText w:val="•"/>
      <w:numFmt w:val="bullet"/>
      <w:start w:val="1"/>
    </w:lvl>
  </w:abstractNum>
  <w:abstractNum w:abstractNumId="13">
    <w:nsid w:val="379E21B5"/>
    <w:multiLevelType w:val="hybridMultilevel"/>
    <w:lvl w:ilvl="0">
      <w:lvlJc w:val="left"/>
      <w:lvlText w:val="•"/>
      <w:numFmt w:val="bullet"/>
      <w:start w:val="1"/>
    </w:lvl>
  </w:abstractNum>
  <w:abstractNum w:abstractNumId="14">
    <w:nsid w:val="69E373"/>
    <w:multiLevelType w:val="hybridMultilevel"/>
    <w:lvl w:ilvl="0">
      <w:lvlJc w:val="left"/>
      <w:lvlText w:val="(%1)"/>
      <w:numFmt w:val="decimal"/>
      <w:start w:val="1"/>
    </w:lvl>
  </w:abstractNum>
  <w:abstractNum w:abstractNumId="15">
    <w:nsid w:val="2C27173B"/>
    <w:multiLevelType w:val="hybridMultilevel"/>
    <w:lvl w:ilvl="0">
      <w:lvlJc w:val="left"/>
      <w:lvlText w:val="(%1)"/>
      <w:numFmt w:val="decimal"/>
      <w:start w:val="1"/>
    </w:lvl>
  </w:abstractNum>
  <w:abstractNum w:abstractNumId="16">
    <w:nsid w:val="4C9B0904"/>
    <w:multiLevelType w:val="hybridMultilevel"/>
    <w:lvl w:ilvl="0">
      <w:lvlJc w:val="left"/>
      <w:lvlText w:val="•"/>
      <w:numFmt w:val="bullet"/>
      <w:start w:val="1"/>
    </w:lvl>
  </w:abstractNum>
  <w:abstractNum w:abstractNumId="17">
    <w:nsid w:val="6AA7B75C"/>
    <w:multiLevelType w:val="hybridMultilevel"/>
    <w:lvl w:ilvl="0">
      <w:lvlJc w:val="left"/>
      <w:lvlText w:val="•"/>
      <w:numFmt w:val="bullet"/>
      <w:start w:val="1"/>
    </w:lvl>
  </w:abstractNum>
  <w:abstractNum w:abstractNumId="18">
    <w:nsid w:val="1DF029D3"/>
    <w:multiLevelType w:val="hybridMultilevel"/>
    <w:lvl w:ilvl="0">
      <w:lvlJc w:val="left"/>
      <w:lvlText w:val="•"/>
      <w:numFmt w:val="bullet"/>
      <w:start w:val="1"/>
    </w:lvl>
  </w:abstractNum>
  <w:abstractNum w:abstractNumId="19">
    <w:nsid w:val="5675FF36"/>
    <w:multiLevelType w:val="hybridMultilevel"/>
    <w:lvl w:ilvl="0">
      <w:lvlJc w:val="left"/>
      <w:lvlText w:val="•"/>
      <w:numFmt w:val="bullet"/>
      <w:start w:val="1"/>
    </w:lvl>
  </w:abstractNum>
  <w:abstractNum w:abstractNumId="20">
    <w:nsid w:val="3DD15094"/>
    <w:multiLevelType w:val="hybridMultilevel"/>
    <w:lvl w:ilvl="0">
      <w:lvlJc w:val="left"/>
      <w:lvlText w:val="•"/>
      <w:numFmt w:val="bullet"/>
      <w:start w:val="1"/>
    </w:lvl>
  </w:abstractNum>
  <w:abstractNum w:abstractNumId="21">
    <w:nsid w:val="3DB012B3"/>
    <w:multiLevelType w:val="hybridMultilevel"/>
    <w:lvl w:ilvl="0">
      <w:lvlJc w:val="left"/>
      <w:lvlText w:val="•"/>
      <w:numFmt w:val="bullet"/>
      <w:start w:val="1"/>
    </w:lvl>
  </w:abstractNum>
  <w:abstractNum w:abstractNumId="22">
    <w:nsid w:val="2708C9AF"/>
    <w:multiLevelType w:val="hybridMultilevel"/>
    <w:lvl w:ilvl="0">
      <w:lvlJc w:val="left"/>
      <w:lvlText w:val="•"/>
      <w:numFmt w:val="bullet"/>
      <w:start w:val="1"/>
    </w:lvl>
  </w:abstractNum>
  <w:abstractNum w:abstractNumId="23">
    <w:nsid w:val="5B25ACE2"/>
    <w:multiLevelType w:val="hybridMultilevel"/>
    <w:lvl w:ilvl="0">
      <w:lvlJc w:val="left"/>
      <w:lvlText w:val="•"/>
      <w:numFmt w:val="bullet"/>
      <w:start w:val="1"/>
    </w:lvl>
  </w:abstractNum>
  <w:abstractNum w:abstractNumId="24">
    <w:nsid w:val="175DFCF0"/>
    <w:multiLevelType w:val="hybridMultilevel"/>
    <w:lvl w:ilvl="0">
      <w:lvlJc w:val="left"/>
      <w:lvlText w:val="(%1)"/>
      <w:numFmt w:val="decimal"/>
      <w:start w:val="1"/>
    </w:lvl>
  </w:abstractNum>
  <w:abstractNum w:abstractNumId="25">
    <w:nsid w:val="4F97E3E4"/>
    <w:multiLevelType w:val="hybridMultilevel"/>
    <w:lvl w:ilvl="0">
      <w:lvlJc w:val="left"/>
      <w:lvlText w:val="(%1)"/>
      <w:numFmt w:val="decimal"/>
      <w:start w:val="1"/>
    </w:lvl>
  </w:abstractNum>
  <w:abstractNum w:abstractNumId="26">
    <w:nsid w:val="53B0A9E"/>
    <w:multiLevelType w:val="hybridMultilevel"/>
    <w:lvl w:ilvl="0">
      <w:lvlJc w:val="left"/>
      <w:lvlText w:val="•"/>
      <w:numFmt w:val="bullet"/>
      <w:start w:val="1"/>
    </w:lvl>
  </w:abstractNum>
  <w:abstractNum w:abstractNumId="27">
    <w:nsid w:val="34FD6B4F"/>
    <w:multiLevelType w:val="hybridMultilevel"/>
    <w:lvl w:ilvl="0">
      <w:lvlJc w:val="left"/>
      <w:lvlText w:val="•"/>
      <w:numFmt w:val="bullet"/>
      <w:start w:val="1"/>
    </w:lvl>
  </w:abstractNum>
  <w:abstractNum w:abstractNumId="28">
    <w:nsid w:val="5915FF32"/>
    <w:multiLevelType w:val="hybridMultilevel"/>
    <w:lvl w:ilvl="0">
      <w:lvlJc w:val="left"/>
      <w:lvlText w:val="•"/>
      <w:numFmt w:val="bullet"/>
      <w:start w:val="1"/>
    </w:lvl>
  </w:abstractNum>
  <w:abstractNum w:abstractNumId="29">
    <w:nsid w:val="56438D15"/>
    <w:multiLevelType w:val="hybridMultilevel"/>
    <w:lvl w:ilvl="0">
      <w:lvlJc w:val="left"/>
      <w:lvlText w:val="•"/>
      <w:numFmt w:val="bullet"/>
      <w:start w:val="1"/>
    </w:lvl>
  </w:abstractNum>
  <w:abstractNum w:abstractNumId="30">
    <w:nsid w:val="519E3149"/>
    <w:multiLevelType w:val="hybridMultilevel"/>
    <w:lvl w:ilvl="0">
      <w:lvlJc w:val="left"/>
      <w:lvlText w:val="•"/>
      <w:numFmt w:val="bullet"/>
      <w:start w:val="1"/>
    </w:lvl>
  </w:abstractNum>
  <w:abstractNum w:abstractNumId="31">
    <w:nsid w:val="2C6E4AFD"/>
    <w:multiLevelType w:val="hybridMultilevel"/>
    <w:lvl w:ilvl="0">
      <w:lvlJc w:val="left"/>
      <w:lvlText w:val="•"/>
      <w:numFmt w:val="bullet"/>
      <w:start w:val="1"/>
    </w:lvl>
  </w:abstractNum>
  <w:abstractNum w:abstractNumId="32">
    <w:nsid w:val="17A1B582"/>
    <w:multiLevelType w:val="hybridMultilevel"/>
    <w:lvl w:ilvl="0">
      <w:lvlJc w:val="left"/>
      <w:lvlText w:val="•"/>
      <w:numFmt w:val="bullet"/>
      <w:start w:val="1"/>
    </w:lvl>
  </w:abstractNum>
  <w:abstractNum w:abstractNumId="33">
    <w:nsid w:val="4DF72E4E"/>
    <w:multiLevelType w:val="hybridMultilevel"/>
    <w:lvl w:ilvl="0">
      <w:lvlJc w:val="left"/>
      <w:lvlText w:val="•"/>
      <w:numFmt w:val="bullet"/>
      <w:start w:val="1"/>
    </w:lvl>
  </w:abstractNum>
  <w:abstractNum w:abstractNumId="34">
    <w:nsid w:val="5046B5A9"/>
    <w:multiLevelType w:val="hybridMultilevel"/>
    <w:lvl w:ilvl="0">
      <w:lvlJc w:val="left"/>
      <w:lvlText w:val="(%1)"/>
      <w:numFmt w:val="decimal"/>
      <w:start w:val="1"/>
    </w:lvl>
    <w:lvl w:ilvl="1">
      <w:lvlJc w:val="left"/>
      <w:lvlText w:val="•"/>
      <w:numFmt w:val="bullet"/>
      <w:start w:val="1"/>
    </w:lvl>
  </w:abstractNum>
  <w:abstractNum w:abstractNumId="35">
    <w:nsid w:val="5D888A08"/>
    <w:multiLevelType w:val="hybridMultilevel"/>
    <w:lvl w:ilvl="0">
      <w:lvlJc w:val="left"/>
      <w:lvlText w:val="•"/>
      <w:numFmt w:val="bullet"/>
      <w:start w:val="1"/>
    </w:lvl>
  </w:abstractNum>
  <w:abstractNum w:abstractNumId="36">
    <w:nsid w:val="2A082C70"/>
    <w:multiLevelType w:val="hybridMultilevel"/>
    <w:lvl w:ilvl="0">
      <w:lvlJc w:val="left"/>
      <w:lvlText w:val="(%1)"/>
      <w:numFmt w:val="upperLetter"/>
      <w:start w:val="1"/>
    </w:lvl>
  </w:abstractNum>
  <w:abstractNum w:abstractNumId="37">
    <w:nsid w:val="5EC6AFD4"/>
    <w:multiLevelType w:val="hybridMultilevel"/>
    <w:lvl w:ilvl="0">
      <w:lvlJc w:val="left"/>
      <w:lvlText w:val="•"/>
      <w:numFmt w:val="bullet"/>
      <w:start w:val="1"/>
    </w:lvl>
  </w:abstractNum>
  <w:abstractNum w:abstractNumId="38">
    <w:nsid w:val="19E21BB2"/>
    <w:multiLevelType w:val="hybridMultilevel"/>
    <w:lvl w:ilvl="0">
      <w:lvlJc w:val="left"/>
      <w:lvlText w:val="•"/>
      <w:numFmt w:val="bullet"/>
      <w:start w:val="1"/>
    </w:lvl>
  </w:abstractNum>
  <w:abstractNum w:abstractNumId="39">
    <w:nsid w:val="75E0858A"/>
    <w:multiLevelType w:val="hybridMultilevel"/>
    <w:lvl w:ilvl="0">
      <w:lvlJc w:val="left"/>
      <w:lvlText w:val="•"/>
      <w:numFmt w:val="bullet"/>
      <w:start w:val="1"/>
    </w:lvl>
  </w:abstractNum>
  <w:abstractNum w:abstractNumId="40">
    <w:nsid w:val="57A61A29"/>
    <w:multiLevelType w:val="hybridMultilevel"/>
    <w:lvl w:ilvl="0">
      <w:lvlJc w:val="left"/>
      <w:lvlText w:val="•"/>
      <w:numFmt w:val="bullet"/>
      <w:start w:val="1"/>
    </w:lvl>
    <w:lvl w:ilvl="1">
      <w:lvlJc w:val="left"/>
      <w:lvlText w:val="•"/>
      <w:numFmt w:val="bullet"/>
      <w:start w:val="1"/>
    </w:lvl>
  </w:abstractNum>
  <w:abstractNum w:abstractNumId="41">
    <w:nsid w:val="5399C654"/>
    <w:multiLevelType w:val="hybridMultilevel"/>
    <w:lvl w:ilvl="0">
      <w:lvlJc w:val="left"/>
      <w:lvlText w:val="•"/>
      <w:numFmt w:val="bullet"/>
      <w:start w:val="1"/>
    </w:lvl>
  </w:abstractNum>
  <w:abstractNum w:abstractNumId="42">
    <w:nsid w:val="20EE1348"/>
    <w:multiLevelType w:val="hybridMultilevel"/>
    <w:lvl w:ilvl="0">
      <w:lvlJc w:val="left"/>
      <w:lvlText w:val="•"/>
      <w:numFmt w:val="bullet"/>
      <w:start w:val="1"/>
    </w:lvl>
  </w:abstractNum>
  <w:abstractNum w:abstractNumId="43">
    <w:nsid w:val="4427069A"/>
    <w:multiLevelType w:val="hybridMultilevel"/>
    <w:lvl w:ilvl="0">
      <w:lvlJc w:val="left"/>
      <w:lvlText w:val="•"/>
      <w:numFmt w:val="bullet"/>
      <w:start w:val="1"/>
    </w:lvl>
    <w:lvl w:ilvl="1">
      <w:lvlJc w:val="left"/>
      <w:lvlText w:val="•"/>
      <w:numFmt w:val="bullet"/>
      <w:start w:val="1"/>
    </w:lvl>
  </w:abstractNum>
  <w:abstractNum w:abstractNumId="44">
    <w:nsid w:val="B37E80A"/>
    <w:multiLevelType w:val="hybridMultilevel"/>
    <w:lvl w:ilvl="0">
      <w:lvlJc w:val="left"/>
      <w:lvlText w:val="•"/>
      <w:numFmt w:val="bullet"/>
      <w:start w:val="1"/>
    </w:lvl>
  </w:abstractNum>
  <w:abstractNum w:abstractNumId="45">
    <w:nsid w:val="2157F6BC"/>
    <w:multiLevelType w:val="hybridMultilevel"/>
    <w:lvl w:ilvl="0">
      <w:lvlJc w:val="left"/>
      <w:lvlText w:val="*"/>
      <w:numFmt w:val="bullet"/>
      <w:start w:val="1"/>
    </w:lvl>
  </w:abstractNum>
  <w:abstractNum w:abstractNumId="46">
    <w:nsid w:val="704E1DD5"/>
    <w:multiLevelType w:val="hybridMultilevel"/>
    <w:lvl w:ilvl="0">
      <w:lvlJc w:val="left"/>
      <w:lvlText w:val="(%1)"/>
      <w:numFmt w:val="decimal"/>
      <w:start w:val="1"/>
    </w:lvl>
  </w:abstractNum>
  <w:abstractNum w:abstractNumId="47">
    <w:nsid w:val="57D2F10E"/>
    <w:multiLevelType w:val="hybridMultilevel"/>
    <w:lvl w:ilvl="0">
      <w:lvlJc w:val="left"/>
      <w:lvlText w:val="•"/>
      <w:numFmt w:val="bullet"/>
      <w:start w:val="1"/>
    </w:lvl>
  </w:abstractNum>
  <w:abstractNum w:abstractNumId="48">
    <w:nsid w:val="BFFAE18"/>
    <w:multiLevelType w:val="hybridMultilevel"/>
    <w:lvl w:ilvl="0">
      <w:lvlJc w:val="left"/>
      <w:lvlText w:val="(%1)"/>
      <w:numFmt w:val="decimal"/>
      <w:start w:val="1"/>
    </w:lvl>
    <w:lvl w:ilvl="1">
      <w:lvlJc w:val="left"/>
      <w:lvlText w:val="•"/>
      <w:numFmt w:val="bullet"/>
      <w:start w:val="1"/>
    </w:lvl>
  </w:abstractNum>
  <w:abstractNum w:abstractNumId="49">
    <w:nsid w:val="E3E47A8"/>
    <w:multiLevelType w:val="hybridMultilevel"/>
    <w:lvl w:ilvl="0">
      <w:lvlJc w:val="left"/>
      <w:lvlText w:val="**"/>
      <w:numFmt w:val="bullet"/>
      <w:start w:val="1"/>
    </w:lvl>
  </w:abstractNum>
  <w:abstractNum w:abstractNumId="50">
    <w:nsid w:val="2E48F044"/>
    <w:multiLevelType w:val="hybridMultilevel"/>
    <w:lvl w:ilvl="0">
      <w:lvlJc w:val="left"/>
      <w:lvlText w:val="(%1)"/>
      <w:numFmt w:val="decimal"/>
      <w:start w:val="2"/>
    </w:lvl>
  </w:abstractNum>
  <w:abstractNum w:abstractNumId="51">
    <w:nsid w:val="49D0FEAC"/>
    <w:multiLevelType w:val="hybridMultilevel"/>
    <w:lvl w:ilvl="0">
      <w:lvlJc w:val="left"/>
      <w:lvlText w:val="+"/>
      <w:numFmt w:val="bullet"/>
      <w:start w:val="1"/>
    </w:lvl>
  </w:abstractNum>
  <w:abstractNum w:abstractNumId="52">
    <w:nsid w:val="4BEE5A5B"/>
    <w:multiLevelType w:val="hybridMultilevel"/>
    <w:lvl w:ilvl="0">
      <w:lvlJc w:val="left"/>
      <w:lvlText w:val="(%1)"/>
      <w:numFmt w:val="decimal"/>
      <w:start w:val="1"/>
    </w:lvl>
  </w:abstractNum>
  <w:abstractNum w:abstractNumId="53">
    <w:nsid w:val="5551B9F3"/>
    <w:multiLevelType w:val="hybridMultilevel"/>
    <w:lvl w:ilvl="0">
      <w:lvlJc w:val="left"/>
      <w:lvlText w:val="(%1)"/>
      <w:numFmt w:val="decimal"/>
      <w:start w:val="3"/>
    </w:lvl>
    <w:lvl w:ilvl="1">
      <w:lvlJc w:val="left"/>
      <w:lvlText w:val="(%2)"/>
      <w:numFmt w:val="lowerLetter"/>
      <w:start w:val="1"/>
    </w:lvl>
  </w:abstractNum>
  <w:abstractNum w:abstractNumId="54">
    <w:nsid w:val="24F6AB8E"/>
    <w:multiLevelType w:val="hybridMultilevel"/>
    <w:lvl w:ilvl="0">
      <w:lvlJc w:val="left"/>
      <w:lvlText w:val="(%1)"/>
      <w:numFmt w:val="decimal"/>
      <w:start w:val="4"/>
    </w:lvl>
  </w:abstractNum>
  <w:abstractNum w:abstractNumId="55">
    <w:nsid w:val="634C574C"/>
    <w:multiLevelType w:val="hybridMultilevel"/>
    <w:lvl w:ilvl="0">
      <w:lvlJc w:val="left"/>
      <w:lvlText w:val="*"/>
      <w:numFmt w:val="bullet"/>
      <w:start w:val="1"/>
    </w:lvl>
  </w:abstractNum>
  <w:abstractNum w:abstractNumId="56">
    <w:nsid w:val="24E99DD7"/>
    <w:multiLevelType w:val="hybridMultilevel"/>
    <w:lvl w:ilvl="0">
      <w:lvlJc w:val="left"/>
      <w:lvlText w:val="+"/>
      <w:numFmt w:val="bullet"/>
      <w:start w:val="1"/>
    </w:lvl>
  </w:abstractNum>
  <w:abstractNum w:abstractNumId="57">
    <w:nsid w:val="2A31B62D"/>
    <w:multiLevelType w:val="hybridMultilevel"/>
    <w:lvl w:ilvl="0">
      <w:lvlJc w:val="left"/>
      <w:lvlText w:val="(%1)"/>
      <w:numFmt w:val="decimal"/>
      <w:start w:val="1"/>
    </w:lvl>
  </w:abstractNum>
  <w:abstractNum w:abstractNumId="58">
    <w:nsid w:val="1849C29B"/>
    <w:multiLevelType w:val="hybridMultilevel"/>
    <w:lvl w:ilvl="0">
      <w:lvlJc w:val="left"/>
      <w:lvlText w:val="(%1)"/>
      <w:numFmt w:val="decimal"/>
      <w:start w:val="10"/>
    </w:lvl>
  </w:abstractNum>
  <w:abstractNum w:abstractNumId="59">
    <w:nsid w:val="7DFF9D09"/>
    <w:multiLevelType w:val="hybridMultilevel"/>
    <w:lvl w:ilvl="0">
      <w:lvlJc w:val="left"/>
      <w:lvlText w:val="*"/>
      <w:numFmt w:val="bullet"/>
      <w:start w:val="1"/>
    </w:lvl>
  </w:abstractNum>
  <w:abstractNum w:abstractNumId="60">
    <w:nsid w:val="754342"/>
    <w:multiLevelType w:val="hybridMultilevel"/>
    <w:lvl w:ilvl="0">
      <w:lvlJc w:val="left"/>
      <w:lvlText w:val="(%1)"/>
      <w:numFmt w:val="decimal"/>
      <w:start w:val="1"/>
    </w:lvl>
  </w:abstractNum>
  <w:abstractNum w:abstractNumId="61">
    <w:nsid w:val="69E7F3E5"/>
    <w:multiLevelType w:val="hybridMultilevel"/>
    <w:lvl w:ilvl="0">
      <w:lvlJc w:val="left"/>
      <w:lvlText w:val="*"/>
      <w:numFmt w:val="bullet"/>
      <w:start w:val="1"/>
    </w:lvl>
  </w:abstractNum>
  <w:abstractNum w:abstractNumId="62">
    <w:nsid w:val="2A6DE806"/>
    <w:multiLevelType w:val="hybridMultilevel"/>
    <w:lvl w:ilvl="0">
      <w:lvlJc w:val="left"/>
      <w:lvlText w:val="(%1)"/>
      <w:numFmt w:val="upperLetter"/>
      <w:start w:val="1"/>
    </w:lvl>
  </w:abstractNum>
  <w:abstractNum w:abstractNumId="63">
    <w:nsid w:val="1816F8C4"/>
    <w:multiLevelType w:val="hybridMultilevel"/>
    <w:lvl w:ilvl="0">
      <w:lvlJc w:val="left"/>
      <w:lvlText w:val="•"/>
      <w:numFmt w:val="bullet"/>
      <w:start w:val="1"/>
    </w:lvl>
  </w:abstractNum>
  <w:abstractNum w:abstractNumId="64">
    <w:nsid w:val="37DF2233"/>
    <w:multiLevelType w:val="hybridMultilevel"/>
    <w:lvl w:ilvl="0">
      <w:lvlJc w:val="left"/>
      <w:lvlText w:val="(%1)"/>
      <w:numFmt w:val="upperLetter"/>
      <w:start w:val="2"/>
    </w:lvl>
  </w:abstractNum>
  <w:abstractNum w:abstractNumId="65">
    <w:nsid w:val="7AB49DAF"/>
    <w:multiLevelType w:val="hybridMultilevel"/>
    <w:lvl w:ilvl="0">
      <w:lvlJc w:val="left"/>
      <w:lvlText w:val="(%1)"/>
      <w:numFmt w:val="upperLetter"/>
      <w:start w:val="3"/>
    </w:lvl>
  </w:abstractNum>
  <w:abstractNum w:abstractNumId="66">
    <w:nsid w:val="759F82CD"/>
    <w:multiLevelType w:val="hybridMultilevel"/>
    <w:lvl w:ilvl="0">
      <w:lvlJc w:val="left"/>
      <w:lvlText w:val="(%1)"/>
      <w:numFmt w:val="upperLetter"/>
      <w:start w:val="5"/>
    </w:lvl>
  </w:abstractNum>
  <w:abstractNum w:abstractNumId="67">
    <w:nsid w:val="61E74EA3"/>
    <w:multiLevelType w:val="hybridMultilevel"/>
    <w:lvl w:ilvl="0">
      <w:lvlJc w:val="left"/>
      <w:lvlText w:val="•"/>
      <w:numFmt w:val="bullet"/>
      <w:start w:val="1"/>
    </w:lvl>
  </w:abstractNum>
  <w:abstractNum w:abstractNumId="68">
    <w:nsid w:val="597B4D84"/>
    <w:multiLevelType w:val="hybridMultilevel"/>
    <w:lvl w:ilvl="0">
      <w:lvlJc w:val="left"/>
      <w:lvlText w:val="•"/>
      <w:numFmt w:val="bullet"/>
      <w:start w:val="1"/>
    </w:lvl>
  </w:abstractNum>
  <w:abstractNum w:abstractNumId="69">
    <w:nsid w:val="F819E7F"/>
    <w:multiLevelType w:val="hybridMultilevel"/>
    <w:lvl w:ilvl="0">
      <w:lvlJc w:val="left"/>
      <w:lvlText w:val="(%1)"/>
      <w:numFmt w:val="decimal"/>
      <w:start w:val="1"/>
    </w:lvl>
  </w:abstractNum>
  <w:abstractNum w:abstractNumId="70">
    <w:nsid w:val="57C7D42D"/>
    <w:multiLevelType w:val="hybridMultilevel"/>
    <w:lvl w:ilvl="0">
      <w:lvlJc w:val="left"/>
      <w:lvlText w:val="%1."/>
      <w:numFmt w:val="decimal"/>
      <w:start w:val="17"/>
    </w:lvl>
  </w:abstractNum>
  <w:abstractNum w:abstractNumId="71">
    <w:nsid w:val="312167AD"/>
    <w:multiLevelType w:val="hybridMultilevel"/>
    <w:lvl w:ilvl="0">
      <w:lvlJc w:val="left"/>
      <w:lvlText w:val="(%1)"/>
      <w:numFmt w:val="decimal"/>
      <w:start w:val="1"/>
    </w:lvl>
  </w:abstractNum>
  <w:abstractNum w:abstractNumId="72">
    <w:nsid w:val="631B64D4"/>
    <w:multiLevelType w:val="hybridMultilevel"/>
    <w:lvl w:ilvl="0">
      <w:lvlJc w:val="left"/>
      <w:lvlText w:val="•"/>
      <w:numFmt w:val="bullet"/>
      <w:start w:val="1"/>
    </w:lvl>
  </w:abstractNum>
  <w:abstractNum w:abstractNumId="73">
    <w:nsid w:val="78B5E776"/>
    <w:multiLevelType w:val="hybridMultilevel"/>
    <w:lvl w:ilvl="0">
      <w:lvlJc w:val="left"/>
      <w:lvlText w:val="•"/>
      <w:numFmt w:val="bullet"/>
      <w:start w:val="1"/>
    </w:lvl>
  </w:abstractNum>
  <w:abstractNum w:abstractNumId="74">
    <w:nsid w:val="75486E47"/>
    <w:multiLevelType w:val="hybridMultilevel"/>
    <w:lvl w:ilvl="0">
      <w:lvlJc w:val="left"/>
      <w:lvlText w:val="(%1)"/>
      <w:numFmt w:val="decimal"/>
      <w:start w:val="1"/>
    </w:lvl>
  </w:abstractNum>
  <w:abstractNum w:abstractNumId="75">
    <w:nsid w:val="6E534CDE"/>
    <w:multiLevelType w:val="hybridMultilevel"/>
    <w:lvl w:ilvl="0">
      <w:lvlJc w:val="left"/>
      <w:lvlText w:val="(%1)"/>
      <w:numFmt w:val="upperLetter"/>
      <w:start w:val="1"/>
    </w:lvl>
  </w:abstractNum>
  <w:abstractNum w:abstractNumId="76">
    <w:nsid w:val="1A0DDE32"/>
    <w:multiLevelType w:val="hybridMultilevel"/>
    <w:lvl w:ilvl="0">
      <w:lvlJc w:val="left"/>
      <w:lvlText w:val="%1."/>
      <w:numFmt w:val="decimal"/>
      <w:start w:val="20"/>
    </w:lvl>
  </w:abstractNum>
  <w:abstractNum w:abstractNumId="77">
    <w:nsid w:val="65968C1C"/>
    <w:multiLevelType w:val="hybridMultilevel"/>
    <w:lvl w:ilvl="0">
      <w:lvlJc w:val="left"/>
      <w:lvlText w:val="(%1)"/>
      <w:numFmt w:val="decimal"/>
      <w:start w:val="1"/>
    </w:lvl>
  </w:abstractNum>
  <w:abstractNum w:abstractNumId="78">
    <w:nsid w:val="46263DEC"/>
    <w:multiLevelType w:val="hybridMultilevel"/>
    <w:lvl w:ilvl="0">
      <w:lvlJc w:val="left"/>
      <w:lvlText w:val="%1."/>
      <w:numFmt w:val="decimal"/>
      <w:start w:val="1"/>
    </w:lvl>
  </w:abstractNum>
  <w:abstractNum w:abstractNumId="79">
    <w:nsid w:val="260D8C4A"/>
    <w:multiLevelType w:val="hybridMultilevel"/>
    <w:lvl w:ilvl="0">
      <w:lvlJc w:val="left"/>
      <w:lvlText w:val="%1."/>
      <w:numFmt w:val="decimal"/>
      <w:start w:val="3"/>
    </w:lvl>
  </w:abstractNum>
  <w:abstractNum w:abstractNumId="80">
    <w:nsid w:val="73D4D3C4"/>
    <w:multiLevelType w:val="hybridMultilevel"/>
    <w:lvl w:ilvl="0">
      <w:lvlJc w:val="left"/>
      <w:lvlText w:val="%1."/>
      <w:numFmt w:val="decimal"/>
      <w:start w:val="5"/>
    </w:lvl>
  </w:abstractNum>
  <w:abstractNum w:abstractNumId="81">
    <w:nsid w:val="746F2E30"/>
    <w:multiLevelType w:val="hybridMultilevel"/>
    <w:lvl w:ilvl="0">
      <w:lvlJc w:val="left"/>
      <w:lvlText w:val="(%1)"/>
      <w:numFmt w:val="decimal"/>
      <w:start w:val="1"/>
    </w:lvl>
  </w:abstractNum>
  <w:abstractNum w:abstractNumId="82">
    <w:nsid w:val="6FDE8AF6"/>
    <w:multiLevelType w:val="hybridMultilevel"/>
    <w:lvl w:ilvl="0">
      <w:lvlJc w:val="left"/>
      <w:lvlText w:val="(%1)"/>
      <w:numFmt w:val="decimal"/>
      <w:start w:val="1"/>
    </w:lvl>
  </w:abstractNum>
  <w:abstractNum w:abstractNumId="83">
    <w:nsid w:val="3FC32E20"/>
    <w:multiLevelType w:val="hybridMultilevel"/>
    <w:lvl w:ilvl="0">
      <w:lvlJc w:val="left"/>
      <w:lvlText w:val="(%1)"/>
      <w:numFmt w:val="decimal"/>
      <w:start w:val="7"/>
    </w:lvl>
  </w:abstractNum>
  <w:abstractNum w:abstractNumId="84">
    <w:nsid w:val="49C0E823"/>
    <w:multiLevelType w:val="hybridMultilevel"/>
    <w:lvl w:ilvl="0">
      <w:lvlJc w:val="left"/>
      <w:lvlText w:val="(%1)"/>
      <w:numFmt w:val="decimal"/>
      <w:start w:val="1"/>
    </w:lvl>
  </w:abstractNum>
  <w:abstractNum w:abstractNumId="85">
    <w:nsid w:val="14D53685"/>
    <w:multiLevelType w:val="hybridMultilevel"/>
    <w:lvl w:ilvl="0">
      <w:lvlJc w:val="left"/>
      <w:lvlText w:val="(%1)"/>
      <w:numFmt w:val="decimal"/>
      <w:start w:val="2"/>
    </w:lvl>
  </w:abstractNum>
  <w:abstractNum w:abstractNumId="86">
    <w:nsid w:val="230F856C"/>
    <w:multiLevelType w:val="hybridMultilevel"/>
    <w:lvl w:ilvl="0">
      <w:lvlJc w:val="left"/>
      <w:lvlText w:val="(%1)"/>
      <w:numFmt w:val="decimal"/>
      <w:start w:val="1"/>
    </w:lvl>
  </w:abstractNum>
  <w:abstractNum w:abstractNumId="87">
    <w:nsid w:val="6EAA85FB"/>
    <w:multiLevelType w:val="hybridMultilevel"/>
    <w:lvl w:ilvl="0">
      <w:lvlJc w:val="left"/>
      <w:lvlText w:val="(%1)"/>
      <w:numFmt w:val="lowerLetter"/>
      <w:start w:val="1"/>
    </w:lvl>
  </w:abstractNum>
  <w:abstractNum w:abstractNumId="88">
    <w:nsid w:val="3F06ECB2"/>
    <w:multiLevelType w:val="hybridMultilevel"/>
    <w:lvl w:ilvl="0">
      <w:lvlJc w:val="left"/>
      <w:lvlText w:val="(%1)"/>
      <w:numFmt w:val="lowerLetter"/>
      <w:start w:val="6"/>
    </w:lvl>
  </w:abstractNum>
  <w:abstractNum w:abstractNumId="89">
    <w:nsid w:val="3B594807"/>
    <w:multiLevelType w:val="hybridMultilevel"/>
    <w:lvl w:ilvl="0">
      <w:lvlJc w:val="left"/>
      <w:lvlText w:val="(%1)"/>
      <w:numFmt w:val="decimal"/>
      <w:start w:val="2"/>
    </w:lvl>
  </w:abstractNum>
  <w:abstractNum w:abstractNumId="90">
    <w:nsid w:val="6CAA2304"/>
    <w:multiLevelType w:val="hybridMultilevel"/>
    <w:lvl w:ilvl="0">
      <w:lvlJc w:val="left"/>
      <w:lvlText w:val="(%1)"/>
      <w:numFmt w:val="upperLetter"/>
      <w:start w:val="3"/>
    </w:lvl>
  </w:abstractNum>
  <w:abstractNum w:abstractNumId="91">
    <w:nsid w:val="3F7C2FF4"/>
    <w:multiLevelType w:val="hybridMultilevel"/>
    <w:lvl w:ilvl="0">
      <w:lvlJc w:val="left"/>
      <w:lvlText w:val="(%1)"/>
      <w:numFmt w:val="lowerRoman"/>
      <w:start w:val="2"/>
    </w:lvl>
  </w:abstractNum>
  <w:abstractNum w:abstractNumId="92">
    <w:nsid w:val="25413BEC"/>
    <w:multiLevelType w:val="hybridMultilevel"/>
    <w:lvl w:ilvl="0">
      <w:lvlJc w:val="left"/>
      <w:lvlText w:val="%1."/>
      <w:numFmt w:val="decimal"/>
      <w:start w:val="1"/>
    </w:lvl>
  </w:abstractNum>
  <w:abstractNum w:abstractNumId="93">
    <w:nsid w:val="17180B0B"/>
    <w:multiLevelType w:val="hybridMultilevel"/>
    <w:lvl w:ilvl="0">
      <w:lvlJc w:val="left"/>
      <w:lvlText w:val="%1."/>
      <w:numFmt w:val="decimal"/>
      <w:start w:val="3"/>
    </w:lvl>
  </w:abstractNum>
  <w:abstractNum w:abstractNumId="94">
    <w:nsid w:val="579328B9"/>
    <w:multiLevelType w:val="hybridMultilevel"/>
    <w:lvl w:ilvl="0">
      <w:lvlJc w:val="left"/>
      <w:lvlText w:val="%1."/>
      <w:numFmt w:val="decimal"/>
      <w:start w:val="4"/>
    </w:lvl>
  </w:abstractNum>
  <w:abstractNum w:abstractNumId="95">
    <w:nsid w:val="5D205E20"/>
    <w:multiLevelType w:val="hybridMultilevel"/>
    <w:lvl w:ilvl="0">
      <w:lvlJc w:val="left"/>
      <w:lvlText w:val="(%1)"/>
      <w:numFmt w:val="lowerLetter"/>
      <w:start w:val="1"/>
    </w:lvl>
  </w:abstractNum>
  <w:abstractNum w:abstractNumId="96">
    <w:nsid w:val="11CCA8BA"/>
    <w:multiLevelType w:val="hybridMultilevel"/>
    <w:lvl w:ilvl="0">
      <w:lvlJc w:val="left"/>
      <w:lvlText w:val="(%1)"/>
      <w:numFmt w:val="lowerLetter"/>
      <w:start w:val="3"/>
    </w:lvl>
  </w:abstractNum>
  <w:abstractNum w:abstractNumId="97">
    <w:nsid w:val="4D32AB86"/>
    <w:multiLevelType w:val="hybridMultilevel"/>
    <w:lvl w:ilvl="0">
      <w:lvlJc w:val="left"/>
      <w:lvlText w:val="%1"/>
      <w:numFmt w:val="decimal"/>
      <w:start w:val="1"/>
    </w:lvl>
    <w:lvl w:ilvl="1">
      <w:lvlJc w:val="left"/>
      <w:lvlText w:val="(%2)"/>
      <w:numFmt w:val="lowerLetter"/>
      <w:start w:val="5"/>
    </w:lvl>
  </w:abstractNum>
  <w:abstractNum w:abstractNumId="98">
    <w:nsid w:val="3F07ACC3"/>
    <w:multiLevelType w:val="hybridMultilevel"/>
    <w:lvl w:ilvl="0">
      <w:lvlJc w:val="left"/>
      <w:lvlText w:val="%1."/>
      <w:numFmt w:val="decimal"/>
      <w:start w:val="7"/>
    </w:lvl>
    <w:lvl w:ilvl="1">
      <w:lvlJc w:val="left"/>
      <w:lvlText w:val="%2"/>
      <w:numFmt w:val="lowerLetter"/>
      <w:start w:val="1"/>
    </w:lvl>
  </w:abstractNum>
  <w:abstractNum w:abstractNumId="99">
    <w:nsid w:val="6B47F63E"/>
    <w:multiLevelType w:val="hybridMultilevel"/>
    <w:lvl w:ilvl="0">
      <w:lvlJc w:val="left"/>
      <w:lvlText w:val="(%1)"/>
      <w:numFmt w:val="upperLetter"/>
      <w:start w:val="2"/>
    </w:lvl>
    <w:lvl w:ilvl="1">
      <w:lvlJc w:val="left"/>
      <w:lvlText w:val="(%2)"/>
      <w:numFmt w:val="decimal"/>
      <w:start w:val="1"/>
    </w:lvl>
  </w:abstractNum>
  <w:abstractNum w:abstractNumId="100">
    <w:nsid w:val="5CB44A05"/>
    <w:multiLevelType w:val="hybridMultilevel"/>
    <w:lvl w:ilvl="0">
      <w:lvlJc w:val="left"/>
      <w:lvlText w:val="(%1)"/>
      <w:numFmt w:val="decimal"/>
      <w:start w:val="3"/>
    </w:lvl>
  </w:abstractNum>
  <w:abstractNum w:abstractNumId="101">
    <w:nsid w:val="16CF80F1"/>
    <w:multiLevelType w:val="hybridMultilevel"/>
    <w:lvl w:ilvl="0">
      <w:lvlJc w:val="left"/>
      <w:lvlText w:val="(%1)"/>
      <w:numFmt w:val="upperLetter"/>
      <w:start w:val="3"/>
    </w:lvl>
    <w:lvl w:ilvl="1">
      <w:lvlJc w:val="left"/>
      <w:lvlText w:val="(%2)"/>
      <w:numFmt w:val="decimal"/>
      <w:start w:val="1"/>
    </w:lvl>
  </w:abstractNum>
  <w:abstractNum w:abstractNumId="102">
    <w:nsid w:val="1C695DEC"/>
    <w:multiLevelType w:val="hybridMultilevel"/>
    <w:lvl w:ilvl="0">
      <w:lvlJc w:val="left"/>
      <w:lvlText w:val="%1"/>
      <w:numFmt w:val="decimal"/>
      <w:start w:val="1"/>
    </w:lvl>
    <w:lvl w:ilvl="1">
      <w:lvlJc w:val="left"/>
      <w:lvlText w:val="(%2)"/>
      <w:numFmt w:val="decimal"/>
      <w:start w:val="2"/>
    </w:lvl>
  </w:abstractNum>
  <w:abstractNum w:abstractNumId="103">
    <w:nsid w:val="3FCFAED9"/>
    <w:multiLevelType w:val="hybridMultilevel"/>
    <w:lvl w:ilvl="0">
      <w:lvlJc w:val="left"/>
      <w:lvlText w:val="(%1)"/>
      <w:numFmt w:val="decimal"/>
      <w:start w:val="30"/>
    </w:lvl>
    <w:lvl w:ilvl="1">
      <w:lvlJc w:val="left"/>
      <w:lvlText w:val="(%2)"/>
      <w:numFmt w:val="decimal"/>
      <w:start w:val="3"/>
    </w:lvl>
  </w:abstractNum>
  <w:abstractNum w:abstractNumId="104">
    <w:nsid w:val="F856867"/>
    <w:multiLevelType w:val="hybridMultilevel"/>
    <w:lvl w:ilvl="0">
      <w:lvlJc w:val="left"/>
      <w:lvlText w:val="%1"/>
      <w:numFmt w:val="upperLetter"/>
      <w:start w:val="1"/>
    </w:lvl>
    <w:lvl w:ilvl="1">
      <w:lvlJc w:val="left"/>
      <w:lvlText w:val="(%2)"/>
      <w:numFmt w:val="decimal"/>
      <w:start w:val="6"/>
    </w:lvl>
  </w:abstractNum>
  <w:abstractNum w:abstractNumId="105">
    <w:nsid w:val="11B1CC33"/>
    <w:multiLevelType w:val="hybridMultilevel"/>
    <w:lvl w:ilvl="0">
      <w:lvlJc w:val="left"/>
      <w:lvlText w:val="(%1)"/>
      <w:numFmt w:val="upperLetter"/>
      <w:start w:val="4"/>
    </w:lvl>
    <w:lvl w:ilvl="1">
      <w:lvlJc w:val="left"/>
      <w:lvlText w:val="(%2)"/>
      <w:numFmt w:val="decimal"/>
      <w:start w:val="1"/>
    </w:lvl>
  </w:abstractNum>
  <w:abstractNum w:abstractNumId="106">
    <w:nsid w:val="2E22FBB7"/>
    <w:multiLevelType w:val="hybridMultilevel"/>
    <w:lvl w:ilvl="0">
      <w:lvlJc w:val="left"/>
      <w:lvlText w:val="(%1)"/>
      <w:numFmt w:val="decimal"/>
      <w:start w:val="2"/>
    </w:lvl>
  </w:abstractNum>
  <w:abstractNum w:abstractNumId="107">
    <w:nsid w:val="29934699"/>
    <w:multiLevelType w:val="hybridMultilevel"/>
    <w:lvl w:ilvl="0">
      <w:lvlJc w:val="left"/>
      <w:lvlText w:val="%1"/>
      <w:numFmt w:val="lowerRoman"/>
      <w:start w:val="1"/>
    </w:lvl>
    <w:lvl w:ilvl="1">
      <w:lvlJc w:val="left"/>
      <w:lvlText w:val="%2"/>
      <w:numFmt w:val="lowerLetter"/>
      <w:start w:val="1"/>
    </w:lvl>
    <w:lvl w:ilvl="2">
      <w:lvlJc w:val="left"/>
      <w:lvlText w:val="(%3)"/>
      <w:numFmt w:val="decimal"/>
      <w:start w:val="4"/>
    </w:lvl>
  </w:abstractNum>
  <w:abstractNum w:abstractNumId="108">
    <w:nsid w:val="77485850"/>
    <w:multiLevelType w:val="hybridMultilevel"/>
    <w:lvl w:ilvl="0">
      <w:lvlJc w:val="left"/>
      <w:lvlText w:val="%1"/>
      <w:numFmt w:val="lowerRoman"/>
      <w:start w:val="1"/>
    </w:lvl>
    <w:lvl w:ilvl="1">
      <w:lvlJc w:val="left"/>
      <w:lvlText w:val="(%2)"/>
      <w:numFmt w:val="lowerLetter"/>
      <w:start w:val="1"/>
    </w:lvl>
    <w:lvl w:ilvl="2">
      <w:lvlJc w:val="left"/>
      <w:lvlText w:val="%3"/>
      <w:numFmt w:val="decimal"/>
      <w:start w:val="1"/>
    </w:lvl>
  </w:abstractNum>
  <w:abstractNum w:abstractNumId="109">
    <w:nsid w:val="744939A3"/>
    <w:multiLevelType w:val="hybridMultilevel"/>
    <w:lvl w:ilvl="0">
      <w:lvlJc w:val="left"/>
      <w:lvlText w:val="(%1)"/>
      <w:numFmt w:val="lowerRoman"/>
      <w:start w:val="4"/>
    </w:lvl>
    <w:lvl w:ilvl="1">
      <w:lvlJc w:val="left"/>
      <w:lvlText w:val="%2"/>
      <w:numFmt w:val="lowerLetter"/>
      <w:start w:val="1"/>
    </w:lvl>
    <w:lvl w:ilvl="2">
      <w:lvlJc w:val="left"/>
      <w:lvlText w:val="%3"/>
      <w:numFmt w:val="decimal"/>
      <w:start w:val="1"/>
    </w:lvl>
  </w:abstractNum>
  <w:abstractNum w:abstractNumId="110">
    <w:nsid w:val="4FA0D2E3"/>
    <w:multiLevelType w:val="hybridMultilevel"/>
    <w:lvl w:ilvl="0">
      <w:lvlJc w:val="left"/>
      <w:lvlText w:val="(%1)"/>
      <w:numFmt w:val="lowerLetter"/>
      <w:start w:val="2"/>
    </w:lvl>
  </w:abstractNum>
  <w:abstractNum w:abstractNumId="111">
    <w:nsid w:val="6B1D2C14"/>
    <w:multiLevelType w:val="hybridMultilevel"/>
    <w:lvl w:ilvl="0">
      <w:lvlJc w:val="left"/>
      <w:lvlText w:val="(%1)"/>
      <w:numFmt w:val="lowerLetter"/>
      <w:start w:val="7"/>
    </w:lvl>
  </w:abstractNum>
  <w:abstractNum w:abstractNumId="112">
    <w:nsid w:val="68B867D3"/>
    <w:multiLevelType w:val="hybridMultilevel"/>
    <w:lvl w:ilvl="0">
      <w:lvlJc w:val="left"/>
      <w:lvlText w:val="(%1)"/>
      <w:numFmt w:val="decimal"/>
      <w:start w:val="7"/>
    </w:lvl>
  </w:abstractNum>
  <w:abstractNum w:abstractNumId="113">
    <w:nsid w:val="3F7F5DD9"/>
    <w:multiLevelType w:val="hybridMultilevel"/>
    <w:lvl w:ilvl="0">
      <w:lvlJc w:val="left"/>
      <w:lvlText w:val="%1"/>
      <w:numFmt w:val="lowerLetter"/>
      <w:start w:val="1"/>
    </w:lvl>
    <w:lvl w:ilvl="1">
      <w:lvlJc w:val="left"/>
      <w:lvlText w:val="%2"/>
      <w:numFmt w:val="upperLetter"/>
      <w:start w:val="1"/>
    </w:lvl>
    <w:lvl w:ilvl="2">
      <w:lvlJc w:val="left"/>
      <w:lvlText w:val="(%3)"/>
      <w:numFmt w:val="decimal"/>
      <w:start w:val="11"/>
    </w:lvl>
  </w:abstractNum>
  <w:abstractNum w:abstractNumId="114">
    <w:nsid w:val="2AE05A34"/>
    <w:multiLevelType w:val="hybridMultilevel"/>
    <w:lvl w:ilvl="0">
      <w:lvlJc w:val="left"/>
      <w:lvlText w:val="%1"/>
      <w:numFmt w:val="lowerLetter"/>
      <w:start w:val="1"/>
    </w:lvl>
    <w:lvl w:ilvl="1">
      <w:lvlJc w:val="left"/>
      <w:lvlText w:val="(%2)"/>
      <w:numFmt w:val="upperLetter"/>
      <w:start w:val="5"/>
    </w:lvl>
    <w:lvl w:ilvl="2">
      <w:lvlJc w:val="left"/>
      <w:lvlText w:val="(%3)"/>
      <w:numFmt w:val="decimal"/>
      <w:start w:val="1"/>
    </w:lvl>
  </w:abstractNum>
  <w:abstractNum w:abstractNumId="115">
    <w:nsid w:val="32794FF7"/>
    <w:multiLevelType w:val="hybridMultilevel"/>
    <w:lvl w:ilvl="0">
      <w:lvlJc w:val="left"/>
      <w:lvlText w:val="(%1)"/>
      <w:numFmt w:val="lowerLetter"/>
      <w:start w:val="4"/>
    </w:lvl>
    <w:lvl w:ilvl="1">
      <w:lvlJc w:val="left"/>
      <w:lvlText w:val="%2"/>
      <w:numFmt w:val="upperLetter"/>
      <w:start w:val="1"/>
    </w:lvl>
    <w:lvl w:ilvl="2">
      <w:lvlJc w:val="left"/>
      <w:lvlText w:val="%3"/>
      <w:numFmt w:val="decimal"/>
      <w:start w:val="1"/>
    </w:lvl>
  </w:abstractNum>
  <w:abstractNum w:abstractNumId="116">
    <w:nsid w:val="5454945E"/>
    <w:multiLevelType w:val="hybridMultilevel"/>
    <w:lvl w:ilvl="0">
      <w:lvlJc w:val="left"/>
      <w:lvlText w:val="%1"/>
      <w:numFmt w:val="upperLetter"/>
      <w:start w:val="1"/>
    </w:lvl>
    <w:lvl w:ilvl="1">
      <w:lvlJc w:val="left"/>
      <w:lvlText w:val="(%2)"/>
      <w:numFmt w:val="decimal"/>
      <w:start w:val="3"/>
    </w:lvl>
  </w:abstractNum>
  <w:abstractNum w:abstractNumId="117">
    <w:nsid w:val="4DEFDFA0"/>
    <w:multiLevelType w:val="hybridMultilevel"/>
    <w:lvl w:ilvl="0">
      <w:lvlJc w:val="left"/>
      <w:lvlText w:val="(%1)"/>
      <w:numFmt w:val="upperLetter"/>
      <w:start w:val="6"/>
    </w:lvl>
    <w:lvl w:ilvl="1">
      <w:lvlJc w:val="left"/>
      <w:lvlText w:val="(%2)"/>
      <w:numFmt w:val="decimal"/>
      <w:start w:val="1"/>
    </w:lvl>
  </w:abstractNum>
  <w:abstractNum w:abstractNumId="118">
    <w:nsid w:val="2123D5F2"/>
    <w:multiLevelType w:val="hybridMultilevel"/>
    <w:lvl w:ilvl="0">
      <w:lvlJc w:val="left"/>
      <w:lvlText w:val="(%1)"/>
      <w:numFmt w:val="lowerLetter"/>
      <w:start w:val="1"/>
    </w:lvl>
  </w:abstractNum>
  <w:abstractNum w:abstractNumId="119">
    <w:nsid w:val="135B8110"/>
    <w:multiLevelType w:val="hybridMultilevel"/>
    <w:lvl w:ilvl="0">
      <w:lvlJc w:val="left"/>
      <w:lvlText w:val="(%1)"/>
      <w:numFmt w:val="lowerLetter"/>
      <w:start w:val="2"/>
    </w:lvl>
  </w:abstractNum>
  <w:abstractNum w:abstractNumId="120">
    <w:nsid w:val="94927A8"/>
    <w:multiLevelType w:val="hybridMultilevel"/>
    <w:lvl w:ilvl="0">
      <w:lvlJc w:val="left"/>
      <w:lvlText w:val="(%1)"/>
      <w:numFmt w:val="lowerLetter"/>
      <w:start w:val="4"/>
    </w:lvl>
  </w:abstractNum>
  <w:abstractNum w:abstractNumId="121">
    <w:nsid w:val="DCDF8F6"/>
    <w:multiLevelType w:val="hybridMultilevel"/>
    <w:lvl w:ilvl="0">
      <w:lvlJc w:val="left"/>
      <w:lvlText w:val="(%1)"/>
      <w:numFmt w:val="lowerLetter"/>
      <w:start w:val="6"/>
    </w:lvl>
  </w:abstractNum>
  <w:abstractNum w:abstractNumId="122">
    <w:nsid w:val="52D7B105"/>
    <w:multiLevelType w:val="hybridMultilevel"/>
    <w:lvl w:ilvl="0">
      <w:lvlJc w:val="left"/>
      <w:lvlText w:val="(%1)"/>
      <w:numFmt w:val="upperLetter"/>
      <w:start w:val="7"/>
    </w:lvl>
    <w:lvl w:ilvl="1">
      <w:lvlJc w:val="left"/>
      <w:lvlText w:val="(%2)"/>
      <w:numFmt w:val="decimal"/>
      <w:start w:val="1"/>
    </w:lvl>
  </w:abstractNum>
  <w:abstractNum w:abstractNumId="123">
    <w:nsid w:val="2E8A6394"/>
    <w:multiLevelType w:val="hybridMultilevel"/>
    <w:lvl w:ilvl="0">
      <w:lvlJc w:val="left"/>
      <w:lvlText w:val="(%1)"/>
      <w:numFmt w:val="upperLetter"/>
      <w:start w:val="8"/>
    </w:lvl>
    <w:lvl w:ilvl="1">
      <w:lvlJc w:val="left"/>
      <w:lvlText w:val="(%2)"/>
      <w:numFmt w:val="decimal"/>
      <w:start w:val="1"/>
    </w:lvl>
  </w:abstractNum>
  <w:abstractNum w:abstractNumId="124">
    <w:nsid w:val="24E60401"/>
    <w:multiLevelType w:val="hybridMultilevel"/>
    <w:lvl w:ilvl="0">
      <w:lvlJc w:val="left"/>
      <w:lvlText w:val="(%1)"/>
      <w:numFmt w:val="lowerRoman"/>
      <w:start w:val="1"/>
    </w:lvl>
  </w:abstractNum>
  <w:abstractNum w:abstractNumId="125">
    <w:nsid w:val="2A6AD9BE"/>
    <w:multiLevelType w:val="hybridMultilevel"/>
    <w:lvl w:ilvl="0">
      <w:lvlJc w:val="left"/>
      <w:lvlText w:val="(%1)"/>
      <w:numFmt w:val="upperLetter"/>
      <w:start w:val="1"/>
    </w:lvl>
  </w:abstractNum>
  <w:abstractNum w:abstractNumId="126">
    <w:nsid w:val="BAAC1B4"/>
    <w:multiLevelType w:val="hybridMultilevel"/>
    <w:lvl w:ilvl="0">
      <w:lvlJc w:val="left"/>
      <w:lvlText w:val="(%1)"/>
      <w:numFmt w:val="upperLetter"/>
      <w:start w:val="5"/>
    </w:lvl>
  </w:abstractNum>
  <w:abstractNum w:abstractNumId="127">
    <w:nsid w:val="36B2ACBC"/>
    <w:multiLevelType w:val="hybridMultilevel"/>
    <w:lvl w:ilvl="0">
      <w:lvlJc w:val="left"/>
      <w:lvlText w:val="(%1)"/>
      <w:numFmt w:val="upperLetter"/>
      <w:start w:val="1"/>
    </w:lvl>
    <w:lvl w:ilvl="1">
      <w:lvlJc w:val="left"/>
      <w:lvlText w:val="-"/>
      <w:numFmt w:val="bullet"/>
      <w:start w:val="1"/>
    </w:lvl>
  </w:abstractNum>
  <w:abstractNum w:abstractNumId="128">
    <w:nsid w:val="779D8544"/>
    <w:multiLevelType w:val="hybridMultilevel"/>
    <w:lvl w:ilvl="0">
      <w:lvlJc w:val="left"/>
      <w:lvlText w:val="(%1)"/>
      <w:numFmt w:val="upperLetter"/>
      <w:start w:val="2"/>
    </w:lvl>
  </w:abstractNum>
  <w:abstractNum w:abstractNumId="129">
    <w:nsid w:val="4AB26E78"/>
    <w:multiLevelType w:val="hybridMultilevel"/>
    <w:lvl w:ilvl="0">
      <w:lvlJc w:val="left"/>
      <w:lvlText w:val="(%1)"/>
      <w:numFmt w:val="upperLetter"/>
      <w:start w:val="1"/>
    </w:lvl>
    <w:lvl w:ilvl="1">
      <w:lvlJc w:val="left"/>
      <w:lvlText w:val="-"/>
      <w:numFmt w:val="bullet"/>
      <w:start w:val="1"/>
    </w:lvl>
  </w:abstractNum>
  <w:abstractNum w:abstractNumId="130">
    <w:nsid w:val="21FAA2FA"/>
    <w:multiLevelType w:val="hybridMultilevel"/>
    <w:lvl w:ilvl="0">
      <w:lvlJc w:val="left"/>
      <w:lvlText w:val="(%1)"/>
      <w:numFmt w:val="upperLetter"/>
      <w:start w:val="2"/>
    </w:lvl>
  </w:abstractNum>
  <w:abstractNum w:abstractNumId="131">
    <w:nsid w:val="5451CF49"/>
    <w:multiLevelType w:val="hybridMultilevel"/>
    <w:lvl w:ilvl="0">
      <w:lvlJc w:val="left"/>
      <w:lvlText w:val="(%1)"/>
      <w:numFmt w:val="upperLetter"/>
      <w:start w:val="1"/>
    </w:lvl>
  </w:abstractNum>
  <w:abstractNum w:abstractNumId="132">
    <w:nsid w:val="6181EF69"/>
    <w:multiLevelType w:val="hybridMultilevel"/>
    <w:lvl w:ilvl="0">
      <w:lvlJc w:val="left"/>
      <w:lvlText w:val="(%1)"/>
      <w:numFmt w:val="lowerRoman"/>
      <w:start w:val="1"/>
    </w:lvl>
    <w:lvl w:ilvl="1">
      <w:lvlJc w:val="left"/>
      <w:lvlText w:val="-"/>
      <w:numFmt w:val="bullet"/>
      <w:start w:val="1"/>
    </w:lvl>
  </w:abstractNum>
  <w:abstractNum w:abstractNumId="133">
    <w:nsid w:val="3E6400E6"/>
    <w:multiLevelType w:val="hybridMultilevel"/>
    <w:lvl w:ilvl="0">
      <w:lvlJc w:val="left"/>
      <w:lvlText w:val="(%1)"/>
      <w:numFmt w:val="lowerRoman"/>
      <w:start w:val="3"/>
    </w:lvl>
  </w:abstractNum>
  <w:abstractNum w:abstractNumId="134">
    <w:nsid w:val="14217E23"/>
    <w:multiLevelType w:val="hybridMultilevel"/>
    <w:lvl w:ilvl="0">
      <w:lvlJc w:val="left"/>
      <w:lvlText w:val="(%1)"/>
      <w:numFmt w:val="upperLetter"/>
      <w:start w:val="2"/>
    </w:lvl>
  </w:abstractNum>
  <w:abstractNum w:abstractNumId="135">
    <w:nsid w:val="710757D0"/>
    <w:multiLevelType w:val="hybridMultilevel"/>
    <w:lvl w:ilvl="0">
      <w:lvlJc w:val="left"/>
      <w:lvlText w:val="(%1)"/>
      <w:numFmt w:val="decimal"/>
      <w:start w:val="1"/>
    </w:lvl>
  </w:abstractNum>
  <w:abstractNum w:abstractNumId="136">
    <w:nsid w:val="5015CD1A"/>
    <w:multiLevelType w:val="hybridMultilevel"/>
    <w:lvl w:ilvl="0">
      <w:lvlJc w:val="left"/>
      <w:lvlText w:val="%1."/>
      <w:numFmt w:val="decimal"/>
      <w:start w:val="1"/>
    </w:lvl>
  </w:abstractNum>
  <w:abstractNum w:abstractNumId="137">
    <w:nsid w:val="424479DA"/>
    <w:multiLevelType w:val="hybridMultilevel"/>
    <w:lvl w:ilvl="0">
      <w:lvlJc w:val="left"/>
      <w:lvlText w:val="%1."/>
      <w:numFmt w:val="decimal"/>
      <w:start w:val="6"/>
    </w:lvl>
  </w:abstractNum>
  <w:abstractNum w:abstractNumId="138">
    <w:nsid w:val="1A9A9E69"/>
    <w:multiLevelType w:val="hybridMultilevel"/>
    <w:lvl w:ilvl="0">
      <w:lvlJc w:val="left"/>
      <w:lvlText w:val="%1."/>
      <w:numFmt w:val="decimal"/>
      <w:start w:val="1"/>
    </w:lvl>
    <w:lvl w:ilvl="1">
      <w:lvlJc w:val="left"/>
      <w:lvlText w:val="-"/>
      <w:numFmt w:val="bullet"/>
      <w:start w:val="1"/>
    </w:lvl>
  </w:abstractNum>
  <w:abstractNum w:abstractNumId="139">
    <w:nsid w:val="475E256A"/>
    <w:multiLevelType w:val="hybridMultilevel"/>
    <w:lvl w:ilvl="0">
      <w:lvlJc w:val="left"/>
      <w:lvlText w:val="%1."/>
      <w:numFmt w:val="decimal"/>
      <w:start w:val="3"/>
    </w:lvl>
  </w:abstractNum>
  <w:abstractNum w:abstractNumId="140">
    <w:nsid w:val="368DB37E"/>
    <w:multiLevelType w:val="hybridMultilevel"/>
    <w:lvl w:ilvl="0">
      <w:lvlJc w:val="left"/>
      <w:lvlText w:val="(%1)"/>
      <w:numFmt w:val="lowerLetter"/>
      <w:start w:val="1"/>
    </w:lvl>
  </w:abstractNum>
  <w:abstractNum w:abstractNumId="141">
    <w:nsid w:val="6A3B714C"/>
    <w:multiLevelType w:val="hybridMultilevel"/>
    <w:lvl w:ilvl="0">
      <w:lvlJc w:val="left"/>
      <w:lvlText w:val="(%1)"/>
      <w:numFmt w:val="lowerLetter"/>
      <w:start w:val="2"/>
    </w:lvl>
    <w:lvl w:ilvl="1">
      <w:lvlJc w:val="left"/>
      <w:lvlText w:val="-"/>
      <w:numFmt w:val="bullet"/>
      <w:start w:val="1"/>
    </w:lvl>
  </w:abstractNum>
  <w:abstractNum w:abstractNumId="142">
    <w:nsid w:val="327B517E"/>
    <w:multiLevelType w:val="hybridMultilevel"/>
    <w:lvl w:ilvl="0">
      <w:lvlJc w:val="left"/>
      <w:lvlText w:val="%1."/>
      <w:numFmt w:val="decimal"/>
      <w:start w:val="4"/>
    </w:lvl>
  </w:abstractNum>
  <w:abstractNum w:abstractNumId="143">
    <w:nsid w:val="1F461B51"/>
    <w:multiLevelType w:val="hybridMultilevel"/>
    <w:lvl w:ilvl="0">
      <w:lvlJc w:val="left"/>
      <w:lvlText w:val="%1."/>
      <w:numFmt w:val="decimal"/>
      <w:start w:val="6"/>
    </w:lvl>
  </w:abstractNum>
  <w:abstractNum w:abstractNumId="144">
    <w:nsid w:val="29BACF25"/>
    <w:multiLevelType w:val="hybridMultilevel"/>
    <w:lvl w:ilvl="0">
      <w:lvlJc w:val="left"/>
      <w:lvlText w:val="(%1)"/>
      <w:numFmt w:val="lowerLetter"/>
      <w:start w:val="1"/>
    </w:lvl>
    <w:lvl w:ilvl="1">
      <w:lvlJc w:val="left"/>
      <w:lvlText w:val="-"/>
      <w:numFmt w:val="bullet"/>
      <w:start w:val="1"/>
    </w:lvl>
  </w:abstractNum>
  <w:abstractNum w:abstractNumId="145">
    <w:nsid w:val="5D5BABB3"/>
    <w:multiLevelType w:val="hybridMultilevel"/>
    <w:lvl w:ilvl="0">
      <w:lvlJc w:val="left"/>
      <w:lvlText w:val="(%1)"/>
      <w:numFmt w:val="lowerLetter"/>
      <w:start w:val="2"/>
    </w:lvl>
  </w:abstractNum>
  <w:abstractNum w:abstractNumId="146">
    <w:nsid w:val="51BF6B48"/>
    <w:multiLevelType w:val="hybridMultilevel"/>
    <w:lvl w:ilvl="0">
      <w:lvlJc w:val="left"/>
      <w:lvlText w:val="(%1)"/>
      <w:numFmt w:val="lowerLetter"/>
      <w:start w:val="3"/>
    </w:lvl>
    <w:lvl w:ilvl="1">
      <w:lvlJc w:val="left"/>
      <w:lvlText w:val="-"/>
      <w:numFmt w:val="bullet"/>
      <w:start w:val="1"/>
    </w:lvl>
  </w:abstractNum>
  <w:abstractNum w:abstractNumId="147">
    <w:nsid w:val="7E0F6384"/>
    <w:multiLevelType w:val="hybridMultilevel"/>
    <w:lvl w:ilvl="0">
      <w:lvlJc w:val="left"/>
      <w:lvlText w:val="(%1)"/>
      <w:numFmt w:val="lowerLetter"/>
      <w:start w:val="4"/>
    </w:lvl>
  </w:abstractNum>
  <w:abstractNum w:abstractNumId="148">
    <w:nsid w:val="2B4B8B53"/>
    <w:multiLevelType w:val="hybridMultilevel"/>
    <w:lvl w:ilvl="0">
      <w:lvlJc w:val="left"/>
      <w:lvlText w:val="(%1)"/>
      <w:numFmt w:val="lowerRoman"/>
      <w:start w:val="1"/>
    </w:lvl>
    <w:lvl w:ilvl="1">
      <w:lvlJc w:val="left"/>
      <w:lvlText w:val="-"/>
      <w:numFmt w:val="bullet"/>
      <w:start w:val="1"/>
    </w:lvl>
  </w:abstractNum>
  <w:abstractNum w:abstractNumId="149">
    <w:nsid w:val="72E3413A"/>
    <w:multiLevelType w:val="hybridMultilevel"/>
    <w:lvl w:ilvl="0">
      <w:lvlJc w:val="left"/>
      <w:lvlText w:val="(%1)"/>
      <w:numFmt w:val="lowerRoman"/>
      <w:start w:val="2"/>
    </w:lvl>
    <w:lvl w:ilvl="1">
      <w:lvlJc w:val="left"/>
      <w:lvlText w:val="-"/>
      <w:numFmt w:val="bullet"/>
      <w:start w:val="1"/>
    </w:lvl>
  </w:abstractNum>
  <w:abstractNum w:abstractNumId="150">
    <w:nsid w:val="116AE494"/>
    <w:multiLevelType w:val="hybridMultilevel"/>
    <w:lvl w:ilvl="0">
      <w:lvlJc w:val="left"/>
      <w:lvlText w:val="(%1)"/>
      <w:numFmt w:val="lowerRoman"/>
      <w:start w:val="4"/>
    </w:lvl>
  </w:abstractNum>
  <w:abstractNum w:abstractNumId="151">
    <w:nsid w:val="3494B2FB"/>
    <w:multiLevelType w:val="hybridMultilevel"/>
    <w:lvl w:ilvl="0">
      <w:lvlJc w:val="left"/>
      <w:lvlText w:val="(%1)"/>
      <w:numFmt w:val="lowerRoman"/>
      <w:start w:val="5"/>
    </w:lvl>
    <w:lvl w:ilvl="1">
      <w:lvlJc w:val="left"/>
      <w:lvlText w:val="-"/>
      <w:numFmt w:val="bullet"/>
      <w:start w:val="1"/>
    </w:lvl>
  </w:abstractNum>
  <w:abstractNum w:abstractNumId="152">
    <w:nsid w:val="B13A31"/>
    <w:multiLevelType w:val="hybridMultilevel"/>
    <w:lvl w:ilvl="0">
      <w:lvlJc w:val="left"/>
      <w:lvlText w:val="%1"/>
      <w:numFmt w:val="upperLetter"/>
      <w:start w:val="1"/>
    </w:lvl>
    <w:lvl w:ilvl="1">
      <w:lvlJc w:val="left"/>
      <w:lvlText w:val="(%2)"/>
      <w:numFmt w:val="lowerRoman"/>
      <w:start w:val="6"/>
    </w:lvl>
    <w:lvl w:ilvl="2">
      <w:lvlJc w:val="left"/>
      <w:lvlText w:val="-"/>
      <w:numFmt w:val="bullet"/>
      <w:start w:val="1"/>
    </w:lvl>
  </w:abstractNum>
  <w:abstractNum w:abstractNumId="153">
    <w:nsid w:val="64429599"/>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154">
    <w:nsid w:val="631F1690"/>
    <w:multiLevelType w:val="hybridMultilevel"/>
    <w:lvl w:ilvl="0">
      <w:lvlJc w:val="left"/>
      <w:lvlText w:val="(%1)"/>
      <w:numFmt w:val="lowerRoman"/>
      <w:start w:val="8"/>
    </w:lvl>
    <w:lvl w:ilvl="1">
      <w:lvlJc w:val="left"/>
      <w:lvlText w:val="-"/>
      <w:numFmt w:val="bullet"/>
      <w:start w:val="1"/>
    </w:lvl>
  </w:abstractNum>
  <w:abstractNum w:abstractNumId="155">
    <w:nsid w:val="25973E32"/>
    <w:multiLevelType w:val="hybridMultilevel"/>
    <w:lvl w:ilvl="0">
      <w:lvlJc w:val="left"/>
      <w:lvlText w:val="(%1)"/>
      <w:numFmt w:val="lowerLetter"/>
      <w:start w:val="7"/>
    </w:lvl>
    <w:lvl w:ilvl="1">
      <w:lvlJc w:val="left"/>
      <w:lvlText w:val="-"/>
      <w:numFmt w:val="bullet"/>
      <w:start w:val="1"/>
    </w:lvl>
  </w:abstractNum>
  <w:abstractNum w:abstractNumId="156">
    <w:nsid w:val="EAD6F57"/>
    <w:multiLevelType w:val="hybridMultilevel"/>
    <w:lvl w:ilvl="0">
      <w:lvlJc w:val="left"/>
      <w:lvlText w:val="%1"/>
      <w:numFmt w:val="lowerRoman"/>
      <w:start w:val="1"/>
    </w:lvl>
    <w:lvl w:ilvl="1">
      <w:lvlJc w:val="left"/>
      <w:lvlText w:val="(%2)"/>
      <w:numFmt w:val="lowerRoman"/>
      <w:start w:val="2"/>
    </w:lvl>
    <w:lvl w:ilvl="2">
      <w:lvlJc w:val="left"/>
      <w:lvlText w:val="-"/>
      <w:numFmt w:val="bullet"/>
      <w:start w:val="1"/>
    </w:lvl>
  </w:abstractNum>
  <w:abstractNum w:abstractNumId="157">
    <w:nsid w:val="6EC9D844"/>
    <w:multiLevelType w:val="hybridMultilevel"/>
    <w:lvl w:ilvl="0">
      <w:lvlJc w:val="left"/>
      <w:lvlText w:val="(%1)"/>
      <w:numFmt w:val="lowerRoman"/>
      <w:start w:val="1"/>
    </w:lvl>
    <w:lvl w:ilvl="1">
      <w:lvlJc w:val="left"/>
      <w:lvlText w:val="(%2)"/>
      <w:numFmt w:val="lowerRoman"/>
      <w:start w:val="1"/>
    </w:lvl>
    <w:lvl w:ilvl="2">
      <w:lvlJc w:val="left"/>
      <w:lvlText w:val="-"/>
      <w:numFmt w:val="bullet"/>
      <w:start w:val="1"/>
    </w:lvl>
  </w:abstractNum>
  <w:abstractNum w:abstractNumId="158">
    <w:nsid w:val="5C49EAEE"/>
    <w:multiLevelType w:val="hybridMultilevel"/>
    <w:lvl w:ilvl="0">
      <w:lvlJc w:val="left"/>
      <w:lvlText w:val="(%1)"/>
      <w:numFmt w:val="lowerLetter"/>
      <w:start w:val="10"/>
    </w:lvl>
    <w:lvl w:ilvl="1">
      <w:lvlJc w:val="left"/>
      <w:lvlText w:val="-"/>
      <w:numFmt w:val="bullet"/>
      <w:start w:val="1"/>
    </w:lvl>
  </w:abstractNum>
  <w:abstractNum w:abstractNumId="159">
    <w:nsid w:val="64AF49B"/>
    <w:multiLevelType w:val="hybridMultilevel"/>
    <w:lvl w:ilvl="0">
      <w:lvlJc w:val="left"/>
      <w:lvlText w:val="(%1)"/>
      <w:numFmt w:val="lowerLetter"/>
      <w:start w:val="13"/>
    </w:lvl>
    <w:lvl w:ilvl="1">
      <w:lvlJc w:val="left"/>
      <w:lvlText w:val="-"/>
      <w:numFmt w:val="bullet"/>
      <w:start w:val="1"/>
    </w:lvl>
  </w:abstractNum>
  <w:abstractNum w:abstractNumId="160">
    <w:nsid w:val="397C46BC"/>
    <w:multiLevelType w:val="hybridMultilevel"/>
    <w:lvl w:ilvl="0">
      <w:lvlJc w:val="left"/>
      <w:lvlText w:val="(%1)"/>
      <w:numFmt w:val="lowerRoman"/>
      <w:start w:val="1"/>
    </w:lvl>
  </w:abstractNum>
  <w:abstractNum w:abstractNumId="161">
    <w:nsid w:val="7E448DE9"/>
    <w:multiLevelType w:val="hybridMultilevel"/>
    <w:lvl w:ilvl="0">
      <w:lvlJc w:val="left"/>
      <w:lvlText w:val="(%1)"/>
      <w:numFmt w:val="lowerLetter"/>
      <w:start w:val="14"/>
    </w:lvl>
  </w:abstractNum>
  <w:abstractNum w:abstractNumId="162">
    <w:nsid w:val="5A9CC3E5"/>
    <w:multiLevelType w:val="hybridMultilevel"/>
    <w:lvl w:ilvl="0">
      <w:lvlJc w:val="left"/>
      <w:lvlText w:val="(%1)"/>
      <w:numFmt w:val="lowerLetter"/>
      <w:start w:val="15"/>
    </w:lvl>
  </w:abstractNum>
  <w:abstractNum w:abstractNumId="163">
    <w:nsid w:val="1AFE3625"/>
    <w:multiLevelType w:val="hybridMultilevel"/>
    <w:lvl w:ilvl="0">
      <w:lvlJc w:val="left"/>
      <w:lvlText w:val="%1."/>
      <w:numFmt w:val="decimal"/>
      <w:start w:val="7"/>
    </w:lvl>
  </w:abstractNum>
  <w:abstractNum w:abstractNumId="164">
    <w:nsid w:val="3CA88ECF"/>
    <w:multiLevelType w:val="hybridMultilevel"/>
    <w:lvl w:ilvl="0">
      <w:lvlJc w:val="left"/>
      <w:lvlText w:val="(%1)"/>
      <w:numFmt w:val="lowerLetter"/>
      <w:start w:val="1"/>
    </w:lvl>
    <w:lvl w:ilvl="1">
      <w:lvlJc w:val="left"/>
      <w:lvlText w:val="-"/>
      <w:numFmt w:val="bullet"/>
      <w:start w:val="1"/>
    </w:lvl>
  </w:abstractNum>
  <w:abstractNum w:abstractNumId="165">
    <w:nsid w:val="6EBE4208"/>
    <w:multiLevelType w:val="hybridMultilevel"/>
    <w:lvl w:ilvl="0">
      <w:lvlJc w:val="left"/>
      <w:lvlText w:val="(%1)"/>
      <w:numFmt w:val="lowerLetter"/>
      <w:start w:val="3"/>
    </w:lvl>
  </w:abstractNum>
  <w:abstractNum w:abstractNumId="166">
    <w:nsid w:val="C058DF5"/>
    <w:multiLevelType w:val="hybridMultilevel"/>
    <w:lvl w:ilvl="0">
      <w:lvlJc w:val="left"/>
      <w:lvlText w:val="%1."/>
      <w:numFmt w:val="decimal"/>
      <w:start w:val="8"/>
    </w:lvl>
    <w:lvl w:ilvl="1">
      <w:lvlJc w:val="left"/>
      <w:lvlText w:val="-"/>
      <w:numFmt w:val="bullet"/>
      <w:start w:val="1"/>
    </w:lvl>
  </w:abstractNum>
  <w:abstractNum w:abstractNumId="167">
    <w:nsid w:val="CBE5BE9"/>
    <w:multiLevelType w:val="hybridMultilevel"/>
    <w:lvl w:ilvl="0">
      <w:lvlJc w:val="left"/>
      <w:lvlText w:val="%1."/>
      <w:numFmt w:val="decimal"/>
      <w:start w:val="9"/>
    </w:lvl>
    <w:lvl w:ilvl="1">
      <w:lvlJc w:val="left"/>
      <w:lvlText w:val="-"/>
      <w:numFmt w:val="bullet"/>
      <w:start w:val="1"/>
    </w:lvl>
  </w:abstractNum>
  <w:abstractNum w:abstractNumId="168">
    <w:nsid w:val="3102BBE2"/>
    <w:multiLevelType w:val="hybridMultilevel"/>
    <w:lvl w:ilvl="0">
      <w:lvlJc w:val="left"/>
      <w:lvlText w:val="%1."/>
      <w:numFmt w:val="decimal"/>
      <w:start w:val="11"/>
    </w:lvl>
  </w:abstractNum>
  <w:abstractNum w:abstractNumId="169">
    <w:nsid w:val="26A02C5E"/>
    <w:multiLevelType w:val="hybridMultilevel"/>
    <w:lvl w:ilvl="0">
      <w:lvlJc w:val="left"/>
      <w:lvlText w:val="%1."/>
      <w:numFmt w:val="decimal"/>
      <w:start w:val="8"/>
    </w:lvl>
    <w:lvl w:ilvl="1">
      <w:lvlJc w:val="left"/>
      <w:lvlText w:val="-"/>
      <w:numFmt w:val="bullet"/>
      <w:start w:val="1"/>
    </w:lvl>
  </w:abstractNum>
  <w:abstractNum w:abstractNumId="170">
    <w:nsid w:val="541C8153"/>
    <w:multiLevelType w:val="hybridMultilevel"/>
    <w:lvl w:ilvl="0">
      <w:lvlJc w:val="left"/>
      <w:lvlText w:val="%1."/>
      <w:numFmt w:val="decimal"/>
      <w:start w:val="10"/>
    </w:lvl>
  </w:abstractNum>
  <w:abstractNum w:abstractNumId="171">
    <w:nsid w:val="67906F60"/>
    <w:multiLevelType w:val="hybridMultilevel"/>
    <w:lvl w:ilvl="0">
      <w:lvlJc w:val="left"/>
      <w:lvlText w:val="%1."/>
      <w:numFmt w:val="decimal"/>
      <w:start w:val="1"/>
    </w:lvl>
  </w:abstractNum>
  <w:abstractNum w:abstractNumId="172">
    <w:nsid w:val="10DB9DAA"/>
    <w:multiLevelType w:val="hybridMultilevel"/>
    <w:lvl w:ilvl="0">
      <w:lvlJc w:val="left"/>
      <w:lvlText w:val="%1."/>
      <w:numFmt w:val="decimal"/>
      <w:start w:val="3"/>
    </w:lvl>
  </w:abstractNum>
  <w:abstractNum w:abstractNumId="173">
    <w:nsid w:val="697D2D2"/>
    <w:multiLevelType w:val="hybridMultilevel"/>
    <w:lvl w:ilvl="0">
      <w:lvlJc w:val="left"/>
      <w:lvlText w:val="(%1)"/>
      <w:numFmt w:val="upperLetter"/>
      <w:start w:val="1"/>
    </w:lvl>
  </w:abstractNum>
  <w:abstractNum w:abstractNumId="174">
    <w:nsid w:val="6D68AB2"/>
    <w:multiLevelType w:val="hybridMultilevel"/>
    <w:lvl w:ilvl="0">
      <w:lvlJc w:val="left"/>
      <w:lvlText w:val="(%1)"/>
      <w:numFmt w:val="upperLetter"/>
      <w:start w:val="2"/>
    </w:lvl>
  </w:abstractNum>
  <w:abstractNum w:abstractNumId="175">
    <w:nsid w:val="3A966CD0"/>
    <w:multiLevelType w:val="hybridMultilevel"/>
    <w:lvl w:ilvl="0">
      <w:lvlJc w:val="left"/>
      <w:lvlText w:val="(%1)"/>
      <w:numFmt w:val="upperLetter"/>
      <w:start w:val="1"/>
    </w:lvl>
  </w:abstractNum>
  <w:abstractNum w:abstractNumId="176">
    <w:nsid w:val="63F37E85"/>
    <w:multiLevelType w:val="hybridMultilevel"/>
    <w:lvl w:ilvl="0">
      <w:lvlJc w:val="left"/>
      <w:lvlText w:val="(%1)"/>
      <w:numFmt w:val="upperLetter"/>
      <w:start w:val="1"/>
    </w:lvl>
  </w:abstractNum>
  <w:abstractNum w:abstractNumId="177">
    <w:nsid w:val="5895F5FA"/>
    <w:multiLevelType w:val="hybridMultilevel"/>
    <w:lvl w:ilvl="0">
      <w:lvlJc w:val="left"/>
      <w:lvlText w:val="(%1)"/>
      <w:numFmt w:val="lowerRoman"/>
      <w:start w:val="1"/>
    </w:lvl>
  </w:abstractNum>
  <w:abstractNum w:abstractNumId="178">
    <w:nsid w:val="38A5D054"/>
    <w:multiLevelType w:val="hybridMultilevel"/>
    <w:lvl w:ilvl="0">
      <w:lvlJc w:val="left"/>
      <w:lvlText w:val="(%1)"/>
      <w:numFmt w:val="lowerRoman"/>
      <w:start w:val="4"/>
    </w:lvl>
  </w:abstractNum>
  <w:abstractNum w:abstractNumId="179">
    <w:nsid w:val="F3F09D8"/>
    <w:multiLevelType w:val="hybridMultilevel"/>
    <w:lvl w:ilvl="0">
      <w:lvlJc w:val="left"/>
      <w:lvlText w:val="(%1)"/>
      <w:numFmt w:val="upperLetter"/>
      <w:start w:val="2"/>
    </w:lvl>
  </w:abstractNum>
  <w:abstractNum w:abstractNumId="180">
    <w:nsid w:val="4B793735"/>
    <w:multiLevelType w:val="hybridMultilevel"/>
    <w:lvl w:ilvl="0">
      <w:lvlJc w:val="left"/>
      <w:lvlText w:val="%1)"/>
      <w:numFmt w:val="decimal"/>
      <w:start w:val="1"/>
    </w:lvl>
  </w:abstractNum>
  <w:abstractNum w:abstractNumId="181">
    <w:nsid w:val="4A10B4E8"/>
    <w:multiLevelType w:val="hybridMultilevel"/>
    <w:lvl w:ilvl="0">
      <w:lvlJc w:val="left"/>
      <w:lvlText w:val="%1)"/>
      <w:numFmt w:val="decimal"/>
      <w:start w:val="4"/>
    </w:lvl>
  </w:abstractNum>
  <w:abstractNum w:abstractNumId="182">
    <w:nsid w:val="43D3BCD4"/>
    <w:multiLevelType w:val="hybridMultilevel"/>
    <w:lvl w:ilvl="0">
      <w:lvlJc w:val="left"/>
      <w:lvlText w:val="%1."/>
      <w:numFmt w:val="decimal"/>
      <w:start w:val="1"/>
    </w:lvl>
    <w:lvl w:ilvl="1">
      <w:lvlJc w:val="left"/>
      <w:lvlText w:val="-"/>
      <w:numFmt w:val="bullet"/>
      <w:start w:val="1"/>
    </w:lvl>
  </w:abstractNum>
  <w:abstractNum w:abstractNumId="183">
    <w:nsid w:val="4C2A7166"/>
    <w:multiLevelType w:val="hybridMultilevel"/>
    <w:lvl w:ilvl="0">
      <w:lvlJc w:val="left"/>
      <w:lvlText w:val="%1."/>
      <w:numFmt w:val="decimal"/>
      <w:start w:val="3"/>
    </w:lvl>
    <w:lvl w:ilvl="1">
      <w:lvlJc w:val="left"/>
      <w:lvlText w:val="-"/>
      <w:numFmt w:val="bullet"/>
      <w:start w:val="1"/>
    </w:lvl>
  </w:abstractNum>
  <w:abstractNum w:abstractNumId="184">
    <w:nsid w:val="2E534A82"/>
    <w:multiLevelType w:val="hybridMultilevel"/>
    <w:lvl w:ilvl="0">
      <w:lvlJc w:val="left"/>
      <w:lvlText w:val="%1."/>
      <w:numFmt w:val="decimal"/>
      <w:start w:val="5"/>
    </w:lvl>
    <w:lvl w:ilvl="1">
      <w:lvlJc w:val="left"/>
      <w:lvlText w:val="-"/>
      <w:numFmt w:val="bullet"/>
      <w:start w:val="1"/>
    </w:lvl>
  </w:abstractNum>
  <w:abstractNum w:abstractNumId="185">
    <w:nsid w:val="26F2D364"/>
    <w:multiLevelType w:val="hybridMultilevel"/>
    <w:lvl w:ilvl="0">
      <w:lvlJc w:val="left"/>
      <w:lvlText w:val="(%1)"/>
      <w:numFmt w:val="lowerLetter"/>
      <w:start w:val="1"/>
    </w:lvl>
    <w:lvl w:ilvl="1">
      <w:lvlJc w:val="left"/>
      <w:lvlText w:val="-"/>
      <w:numFmt w:val="bullet"/>
      <w:start w:val="1"/>
    </w:lvl>
  </w:abstractNum>
  <w:abstractNum w:abstractNumId="186">
    <w:nsid w:val="71C1AF98"/>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187">
    <w:nsid w:val="3D00B9D9"/>
    <w:multiLevelType w:val="hybridMultilevel"/>
    <w:lvl w:ilvl="0">
      <w:lvlJc w:val="left"/>
      <w:lvlText w:val="(%1)"/>
      <w:numFmt w:val="lowerLetter"/>
      <w:start w:val="35"/>
    </w:lvl>
    <w:lvl w:ilvl="1">
      <w:lvlJc w:val="left"/>
      <w:lvlText w:val="(%2)"/>
      <w:numFmt w:val="lowerLetter"/>
      <w:start w:val="3"/>
    </w:lvl>
    <w:lvl w:ilvl="2">
      <w:lvlJc w:val="left"/>
      <w:lvlText w:val="-"/>
      <w:numFmt w:val="bullet"/>
      <w:start w:val="1"/>
    </w:lvl>
  </w:abstractNum>
  <w:abstractNum w:abstractNumId="188">
    <w:nsid w:val="15BCABA8"/>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189">
    <w:nsid w:val="4E0B9A87"/>
    <w:multiLevelType w:val="hybridMultilevel"/>
    <w:lvl w:ilvl="0">
      <w:lvlJc w:val="left"/>
      <w:lvlText w:val="%1."/>
      <w:numFmt w:val="decimal"/>
      <w:start w:val="7"/>
    </w:lvl>
    <w:lvl w:ilvl="1">
      <w:lvlJc w:val="left"/>
      <w:lvlText w:val="(%2)"/>
      <w:numFmt w:val="lowerLetter"/>
      <w:start w:val="9"/>
    </w:lvl>
    <w:lvl w:ilvl="2">
      <w:lvlJc w:val="left"/>
      <w:lvlText w:val="-"/>
      <w:numFmt w:val="bullet"/>
      <w:start w:val="1"/>
    </w:lvl>
  </w:abstractNum>
  <w:abstractNum w:abstractNumId="190">
    <w:nsid w:val="434BAE75"/>
    <w:multiLevelType w:val="hybridMultilevel"/>
    <w:lvl w:ilvl="0">
      <w:lvlJc w:val="left"/>
      <w:lvlText w:val="%1"/>
      <w:numFmt w:val="decimal"/>
      <w:start w:val="1"/>
    </w:lvl>
    <w:lvl w:ilvl="1">
      <w:lvlJc w:val="left"/>
      <w:lvlText w:val="(%2)"/>
      <w:numFmt w:val="lowerRoman"/>
      <w:start w:val="2"/>
    </w:lvl>
  </w:abstractNum>
  <w:abstractNum w:abstractNumId="191">
    <w:nsid w:val="4F38F265"/>
    <w:multiLevelType w:val="hybridMultilevel"/>
    <w:lvl w:ilvl="0">
      <w:lvlJc w:val="left"/>
      <w:lvlText w:val="%1."/>
      <w:numFmt w:val="decimal"/>
      <w:start w:val="10"/>
    </w:lvl>
    <w:lvl w:ilvl="1">
      <w:lvlJc w:val="left"/>
      <w:lvlText w:val="%2"/>
      <w:numFmt w:val="lowerRoman"/>
      <w:start w:val="1"/>
    </w:lvl>
  </w:abstractNum>
  <w:abstractNum w:abstractNumId="192">
    <w:nsid w:val="4C502870"/>
    <w:multiLevelType w:val="hybridMultilevel"/>
    <w:lvl w:ilvl="0">
      <w:lvlJc w:val="left"/>
      <w:lvlText w:val="%1."/>
      <w:numFmt w:val="decimal"/>
      <w:start w:val="1"/>
    </w:lvl>
  </w:abstractNum>
  <w:abstractNum w:abstractNumId="193">
    <w:nsid w:val="1DE8725A"/>
    <w:multiLevelType w:val="hybridMultilevel"/>
    <w:lvl w:ilvl="0">
      <w:lvlJc w:val="left"/>
      <w:lvlText w:val="%1."/>
      <w:numFmt w:val="decimal"/>
      <w:start w:val="3"/>
    </w:lvl>
  </w:abstractNum>
  <w:abstractNum w:abstractNumId="194">
    <w:nsid w:val="6A37288A"/>
    <w:multiLevelType w:val="hybridMultilevel"/>
    <w:lvl w:ilvl="0">
      <w:lvlJc w:val="left"/>
      <w:lvlText w:val="%1."/>
      <w:numFmt w:val="decimal"/>
      <w:start w:val="4"/>
    </w:lvl>
  </w:abstractNum>
  <w:abstractNum w:abstractNumId="195">
    <w:nsid w:val="8F8B73F"/>
    <w:multiLevelType w:val="hybridMultilevel"/>
    <w:lvl w:ilvl="0">
      <w:lvlJc w:val="left"/>
      <w:lvlText w:val="%1."/>
      <w:numFmt w:val="decimal"/>
      <w:start w:val="1"/>
    </w:lvl>
  </w:abstractNum>
  <w:abstractNum w:abstractNumId="196">
    <w:nsid w:val="CA6B462"/>
    <w:multiLevelType w:val="hybridMultilevel"/>
    <w:lvl w:ilvl="0">
      <w:lvlJc w:val="left"/>
      <w:lvlText w:val="%1."/>
      <w:numFmt w:val="decimal"/>
      <w:start w:val="5"/>
    </w:lvl>
    <w:lvl w:ilvl="1">
      <w:lvlJc w:val="left"/>
      <w:lvlText w:val="-"/>
      <w:numFmt w:val="bullet"/>
      <w:start w:val="1"/>
    </w:lvl>
  </w:abstractNum>
  <w:abstractNum w:abstractNumId="197">
    <w:nsid w:val="763CB680"/>
    <w:multiLevelType w:val="hybridMultilevel"/>
    <w:lvl w:ilvl="0">
      <w:lvlJc w:val="left"/>
      <w:lvlText w:val="(%1)"/>
      <w:numFmt w:val="upperLetter"/>
      <w:start w:val="1"/>
    </w:lvl>
  </w:abstractNum>
  <w:abstractNum w:abstractNumId="198">
    <w:nsid w:val="15B71329"/>
    <w:multiLevelType w:val="hybridMultilevel"/>
    <w:lvl w:ilvl="0">
      <w:lvlJc w:val="left"/>
      <w:lvlText w:val="(%1)"/>
      <w:numFmt w:val="upperLetter"/>
      <w:start w:val="1"/>
    </w:lvl>
  </w:abstractNum>
  <w:abstractNum w:abstractNumId="199">
    <w:nsid w:val="3DA97044"/>
    <w:multiLevelType w:val="hybridMultilevel"/>
    <w:lvl w:ilvl="0">
      <w:lvlJc w:val="left"/>
      <w:lvlText w:val="(%1)"/>
      <w:numFmt w:val="upperLetter"/>
      <w:start w:val="1"/>
    </w:lvl>
  </w:abstractNum>
  <w:abstractNum w:abstractNumId="200">
    <w:nsid w:val="1CDCE2DE"/>
    <w:multiLevelType w:val="hybridMultilevel"/>
    <w:lvl w:ilvl="0">
      <w:lvlJc w:val="left"/>
      <w:lvlText w:val="%1."/>
      <w:numFmt w:val="lowerRoman"/>
      <w:start w:val="2"/>
    </w:lvl>
  </w:abstractNum>
  <w:abstractNum w:abstractNumId="201">
    <w:nsid w:val="69D3947C"/>
    <w:multiLevelType w:val="hybridMultilevel"/>
    <w:lvl w:ilvl="0">
      <w:lvlJc w:val="left"/>
      <w:lvlText w:val="%1."/>
      <w:numFmt w:val="lowerRoman"/>
      <w:start w:val="3"/>
    </w:lvl>
  </w:abstractNum>
  <w:abstractNum w:abstractNumId="202">
    <w:nsid w:val="2539DFA5"/>
    <w:multiLevelType w:val="hybridMultilevel"/>
    <w:lvl w:ilvl="0">
      <w:lvlJc w:val="left"/>
      <w:lvlText w:val="(%1)"/>
      <w:numFmt w:val="upperLetter"/>
      <w:start w:val="2"/>
    </w:lvl>
  </w:abstractNum>
  <w:abstractNum w:abstractNumId="203">
    <w:nsid w:val="2DB88089"/>
    <w:multiLevelType w:val="hybridMultilevel"/>
    <w:lvl w:ilvl="0">
      <w:lvlJc w:val="left"/>
      <w:lvlText w:val="%1."/>
      <w:numFmt w:val="decimal"/>
      <w:start w:val="1"/>
    </w:lvl>
  </w:abstractNum>
  <w:abstractNum w:abstractNumId="204">
    <w:nsid w:val="706B674E"/>
    <w:multiLevelType w:val="hybridMultilevel"/>
    <w:lvl w:ilvl="0">
      <w:lvlJc w:val="left"/>
      <w:lvlText w:val="%1."/>
      <w:numFmt w:val="decimal"/>
      <w:start w:val="5"/>
    </w:lvl>
  </w:abstractNum>
  <w:abstractNum w:abstractNumId="205">
    <w:nsid w:val="2C106A57"/>
    <w:multiLevelType w:val="hybridMultilevel"/>
    <w:lvl w:ilvl="0">
      <w:lvlJc w:val="left"/>
      <w:lvlText w:val="(%1)"/>
      <w:numFmt w:val="upperLetter"/>
      <w:start w:val="1"/>
    </w:lvl>
  </w:abstractNum>
  <w:abstractNum w:abstractNumId="206">
    <w:nsid w:val="684EED59"/>
    <w:multiLevelType w:val="hybridMultilevel"/>
    <w:lvl w:ilvl="0">
      <w:lvlJc w:val="left"/>
      <w:lvlText w:val="(%1)"/>
      <w:numFmt w:val="upperLetter"/>
      <w:start w:val="1"/>
    </w:lvl>
  </w:abstractNum>
  <w:abstractNum w:abstractNumId="207">
    <w:nsid w:val="545EE5D3"/>
    <w:multiLevelType w:val="hybridMultilevel"/>
    <w:lvl w:ilvl="0">
      <w:lvlJc w:val="left"/>
      <w:lvlText w:val="(%1)"/>
      <w:numFmt w:val="upperLetter"/>
      <w:start w:val="1"/>
    </w:lvl>
  </w:abstractNum>
  <w:abstractNum w:abstractNumId="208">
    <w:nsid w:val="4A66051"/>
    <w:multiLevelType w:val="hybridMultilevel"/>
    <w:lvl w:ilvl="0">
      <w:lvlJc w:val="left"/>
      <w:lvlText w:val="%1."/>
      <w:numFmt w:val="lowerRoman"/>
      <w:start w:val="2"/>
    </w:lvl>
  </w:abstractNum>
  <w:abstractNum w:abstractNumId="209">
    <w:nsid w:val="20F4BDAD"/>
    <w:multiLevelType w:val="hybridMultilevel"/>
    <w:lvl w:ilvl="0">
      <w:lvlJc w:val="left"/>
      <w:lvlText w:val="%1."/>
      <w:numFmt w:val="lowerRoman"/>
      <w:start w:val="3"/>
    </w:lvl>
  </w:abstractNum>
  <w:abstractNum w:abstractNumId="210">
    <w:nsid w:val="639DEFAC"/>
    <w:multiLevelType w:val="hybridMultilevel"/>
    <w:lvl w:ilvl="0">
      <w:lvlJc w:val="left"/>
      <w:lvlText w:val="(%1)"/>
      <w:numFmt w:val="upperLetter"/>
      <w:start w:val="2"/>
    </w:lvl>
  </w:abstractNum>
  <w:abstractNum w:abstractNumId="211">
    <w:nsid w:val="501F9786"/>
    <w:multiLevelType w:val="hybridMultilevel"/>
    <w:lvl w:ilvl="0">
      <w:lvlJc w:val="left"/>
      <w:lvlText w:val="%1."/>
      <w:numFmt w:val="decimal"/>
      <w:start w:val="1"/>
    </w:lvl>
  </w:abstractNum>
  <w:abstractNum w:abstractNumId="212">
    <w:nsid w:val="6B057295"/>
    <w:multiLevelType w:val="hybridMultilevel"/>
    <w:lvl w:ilvl="0">
      <w:lvlJc w:val="left"/>
      <w:lvlText w:val="%1."/>
      <w:numFmt w:val="decimal"/>
      <w:start w:val="5"/>
    </w:lvl>
  </w:abstractNum>
  <w:abstractNum w:abstractNumId="213">
    <w:nsid w:val="2771AC80"/>
    <w:multiLevelType w:val="hybridMultilevel"/>
    <w:lvl w:ilvl="0">
      <w:lvlJc w:val="left"/>
      <w:lvlText w:val="%1."/>
      <w:numFmt w:val="decimal"/>
      <w:start w:val="1"/>
    </w:lvl>
  </w:abstractNum>
  <w:abstractNum w:abstractNumId="214">
    <w:nsid w:val="1C4A08EC"/>
    <w:multiLevelType w:val="hybridMultilevel"/>
    <w:lvl w:ilvl="0">
      <w:lvlJc w:val="left"/>
      <w:lvlText w:val="%1."/>
      <w:numFmt w:val="decimal"/>
      <w:start w:val="5"/>
    </w:lvl>
  </w:abstractNum>
  <w:abstractNum w:abstractNumId="215">
    <w:nsid w:val="1958BD17"/>
    <w:multiLevelType w:val="hybridMultilevel"/>
    <w:lvl w:ilvl="0">
      <w:lvlJc w:val="left"/>
      <w:lvlText w:val="(%1)"/>
      <w:numFmt w:val="decimal"/>
      <w:start w:val="1"/>
    </w:lvl>
  </w:abstractNum>
  <w:abstractNum w:abstractNumId="216">
    <w:nsid w:val="4E647FE4"/>
    <w:multiLevelType w:val="hybridMultilevel"/>
    <w:lvl w:ilvl="0">
      <w:lvlJc w:val="left"/>
      <w:lvlText w:val="%1."/>
      <w:numFmt w:val="decimal"/>
      <w:start w:val="1"/>
    </w:lvl>
  </w:abstractNum>
  <w:abstractNum w:abstractNumId="217">
    <w:nsid w:val="E0BB885"/>
    <w:multiLevelType w:val="hybridMultilevel"/>
    <w:lvl w:ilvl="0">
      <w:lvlJc w:val="left"/>
      <w:lvlText w:val="%1."/>
      <w:numFmt w:val="decimal"/>
      <w:start w:val="1"/>
    </w:lvl>
    <w:lvl w:ilvl="1">
      <w:lvlJc w:val="left"/>
      <w:lvlText w:val="%2)"/>
      <w:numFmt w:val="lowerLetter"/>
      <w:start w:val="1"/>
    </w:lvl>
  </w:abstractNum>
  <w:abstractNum w:abstractNumId="218">
    <w:nsid w:val="565976F1"/>
    <w:multiLevelType w:val="hybridMultilevel"/>
    <w:lvl w:ilvl="0">
      <w:lvlJc w:val="left"/>
      <w:lvlText w:val="%1."/>
      <w:numFmt w:val="decimal"/>
      <w:start w:val="1"/>
    </w:lvl>
    <w:lvl w:ilvl="1">
      <w:lvlJc w:val="left"/>
      <w:lvlText w:val="%2)"/>
      <w:numFmt w:val="lowerLetter"/>
      <w:start w:val="1"/>
    </w:lvl>
  </w:abstractNum>
  <w:abstractNum w:abstractNumId="219">
    <w:nsid w:val="64212B8C"/>
    <w:multiLevelType w:val="hybridMultilevel"/>
    <w:lvl w:ilvl="0">
      <w:lvlJc w:val="left"/>
      <w:lvlText w:val="(%1)"/>
      <w:numFmt w:val="decimal"/>
      <w:start w:val="1"/>
    </w:lvl>
  </w:abstractNum>
  <w:abstractNum w:abstractNumId="220">
    <w:nsid w:val="5C17530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jpeg"/><Relationship Id="rId295" Type="http://schemas.openxmlformats.org/officeDocument/2006/relationships/image" Target="media/image288.jpe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jpeg"/><Relationship Id="rId306" Type="http://schemas.openxmlformats.org/officeDocument/2006/relationships/image" Target="media/image299.jpeg"/><Relationship Id="rId307" Type="http://schemas.openxmlformats.org/officeDocument/2006/relationships/image" Target="media/image300.jpeg"/><Relationship Id="rId308" Type="http://schemas.openxmlformats.org/officeDocument/2006/relationships/image" Target="media/image301.jpeg"/><Relationship Id="rId309" Type="http://schemas.openxmlformats.org/officeDocument/2006/relationships/image" Target="media/image302.jpeg"/><Relationship Id="rId310" Type="http://schemas.openxmlformats.org/officeDocument/2006/relationships/image" Target="media/image303.jpe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jpe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jpeg"/><Relationship Id="rId323" Type="http://schemas.openxmlformats.org/officeDocument/2006/relationships/image" Target="media/image316.jpeg"/><Relationship Id="rId324" Type="http://schemas.openxmlformats.org/officeDocument/2006/relationships/image" Target="media/image317.jpeg"/><Relationship Id="rId325" Type="http://schemas.openxmlformats.org/officeDocument/2006/relationships/image" Target="media/image318.jpeg"/><Relationship Id="rId326" Type="http://schemas.openxmlformats.org/officeDocument/2006/relationships/image" Target="media/image319.jpeg"/><Relationship Id="rId327" Type="http://schemas.openxmlformats.org/officeDocument/2006/relationships/image" Target="media/image320.jpeg"/><Relationship Id="rId328" Type="http://schemas.openxmlformats.org/officeDocument/2006/relationships/image" Target="media/image321.jpeg"/><Relationship Id="rId329" Type="http://schemas.openxmlformats.org/officeDocument/2006/relationships/image" Target="media/image322.jpeg"/><Relationship Id="rId330" Type="http://schemas.openxmlformats.org/officeDocument/2006/relationships/image" Target="media/image323.jpeg"/><Relationship Id="rId331" Type="http://schemas.openxmlformats.org/officeDocument/2006/relationships/image" Target="media/image324.jpeg"/><Relationship Id="rId332" Type="http://schemas.openxmlformats.org/officeDocument/2006/relationships/image" Target="media/image325.jpeg"/><Relationship Id="rId333" Type="http://schemas.openxmlformats.org/officeDocument/2006/relationships/image" Target="media/image326.jpeg"/><Relationship Id="rId334" Type="http://schemas.openxmlformats.org/officeDocument/2006/relationships/image" Target="media/image327.jpeg"/><Relationship Id="rId335" Type="http://schemas.openxmlformats.org/officeDocument/2006/relationships/image" Target="media/image328.jpeg"/><Relationship Id="rId336" Type="http://schemas.openxmlformats.org/officeDocument/2006/relationships/image" Target="media/image329.jpeg"/><Relationship Id="rId337" Type="http://schemas.openxmlformats.org/officeDocument/2006/relationships/image" Target="media/image330.jpeg"/><Relationship Id="rId338" Type="http://schemas.openxmlformats.org/officeDocument/2006/relationships/image" Target="media/image331.jpeg"/><Relationship Id="rId339" Type="http://schemas.openxmlformats.org/officeDocument/2006/relationships/image" Target="media/image332.jpe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jpeg"/><Relationship Id="rId350" Type="http://schemas.openxmlformats.org/officeDocument/2006/relationships/image" Target="media/image343.jpe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jpeg"/><Relationship Id="rId357" Type="http://schemas.openxmlformats.org/officeDocument/2006/relationships/image" Target="media/image350.png"/><Relationship Id="rId358" Type="http://schemas.openxmlformats.org/officeDocument/2006/relationships/image" Target="media/image351.jpeg"/><Relationship Id="rId359" Type="http://schemas.openxmlformats.org/officeDocument/2006/relationships/image" Target="media/image352.jpe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jpeg"/><Relationship Id="rId363" Type="http://schemas.openxmlformats.org/officeDocument/2006/relationships/image" Target="media/image356.jpe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jpeg"/><Relationship Id="rId368" Type="http://schemas.openxmlformats.org/officeDocument/2006/relationships/image" Target="media/image361.jpeg"/><Relationship Id="rId369" Type="http://schemas.openxmlformats.org/officeDocument/2006/relationships/image" Target="media/image362.jpeg"/><Relationship Id="rId370" Type="http://schemas.openxmlformats.org/officeDocument/2006/relationships/image" Target="media/image363.jpeg"/><Relationship Id="rId371" Type="http://schemas.openxmlformats.org/officeDocument/2006/relationships/image" Target="media/image364.jpeg"/><Relationship Id="rId372" Type="http://schemas.openxmlformats.org/officeDocument/2006/relationships/image" Target="media/image365.jpeg"/><Relationship Id="rId373" Type="http://schemas.openxmlformats.org/officeDocument/2006/relationships/image" Target="media/image366.jpeg"/><Relationship Id="rId374" Type="http://schemas.openxmlformats.org/officeDocument/2006/relationships/image" Target="media/image367.jpeg"/><Relationship Id="rId375" Type="http://schemas.openxmlformats.org/officeDocument/2006/relationships/image" Target="media/image368.jpeg"/><Relationship Id="rId376" Type="http://schemas.openxmlformats.org/officeDocument/2006/relationships/image" Target="media/image369.jpeg"/><Relationship Id="rId377" Type="http://schemas.openxmlformats.org/officeDocument/2006/relationships/image" Target="media/image370.png"/><Relationship Id="rId378" Type="http://schemas.openxmlformats.org/officeDocument/2006/relationships/image" Target="media/image371.jpeg"/><Relationship Id="rId379" Type="http://schemas.openxmlformats.org/officeDocument/2006/relationships/image" Target="media/image372.jpeg"/><Relationship Id="rId380" Type="http://schemas.openxmlformats.org/officeDocument/2006/relationships/image" Target="media/image373.jpeg"/><Relationship Id="rId381" Type="http://schemas.openxmlformats.org/officeDocument/2006/relationships/image" Target="media/image374.jpeg"/><Relationship Id="rId382" Type="http://schemas.openxmlformats.org/officeDocument/2006/relationships/image" Target="media/image375.png"/><Relationship Id="rId383" Type="http://schemas.openxmlformats.org/officeDocument/2006/relationships/image" Target="media/image376.jpeg"/><Relationship Id="rId384" Type="http://schemas.openxmlformats.org/officeDocument/2006/relationships/image" Target="media/image377.jpeg"/><Relationship Id="rId385" Type="http://schemas.openxmlformats.org/officeDocument/2006/relationships/image" Target="media/image378.png"/><Relationship Id="rId386" Type="http://schemas.openxmlformats.org/officeDocument/2006/relationships/image" Target="media/image379.jpeg"/><Relationship Id="rId387" Type="http://schemas.openxmlformats.org/officeDocument/2006/relationships/image" Target="media/image380.jpeg"/><Relationship Id="rId388" Type="http://schemas.openxmlformats.org/officeDocument/2006/relationships/image" Target="media/image381.jpeg"/><Relationship Id="rId389" Type="http://schemas.openxmlformats.org/officeDocument/2006/relationships/image" Target="media/image382.jpeg"/><Relationship Id="rId390" Type="http://schemas.openxmlformats.org/officeDocument/2006/relationships/image" Target="media/image383.jpeg"/><Relationship Id="rId391" Type="http://schemas.openxmlformats.org/officeDocument/2006/relationships/image" Target="media/image384.png"/><Relationship Id="rId392" Type="http://schemas.openxmlformats.org/officeDocument/2006/relationships/image" Target="media/image385.jpeg"/><Relationship Id="rId393" Type="http://schemas.openxmlformats.org/officeDocument/2006/relationships/image" Target="media/image386.jpeg"/><Relationship Id="rId394" Type="http://schemas.openxmlformats.org/officeDocument/2006/relationships/image" Target="media/image387.jpeg"/><Relationship Id="rId395" Type="http://schemas.openxmlformats.org/officeDocument/2006/relationships/image" Target="media/image388.jpeg"/><Relationship Id="rId396" Type="http://schemas.openxmlformats.org/officeDocument/2006/relationships/image" Target="media/image389.jpeg"/><Relationship Id="rId397" Type="http://schemas.openxmlformats.org/officeDocument/2006/relationships/image" Target="media/image390.jpeg"/><Relationship Id="rId398" Type="http://schemas.openxmlformats.org/officeDocument/2006/relationships/image" Target="media/image391.jpeg"/><Relationship Id="rId399" Type="http://schemas.openxmlformats.org/officeDocument/2006/relationships/image" Target="media/image392.jpeg"/><Relationship Id="rId400" Type="http://schemas.openxmlformats.org/officeDocument/2006/relationships/image" Target="media/image393.jpeg"/><Relationship Id="rId401" Type="http://schemas.openxmlformats.org/officeDocument/2006/relationships/image" Target="media/image394.jpeg"/><Relationship Id="rId402" Type="http://schemas.openxmlformats.org/officeDocument/2006/relationships/image" Target="media/image395.jpeg"/><Relationship Id="rId403" Type="http://schemas.openxmlformats.org/officeDocument/2006/relationships/image" Target="media/image396.jpeg"/><Relationship Id="rId404" Type="http://schemas.openxmlformats.org/officeDocument/2006/relationships/image" Target="media/image397.jpeg"/><Relationship Id="rId405" Type="http://schemas.openxmlformats.org/officeDocument/2006/relationships/image" Target="media/image398.jpeg"/><Relationship Id="rId406" Type="http://schemas.openxmlformats.org/officeDocument/2006/relationships/image" Target="media/image399.jpeg"/><Relationship Id="rId407" Type="http://schemas.openxmlformats.org/officeDocument/2006/relationships/image" Target="media/image400.jpeg"/><Relationship Id="rId408" Type="http://schemas.openxmlformats.org/officeDocument/2006/relationships/image" Target="media/image401.jpeg"/><Relationship Id="rId409" Type="http://schemas.openxmlformats.org/officeDocument/2006/relationships/image" Target="media/image402.jpe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jpeg"/><Relationship Id="rId415" Type="http://schemas.openxmlformats.org/officeDocument/2006/relationships/image" Target="media/image408.jpeg"/><Relationship Id="rId416" Type="http://schemas.openxmlformats.org/officeDocument/2006/relationships/image" Target="media/image409.png"/><Relationship Id="rId417" Type="http://schemas.openxmlformats.org/officeDocument/2006/relationships/image" Target="media/image410.jpeg"/><Relationship Id="rId418" Type="http://schemas.openxmlformats.org/officeDocument/2006/relationships/image" Target="media/image411.jpeg"/><Relationship Id="rId419" Type="http://schemas.openxmlformats.org/officeDocument/2006/relationships/image" Target="media/image412.png"/><Relationship Id="rId420" Type="http://schemas.openxmlformats.org/officeDocument/2006/relationships/image" Target="media/image413.jpeg"/><Relationship Id="rId421" Type="http://schemas.openxmlformats.org/officeDocument/2006/relationships/image" Target="media/image414.jpeg"/><Relationship Id="rId422" Type="http://schemas.openxmlformats.org/officeDocument/2006/relationships/image" Target="media/image415.jpeg"/><Relationship Id="rId423" Type="http://schemas.openxmlformats.org/officeDocument/2006/relationships/image" Target="media/image416.jpeg"/><Relationship Id="rId424" Type="http://schemas.openxmlformats.org/officeDocument/2006/relationships/image" Target="media/image417.jpeg"/><Relationship Id="rId425" Type="http://schemas.openxmlformats.org/officeDocument/2006/relationships/image" Target="media/image418.jpeg"/><Relationship Id="rId426" Type="http://schemas.openxmlformats.org/officeDocument/2006/relationships/image" Target="media/image419.jpeg"/><Relationship Id="rId427" Type="http://schemas.openxmlformats.org/officeDocument/2006/relationships/image" Target="media/image420.jpeg"/><Relationship Id="rId428" Type="http://schemas.openxmlformats.org/officeDocument/2006/relationships/image" Target="media/image421.jpeg"/><Relationship Id="rId429" Type="http://schemas.openxmlformats.org/officeDocument/2006/relationships/image" Target="media/image422.jpeg"/><Relationship Id="rId430" Type="http://schemas.openxmlformats.org/officeDocument/2006/relationships/image" Target="media/image423.jpeg"/><Relationship Id="rId431" Type="http://schemas.openxmlformats.org/officeDocument/2006/relationships/image" Target="media/image424.png"/><Relationship Id="rId432" Type="http://schemas.openxmlformats.org/officeDocument/2006/relationships/image" Target="media/image425.jpeg"/><Relationship Id="rId433" Type="http://schemas.openxmlformats.org/officeDocument/2006/relationships/image" Target="media/image426.jpeg"/><Relationship Id="rId434" Type="http://schemas.openxmlformats.org/officeDocument/2006/relationships/image" Target="media/image427.jpeg"/><Relationship Id="rId435" Type="http://schemas.openxmlformats.org/officeDocument/2006/relationships/image" Target="media/image428.jpeg"/><Relationship Id="rId436" Type="http://schemas.openxmlformats.org/officeDocument/2006/relationships/image" Target="media/image429.jpeg"/><Relationship Id="rId437" Type="http://schemas.openxmlformats.org/officeDocument/2006/relationships/image" Target="media/image430.jpeg"/><Relationship Id="rId438" Type="http://schemas.openxmlformats.org/officeDocument/2006/relationships/image" Target="media/image431.jpeg"/><Relationship Id="rId439" Type="http://schemas.openxmlformats.org/officeDocument/2006/relationships/image" Target="media/image432.jpeg"/><Relationship Id="rId440" Type="http://schemas.openxmlformats.org/officeDocument/2006/relationships/image" Target="media/image433.jpeg"/><Relationship Id="rId441" Type="http://schemas.openxmlformats.org/officeDocument/2006/relationships/image" Target="media/image434.jpeg"/><Relationship Id="rId442" Type="http://schemas.openxmlformats.org/officeDocument/2006/relationships/image" Target="media/image435.png"/><Relationship Id="rId443" Type="http://schemas.openxmlformats.org/officeDocument/2006/relationships/image" Target="media/image436.jpeg"/><Relationship Id="rId444" Type="http://schemas.openxmlformats.org/officeDocument/2006/relationships/image" Target="media/image437.jpeg"/><Relationship Id="rId445" Type="http://schemas.openxmlformats.org/officeDocument/2006/relationships/image" Target="media/image438.jpe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jpeg"/><Relationship Id="rId451" Type="http://schemas.openxmlformats.org/officeDocument/2006/relationships/image" Target="media/image444.jpeg"/><Relationship Id="rId452" Type="http://schemas.openxmlformats.org/officeDocument/2006/relationships/image" Target="media/image445.jpeg"/><Relationship Id="rId453" Type="http://schemas.openxmlformats.org/officeDocument/2006/relationships/image" Target="media/image446.jpeg"/><Relationship Id="rId454" Type="http://schemas.openxmlformats.org/officeDocument/2006/relationships/image" Target="media/image447.jpeg"/><Relationship Id="rId455" Type="http://schemas.openxmlformats.org/officeDocument/2006/relationships/image" Target="media/image448.jpeg"/><Relationship Id="rId456" Type="http://schemas.openxmlformats.org/officeDocument/2006/relationships/image" Target="media/image449.jpeg"/><Relationship Id="rId457" Type="http://schemas.openxmlformats.org/officeDocument/2006/relationships/image" Target="media/image450.jpeg"/><Relationship Id="rId458" Type="http://schemas.openxmlformats.org/officeDocument/2006/relationships/image" Target="media/image451.png"/><Relationship Id="rId459" Type="http://schemas.openxmlformats.org/officeDocument/2006/relationships/image" Target="media/image452.jpeg"/><Relationship Id="rId460" Type="http://schemas.openxmlformats.org/officeDocument/2006/relationships/image" Target="media/image453.jpe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jpeg"/><Relationship Id="rId466" Type="http://schemas.openxmlformats.org/officeDocument/2006/relationships/image" Target="media/image459.jpeg"/><Relationship Id="rId467" Type="http://schemas.openxmlformats.org/officeDocument/2006/relationships/image" Target="media/image460.jpeg"/><Relationship Id="rId468" Type="http://schemas.openxmlformats.org/officeDocument/2006/relationships/image" Target="media/image461.jpeg"/><Relationship Id="rId469" Type="http://schemas.openxmlformats.org/officeDocument/2006/relationships/image" Target="media/image462.jpeg"/><Relationship Id="rId470" Type="http://schemas.openxmlformats.org/officeDocument/2006/relationships/image" Target="media/image463.jpe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jpeg"/><Relationship Id="rId474" Type="http://schemas.openxmlformats.org/officeDocument/2006/relationships/image" Target="media/image467.jpeg"/><Relationship Id="rId475" Type="http://schemas.openxmlformats.org/officeDocument/2006/relationships/image" Target="media/image468.png"/><Relationship Id="rId476" Type="http://schemas.openxmlformats.org/officeDocument/2006/relationships/image" Target="media/image469.jpeg"/><Relationship Id="rId477" Type="http://schemas.openxmlformats.org/officeDocument/2006/relationships/image" Target="media/image470.jpeg"/><Relationship Id="rId478" Type="http://schemas.openxmlformats.org/officeDocument/2006/relationships/image" Target="media/image471.jpeg"/><Relationship Id="rId479" Type="http://schemas.openxmlformats.org/officeDocument/2006/relationships/image" Target="media/image472.png"/><Relationship Id="rId480" Type="http://schemas.openxmlformats.org/officeDocument/2006/relationships/image" Target="media/image473.jpeg"/><Relationship Id="rId481" Type="http://schemas.openxmlformats.org/officeDocument/2006/relationships/image" Target="media/image474.jpeg"/><Relationship Id="rId482" Type="http://schemas.openxmlformats.org/officeDocument/2006/relationships/image" Target="media/image475.jpeg"/><Relationship Id="rId483" Type="http://schemas.openxmlformats.org/officeDocument/2006/relationships/image" Target="media/image476.jpeg"/><Relationship Id="rId484" Type="http://schemas.openxmlformats.org/officeDocument/2006/relationships/image" Target="media/image477.jpeg"/><Relationship Id="rId485" Type="http://schemas.openxmlformats.org/officeDocument/2006/relationships/image" Target="media/image478.jpeg"/><Relationship Id="rId486" Type="http://schemas.openxmlformats.org/officeDocument/2006/relationships/image" Target="media/image479.jpeg"/><Relationship Id="rId487" Type="http://schemas.openxmlformats.org/officeDocument/2006/relationships/image" Target="media/image480.jpeg"/><Relationship Id="rId488" Type="http://schemas.openxmlformats.org/officeDocument/2006/relationships/image" Target="media/image481.jpeg"/><Relationship Id="rId489" Type="http://schemas.openxmlformats.org/officeDocument/2006/relationships/image" Target="media/image482.jpeg"/><Relationship Id="rId490" Type="http://schemas.openxmlformats.org/officeDocument/2006/relationships/image" Target="media/image483.jpeg"/><Relationship Id="rId491" Type="http://schemas.openxmlformats.org/officeDocument/2006/relationships/image" Target="media/image484.jpeg"/><Relationship Id="rId492" Type="http://schemas.openxmlformats.org/officeDocument/2006/relationships/image" Target="media/image485.jpeg"/><Relationship Id="rId493" Type="http://schemas.openxmlformats.org/officeDocument/2006/relationships/image" Target="media/image486.jpeg"/><Relationship Id="rId494" Type="http://schemas.openxmlformats.org/officeDocument/2006/relationships/image" Target="media/image487.jpeg"/><Relationship Id="rId495" Type="http://schemas.openxmlformats.org/officeDocument/2006/relationships/image" Target="media/image488.jpeg"/><Relationship Id="rId496" Type="http://schemas.openxmlformats.org/officeDocument/2006/relationships/image" Target="media/image489.jpeg"/><Relationship Id="rId497" Type="http://schemas.openxmlformats.org/officeDocument/2006/relationships/image" Target="media/image490.jpeg"/><Relationship Id="rId498" Type="http://schemas.openxmlformats.org/officeDocument/2006/relationships/image" Target="media/image491.png"/><Relationship Id="rId499" Type="http://schemas.openxmlformats.org/officeDocument/2006/relationships/image" Target="media/image492.jpeg"/><Relationship Id="rId500" Type="http://schemas.openxmlformats.org/officeDocument/2006/relationships/image" Target="media/image493.jpeg"/><Relationship Id="rId501" Type="http://schemas.openxmlformats.org/officeDocument/2006/relationships/image" Target="media/image494.png"/><Relationship Id="rId502" Type="http://schemas.openxmlformats.org/officeDocument/2006/relationships/image" Target="media/image495.jpeg"/><Relationship Id="rId503" Type="http://schemas.openxmlformats.org/officeDocument/2006/relationships/image" Target="media/image496.jpeg"/><Relationship Id="rId504" Type="http://schemas.openxmlformats.org/officeDocument/2006/relationships/image" Target="media/image497.png"/><Relationship Id="rId505" Type="http://schemas.openxmlformats.org/officeDocument/2006/relationships/image" Target="media/image498.jpeg"/><Relationship Id="rId506" Type="http://schemas.openxmlformats.org/officeDocument/2006/relationships/image" Target="media/image499.jpeg"/><Relationship Id="rId507" Type="http://schemas.openxmlformats.org/officeDocument/2006/relationships/image" Target="media/image500.png"/><Relationship Id="rId508" Type="http://schemas.openxmlformats.org/officeDocument/2006/relationships/image" Target="media/image501.jpeg"/><Relationship Id="rId509" Type="http://schemas.openxmlformats.org/officeDocument/2006/relationships/image" Target="media/image502.jpeg"/><Relationship Id="rId510" Type="http://schemas.openxmlformats.org/officeDocument/2006/relationships/image" Target="media/image503.jpeg"/><Relationship Id="rId511" Type="http://schemas.openxmlformats.org/officeDocument/2006/relationships/image" Target="media/image504.jpeg"/><Relationship Id="rId512" Type="http://schemas.openxmlformats.org/officeDocument/2006/relationships/image" Target="media/image505.png"/><Relationship Id="rId513" Type="http://schemas.openxmlformats.org/officeDocument/2006/relationships/image" Target="media/image506.jpeg"/><Relationship Id="rId514" Type="http://schemas.openxmlformats.org/officeDocument/2006/relationships/image" Target="media/image507.jpeg"/><Relationship Id="rId515" Type="http://schemas.openxmlformats.org/officeDocument/2006/relationships/image" Target="media/image508.jpe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jpeg"/><Relationship Id="rId519" Type="http://schemas.openxmlformats.org/officeDocument/2006/relationships/image" Target="media/image512.jpeg"/><Relationship Id="rId520" Type="http://schemas.openxmlformats.org/officeDocument/2006/relationships/image" Target="media/image513.jpeg"/><Relationship Id="rId521" Type="http://schemas.openxmlformats.org/officeDocument/2006/relationships/image" Target="media/image514.jpeg"/><Relationship Id="rId522" Type="http://schemas.openxmlformats.org/officeDocument/2006/relationships/image" Target="media/image515.jpeg"/><Relationship Id="rId523" Type="http://schemas.openxmlformats.org/officeDocument/2006/relationships/image" Target="media/image516.jpeg"/><Relationship Id="rId524" Type="http://schemas.openxmlformats.org/officeDocument/2006/relationships/image" Target="media/image517.png"/><Relationship Id="rId525" Type="http://schemas.openxmlformats.org/officeDocument/2006/relationships/image" Target="media/image518.jpeg"/><Relationship Id="rId526" Type="http://schemas.openxmlformats.org/officeDocument/2006/relationships/image" Target="media/image519.jpeg"/><Relationship Id="rId527" Type="http://schemas.openxmlformats.org/officeDocument/2006/relationships/image" Target="media/image520.jpeg"/><Relationship Id="rId528" Type="http://schemas.openxmlformats.org/officeDocument/2006/relationships/image" Target="media/image521.jpeg"/><Relationship Id="rId529" Type="http://schemas.openxmlformats.org/officeDocument/2006/relationships/image" Target="media/image522.jpeg"/><Relationship Id="rId530" Type="http://schemas.openxmlformats.org/officeDocument/2006/relationships/image" Target="media/image523.jpeg"/><Relationship Id="rId531" Type="http://schemas.openxmlformats.org/officeDocument/2006/relationships/image" Target="media/image524.jpeg"/><Relationship Id="rId532" Type="http://schemas.openxmlformats.org/officeDocument/2006/relationships/image" Target="media/image525.jpeg"/><Relationship Id="rId533" Type="http://schemas.openxmlformats.org/officeDocument/2006/relationships/image" Target="media/image526.jpeg"/><Relationship Id="rId534" Type="http://schemas.openxmlformats.org/officeDocument/2006/relationships/image" Target="media/image527.jpeg"/><Relationship Id="rId535" Type="http://schemas.openxmlformats.org/officeDocument/2006/relationships/image" Target="media/image528.jpeg"/><Relationship Id="rId536" Type="http://schemas.openxmlformats.org/officeDocument/2006/relationships/image" Target="media/image529.jpeg"/><Relationship Id="rId537" Type="http://schemas.openxmlformats.org/officeDocument/2006/relationships/image" Target="media/image530.jpeg"/><Relationship Id="rId538" Type="http://schemas.openxmlformats.org/officeDocument/2006/relationships/image" Target="media/image531.jpeg"/><Relationship Id="rId539" Type="http://schemas.openxmlformats.org/officeDocument/2006/relationships/image" Target="media/image532.jpeg"/><Relationship Id="rId540" Type="http://schemas.openxmlformats.org/officeDocument/2006/relationships/image" Target="media/image533.jpeg"/><Relationship Id="rId541" Type="http://schemas.openxmlformats.org/officeDocument/2006/relationships/image" Target="media/image534.jpeg"/><Relationship Id="rId542" Type="http://schemas.openxmlformats.org/officeDocument/2006/relationships/image" Target="media/image535.jpeg"/><Relationship Id="rId543" Type="http://schemas.openxmlformats.org/officeDocument/2006/relationships/image" Target="media/image536.jpeg"/><Relationship Id="rId544" Type="http://schemas.openxmlformats.org/officeDocument/2006/relationships/image" Target="media/image537.jpeg"/><Relationship Id="rId545" Type="http://schemas.openxmlformats.org/officeDocument/2006/relationships/image" Target="media/image538.jpeg"/><Relationship Id="rId546" Type="http://schemas.openxmlformats.org/officeDocument/2006/relationships/image" Target="media/image539.jpeg"/><Relationship Id="rId547" Type="http://schemas.openxmlformats.org/officeDocument/2006/relationships/image" Target="media/image540.jpe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jpeg"/><Relationship Id="rId551" Type="http://schemas.openxmlformats.org/officeDocument/2006/relationships/image" Target="media/image544.jpeg"/><Relationship Id="rId552" Type="http://schemas.openxmlformats.org/officeDocument/2006/relationships/image" Target="media/image545.jpeg"/><Relationship Id="rId553" Type="http://schemas.openxmlformats.org/officeDocument/2006/relationships/image" Target="media/image546.jpeg"/><Relationship Id="rId554" Type="http://schemas.openxmlformats.org/officeDocument/2006/relationships/image" Target="media/image547.png"/><Relationship Id="rId555" Type="http://schemas.openxmlformats.org/officeDocument/2006/relationships/image" Target="media/image548.jpeg"/><Relationship Id="rId556" Type="http://schemas.openxmlformats.org/officeDocument/2006/relationships/image" Target="media/image549.jpeg"/><Relationship Id="rId557" Type="http://schemas.openxmlformats.org/officeDocument/2006/relationships/image" Target="media/image550.jpeg"/><Relationship Id="rId558" Type="http://schemas.openxmlformats.org/officeDocument/2006/relationships/image" Target="media/image551.jpeg"/><Relationship Id="rId559" Type="http://schemas.openxmlformats.org/officeDocument/2006/relationships/image" Target="media/image552.png"/><Relationship Id="rId560" Type="http://schemas.openxmlformats.org/officeDocument/2006/relationships/image" Target="media/image553.jpeg"/><Relationship Id="rId561" Type="http://schemas.openxmlformats.org/officeDocument/2006/relationships/image" Target="media/image554.jpeg"/><Relationship Id="rId562" Type="http://schemas.openxmlformats.org/officeDocument/2006/relationships/image" Target="media/image555.jpeg"/><Relationship Id="rId563" Type="http://schemas.openxmlformats.org/officeDocument/2006/relationships/image" Target="media/image556.png"/><Relationship Id="rId564" Type="http://schemas.openxmlformats.org/officeDocument/2006/relationships/image" Target="media/image557.jpeg"/><Relationship Id="rId565" Type="http://schemas.openxmlformats.org/officeDocument/2006/relationships/image" Target="media/image558.jpeg"/><Relationship Id="rId566" Type="http://schemas.openxmlformats.org/officeDocument/2006/relationships/image" Target="media/image559.jpe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jpeg"/><Relationship Id="rId572" Type="http://schemas.openxmlformats.org/officeDocument/2006/relationships/image" Target="media/image565.jpeg"/><Relationship Id="rId573" Type="http://schemas.openxmlformats.org/officeDocument/2006/relationships/image" Target="media/image566.jpeg"/><Relationship Id="rId574" Type="http://schemas.openxmlformats.org/officeDocument/2006/relationships/image" Target="media/image567.jpe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jpeg"/><Relationship Id="rId578" Type="http://schemas.openxmlformats.org/officeDocument/2006/relationships/image" Target="media/image571.png"/><Relationship Id="rId579" Type="http://schemas.openxmlformats.org/officeDocument/2006/relationships/image" Target="media/image572.jpeg"/><Relationship Id="rId580" Type="http://schemas.openxmlformats.org/officeDocument/2006/relationships/image" Target="media/image573.jpeg"/><Relationship Id="rId581" Type="http://schemas.openxmlformats.org/officeDocument/2006/relationships/image" Target="media/image574.jpeg"/><Relationship Id="rId582" Type="http://schemas.openxmlformats.org/officeDocument/2006/relationships/image" Target="media/image575.jpeg"/><Relationship Id="rId583" Type="http://schemas.openxmlformats.org/officeDocument/2006/relationships/image" Target="media/image576.jpeg"/><Relationship Id="rId584" Type="http://schemas.openxmlformats.org/officeDocument/2006/relationships/image" Target="media/image577.jpeg"/><Relationship Id="rId585" Type="http://schemas.openxmlformats.org/officeDocument/2006/relationships/image" Target="media/image578.jpeg"/><Relationship Id="rId586" Type="http://schemas.openxmlformats.org/officeDocument/2006/relationships/image" Target="media/image579.jpeg"/><Relationship Id="rId587" Type="http://schemas.openxmlformats.org/officeDocument/2006/relationships/image" Target="media/image580.jpeg"/><Relationship Id="rId588" Type="http://schemas.openxmlformats.org/officeDocument/2006/relationships/image" Target="media/image581.jpe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2019-12-05T12:35:17Z</dcterms:created>
  <dcterms:modified xsi:type="dcterms:W3CDTF">2019-12-05T12:35:17Z</dcterms:modified>
</cp:coreProperties>
</file>