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9" w:lineRule="exact"/>
        <w:rPr>
          <w:sz w:val="24"/>
          <w:szCs w:val="24"/>
          <w:color w:val="auto"/>
        </w:rPr>
      </w:pPr>
    </w:p>
    <w:p>
      <w:pPr>
        <w:ind w:left="500" w:right="20" w:hanging="492"/>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0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tbl>
      <w:tblPr>
        <w:tblLayout w:type="fixed"/>
        <w:tblInd w:w="360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720" w:type="dxa"/>
            <w:vAlign w:val="bottom"/>
            <w:tcBorders>
              <w:bottom w:val="single" w:sz="8" w:color="auto"/>
            </w:tcBorders>
          </w:tcPr>
          <w:p>
            <w:pPr>
              <w:spacing w:after="0"/>
              <w:rPr>
                <w:sz w:val="17"/>
                <w:szCs w:val="17"/>
                <w:color w:val="auto"/>
              </w:rPr>
            </w:pPr>
          </w:p>
        </w:tc>
        <w:tc>
          <w:tcPr>
            <w:tcW w:w="200" w:type="dxa"/>
            <w:vAlign w:val="bottom"/>
          </w:tcPr>
          <w:p>
            <w:pPr>
              <w:ind w:left="60"/>
              <w:spacing w:after="0"/>
              <w:rPr>
                <w:sz w:val="20"/>
                <w:szCs w:val="20"/>
                <w:color w:val="auto"/>
              </w:rPr>
            </w:pPr>
            <w:r>
              <w:rPr>
                <w:rFonts w:ascii="Arial" w:cs="Arial" w:eastAsia="Arial" w:hAnsi="Arial"/>
                <w:sz w:val="18"/>
                <w:szCs w:val="18"/>
                <w:b w:val="1"/>
                <w:bCs w:val="1"/>
                <w:color w:val="auto"/>
                <w:w w:val="70"/>
              </w:rPr>
              <w:t>to</w:t>
            </w:r>
          </w:p>
        </w:tc>
      </w:tr>
      <w:tr>
        <w:trPr>
          <w:trHeight w:val="304"/>
        </w:trPr>
        <w:tc>
          <w:tcPr>
            <w:tcW w:w="3280" w:type="dxa"/>
            <w:vAlign w:val="bottom"/>
            <w:gridSpan w:val="3"/>
          </w:tcPr>
          <w:p>
            <w:pPr>
              <w:ind w:left="800"/>
              <w:spacing w:after="0"/>
              <w:rPr>
                <w:sz w:val="20"/>
                <w:szCs w:val="20"/>
                <w:color w:val="auto"/>
              </w:rPr>
            </w:pPr>
            <w:r>
              <w:rPr>
                <w:rFonts w:ascii="Arial" w:cs="Arial" w:eastAsia="Arial" w:hAnsi="Arial"/>
                <w:sz w:val="18"/>
                <w:szCs w:val="18"/>
                <w:b w:val="1"/>
                <w:bCs w:val="1"/>
                <w:color w:val="auto"/>
                <w:w w:val="90"/>
              </w:rPr>
              <w:t>Commission file number 1-7677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4399915</wp:posOffset>
            </wp:positionH>
            <wp:positionV relativeFrom="paragraph">
              <wp:posOffset>-205105</wp:posOffset>
            </wp:positionV>
            <wp:extent cx="4572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LSB Industries,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480" w:type="dxa"/>
        <w:tblCellMar>
          <w:top w:w="0" w:type="dxa"/>
          <w:left w:w="0" w:type="dxa"/>
          <w:bottom w:w="0" w:type="dxa"/>
          <w:right w:w="0" w:type="dxa"/>
        </w:tblCellMar>
      </w:tblPr>
      <w:tr>
        <w:trPr>
          <w:trHeight w:val="212"/>
        </w:trPr>
        <w:tc>
          <w:tcPr>
            <w:tcW w:w="7420" w:type="dxa"/>
            <w:vAlign w:val="bottom"/>
          </w:tcPr>
          <w:p>
            <w:pPr>
              <w:jc w:val="center"/>
              <w:ind w:right="2782"/>
              <w:spacing w:after="0"/>
              <w:rPr>
                <w:sz w:val="20"/>
                <w:szCs w:val="20"/>
                <w:color w:val="auto"/>
              </w:rPr>
            </w:pPr>
            <w:r>
              <w:rPr>
                <w:rFonts w:ascii="Arial" w:cs="Arial" w:eastAsia="Arial" w:hAnsi="Arial"/>
                <w:sz w:val="18"/>
                <w:szCs w:val="18"/>
                <w:b w:val="1"/>
                <w:bCs w:val="1"/>
                <w:color w:val="auto"/>
                <w:w w:val="91"/>
              </w:rPr>
              <w:t>Delaware</w:t>
            </w:r>
          </w:p>
        </w:tc>
        <w:tc>
          <w:tcPr>
            <w:tcW w:w="1160" w:type="dxa"/>
            <w:vAlign w:val="bottom"/>
          </w:tcPr>
          <w:p>
            <w:pPr>
              <w:jc w:val="right"/>
              <w:ind w:right="61"/>
              <w:spacing w:after="0"/>
              <w:rPr>
                <w:sz w:val="20"/>
                <w:szCs w:val="20"/>
                <w:color w:val="auto"/>
              </w:rPr>
            </w:pPr>
            <w:r>
              <w:rPr>
                <w:rFonts w:ascii="Arial" w:cs="Arial" w:eastAsia="Arial" w:hAnsi="Arial"/>
                <w:sz w:val="18"/>
                <w:szCs w:val="18"/>
                <w:b w:val="1"/>
                <w:bCs w:val="1"/>
                <w:color w:val="auto"/>
              </w:rPr>
              <w:t>73-1015226</w:t>
            </w:r>
          </w:p>
        </w:tc>
      </w:tr>
      <w:tr>
        <w:trPr>
          <w:trHeight w:val="149"/>
        </w:trPr>
        <w:tc>
          <w:tcPr>
            <w:tcW w:w="7420" w:type="dxa"/>
            <w:vAlign w:val="bottom"/>
          </w:tcPr>
          <w:p>
            <w:pPr>
              <w:jc w:val="center"/>
              <w:ind w:right="27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420" w:type="dxa"/>
            <w:vAlign w:val="bottom"/>
          </w:tcPr>
          <w:p>
            <w:pPr>
              <w:jc w:val="center"/>
              <w:ind w:right="2782"/>
              <w:spacing w:after="0"/>
              <w:rPr>
                <w:sz w:val="20"/>
                <w:szCs w:val="20"/>
                <w:color w:val="auto"/>
              </w:rPr>
            </w:pPr>
            <w:r>
              <w:rPr>
                <w:rFonts w:ascii="Arial" w:cs="Arial" w:eastAsia="Arial" w:hAnsi="Arial"/>
                <w:sz w:val="14"/>
                <w:szCs w:val="14"/>
                <w:b w:val="1"/>
                <w:bCs w:val="1"/>
                <w:color w:val="auto"/>
                <w:w w:val="94"/>
              </w:rPr>
              <w:t>incorporation or organization)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259"/>
        </w:trPr>
        <w:tc>
          <w:tcPr>
            <w:tcW w:w="7420" w:type="dxa"/>
            <w:vAlign w:val="bottom"/>
          </w:tcPr>
          <w:p>
            <w:pPr>
              <w:jc w:val="center"/>
              <w:ind w:right="2782"/>
              <w:spacing w:after="0"/>
              <w:rPr>
                <w:sz w:val="20"/>
                <w:szCs w:val="20"/>
                <w:color w:val="auto"/>
              </w:rPr>
            </w:pPr>
            <w:r>
              <w:rPr>
                <w:rFonts w:ascii="Arial" w:cs="Arial" w:eastAsia="Arial" w:hAnsi="Arial"/>
                <w:sz w:val="18"/>
                <w:szCs w:val="18"/>
                <w:b w:val="1"/>
                <w:bCs w:val="1"/>
                <w:color w:val="auto"/>
                <w:w w:val="92"/>
              </w:rPr>
              <w:t>3503 NW 63</w:t>
            </w:r>
            <w:r>
              <w:rPr>
                <w:rFonts w:ascii="Arial" w:cs="Arial" w:eastAsia="Arial" w:hAnsi="Arial"/>
                <w:sz w:val="15"/>
                <w:szCs w:val="15"/>
                <w:b w:val="1"/>
                <w:bCs w:val="1"/>
                <w:color w:val="auto"/>
                <w:w w:val="92"/>
              </w:rPr>
              <w:t>rd</w:t>
            </w:r>
            <w:r>
              <w:rPr>
                <w:rFonts w:ascii="Arial" w:cs="Arial" w:eastAsia="Arial" w:hAnsi="Arial"/>
                <w:sz w:val="18"/>
                <w:szCs w:val="18"/>
                <w:b w:val="1"/>
                <w:bCs w:val="1"/>
                <w:color w:val="auto"/>
                <w:w w:val="92"/>
              </w:rPr>
              <w:t xml:space="preserve"> Street, Suite 500, Oklahoma City, Oklahoma</w:t>
            </w:r>
          </w:p>
        </w:tc>
        <w:tc>
          <w:tcPr>
            <w:tcW w:w="1160" w:type="dxa"/>
            <w:vAlign w:val="bottom"/>
          </w:tcPr>
          <w:p>
            <w:pPr>
              <w:jc w:val="right"/>
              <w:ind w:right="261"/>
              <w:spacing w:after="0"/>
              <w:rPr>
                <w:sz w:val="20"/>
                <w:szCs w:val="20"/>
                <w:color w:val="auto"/>
              </w:rPr>
            </w:pPr>
            <w:r>
              <w:rPr>
                <w:rFonts w:ascii="Arial" w:cs="Arial" w:eastAsia="Arial" w:hAnsi="Arial"/>
                <w:sz w:val="18"/>
                <w:szCs w:val="18"/>
                <w:b w:val="1"/>
                <w:bCs w:val="1"/>
                <w:color w:val="auto"/>
              </w:rPr>
              <w:t>73116</w:t>
            </w:r>
          </w:p>
        </w:tc>
      </w:tr>
      <w:tr>
        <w:trPr>
          <w:trHeight w:val="186"/>
        </w:trPr>
        <w:tc>
          <w:tcPr>
            <w:tcW w:w="7420" w:type="dxa"/>
            <w:vAlign w:val="bottom"/>
          </w:tcPr>
          <w:p>
            <w:pPr>
              <w:jc w:val="center"/>
              <w:ind w:right="276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282"/>
        </w:trPr>
        <w:tc>
          <w:tcPr>
            <w:tcW w:w="7420" w:type="dxa"/>
            <w:vAlign w:val="bottom"/>
          </w:tcPr>
          <w:p>
            <w:pPr>
              <w:ind w:left="2920"/>
              <w:spacing w:after="0"/>
              <w:rPr>
                <w:sz w:val="20"/>
                <w:szCs w:val="20"/>
                <w:color w:val="auto"/>
              </w:rPr>
            </w:pPr>
            <w:r>
              <w:rPr>
                <w:rFonts w:ascii="Arial" w:cs="Arial" w:eastAsia="Arial" w:hAnsi="Arial"/>
                <w:sz w:val="14"/>
                <w:szCs w:val="14"/>
                <w:b w:val="1"/>
                <w:bCs w:val="1"/>
                <w:color w:val="auto"/>
                <w:w w:val="94"/>
              </w:rPr>
              <w:t xml:space="preserve">(Registrant's telephone number, including area code) </w:t>
            </w:r>
            <w:r>
              <w:rPr>
                <w:rFonts w:ascii="Arial" w:cs="Arial" w:eastAsia="Arial" w:hAnsi="Arial"/>
                <w:sz w:val="17"/>
                <w:szCs w:val="17"/>
                <w:b w:val="1"/>
                <w:bCs w:val="1"/>
                <w:color w:val="auto"/>
                <w:w w:val="94"/>
              </w:rPr>
              <w:t>(405) 235-4546</w:t>
            </w:r>
          </w:p>
        </w:tc>
        <w:tc>
          <w:tcPr>
            <w:tcW w:w="1160" w:type="dxa"/>
            <w:vAlign w:val="bottom"/>
          </w:tcPr>
          <w:p>
            <w:pPr>
              <w:spacing w:after="0"/>
              <w:rPr>
                <w:sz w:val="24"/>
                <w:szCs w:val="24"/>
                <w:color w:val="auto"/>
              </w:rPr>
            </w:pPr>
          </w:p>
        </w:tc>
      </w:tr>
    </w:tbl>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08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52"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20" w:type="dxa"/>
            <w:vAlign w:val="bottom"/>
          </w:tcPr>
          <w:p>
            <w:pPr>
              <w:spacing w:after="0"/>
              <w:rPr>
                <w:sz w:val="14"/>
                <w:szCs w:val="1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91"/>
        </w:trPr>
        <w:tc>
          <w:tcPr>
            <w:tcW w:w="42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$.10</w:t>
            </w:r>
          </w:p>
        </w:tc>
        <w:tc>
          <w:tcPr>
            <w:tcW w:w="120" w:type="dxa"/>
            <w:vAlign w:val="bottom"/>
          </w:tcPr>
          <w:p>
            <w:pPr>
              <w:spacing w:after="0"/>
              <w:rPr>
                <w:sz w:val="16"/>
                <w:szCs w:val="16"/>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LXU</w:t>
            </w:r>
          </w:p>
        </w:tc>
        <w:tc>
          <w:tcPr>
            <w:tcW w:w="50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63"/>
        </w:trPr>
        <w:tc>
          <w:tcPr>
            <w:tcW w:w="44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8"/>
              </w:rPr>
              <w:t>Preferred Stock Purchase Rights</w:t>
            </w:r>
          </w:p>
        </w:tc>
        <w:tc>
          <w:tcPr>
            <w:tcW w:w="1800" w:type="dxa"/>
            <w:vAlign w:val="bottom"/>
            <w:gridSpan w:val="2"/>
            <w:vMerge w:val="continue"/>
          </w:tcPr>
          <w:p>
            <w:pPr>
              <w:spacing w:after="0"/>
              <w:rPr>
                <w:sz w:val="5"/>
                <w:szCs w:val="5"/>
                <w:color w:val="auto"/>
              </w:rPr>
            </w:pPr>
          </w:p>
        </w:tc>
        <w:tc>
          <w:tcPr>
            <w:tcW w:w="5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186"/>
        </w:trPr>
        <w:tc>
          <w:tcPr>
            <w:tcW w:w="4400" w:type="dxa"/>
            <w:vAlign w:val="bottom"/>
            <w:gridSpan w:val="2"/>
            <w:vMerge w:val="continue"/>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N/A</w:t>
            </w: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54"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260" w:hanging="252"/>
        <w:spacing w:after="0" w:line="207" w:lineRule="exact"/>
        <w:tabs>
          <w:tab w:leader="none" w:pos="2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5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5020" w:type="dxa"/>
            <w:vAlign w:val="bottom"/>
          </w:tcPr>
          <w:p>
            <w:pPr>
              <w:ind w:left="286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260" w:hanging="252"/>
        <w:spacing w:after="0" w:line="207" w:lineRule="exact"/>
        <w:tabs>
          <w:tab w:leader="none" w:pos="2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was 29,317,168 shares as of July 24,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FORM 10-Q OF 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9800" w:type="dxa"/>
            <w:vAlign w:val="bottom"/>
          </w:tcPr>
          <w:p>
            <w:pPr>
              <w:ind w:left="3780"/>
              <w:spacing w:after="0"/>
              <w:rPr>
                <w:sz w:val="20"/>
                <w:szCs w:val="20"/>
                <w:color w:val="auto"/>
              </w:rPr>
            </w:pPr>
            <w:r>
              <w:rPr>
                <w:rFonts w:ascii="Arial" w:cs="Arial" w:eastAsia="Arial" w:hAnsi="Arial"/>
                <w:sz w:val="18"/>
                <w:szCs w:val="18"/>
                <w:color w:val="auto"/>
              </w:rPr>
              <w:t>PART I – Financial Information</w:t>
            </w: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Page</w:t>
            </w:r>
          </w:p>
        </w:tc>
      </w:tr>
      <w:tr>
        <w:trPr>
          <w:trHeight w:val="425"/>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9800" w:type="dxa"/>
            <w:vAlign w:val="bottom"/>
          </w:tcPr>
          <w:p>
            <w:pPr>
              <w:ind w:left="1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9800" w:type="dxa"/>
            <w:vAlign w:val="bottom"/>
          </w:tcPr>
          <w:p>
            <w:pPr>
              <w:ind w:left="1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9800" w:type="dxa"/>
            <w:vAlign w:val="bottom"/>
          </w:tcPr>
          <w:p>
            <w:pPr>
              <w:ind w:left="14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Quantitative and Qualitative Disclosures About Market Risk</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9800" w:type="dxa"/>
            <w:vAlign w:val="bottom"/>
          </w:tcPr>
          <w:p>
            <w:pPr>
              <w:ind w:left="14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780" w:type="dxa"/>
            <w:vAlign w:val="bottom"/>
          </w:tcPr>
          <w:p>
            <w:pPr>
              <w:spacing w:after="0"/>
              <w:rPr>
                <w:sz w:val="24"/>
                <w:szCs w:val="24"/>
                <w:color w:val="auto"/>
              </w:rPr>
            </w:pPr>
          </w:p>
        </w:tc>
        <w:tc>
          <w:tcPr>
            <w:tcW w:w="9800" w:type="dxa"/>
            <w:vAlign w:val="bottom"/>
          </w:tcPr>
          <w:p>
            <w:pPr>
              <w:ind w:left="3880"/>
              <w:spacing w:after="0"/>
              <w:rPr>
                <w:sz w:val="20"/>
                <w:szCs w:val="20"/>
                <w:color w:val="auto"/>
              </w:rPr>
            </w:pPr>
            <w:r>
              <w:rPr>
                <w:rFonts w:ascii="Arial" w:cs="Arial" w:eastAsia="Arial" w:hAnsi="Arial"/>
                <w:sz w:val="18"/>
                <w:szCs w:val="18"/>
                <w:color w:val="auto"/>
              </w:rPr>
              <w:t>PART II – Other Information</w:t>
            </w:r>
          </w:p>
        </w:tc>
        <w:tc>
          <w:tcPr>
            <w:tcW w:w="660" w:type="dxa"/>
            <w:vAlign w:val="bottom"/>
          </w:tcPr>
          <w:p>
            <w:pPr>
              <w:spacing w:after="0"/>
              <w:rPr>
                <w:sz w:val="24"/>
                <w:szCs w:val="24"/>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9800" w:type="dxa"/>
            <w:vAlign w:val="bottom"/>
          </w:tcPr>
          <w:p>
            <w:pPr>
              <w:ind w:left="1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9800" w:type="dxa"/>
            <w:vAlign w:val="bottom"/>
          </w:tcPr>
          <w:p>
            <w:pPr>
              <w:ind w:left="1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9800" w:type="dxa"/>
            <w:vAlign w:val="bottom"/>
          </w:tcPr>
          <w:p>
            <w:pPr>
              <w:ind w:left="1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Unregistered Sales of Equity Securities and Use of Proceeds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9800" w:type="dxa"/>
            <w:vAlign w:val="bottom"/>
          </w:tcPr>
          <w:p>
            <w:pPr>
              <w:ind w:left="1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Defaults Upon Senior Securities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9800" w:type="dxa"/>
            <w:vAlign w:val="bottom"/>
          </w:tcPr>
          <w:p>
            <w:pPr>
              <w:ind w:left="1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Mining Safety Disclosures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9800" w:type="dxa"/>
            <w:vAlign w:val="bottom"/>
          </w:tcPr>
          <w:p>
            <w:pPr>
              <w:ind w:left="1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Other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9800" w:type="dxa"/>
            <w:vAlign w:val="bottom"/>
          </w:tcPr>
          <w:p>
            <w:pPr>
              <w:ind w:left="1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Exhibits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864"/>
        </w:trPr>
        <w:tc>
          <w:tcPr>
            <w:tcW w:w="780" w:type="dxa"/>
            <w:vAlign w:val="bottom"/>
          </w:tcPr>
          <w:p>
            <w:pPr>
              <w:spacing w:after="0"/>
              <w:rPr>
                <w:sz w:val="24"/>
                <w:szCs w:val="24"/>
                <w:color w:val="auto"/>
              </w:rPr>
            </w:pPr>
          </w:p>
        </w:tc>
        <w:tc>
          <w:tcPr>
            <w:tcW w:w="9800" w:type="dxa"/>
            <w:vAlign w:val="bottom"/>
          </w:tcPr>
          <w:p>
            <w:pPr>
              <w:ind w:left="480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4"/>
                <w:szCs w:val="24"/>
                <w:color w:val="auto"/>
              </w:rPr>
            </w:pPr>
          </w:p>
        </w:tc>
      </w:tr>
      <w:tr>
        <w:trPr>
          <w:trHeight w:val="115"/>
        </w:trPr>
        <w:tc>
          <w:tcPr>
            <w:tcW w:w="780" w:type="dxa"/>
            <w:vAlign w:val="bottom"/>
            <w:tcBorders>
              <w:bottom w:val="single" w:sz="8" w:color="9A9A9A"/>
            </w:tcBorders>
          </w:tcPr>
          <w:p>
            <w:pPr>
              <w:spacing w:after="0"/>
              <w:rPr>
                <w:sz w:val="10"/>
                <w:szCs w:val="10"/>
                <w:color w:val="auto"/>
              </w:rPr>
            </w:pPr>
          </w:p>
        </w:tc>
        <w:tc>
          <w:tcPr>
            <w:tcW w:w="98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4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34"/>
        </w:trPr>
        <w:tc>
          <w:tcPr>
            <w:tcW w:w="220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LSB INDUSTRIES, INC.</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(Information at June 30, 2020 is unaudited)</w:t>
            </w: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December 31,</w:t>
            </w:r>
          </w:p>
        </w:tc>
      </w:tr>
      <w:tr>
        <w:trPr>
          <w:trHeight w:val="230"/>
        </w:trPr>
        <w:tc>
          <w:tcPr>
            <w:tcW w:w="2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r>
      <w:tr>
        <w:trPr>
          <w:trHeight w:val="207"/>
        </w:trPr>
        <w:tc>
          <w:tcPr>
            <w:tcW w:w="2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60" w:type="dxa"/>
            <w:vAlign w:val="bottom"/>
            <w:gridSpan w:val="6"/>
          </w:tcPr>
          <w:p>
            <w:pPr>
              <w:jc w:val="right"/>
              <w:ind w:right="1360"/>
              <w:spacing w:after="0"/>
              <w:rPr>
                <w:sz w:val="20"/>
                <w:szCs w:val="20"/>
                <w:color w:val="auto"/>
              </w:rPr>
            </w:pPr>
            <w:r>
              <w:rPr>
                <w:rFonts w:ascii="Arial" w:cs="Arial" w:eastAsia="Arial" w:hAnsi="Arial"/>
                <w:sz w:val="16"/>
                <w:szCs w:val="16"/>
                <w:color w:val="auto"/>
              </w:rPr>
              <w:t>(In Thousands)</w:t>
            </w:r>
          </w:p>
        </w:tc>
      </w:tr>
      <w:tr>
        <w:trPr>
          <w:trHeight w:val="232"/>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3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33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Cash and cash equivalents</w:t>
            </w:r>
          </w:p>
        </w:tc>
        <w:tc>
          <w:tcPr>
            <w:tcW w:w="46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56,513</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22,791</w:t>
            </w:r>
          </w:p>
        </w:tc>
        <w:tc>
          <w:tcPr>
            <w:tcW w:w="120" w:type="dxa"/>
            <w:vAlign w:val="bottom"/>
            <w:shd w:val="clear" w:color="auto" w:fill="CFF0FC"/>
          </w:tcPr>
          <w:p>
            <w:pPr>
              <w:spacing w:after="0"/>
              <w:rPr>
                <w:sz w:val="19"/>
                <w:szCs w:val="19"/>
                <w:color w:val="auto"/>
              </w:rPr>
            </w:pPr>
          </w:p>
        </w:tc>
      </w:tr>
      <w:tr>
        <w:trPr>
          <w:trHeight w:val="229"/>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Accounts receivable</w:t>
            </w: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42,569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40,203</w:t>
            </w: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Allowance for doubtful accounts</w:t>
            </w:r>
          </w:p>
        </w:tc>
        <w:tc>
          <w:tcPr>
            <w:tcW w:w="4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(261)</w:t>
            </w:r>
          </w:p>
        </w:tc>
      </w:tr>
      <w:tr>
        <w:trPr>
          <w:trHeight w:val="223"/>
        </w:trPr>
        <w:tc>
          <w:tcPr>
            <w:tcW w:w="3320" w:type="dxa"/>
            <w:vAlign w:val="bottom"/>
            <w:gridSpan w:val="2"/>
          </w:tcPr>
          <w:p>
            <w:pPr>
              <w:ind w:left="260"/>
              <w:spacing w:after="0"/>
              <w:rPr>
                <w:sz w:val="20"/>
                <w:szCs w:val="20"/>
                <w:color w:val="auto"/>
              </w:rPr>
            </w:pPr>
            <w:r>
              <w:rPr>
                <w:rFonts w:ascii="Arial" w:cs="Arial" w:eastAsia="Arial" w:hAnsi="Arial"/>
                <w:sz w:val="18"/>
                <w:szCs w:val="18"/>
                <w:color w:val="auto"/>
              </w:rPr>
              <w:t>Accounts receivable, net</w:t>
            </w:r>
          </w:p>
        </w:tc>
        <w:tc>
          <w:tcPr>
            <w:tcW w:w="43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39,942</w:t>
            </w: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Inventories:</w:t>
            </w:r>
          </w:p>
        </w:tc>
        <w:tc>
          <w:tcPr>
            <w:tcW w:w="4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320" w:type="dxa"/>
            <w:vAlign w:val="bottom"/>
            <w:gridSpan w:val="2"/>
          </w:tcPr>
          <w:p>
            <w:pPr>
              <w:ind w:left="260"/>
              <w:spacing w:after="0"/>
              <w:rPr>
                <w:sz w:val="20"/>
                <w:szCs w:val="20"/>
                <w:color w:val="auto"/>
              </w:rPr>
            </w:pPr>
            <w:r>
              <w:rPr>
                <w:rFonts w:ascii="Arial" w:cs="Arial" w:eastAsia="Arial" w:hAnsi="Arial"/>
                <w:sz w:val="18"/>
                <w:szCs w:val="18"/>
                <w:color w:val="auto"/>
              </w:rPr>
              <w:t>Finished goods</w:t>
            </w: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21,738</w:t>
            </w: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Raw materials</w:t>
            </w:r>
          </w:p>
        </w:tc>
        <w:tc>
          <w:tcPr>
            <w:tcW w:w="43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1,573</w:t>
            </w:r>
          </w:p>
        </w:tc>
        <w:tc>
          <w:tcPr>
            <w:tcW w:w="120" w:type="dxa"/>
            <w:vAlign w:val="bottom"/>
            <w:shd w:val="clear" w:color="auto" w:fill="CFF0FC"/>
          </w:tcPr>
          <w:p>
            <w:pPr>
              <w:spacing w:after="0"/>
              <w:rPr>
                <w:sz w:val="19"/>
                <w:szCs w:val="19"/>
                <w:color w:val="auto"/>
              </w:rPr>
            </w:pPr>
          </w:p>
        </w:tc>
      </w:tr>
      <w:tr>
        <w:trPr>
          <w:trHeight w:val="223"/>
        </w:trPr>
        <w:tc>
          <w:tcPr>
            <w:tcW w:w="3320" w:type="dxa"/>
            <w:vAlign w:val="bottom"/>
            <w:gridSpan w:val="2"/>
          </w:tcPr>
          <w:p>
            <w:pPr>
              <w:ind w:left="380"/>
              <w:spacing w:after="0"/>
              <w:rPr>
                <w:sz w:val="20"/>
                <w:szCs w:val="20"/>
                <w:color w:val="auto"/>
              </w:rPr>
            </w:pPr>
            <w:r>
              <w:rPr>
                <w:rFonts w:ascii="Arial" w:cs="Arial" w:eastAsia="Arial" w:hAnsi="Arial"/>
                <w:sz w:val="18"/>
                <w:szCs w:val="18"/>
                <w:color w:val="auto"/>
              </w:rPr>
              <w:t>Total inventories</w:t>
            </w: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23,311</w:t>
            </w: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Supplies, prepaid items and other:</w:t>
            </w:r>
          </w:p>
        </w:tc>
        <w:tc>
          <w:tcPr>
            <w:tcW w:w="4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320" w:type="dxa"/>
            <w:vAlign w:val="bottom"/>
            <w:gridSpan w:val="2"/>
          </w:tcPr>
          <w:p>
            <w:pPr>
              <w:ind w:left="260"/>
              <w:spacing w:after="0"/>
              <w:rPr>
                <w:sz w:val="20"/>
                <w:szCs w:val="20"/>
                <w:color w:val="auto"/>
              </w:rPr>
            </w:pPr>
            <w:r>
              <w:rPr>
                <w:rFonts w:ascii="Arial" w:cs="Arial" w:eastAsia="Arial" w:hAnsi="Arial"/>
                <w:sz w:val="18"/>
                <w:szCs w:val="18"/>
                <w:color w:val="auto"/>
              </w:rPr>
              <w:t>Prepaid insurance</w:t>
            </w: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11,837</w:t>
            </w: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Precious metals</w:t>
            </w:r>
          </w:p>
        </w:tc>
        <w:tc>
          <w:tcPr>
            <w:tcW w:w="4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5,568</w:t>
            </w:r>
          </w:p>
        </w:tc>
        <w:tc>
          <w:tcPr>
            <w:tcW w:w="120" w:type="dxa"/>
            <w:vAlign w:val="bottom"/>
            <w:shd w:val="clear" w:color="auto" w:fill="CFF0FC"/>
          </w:tcPr>
          <w:p>
            <w:pPr>
              <w:spacing w:after="0"/>
              <w:rPr>
                <w:sz w:val="19"/>
                <w:szCs w:val="19"/>
                <w:color w:val="auto"/>
              </w:rPr>
            </w:pPr>
          </w:p>
        </w:tc>
      </w:tr>
      <w:tr>
        <w:trPr>
          <w:trHeight w:val="229"/>
        </w:trPr>
        <w:tc>
          <w:tcPr>
            <w:tcW w:w="3320" w:type="dxa"/>
            <w:vAlign w:val="bottom"/>
            <w:gridSpan w:val="2"/>
          </w:tcPr>
          <w:p>
            <w:pPr>
              <w:ind w:left="260"/>
              <w:spacing w:after="0"/>
              <w:rPr>
                <w:sz w:val="20"/>
                <w:szCs w:val="20"/>
                <w:color w:val="auto"/>
              </w:rPr>
            </w:pPr>
            <w:r>
              <w:rPr>
                <w:rFonts w:ascii="Arial" w:cs="Arial" w:eastAsia="Arial" w:hAnsi="Arial"/>
                <w:sz w:val="18"/>
                <w:szCs w:val="18"/>
                <w:color w:val="auto"/>
              </w:rPr>
              <w:t>Supplies</w:t>
            </w: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25,221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24,689</w:t>
            </w:r>
          </w:p>
        </w:tc>
        <w:tc>
          <w:tcPr>
            <w:tcW w:w="1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43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2,735</w:t>
            </w:r>
          </w:p>
        </w:tc>
        <w:tc>
          <w:tcPr>
            <w:tcW w:w="120" w:type="dxa"/>
            <w:vAlign w:val="bottom"/>
            <w:shd w:val="clear" w:color="auto" w:fill="CFF0FC"/>
          </w:tcPr>
          <w:p>
            <w:pPr>
              <w:spacing w:after="0"/>
              <w:rPr>
                <w:sz w:val="19"/>
                <w:szCs w:val="19"/>
                <w:color w:val="auto"/>
              </w:rPr>
            </w:pPr>
          </w:p>
        </w:tc>
      </w:tr>
      <w:tr>
        <w:trPr>
          <w:trHeight w:val="223"/>
        </w:trPr>
        <w:tc>
          <w:tcPr>
            <w:tcW w:w="332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w w:val="94"/>
              </w:rPr>
              <w:t>Total supplies, prepaid items and other</w:t>
            </w:r>
          </w:p>
        </w:tc>
        <w:tc>
          <w:tcPr>
            <w:tcW w:w="43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39,758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44,829</w:t>
            </w:r>
          </w:p>
        </w:tc>
        <w:tc>
          <w:tcPr>
            <w:tcW w:w="120" w:type="dxa"/>
            <w:vAlign w:val="bottom"/>
            <w:tcBorders>
              <w:bottom w:val="single" w:sz="8" w:color="CFF0FC"/>
            </w:tcBorders>
          </w:tcPr>
          <w:p>
            <w:pPr>
              <w:spacing w:after="0"/>
              <w:rPr>
                <w:sz w:val="19"/>
                <w:szCs w:val="19"/>
                <w:color w:val="auto"/>
              </w:rPr>
            </w:pPr>
          </w:p>
        </w:tc>
      </w:tr>
      <w:tr>
        <w:trPr>
          <w:trHeight w:val="223"/>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4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130,873</w:t>
            </w:r>
          </w:p>
        </w:tc>
        <w:tc>
          <w:tcPr>
            <w:tcW w:w="120" w:type="dxa"/>
            <w:vAlign w:val="bottom"/>
            <w:shd w:val="clear" w:color="auto" w:fill="CFF0FC"/>
          </w:tcPr>
          <w:p>
            <w:pPr>
              <w:spacing w:after="0"/>
              <w:rPr>
                <w:sz w:val="19"/>
                <w:szCs w:val="19"/>
                <w:color w:val="auto"/>
              </w:rPr>
            </w:pPr>
          </w:p>
        </w:tc>
      </w:tr>
      <w:tr>
        <w:trPr>
          <w:trHeight w:val="229"/>
        </w:trPr>
        <w:tc>
          <w:tcPr>
            <w:tcW w:w="2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4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913,441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936,474</w:t>
            </w:r>
          </w:p>
        </w:tc>
        <w:tc>
          <w:tcPr>
            <w:tcW w:w="120" w:type="dxa"/>
            <w:vAlign w:val="bottom"/>
            <w:shd w:val="clear" w:color="auto" w:fill="CFF0FC"/>
          </w:tcPr>
          <w:p>
            <w:pPr>
              <w:spacing w:after="0"/>
              <w:rPr>
                <w:sz w:val="19"/>
                <w:szCs w:val="19"/>
                <w:color w:val="auto"/>
              </w:rPr>
            </w:pPr>
          </w:p>
        </w:tc>
      </w:tr>
      <w:tr>
        <w:trPr>
          <w:trHeight w:val="230"/>
        </w:trPr>
        <w:tc>
          <w:tcPr>
            <w:tcW w:w="2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4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Operating lease assets</w:t>
            </w: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15,330</w:t>
            </w:r>
          </w:p>
        </w:tc>
        <w:tc>
          <w:tcPr>
            <w:tcW w:w="1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Intangible and other assets, net</w:t>
            </w:r>
          </w:p>
        </w:tc>
        <w:tc>
          <w:tcPr>
            <w:tcW w:w="43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5,812</w:t>
            </w:r>
          </w:p>
        </w:tc>
        <w:tc>
          <w:tcPr>
            <w:tcW w:w="120" w:type="dxa"/>
            <w:vAlign w:val="bottom"/>
            <w:shd w:val="clear" w:color="auto" w:fill="CFF0FC"/>
          </w:tcPr>
          <w:p>
            <w:pPr>
              <w:spacing w:after="0"/>
              <w:rPr>
                <w:sz w:val="19"/>
                <w:szCs w:val="19"/>
                <w:color w:val="auto"/>
              </w:rPr>
            </w:pPr>
          </w:p>
        </w:tc>
      </w:tr>
      <w:tr>
        <w:trPr>
          <w:trHeight w:val="223"/>
        </w:trPr>
        <w:tc>
          <w:tcPr>
            <w:tcW w:w="2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28,449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21,142</w:t>
            </w:r>
          </w:p>
        </w:tc>
        <w:tc>
          <w:tcPr>
            <w:tcW w:w="120" w:type="dxa"/>
            <w:vAlign w:val="bottom"/>
          </w:tcPr>
          <w:p>
            <w:pPr>
              <w:spacing w:after="0"/>
              <w:rPr>
                <w:sz w:val="19"/>
                <w:szCs w:val="19"/>
                <w:color w:val="auto"/>
              </w:rPr>
            </w:pPr>
          </w:p>
        </w:tc>
      </w:tr>
      <w:tr>
        <w:trPr>
          <w:trHeight w:val="230"/>
        </w:trPr>
        <w:tc>
          <w:tcPr>
            <w:tcW w:w="2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3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2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1,094,665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1,088,489</w:t>
            </w:r>
          </w:p>
        </w:tc>
        <w:tc>
          <w:tcPr>
            <w:tcW w:w="120" w:type="dxa"/>
            <w:vAlign w:val="bottom"/>
          </w:tcPr>
          <w:p>
            <w:pPr>
              <w:spacing w:after="0"/>
              <w:rPr>
                <w:sz w:val="19"/>
                <w:szCs w:val="19"/>
                <w:color w:val="auto"/>
              </w:rPr>
            </w:pPr>
          </w:p>
        </w:tc>
      </w:tr>
      <w:tr>
        <w:trPr>
          <w:trHeight w:val="20"/>
        </w:trPr>
        <w:tc>
          <w:tcPr>
            <w:tcW w:w="2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60" w:type="dxa"/>
            <w:vAlign w:val="bottom"/>
            <w:gridSpan w:val="2"/>
          </w:tcPr>
          <w:p>
            <w:pPr>
              <w:jc w:val="center"/>
              <w:spacing w:after="0"/>
              <w:rPr>
                <w:sz w:val="20"/>
                <w:szCs w:val="20"/>
                <w:color w:val="auto"/>
              </w:rPr>
            </w:pPr>
            <w:r>
              <w:rPr>
                <w:rFonts w:ascii="Arial" w:cs="Arial" w:eastAsia="Arial" w:hAnsi="Arial"/>
                <w:sz w:val="18"/>
                <w:szCs w:val="18"/>
                <w:color w:val="auto"/>
                <w:w w:val="92"/>
              </w:rPr>
              <w:t>(Continued on following page)</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40" w:type="dxa"/>
            <w:vAlign w:val="bottom"/>
          </w:tcPr>
          <w:p>
            <w:pPr>
              <w:jc w:val="center"/>
              <w:ind w:left="170"/>
              <w:spacing w:after="0"/>
              <w:rPr>
                <w:sz w:val="20"/>
                <w:szCs w:val="20"/>
                <w:color w:val="auto"/>
              </w:rPr>
            </w:pPr>
            <w:r>
              <w:rPr>
                <w:rFonts w:ascii="Arial" w:cs="Arial" w:eastAsia="Arial" w:hAnsi="Arial"/>
                <w:sz w:val="18"/>
                <w:szCs w:val="18"/>
                <w:color w:val="auto"/>
                <w:w w:val="79"/>
              </w:rPr>
              <w:t>3</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2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June 30, 2020 is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2"/>
          </w:tcPr>
          <w:p>
            <w:pPr>
              <w:ind w:left="200"/>
              <w:spacing w:after="0"/>
              <w:rPr>
                <w:sz w:val="20"/>
                <w:szCs w:val="20"/>
                <w:color w:val="auto"/>
              </w:rPr>
            </w:pPr>
            <w:r>
              <w:rPr>
                <w:rFonts w:ascii="Arial" w:cs="Arial" w:eastAsia="Arial" w:hAnsi="Arial"/>
                <w:sz w:val="18"/>
                <w:szCs w:val="18"/>
                <w:color w:val="auto"/>
              </w:rPr>
              <w:t>June 30,</w:t>
            </w:r>
          </w:p>
        </w:tc>
        <w:tc>
          <w:tcPr>
            <w:tcW w:w="18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December 31,</w:t>
            </w:r>
          </w:p>
        </w:tc>
      </w:tr>
      <w:tr>
        <w:trPr>
          <w:trHeight w:val="230"/>
        </w:trPr>
        <w:tc>
          <w:tcPr>
            <w:tcW w:w="7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r>
      <w:tr>
        <w:trPr>
          <w:trHeight w:val="207"/>
        </w:trPr>
        <w:tc>
          <w:tcPr>
            <w:tcW w:w="7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80" w:type="dxa"/>
            <w:vAlign w:val="bottom"/>
            <w:gridSpan w:val="5"/>
          </w:tcPr>
          <w:p>
            <w:pPr>
              <w:ind w:left="920"/>
              <w:spacing w:after="0"/>
              <w:rPr>
                <w:sz w:val="20"/>
                <w:szCs w:val="20"/>
                <w:color w:val="auto"/>
              </w:rPr>
            </w:pPr>
            <w:r>
              <w:rPr>
                <w:rFonts w:ascii="Arial" w:cs="Arial" w:eastAsia="Arial" w:hAnsi="Arial"/>
                <w:sz w:val="16"/>
                <w:szCs w:val="16"/>
                <w:color w:val="auto"/>
              </w:rPr>
              <w:t>(In Thousands)</w:t>
            </w:r>
          </w:p>
        </w:tc>
      </w:tr>
      <w:tr>
        <w:trPr>
          <w:trHeight w:val="233"/>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45,245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58,477</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Short-term financing</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3,834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9,929</w:t>
            </w: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Accrued and other liabilities</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27,768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25,484</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11,492</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9,410</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88,339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103,300</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487,552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449,634</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11,404</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accrued and other liabilities</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6,214</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34,056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35,717</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5)</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Redeemable preferred stocks:</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640" w:type="dxa"/>
            <w:vAlign w:val="bottom"/>
          </w:tcPr>
          <w:p>
            <w:pPr>
              <w:ind w:left="140"/>
              <w:spacing w:after="0"/>
              <w:rPr>
                <w:sz w:val="20"/>
                <w:szCs w:val="20"/>
                <w:color w:val="auto"/>
              </w:rPr>
            </w:pPr>
            <w:r>
              <w:rPr>
                <w:rFonts w:ascii="Arial" w:cs="Arial" w:eastAsia="Arial" w:hAnsi="Arial"/>
                <w:sz w:val="18"/>
                <w:szCs w:val="18"/>
                <w:color w:val="auto"/>
              </w:rPr>
              <w:t>Series E 14% cumulative, redeemable Class C preferred stock, no par value,</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40" w:type="dxa"/>
            <w:vAlign w:val="bottom"/>
          </w:tcPr>
          <w:p>
            <w:pPr>
              <w:ind w:left="260"/>
              <w:spacing w:after="0"/>
              <w:rPr>
                <w:sz w:val="20"/>
                <w:szCs w:val="20"/>
                <w:color w:val="auto"/>
              </w:rPr>
            </w:pPr>
            <w:r>
              <w:rPr>
                <w:rFonts w:ascii="Arial" w:cs="Arial" w:eastAsia="Arial" w:hAnsi="Arial"/>
                <w:sz w:val="18"/>
                <w:szCs w:val="18"/>
                <w:color w:val="auto"/>
              </w:rPr>
              <w:t>210,000 shares issued; 139,768 outstanding; aggregate liquidation preference</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of $259,796,000 ($242,800,000 at December 31, 2019)</w:t>
            </w: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252,898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234,893</w:t>
            </w:r>
          </w:p>
        </w:tc>
        <w:tc>
          <w:tcPr>
            <w:tcW w:w="120" w:type="dxa"/>
            <w:vAlign w:val="bottom"/>
          </w:tcPr>
          <w:p>
            <w:pPr>
              <w:spacing w:after="0"/>
              <w:rPr>
                <w:sz w:val="20"/>
                <w:szCs w:val="20"/>
                <w:color w:val="auto"/>
              </w:rPr>
            </w:pPr>
          </w:p>
        </w:tc>
      </w:tr>
      <w:tr>
        <w:trPr>
          <w:trHeight w:val="215"/>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Series F redeemable Class C preferred stock, no par value, 1 share issued and</w:t>
            </w: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outstanding; aggregate liquidation preference of $100</w:t>
            </w:r>
          </w:p>
        </w:tc>
        <w:tc>
          <w:tcPr>
            <w:tcW w:w="32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640" w:type="dxa"/>
            <w:vAlign w:val="bottom"/>
          </w:tcPr>
          <w:p>
            <w:pPr>
              <w:ind w:left="140"/>
              <w:spacing w:after="0"/>
              <w:rPr>
                <w:sz w:val="20"/>
                <w:szCs w:val="20"/>
                <w:color w:val="auto"/>
              </w:rPr>
            </w:pPr>
            <w:r>
              <w:rPr>
                <w:rFonts w:ascii="Arial" w:cs="Arial" w:eastAsia="Arial" w:hAnsi="Arial"/>
                <w:sz w:val="18"/>
                <w:szCs w:val="18"/>
                <w:color w:val="auto"/>
              </w:rPr>
              <w:t>Series B 12% cumulative, convertible preferred stock, $100 par value; 20,000</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40" w:type="dxa"/>
            <w:vAlign w:val="bottom"/>
          </w:tcPr>
          <w:p>
            <w:pPr>
              <w:ind w:left="260"/>
              <w:spacing w:after="0"/>
              <w:rPr>
                <w:sz w:val="20"/>
                <w:szCs w:val="20"/>
                <w:color w:val="auto"/>
              </w:rPr>
            </w:pPr>
            <w:r>
              <w:rPr>
                <w:rFonts w:ascii="Arial" w:cs="Arial" w:eastAsia="Arial" w:hAnsi="Arial"/>
                <w:sz w:val="18"/>
                <w:szCs w:val="18"/>
                <w:color w:val="auto"/>
              </w:rPr>
              <w:t>shares issued and outstanding; aggregate liquidation preference</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of $3,145,000 ($3,025,000 at December 31, 2019)</w:t>
            </w: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0"/>
                <w:szCs w:val="20"/>
                <w:color w:val="auto"/>
              </w:rPr>
            </w:pPr>
          </w:p>
        </w:tc>
      </w:tr>
      <w:tr>
        <w:trPr>
          <w:trHeight w:val="215"/>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Series D 6% cumulative, convertible Class C preferred stock, no par value;</w:t>
            </w: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1,000,000 shares issued and outstanding; aggregate liquidation preference</w:t>
            </w: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of $1,282,000 ($1,252,000 at December 31, 2019)</w:t>
            </w:r>
          </w:p>
        </w:tc>
        <w:tc>
          <w:tcPr>
            <w:tcW w:w="3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20"/>
                <w:szCs w:val="20"/>
                <w:color w:val="auto"/>
              </w:rPr>
            </w:pPr>
          </w:p>
        </w:tc>
      </w:tr>
      <w:tr>
        <w:trPr>
          <w:trHeight w:val="215"/>
        </w:trPr>
        <w:tc>
          <w:tcPr>
            <w:tcW w:w="7640" w:type="dxa"/>
            <w:vAlign w:val="bottom"/>
          </w:tcPr>
          <w:p>
            <w:pPr>
              <w:ind w:left="140"/>
              <w:spacing w:after="0"/>
              <w:rPr>
                <w:sz w:val="20"/>
                <w:szCs w:val="20"/>
                <w:color w:val="auto"/>
              </w:rPr>
            </w:pPr>
            <w:r>
              <w:rPr>
                <w:rFonts w:ascii="Arial" w:cs="Arial" w:eastAsia="Arial" w:hAnsi="Arial"/>
                <w:sz w:val="18"/>
                <w:szCs w:val="18"/>
                <w:color w:val="auto"/>
              </w:rPr>
              <w:t>Common stock, $.10 par value; 75,000,000 shares authorized,</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31,283,210 shares issued</w:t>
            </w: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3,128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3,128</w:t>
            </w:r>
          </w:p>
        </w:tc>
        <w:tc>
          <w:tcPr>
            <w:tcW w:w="120" w:type="dxa"/>
            <w:vAlign w:val="bottom"/>
          </w:tcPr>
          <w:p>
            <w:pPr>
              <w:spacing w:after="0"/>
              <w:rPr>
                <w:sz w:val="20"/>
                <w:szCs w:val="20"/>
                <w:color w:val="auto"/>
              </w:rPr>
            </w:pPr>
          </w:p>
        </w:tc>
      </w:tr>
      <w:tr>
        <w:trPr>
          <w:trHeight w:val="230"/>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Capital in excess of par value</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197,566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196,833</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19,810</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57,632</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223,504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260,593</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Less treasury stock, at cost:</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1,966,042 shares (2,009,566 shares at December 31, 2019)</w:t>
            </w:r>
          </w:p>
        </w:tc>
        <w:tc>
          <w:tcPr>
            <w:tcW w:w="3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12,884</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13,266</w:t>
            </w:r>
          </w:p>
        </w:tc>
        <w:tc>
          <w:tcPr>
            <w:tcW w:w="120" w:type="dxa"/>
            <w:vAlign w:val="bottom"/>
            <w:shd w:val="clear" w:color="auto" w:fill="CFF0FC"/>
          </w:tcPr>
          <w:p>
            <w:pPr>
              <w:spacing w:after="0"/>
              <w:rPr>
                <w:sz w:val="19"/>
                <w:szCs w:val="19"/>
                <w:color w:val="auto"/>
              </w:rPr>
            </w:pPr>
          </w:p>
        </w:tc>
      </w:tr>
      <w:tr>
        <w:trPr>
          <w:trHeight w:val="223"/>
        </w:trPr>
        <w:tc>
          <w:tcPr>
            <w:tcW w:w="7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210,620</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247,327</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1,094,665</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1,088,489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6"/>
          </w:tcPr>
          <w:p>
            <w:pPr>
              <w:jc w:val="right"/>
              <w:ind w:right="76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9"/>
                <w:szCs w:val="19"/>
                <w:color w:val="auto"/>
              </w:rPr>
            </w:pPr>
          </w:p>
        </w:tc>
        <w:tc>
          <w:tcPr>
            <w:tcW w:w="2400" w:type="dxa"/>
            <w:vAlign w:val="bottom"/>
            <w:gridSpan w:val="6"/>
          </w:tcPr>
          <w:p>
            <w:pPr>
              <w:jc w:val="right"/>
              <w:ind w:right="720"/>
              <w:spacing w:after="0"/>
              <w:rPr>
                <w:sz w:val="20"/>
                <w:szCs w:val="20"/>
                <w:color w:val="auto"/>
              </w:rPr>
            </w:pPr>
            <w:r>
              <w:rPr>
                <w:rFonts w:ascii="Arial" w:cs="Arial" w:eastAsia="Arial" w:hAnsi="Arial"/>
                <w:sz w:val="18"/>
                <w:szCs w:val="18"/>
                <w:color w:val="auto"/>
              </w:rPr>
              <w:t>Six Months Ended</w:t>
            </w:r>
          </w:p>
        </w:tc>
      </w:tr>
      <w:tr>
        <w:trPr>
          <w:trHeight w:val="229"/>
        </w:trPr>
        <w:tc>
          <w:tcPr>
            <w:tcW w:w="4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4"/>
          </w:tcPr>
          <w:p>
            <w:pPr>
              <w:jc w:val="right"/>
              <w:ind w:right="47"/>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4"/>
          </w:tcPr>
          <w:p>
            <w:pPr>
              <w:jc w:val="right"/>
              <w:ind w:right="10"/>
              <w:spacing w:after="0"/>
              <w:rPr>
                <w:sz w:val="20"/>
                <w:szCs w:val="20"/>
                <w:color w:val="auto"/>
              </w:rPr>
            </w:pPr>
            <w:r>
              <w:rPr>
                <w:rFonts w:ascii="Arial" w:cs="Arial" w:eastAsia="Arial" w:hAnsi="Arial"/>
                <w:sz w:val="18"/>
                <w:szCs w:val="18"/>
                <w:color w:val="auto"/>
              </w:rPr>
              <w:t>June 30,</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07"/>
        </w:trPr>
        <w:tc>
          <w:tcPr>
            <w:tcW w:w="4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gridSpan w:val="7"/>
          </w:tcPr>
          <w:p>
            <w:pPr>
              <w:jc w:val="right"/>
              <w:ind w:right="60"/>
              <w:spacing w:after="0"/>
              <w:rPr>
                <w:sz w:val="20"/>
                <w:szCs w:val="20"/>
                <w:color w:val="auto"/>
              </w:rPr>
            </w:pPr>
            <w:r>
              <w:rPr>
                <w:rFonts w:ascii="Arial" w:cs="Arial" w:eastAsia="Arial" w:hAnsi="Arial"/>
                <w:sz w:val="16"/>
                <w:szCs w:val="16"/>
                <w:color w:val="auto"/>
                <w:w w:val="90"/>
              </w:rPr>
              <w:t>(In Thousands, Except Per Share Amounts)</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2"/>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9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105,033</w:t>
            </w:r>
          </w:p>
        </w:tc>
        <w:tc>
          <w:tcPr>
            <w:tcW w:w="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121,527</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188,444</w:t>
            </w:r>
          </w:p>
        </w:tc>
        <w:tc>
          <w:tcPr>
            <w:tcW w:w="20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215,679</w:t>
            </w:r>
          </w:p>
        </w:tc>
        <w:tc>
          <w:tcPr>
            <w:tcW w:w="100" w:type="dxa"/>
            <w:vAlign w:val="bottom"/>
            <w:shd w:val="clear" w:color="auto" w:fill="CFF0FC"/>
          </w:tcPr>
          <w:p>
            <w:pPr>
              <w:spacing w:after="0"/>
              <w:rPr>
                <w:sz w:val="20"/>
                <w:szCs w:val="20"/>
                <w:color w:val="auto"/>
              </w:rPr>
            </w:pPr>
          </w:p>
        </w:tc>
      </w:tr>
      <w:tr>
        <w:trPr>
          <w:trHeight w:val="229"/>
        </w:trPr>
        <w:tc>
          <w:tcPr>
            <w:tcW w:w="4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6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86,012</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101,850</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166,872</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188,684</w:t>
            </w:r>
          </w:p>
        </w:tc>
        <w:tc>
          <w:tcPr>
            <w:tcW w:w="100" w:type="dxa"/>
            <w:vAlign w:val="bottom"/>
            <w:tcBorders>
              <w:bottom w:val="single" w:sz="8" w:color="CFF0FC"/>
            </w:tcBorders>
          </w:tcPr>
          <w:p>
            <w:pPr>
              <w:spacing w:after="0"/>
              <w:rPr>
                <w:sz w:val="19"/>
                <w:szCs w:val="19"/>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19,677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21,572</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26,995</w:t>
            </w:r>
          </w:p>
        </w:tc>
        <w:tc>
          <w:tcPr>
            <w:tcW w:w="100" w:type="dxa"/>
            <w:vAlign w:val="bottom"/>
            <w:shd w:val="clear" w:color="auto" w:fill="CFF0FC"/>
          </w:tcPr>
          <w:p>
            <w:pPr>
              <w:spacing w:after="0"/>
              <w:rPr>
                <w:sz w:val="19"/>
                <w:szCs w:val="19"/>
                <w:color w:val="auto"/>
              </w:rPr>
            </w:pPr>
          </w:p>
        </w:tc>
      </w:tr>
      <w:tr>
        <w:trPr>
          <w:trHeight w:val="229"/>
        </w:trPr>
        <w:tc>
          <w:tcPr>
            <w:tcW w:w="4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18,510</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15,590</w:t>
            </w:r>
          </w:p>
        </w:tc>
        <w:tc>
          <w:tcPr>
            <w:tcW w:w="100" w:type="dxa"/>
            <w:vAlign w:val="bottom"/>
            <w:shd w:val="clear" w:color="auto" w:fill="CFF0FC"/>
          </w:tcPr>
          <w:p>
            <w:pPr>
              <w:spacing w:after="0"/>
              <w:rPr>
                <w:sz w:val="19"/>
                <w:szCs w:val="19"/>
                <w:color w:val="auto"/>
              </w:rPr>
            </w:pPr>
          </w:p>
        </w:tc>
      </w:t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Other income, net</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(635)</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6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10,684</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11,345</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3,697</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11,416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25,955</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22,302</w:t>
            </w:r>
          </w:p>
        </w:tc>
        <w:tc>
          <w:tcPr>
            <w:tcW w:w="100" w:type="dxa"/>
            <w:vAlign w:val="bottom"/>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Non-operating other income, net</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(868)</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(803)</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(644)</w:t>
            </w: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before benefit for income taxes</w:t>
            </w:r>
          </w:p>
        </w:tc>
        <w:tc>
          <w:tcPr>
            <w:tcW w:w="16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(21,455)</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(1,299)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(5,733)</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(1,638)</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(5,333)</w:t>
            </w: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6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6,631</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(19,817)</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Dividends on convertible preferred stocks</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Dividends on Series E redeemable preferred stock</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7,589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16,996</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14,845</w:t>
            </w:r>
          </w:p>
        </w:tc>
        <w:tc>
          <w:tcPr>
            <w:tcW w:w="100" w:type="dxa"/>
            <w:vAlign w:val="bottom"/>
          </w:tcPr>
          <w:p>
            <w:pPr>
              <w:spacing w:after="0"/>
              <w:rPr>
                <w:sz w:val="19"/>
                <w:szCs w:val="19"/>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Accretion of Series E redeemable preferred stock</w:t>
            </w:r>
          </w:p>
        </w:tc>
        <w:tc>
          <w:tcPr>
            <w:tcW w:w="16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FF0FC"/>
          </w:tcPr>
          <w:p>
            <w:pPr>
              <w:spacing w:after="0"/>
              <w:rPr>
                <w:sz w:val="19"/>
                <w:szCs w:val="19"/>
                <w:color w:val="auto"/>
              </w:rPr>
            </w:pPr>
          </w:p>
        </w:tc>
      </w:tr>
      <w:tr>
        <w:trPr>
          <w:trHeight w:val="263"/>
        </w:trPr>
        <w:tc>
          <w:tcPr>
            <w:tcW w:w="4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16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(9,634)</w:t>
            </w: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2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(37,972)</w:t>
            </w:r>
          </w:p>
        </w:tc>
        <w:tc>
          <w:tcPr>
            <w:tcW w:w="20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(20,897)</w:t>
            </w:r>
          </w:p>
        </w:tc>
        <w:tc>
          <w:tcPr>
            <w:tcW w:w="100" w:type="dxa"/>
            <w:vAlign w:val="bottom"/>
            <w:tcBorders>
              <w:bottom w:val="single" w:sz="8" w:color="CFF0FC"/>
            </w:tcBorders>
          </w:tcPr>
          <w:p>
            <w:pPr>
              <w:spacing w:after="0"/>
              <w:rPr>
                <w:sz w:val="22"/>
                <w:szCs w:val="22"/>
                <w:color w:val="auto"/>
              </w:rPr>
            </w:pPr>
          </w:p>
        </w:tc>
      </w:tr>
      <w:tr>
        <w:trPr>
          <w:trHeight w:val="210"/>
        </w:trPr>
        <w:tc>
          <w:tcPr>
            <w:tcW w:w="41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Basic and dilutive net loss per common share</w:t>
            </w:r>
          </w:p>
        </w:tc>
        <w:tc>
          <w:tcPr>
            <w:tcW w:w="19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(0.34)</w:t>
            </w:r>
          </w:p>
        </w:tc>
        <w:tc>
          <w:tcPr>
            <w:tcW w:w="4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(0.05)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(0.75)</w:t>
            </w:r>
          </w:p>
        </w:tc>
      </w:tr>
      <w:tr>
        <w:trPr>
          <w:trHeight w:val="20"/>
        </w:trPr>
        <w:tc>
          <w:tcPr>
            <w:tcW w:w="4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4160" w:type="dxa"/>
            <w:vAlign w:val="bottom"/>
          </w:tcPr>
          <w:p>
            <w:pPr>
              <w:spacing w:after="0"/>
              <w:rPr>
                <w:sz w:val="24"/>
                <w:szCs w:val="24"/>
                <w:color w:val="auto"/>
              </w:rPr>
            </w:pPr>
          </w:p>
        </w:tc>
        <w:tc>
          <w:tcPr>
            <w:tcW w:w="2900" w:type="dxa"/>
            <w:vAlign w:val="bottom"/>
            <w:gridSpan w:val="4"/>
          </w:tcPr>
          <w:p>
            <w:pPr>
              <w:jc w:val="center"/>
              <w:spacing w:after="0"/>
              <w:rPr>
                <w:sz w:val="20"/>
                <w:szCs w:val="20"/>
                <w:color w:val="auto"/>
              </w:rPr>
            </w:pPr>
            <w:r>
              <w:rPr>
                <w:rFonts w:ascii="Arial" w:cs="Arial" w:eastAsia="Arial" w:hAnsi="Arial"/>
                <w:sz w:val="18"/>
                <w:szCs w:val="18"/>
                <w:color w:val="auto"/>
                <w:w w:val="87"/>
              </w:rPr>
              <w:t>See accompanying notes.</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160" w:type="dxa"/>
            <w:vAlign w:val="bottom"/>
          </w:tcPr>
          <w:p>
            <w:pPr>
              <w:spacing w:after="0"/>
              <w:rPr>
                <w:sz w:val="24"/>
                <w:szCs w:val="24"/>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4"/>
          </w:tcPr>
          <w:p>
            <w:pPr>
              <w:jc w:val="center"/>
              <w:ind w:right="70"/>
              <w:spacing w:after="0"/>
              <w:rPr>
                <w:sz w:val="20"/>
                <w:szCs w:val="20"/>
                <w:color w:val="auto"/>
              </w:rPr>
            </w:pPr>
            <w:r>
              <w:rPr>
                <w:rFonts w:ascii="Arial" w:cs="Arial" w:eastAsia="Arial" w:hAnsi="Arial"/>
                <w:sz w:val="18"/>
                <w:szCs w:val="18"/>
                <w:color w:val="auto"/>
                <w:w w:val="90"/>
              </w:rPr>
              <w:t>Treasury</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Non-</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spacing w:after="0"/>
              <w:rPr>
                <w:sz w:val="20"/>
                <w:szCs w:val="20"/>
                <w:color w:val="auto"/>
              </w:rPr>
            </w:pPr>
            <w:r>
              <w:rPr>
                <w:rFonts w:ascii="Arial" w:cs="Arial" w:eastAsia="Arial" w:hAnsi="Arial"/>
                <w:sz w:val="18"/>
                <w:szCs w:val="18"/>
                <w:color w:val="auto"/>
                <w:w w:val="93"/>
              </w:rPr>
              <w:t>Common</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Capital in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900" w:type="dxa"/>
            <w:vAlign w:val="bottom"/>
            <w:gridSpan w:val="4"/>
          </w:tcPr>
          <w:p>
            <w:pPr>
              <w:jc w:val="center"/>
              <w:ind w:right="200"/>
              <w:spacing w:after="0"/>
              <w:rPr>
                <w:sz w:val="20"/>
                <w:szCs w:val="20"/>
                <w:color w:val="auto"/>
              </w:rPr>
            </w:pPr>
            <w:r>
              <w:rPr>
                <w:rFonts w:ascii="Arial" w:cs="Arial" w:eastAsia="Arial" w:hAnsi="Arial"/>
                <w:sz w:val="18"/>
                <w:szCs w:val="18"/>
                <w:color w:val="auto"/>
                <w:w w:val="90"/>
              </w:rPr>
              <w:t>Common</w:t>
            </w:r>
          </w:p>
        </w:tc>
        <w:tc>
          <w:tcPr>
            <w:tcW w:w="80" w:type="dxa"/>
            <w:vAlign w:val="bottom"/>
          </w:tcPr>
          <w:p>
            <w:pPr>
              <w:spacing w:after="0"/>
              <w:rPr>
                <w:sz w:val="18"/>
                <w:szCs w:val="18"/>
                <w:color w:val="auto"/>
              </w:rPr>
            </w:pPr>
          </w:p>
        </w:tc>
        <w:tc>
          <w:tcPr>
            <w:tcW w:w="800" w:type="dxa"/>
            <w:vAlign w:val="bottom"/>
            <w:gridSpan w:val="3"/>
          </w:tcPr>
          <w:p>
            <w:pPr>
              <w:jc w:val="center"/>
              <w:ind w:right="150"/>
              <w:spacing w:after="0"/>
              <w:rPr>
                <w:sz w:val="20"/>
                <w:szCs w:val="20"/>
                <w:color w:val="auto"/>
              </w:rPr>
            </w:pPr>
            <w:r>
              <w:rPr>
                <w:rFonts w:ascii="Arial" w:cs="Arial" w:eastAsia="Arial" w:hAnsi="Arial"/>
                <w:sz w:val="18"/>
                <w:szCs w:val="18"/>
                <w:color w:val="auto"/>
                <w:w w:val="93"/>
              </w:rPr>
              <w:t>Stock-</w:t>
            </w:r>
          </w:p>
        </w:tc>
        <w:tc>
          <w:tcPr>
            <w:tcW w:w="920" w:type="dxa"/>
            <w:vAlign w:val="bottom"/>
            <w:gridSpan w:val="5"/>
          </w:tcPr>
          <w:p>
            <w:pPr>
              <w:jc w:val="center"/>
              <w:spacing w:after="0"/>
              <w:rPr>
                <w:sz w:val="20"/>
                <w:szCs w:val="20"/>
                <w:color w:val="auto"/>
              </w:rPr>
            </w:pPr>
            <w:r>
              <w:rPr>
                <w:rFonts w:ascii="Arial" w:cs="Arial" w:eastAsia="Arial" w:hAnsi="Arial"/>
                <w:sz w:val="18"/>
                <w:szCs w:val="18"/>
                <w:color w:val="auto"/>
                <w:w w:val="86"/>
              </w:rPr>
              <w:t>Redeemable</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Excess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3"/>
          </w:tcPr>
          <w:p>
            <w:pPr>
              <w:jc w:val="center"/>
              <w:ind w:right="201"/>
              <w:spacing w:after="0"/>
              <w:rPr>
                <w:sz w:val="20"/>
                <w:szCs w:val="20"/>
                <w:color w:val="auto"/>
              </w:rPr>
            </w:pPr>
            <w:r>
              <w:rPr>
                <w:rFonts w:ascii="Arial" w:cs="Arial" w:eastAsia="Arial" w:hAnsi="Arial"/>
                <w:sz w:val="18"/>
                <w:szCs w:val="18"/>
                <w:color w:val="auto"/>
                <w:w w:val="90"/>
              </w:rPr>
              <w:t>Treasury</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Stock</w:t>
            </w:r>
          </w:p>
        </w:tc>
        <w:tc>
          <w:tcPr>
            <w:tcW w:w="880" w:type="dxa"/>
            <w:vAlign w:val="bottom"/>
            <w:gridSpan w:val="4"/>
          </w:tcPr>
          <w:p>
            <w:pPr>
              <w:jc w:val="center"/>
              <w:ind w:right="70"/>
              <w:spacing w:after="0"/>
              <w:rPr>
                <w:sz w:val="20"/>
                <w:szCs w:val="20"/>
                <w:color w:val="auto"/>
              </w:rPr>
            </w:pPr>
            <w:r>
              <w:rPr>
                <w:rFonts w:ascii="Arial" w:cs="Arial" w:eastAsia="Arial" w:hAnsi="Arial"/>
                <w:sz w:val="18"/>
                <w:szCs w:val="18"/>
                <w:color w:val="auto"/>
                <w:w w:val="93"/>
              </w:rPr>
              <w:t>Common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Preferred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Par</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8"/>
                <w:szCs w:val="18"/>
                <w:color w:val="auto"/>
                <w:w w:val="85"/>
              </w:rPr>
              <w:t>Par</w:t>
            </w:r>
          </w:p>
        </w:tc>
        <w:tc>
          <w:tcPr>
            <w:tcW w:w="6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w w:val="91"/>
              </w:rPr>
              <w:t>Retained</w:t>
            </w:r>
          </w:p>
        </w:tc>
        <w:tc>
          <w:tcPr>
            <w:tcW w:w="40" w:type="dxa"/>
            <w:vAlign w:val="bottom"/>
          </w:tcPr>
          <w:p>
            <w:pPr>
              <w:spacing w:after="0"/>
              <w:rPr>
                <w:sz w:val="18"/>
                <w:szCs w:val="18"/>
                <w:color w:val="auto"/>
              </w:rPr>
            </w:pPr>
          </w:p>
        </w:tc>
        <w:tc>
          <w:tcPr>
            <w:tcW w:w="880" w:type="dxa"/>
            <w:vAlign w:val="bottom"/>
            <w:gridSpan w:val="3"/>
          </w:tcPr>
          <w:p>
            <w:pPr>
              <w:jc w:val="center"/>
              <w:ind w:right="201"/>
              <w:spacing w:after="0"/>
              <w:rPr>
                <w:sz w:val="20"/>
                <w:szCs w:val="20"/>
                <w:color w:val="auto"/>
              </w:rPr>
            </w:pPr>
            <w:r>
              <w:rPr>
                <w:rFonts w:ascii="Arial" w:cs="Arial" w:eastAsia="Arial" w:hAnsi="Arial"/>
                <w:sz w:val="18"/>
                <w:szCs w:val="18"/>
                <w:color w:val="auto"/>
                <w:w w:val="93"/>
              </w:rPr>
              <w:t>Stock-</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800" w:type="dxa"/>
            <w:vAlign w:val="bottom"/>
            <w:gridSpan w:val="3"/>
          </w:tcPr>
          <w:p>
            <w:pPr>
              <w:jc w:val="center"/>
              <w:ind w:right="150"/>
              <w:spacing w:after="0"/>
              <w:rPr>
                <w:sz w:val="20"/>
                <w:szCs w:val="20"/>
                <w:color w:val="auto"/>
              </w:rPr>
            </w:pPr>
            <w:r>
              <w:rPr>
                <w:rFonts w:ascii="Arial" w:cs="Arial" w:eastAsia="Arial" w:hAnsi="Arial"/>
                <w:sz w:val="18"/>
                <w:szCs w:val="18"/>
                <w:color w:val="auto"/>
                <w:w w:val="84"/>
              </w:rPr>
              <w:t>Shares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Value</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Value</w:t>
            </w:r>
          </w:p>
        </w:tc>
        <w:tc>
          <w:tcPr>
            <w:tcW w:w="60" w:type="dxa"/>
            <w:vAlign w:val="bottom"/>
          </w:tcPr>
          <w:p>
            <w:pPr>
              <w:spacing w:after="0"/>
              <w:rPr>
                <w:sz w:val="20"/>
                <w:szCs w:val="20"/>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Earnings</w:t>
            </w:r>
          </w:p>
        </w:tc>
        <w:tc>
          <w:tcPr>
            <w:tcW w:w="920" w:type="dxa"/>
            <w:vAlign w:val="bottom"/>
            <w:gridSpan w:val="4"/>
          </w:tcPr>
          <w:p>
            <w:pPr>
              <w:jc w:val="center"/>
              <w:ind w:right="161"/>
              <w:spacing w:after="0"/>
              <w:rPr>
                <w:sz w:val="20"/>
                <w:szCs w:val="20"/>
                <w:color w:val="auto"/>
              </w:rPr>
            </w:pPr>
            <w:r>
              <w:rPr>
                <w:rFonts w:ascii="Arial" w:cs="Arial" w:eastAsia="Arial" w:hAnsi="Arial"/>
                <w:sz w:val="18"/>
                <w:szCs w:val="18"/>
                <w:color w:val="auto"/>
                <w:w w:val="93"/>
              </w:rPr>
              <w:t>Common</w:t>
            </w:r>
          </w:p>
        </w:tc>
        <w:tc>
          <w:tcPr>
            <w:tcW w:w="40" w:type="dxa"/>
            <w:vAlign w:val="bottom"/>
          </w:tcPr>
          <w:p>
            <w:pPr>
              <w:spacing w:after="0"/>
              <w:rPr>
                <w:sz w:val="20"/>
                <w:szCs w:val="20"/>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7"/>
        </w:trPr>
        <w:tc>
          <w:tcPr>
            <w:tcW w:w="38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7"/>
          </w:tcPr>
          <w:p>
            <w:pPr>
              <w:ind w:left="120"/>
              <w:spacing w:after="0"/>
              <w:rPr>
                <w:sz w:val="20"/>
                <w:szCs w:val="20"/>
                <w:color w:val="auto"/>
              </w:rPr>
            </w:pPr>
            <w:r>
              <w:rPr>
                <w:rFonts w:ascii="Arial" w:cs="Arial" w:eastAsia="Arial" w:hAnsi="Arial"/>
                <w:sz w:val="16"/>
                <w:szCs w:val="16"/>
                <w:color w:val="auto"/>
              </w:rPr>
              <w:t>(In Thousands)</w:t>
            </w: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31,283</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3,000</w:t>
            </w:r>
          </w:p>
        </w:tc>
        <w:tc>
          <w:tcPr>
            <w:tcW w:w="30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88"/>
              </w:rPr>
              <w:t>3,128</w:t>
            </w:r>
          </w:p>
        </w:tc>
        <w:tc>
          <w:tcPr>
            <w:tcW w:w="9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$ 196,833</w:t>
            </w:r>
          </w:p>
        </w:tc>
        <w:tc>
          <w:tcPr>
            <w:tcW w:w="12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57,632</w:t>
            </w:r>
          </w:p>
        </w:tc>
        <w:tc>
          <w:tcPr>
            <w:tcW w:w="180" w:type="dxa"/>
            <w:vAlign w:val="bottom"/>
            <w:shd w:val="clear" w:color="auto" w:fill="CFF0FC"/>
          </w:tcPr>
          <w:p>
            <w:pPr>
              <w:spacing w:after="0"/>
              <w:rPr>
                <w:sz w:val="20"/>
                <w:szCs w:val="20"/>
                <w:color w:val="auto"/>
              </w:rPr>
            </w:pPr>
          </w:p>
        </w:tc>
        <w:tc>
          <w:tcPr>
            <w:tcW w:w="920" w:type="dxa"/>
            <w:vAlign w:val="bottom"/>
            <w:gridSpan w:val="4"/>
            <w:shd w:val="clear" w:color="auto" w:fill="CFF0FC"/>
          </w:tcPr>
          <w:p>
            <w:pPr>
              <w:jc w:val="right"/>
              <w:ind w:right="81"/>
              <w:spacing w:after="0"/>
              <w:rPr>
                <w:sz w:val="20"/>
                <w:szCs w:val="20"/>
                <w:color w:val="auto"/>
              </w:rPr>
            </w:pPr>
            <w:r>
              <w:rPr>
                <w:rFonts w:ascii="Arial" w:cs="Arial" w:eastAsia="Arial" w:hAnsi="Arial"/>
                <w:sz w:val="18"/>
                <w:szCs w:val="18"/>
                <w:color w:val="auto"/>
                <w:w w:val="95"/>
              </w:rPr>
              <w:t>$ (13,266)</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7"/>
              </w:rPr>
              <w:t>$ 247,327</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(19,452)</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(19,452)</w:t>
            </w:r>
          </w:p>
        </w:tc>
        <w:tc>
          <w:tcPr>
            <w:tcW w:w="0" w:type="dxa"/>
            <w:vAlign w:val="bottom"/>
          </w:tcPr>
          <w:p>
            <w:pPr>
              <w:spacing w:after="0"/>
              <w:rPr>
                <w:sz w:val="1"/>
                <w:szCs w:val="1"/>
                <w:color w:val="auto"/>
              </w:rPr>
            </w:pPr>
          </w:p>
        </w:tc>
      </w:tr>
      <w:tr>
        <w:trPr>
          <w:trHeight w:val="215"/>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Dividend accrued on redeemable</w:t>
            </w: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w:t>
            </w:r>
          </w:p>
        </w:tc>
        <w:tc>
          <w:tcPr>
            <w:tcW w:w="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(8,307)</w:t>
            </w:r>
          </w:p>
        </w:tc>
        <w:tc>
          <w:tcPr>
            <w:tcW w:w="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(8,307)</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Accretion of redeemable preferred stock</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(504)</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5"/>
          </w:tcPr>
          <w:p>
            <w:pPr>
              <w:jc w:val="right"/>
              <w:ind w:right="60"/>
              <w:spacing w:after="0"/>
              <w:rPr>
                <w:sz w:val="20"/>
                <w:szCs w:val="20"/>
                <w:color w:val="auto"/>
              </w:rPr>
            </w:pPr>
            <w:r>
              <w:rPr>
                <w:rFonts w:ascii="Arial" w:cs="Arial" w:eastAsia="Arial" w:hAnsi="Arial"/>
                <w:sz w:val="18"/>
                <w:szCs w:val="18"/>
                <w:color w:val="auto"/>
              </w:rPr>
              <w:t>(356)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2020</w:t>
            </w: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31,283</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gridSpan w:val="2"/>
            <w:shd w:val="clear" w:color="auto" w:fill="CFF0FC"/>
          </w:tcPr>
          <w:p>
            <w:pPr>
              <w:ind w:left="180"/>
              <w:spacing w:after="0"/>
              <w:rPr>
                <w:sz w:val="20"/>
                <w:szCs w:val="20"/>
                <w:color w:val="auto"/>
              </w:rPr>
            </w:pPr>
            <w:r>
              <w:rPr>
                <w:rFonts w:ascii="Arial" w:cs="Arial" w:eastAsia="Arial" w:hAnsi="Arial"/>
                <w:sz w:val="18"/>
                <w:szCs w:val="18"/>
                <w:color w:val="auto"/>
                <w:w w:val="88"/>
              </w:rPr>
              <w:t>3,128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196,972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29,369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(12,974</w:t>
            </w:r>
          </w:p>
        </w:tc>
        <w:tc>
          <w:tcPr>
            <w:tcW w:w="180" w:type="dxa"/>
            <w:vAlign w:val="bottom"/>
            <w:tcBorders>
              <w:top w:val="single" w:sz="8" w:color="CFF0FC"/>
              <w:bottom w:val="single" w:sz="8" w:color="CFF0FC"/>
            </w:tcBorders>
            <w:gridSpan w:val="2"/>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219,495</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vMerge w:val="continue"/>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Dividend accrued on redeemable</w:t>
            </w: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w:t>
            </w:r>
          </w:p>
        </w:tc>
        <w:tc>
          <w:tcPr>
            <w:tcW w:w="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(8,689)</w:t>
            </w:r>
          </w:p>
        </w:tc>
        <w:tc>
          <w:tcPr>
            <w:tcW w:w="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(8,689)</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Accretion of redeemable preferred stock</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(505)</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5"/>
          </w:tcPr>
          <w:p>
            <w:pPr>
              <w:jc w:val="right"/>
              <w:ind w:right="60"/>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2020</w:t>
            </w: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31,283</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(1,966</w:t>
            </w:r>
          </w:p>
        </w:tc>
        <w:tc>
          <w:tcPr>
            <w:tcW w:w="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gridSpan w:val="2"/>
            <w:shd w:val="clear" w:color="auto" w:fill="CFF0FC"/>
          </w:tcPr>
          <w:p>
            <w:pPr>
              <w:ind w:left="180"/>
              <w:spacing w:after="0"/>
              <w:rPr>
                <w:sz w:val="20"/>
                <w:szCs w:val="20"/>
                <w:color w:val="auto"/>
              </w:rPr>
            </w:pPr>
            <w:r>
              <w:rPr>
                <w:rFonts w:ascii="Arial" w:cs="Arial" w:eastAsia="Arial" w:hAnsi="Arial"/>
                <w:sz w:val="18"/>
                <w:szCs w:val="18"/>
                <w:color w:val="auto"/>
                <w:w w:val="88"/>
              </w:rPr>
              <w:t>3,128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197,566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19,810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(12,884</w:t>
            </w:r>
          </w:p>
        </w:tc>
        <w:tc>
          <w:tcPr>
            <w:tcW w:w="180" w:type="dxa"/>
            <w:vAlign w:val="bottom"/>
            <w:tcBorders>
              <w:top w:val="single" w:sz="8" w:color="CFF0FC"/>
              <w:bottom w:val="single" w:sz="8" w:color="CFF0FC"/>
            </w:tcBorders>
            <w:gridSpan w:val="2"/>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210,620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88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31,283</w:t>
            </w:r>
          </w:p>
        </w:tc>
        <w:tc>
          <w:tcPr>
            <w:tcW w:w="140" w:type="dxa"/>
            <w:vAlign w:val="bottom"/>
          </w:tcPr>
          <w:p>
            <w:pPr>
              <w:spacing w:after="0"/>
              <w:rPr>
                <w:sz w:val="24"/>
                <w:szCs w:val="24"/>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(2,438)</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140"/>
              <w:spacing w:after="0"/>
              <w:rPr>
                <w:sz w:val="20"/>
                <w:szCs w:val="20"/>
                <w:color w:val="auto"/>
              </w:rPr>
            </w:pPr>
            <w:r>
              <w:rPr>
                <w:rFonts w:ascii="Arial" w:cs="Arial" w:eastAsia="Arial" w:hAnsi="Arial"/>
                <w:sz w:val="18"/>
                <w:szCs w:val="18"/>
                <w:color w:val="auto"/>
                <w:w w:val="88"/>
              </w:rPr>
              <w:t>3,128</w:t>
            </w:r>
          </w:p>
        </w:tc>
        <w:tc>
          <w:tcPr>
            <w:tcW w:w="4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$ 198,482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153,773</w:t>
            </w:r>
          </w:p>
        </w:tc>
        <w:tc>
          <w:tcPr>
            <w:tcW w:w="180" w:type="dxa"/>
            <w:vAlign w:val="bottom"/>
          </w:tcPr>
          <w:p>
            <w:pPr>
              <w:spacing w:after="0"/>
              <w:rPr>
                <w:sz w:val="24"/>
                <w:szCs w:val="24"/>
                <w:color w:val="auto"/>
              </w:rPr>
            </w:pPr>
          </w:p>
        </w:tc>
        <w:tc>
          <w:tcPr>
            <w:tcW w:w="920" w:type="dxa"/>
            <w:vAlign w:val="bottom"/>
            <w:gridSpan w:val="4"/>
          </w:tcPr>
          <w:p>
            <w:pPr>
              <w:jc w:val="right"/>
              <w:ind w:right="81"/>
              <w:spacing w:after="0"/>
              <w:rPr>
                <w:sz w:val="20"/>
                <w:szCs w:val="20"/>
                <w:color w:val="auto"/>
              </w:rPr>
            </w:pPr>
            <w:r>
              <w:rPr>
                <w:rFonts w:ascii="Arial" w:cs="Arial" w:eastAsia="Arial" w:hAnsi="Arial"/>
                <w:sz w:val="18"/>
                <w:szCs w:val="18"/>
                <w:color w:val="auto"/>
                <w:w w:val="95"/>
              </w:rPr>
              <w:t>$ (16,186)</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$ 342,197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8"/>
              </w:rPr>
              <w:t>(11,540)</w:t>
            </w:r>
          </w:p>
        </w:tc>
        <w:tc>
          <w:tcPr>
            <w:tcW w:w="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(11,540)</w:t>
            </w:r>
          </w:p>
        </w:tc>
        <w:tc>
          <w:tcPr>
            <w:tcW w:w="0" w:type="dxa"/>
            <w:vAlign w:val="bottom"/>
          </w:tcPr>
          <w:p>
            <w:pPr>
              <w:spacing w:after="0"/>
              <w:rPr>
                <w:sz w:val="1"/>
                <w:szCs w:val="1"/>
                <w:color w:val="auto"/>
              </w:rPr>
            </w:pPr>
          </w:p>
        </w:tc>
      </w:tr>
      <w:tr>
        <w:trPr>
          <w:trHeight w:val="215"/>
        </w:trPr>
        <w:tc>
          <w:tcPr>
            <w:tcW w:w="3880" w:type="dxa"/>
            <w:vAlign w:val="bottom"/>
          </w:tcPr>
          <w:p>
            <w:pPr>
              <w:spacing w:after="0"/>
              <w:rPr>
                <w:sz w:val="20"/>
                <w:szCs w:val="20"/>
                <w:color w:val="auto"/>
              </w:rPr>
            </w:pPr>
            <w:r>
              <w:rPr>
                <w:rFonts w:ascii="Arial" w:cs="Arial" w:eastAsia="Arial" w:hAnsi="Arial"/>
                <w:sz w:val="18"/>
                <w:szCs w:val="18"/>
                <w:color w:val="auto"/>
              </w:rPr>
              <w:t>Dividend accrued on redeemable</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40"/>
              <w:spacing w:after="0"/>
              <w:rPr>
                <w:sz w:val="20"/>
                <w:szCs w:val="20"/>
                <w:color w:val="auto"/>
              </w:rPr>
            </w:pPr>
            <w:r>
              <w:rPr>
                <w:rFonts w:ascii="Arial" w:cs="Arial" w:eastAsia="Arial" w:hAnsi="Arial"/>
                <w:sz w:val="18"/>
                <w:szCs w:val="18"/>
                <w:color w:val="auto"/>
              </w:rPr>
              <w:t>preferred stock</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(7,256)</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(7,256)</w:t>
            </w: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Accretion of redeemable preferred stock</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(496)</w:t>
            </w:r>
          </w:p>
        </w:tc>
        <w:tc>
          <w:tcPr>
            <w:tcW w:w="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612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gridSpan w:val="5"/>
            <w:shd w:val="clear" w:color="auto" w:fill="CFF0FC"/>
          </w:tcPr>
          <w:p>
            <w:pPr>
              <w:jc w:val="right"/>
              <w:ind w:right="100"/>
              <w:spacing w:after="0"/>
              <w:rPr>
                <w:sz w:val="20"/>
                <w:szCs w:val="20"/>
                <w:color w:val="auto"/>
              </w:rPr>
            </w:pPr>
            <w:r>
              <w:rPr>
                <w:rFonts w:ascii="Arial" w:cs="Arial" w:eastAsia="Arial" w:hAnsi="Arial"/>
                <w:sz w:val="18"/>
                <w:szCs w:val="18"/>
                <w:color w:val="auto"/>
              </w:rPr>
              <w:t>(144)</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4"/>
            <w:shd w:val="clear" w:color="auto" w:fill="CFF0FC"/>
          </w:tcPr>
          <w:p>
            <w:pPr>
              <w:jc w:val="right"/>
              <w:ind w:right="81"/>
              <w:spacing w:after="0"/>
              <w:rPr>
                <w:sz w:val="20"/>
                <w:szCs w:val="20"/>
                <w:color w:val="auto"/>
              </w:rPr>
            </w:pPr>
            <w:r>
              <w:rPr>
                <w:rFonts w:ascii="Arial" w:cs="Arial" w:eastAsia="Arial" w:hAnsi="Arial"/>
                <w:sz w:val="18"/>
                <w:szCs w:val="18"/>
                <w:color w:val="auto"/>
              </w:rPr>
              <w:t>(546)</w:t>
            </w:r>
          </w:p>
        </w:tc>
        <w:tc>
          <w:tcPr>
            <w:tcW w:w="8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63"/>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March 31, 2019</w:t>
            </w:r>
          </w:p>
        </w:tc>
        <w:tc>
          <w:tcPr>
            <w:tcW w:w="20" w:type="dxa"/>
            <w:vAlign w:val="bottom"/>
            <w:tcBorders>
              <w:bottom w:val="single" w:sz="8" w:color="CFF0FC"/>
            </w:tcBorders>
          </w:tcPr>
          <w:p>
            <w:pPr>
              <w:spacing w:after="0"/>
              <w:rPr>
                <w:sz w:val="22"/>
                <w:szCs w:val="22"/>
                <w:color w:val="auto"/>
              </w:rPr>
            </w:pP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31,283</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(2,514</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8"/>
              </w:rPr>
              <w:t>3,128</w:t>
            </w:r>
          </w:p>
        </w:tc>
        <w:tc>
          <w:tcPr>
            <w:tcW w:w="4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198,950</w:t>
            </w:r>
          </w:p>
        </w:tc>
        <w:tc>
          <w:tcPr>
            <w:tcW w:w="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134,481</w:t>
            </w:r>
          </w:p>
        </w:tc>
        <w:tc>
          <w:tcPr>
            <w:tcW w:w="1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(16,732</w:t>
            </w:r>
          </w:p>
        </w:tc>
        <w:tc>
          <w:tcPr>
            <w:tcW w:w="160" w:type="dxa"/>
            <w:vAlign w:val="bottom"/>
            <w:tcBorders>
              <w:bottom w:val="single" w:sz="8" w:color="CFF0FC"/>
            </w:tcBorders>
          </w:tcPr>
          <w:p>
            <w:pPr>
              <w:jc w:val="right"/>
              <w:ind w:right="81"/>
              <w:spacing w:after="0"/>
              <w:rPr>
                <w:sz w:val="20"/>
                <w:szCs w:val="20"/>
                <w:color w:val="auto"/>
              </w:rPr>
            </w:pPr>
            <w:r>
              <w:rPr>
                <w:rFonts w:ascii="Arial" w:cs="Arial" w:eastAsia="Arial" w:hAnsi="Arial"/>
                <w:sz w:val="8"/>
                <w:szCs w:val="8"/>
                <w:color w:val="auto"/>
                <w:w w:val="73"/>
              </w:rPr>
              <w:t>)</w:t>
            </w:r>
          </w:p>
        </w:tc>
        <w:tc>
          <w:tcPr>
            <w:tcW w:w="40" w:type="dxa"/>
            <w:vAlign w:val="bottom"/>
            <w:tcBorders>
              <w:bottom w:val="single" w:sz="8" w:color="CFF0FC"/>
            </w:tcBorders>
          </w:tcPr>
          <w:p>
            <w:pPr>
              <w:spacing w:after="0"/>
              <w:rPr>
                <w:sz w:val="22"/>
                <w:szCs w:val="22"/>
                <w:color w:val="auto"/>
              </w:rPr>
            </w:pP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322,827</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6,631</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6,631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tcPr>
          <w:p>
            <w:pPr>
              <w:spacing w:after="0"/>
              <w:rPr>
                <w:sz w:val="20"/>
                <w:szCs w:val="20"/>
                <w:color w:val="auto"/>
              </w:rPr>
            </w:pPr>
            <w:r>
              <w:rPr>
                <w:rFonts w:ascii="Arial" w:cs="Arial" w:eastAsia="Arial" w:hAnsi="Arial"/>
                <w:sz w:val="18"/>
                <w:szCs w:val="18"/>
                <w:color w:val="auto"/>
              </w:rPr>
              <w:t>Dividend accrued on redeemable</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40"/>
              <w:spacing w:after="0"/>
              <w:rPr>
                <w:sz w:val="20"/>
                <w:szCs w:val="20"/>
                <w:color w:val="auto"/>
              </w:rPr>
            </w:pPr>
            <w:r>
              <w:rPr>
                <w:rFonts w:ascii="Arial" w:cs="Arial" w:eastAsia="Arial" w:hAnsi="Arial"/>
                <w:sz w:val="18"/>
                <w:szCs w:val="18"/>
                <w:color w:val="auto"/>
              </w:rPr>
              <w:t>preferred stock</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(7,589)</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(7,589)</w:t>
            </w: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Accretion of redeemable preferred stock</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(497)</w:t>
            </w:r>
          </w:p>
        </w:tc>
        <w:tc>
          <w:tcPr>
            <w:tcW w:w="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686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2019</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31,283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(2,514</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88"/>
              </w:rPr>
              <w:t>3,128</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199,636</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133,026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(16,732</w:t>
            </w:r>
          </w:p>
        </w:tc>
        <w:tc>
          <w:tcPr>
            <w:tcW w:w="16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8"/>
                <w:szCs w:val="8"/>
                <w:color w:val="auto"/>
                <w:w w:val="73"/>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322,058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91"/>
              </w:rPr>
              <w:t>Six Months Ended</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2020</w:t>
            </w: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86"/>
              </w:rPr>
              <w:t>June 30,</w:t>
            </w:r>
          </w:p>
        </w:tc>
        <w:tc>
          <w:tcPr>
            <w:tcW w:w="1000" w:type="dxa"/>
            <w:vAlign w:val="bottom"/>
            <w:vMerge w:val="restart"/>
          </w:tcPr>
          <w:p>
            <w:pPr>
              <w:jc w:val="right"/>
              <w:ind w:right="510"/>
              <w:spacing w:after="0"/>
              <w:rPr>
                <w:sz w:val="20"/>
                <w:szCs w:val="20"/>
                <w:color w:val="auto"/>
              </w:rPr>
            </w:pPr>
            <w:r>
              <w:rPr>
                <w:rFonts w:ascii="Arial" w:cs="Arial" w:eastAsia="Arial" w:hAnsi="Arial"/>
                <w:sz w:val="18"/>
                <w:szCs w:val="18"/>
                <w:color w:val="auto"/>
                <w:w w:val="94"/>
              </w:rPr>
              <w:t>2019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gridSpan w:val="3"/>
          </w:tcPr>
          <w:p>
            <w:pPr>
              <w:jc w:val="center"/>
              <w:spacing w:after="0"/>
              <w:rPr>
                <w:sz w:val="20"/>
                <w:szCs w:val="20"/>
                <w:color w:val="auto"/>
              </w:rPr>
            </w:pPr>
            <w:r>
              <w:rPr>
                <w:rFonts w:ascii="Arial" w:cs="Arial" w:eastAsia="Arial" w:hAnsi="Arial"/>
                <w:sz w:val="16"/>
                <w:szCs w:val="16"/>
                <w:color w:val="auto"/>
                <w:w w:val="92"/>
              </w:rPr>
              <w:t>(In Thousands)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(19,817)</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(4,909)</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(1,661)</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(5,290)</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 of property, plant and equipment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34,572</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Amortization of intangible and other assets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631</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3,192</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Cash provided (used) by changes in assets and liabilities: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(3,117)</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8,655</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insurance</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6,642</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Precious metals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(2,114)</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(7,674)</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(17,440)</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Accrued interest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1,685</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 and other liabilities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(1,618)</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19,376</w:t>
            </w:r>
          </w:p>
        </w:tc>
        <w:tc>
          <w:tcPr>
            <w:tcW w:w="2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Expenditures for property, plant and equipment</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2"/>
              </w:rPr>
              <w:t>(17,953)</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(12,866)</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investing activities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by investing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(17,654)</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revolving debt facility</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30,000</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revolving debt facility</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Net proceeds from 9.625% senior secured notes</w:t>
            </w: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other long-term debt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12,570</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Payments on other long-term debt</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(4,411)</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(10,083)</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short-term financing</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(6,095)</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(5,355)</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Taxes paid on equity awards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financing activities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32,000</w:t>
            </w:r>
          </w:p>
        </w:tc>
        <w:tc>
          <w:tcPr>
            <w:tcW w:w="28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24,466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33,722</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22,791</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56,513</w:t>
            </w:r>
          </w:p>
        </w:tc>
        <w:tc>
          <w:tcPr>
            <w:tcW w:w="2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57,971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a complete discussion of our significant accounting policies, refer to the notes to our audited consolidated financial statements included in our Form 10-K for the year ended December 31, 2019 (“2019 Form 10-K”), filed with the Securities and Exchange Commission (“SEC”) on February 25, 2020.</w:t>
      </w:r>
    </w:p>
    <w:p>
      <w:pPr>
        <w:spacing w:after="0" w:line="1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Basis of Consolidation – </w:t>
      </w:r>
      <w:r>
        <w:rPr>
          <w:rFonts w:ascii="Arial" w:cs="Arial" w:eastAsia="Arial" w:hAnsi="Arial"/>
          <w:sz w:val="17"/>
          <w:szCs w:val="17"/>
          <w:color w:val="auto"/>
        </w:rPr>
        <w:t>LSB Industries, Inc. (“LSB”) and its subsidiaries (the “Company”, “We”, “Us”, or “Our”) are consolidated in the accompanying</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consolidated financial statements. LSB is a holding company with no significant operations or assets other than cash, cash equivalents, and investments in its subsidiaries. All material intercompany accounts and transactions have been eliminated. Certain prior period amounts reported in our consolidated financial statements and notes thereto have been reclassified to conform to current period presentation.</w:t>
      </w:r>
    </w:p>
    <w:p>
      <w:pPr>
        <w:spacing w:after="0" w:line="5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Nature of Business – </w:t>
      </w:r>
      <w:r>
        <w:rPr>
          <w:rFonts w:ascii="Arial" w:cs="Arial" w:eastAsia="Arial" w:hAnsi="Arial"/>
          <w:sz w:val="17"/>
          <w:szCs w:val="17"/>
          <w:color w:val="auto"/>
        </w:rPr>
        <w:t>We are engaged in the manufacture and sale of chemical products. The chemical products we primarily manufacture, market and sell</w:t>
      </w:r>
      <w:r>
        <w:rPr>
          <w:rFonts w:ascii="Arial" w:cs="Arial" w:eastAsia="Arial" w:hAnsi="Arial"/>
          <w:sz w:val="17"/>
          <w:szCs w:val="17"/>
          <w:b w:val="1"/>
          <w:bCs w:val="1"/>
          <w:color w:val="auto"/>
        </w:rPr>
        <w:t xml:space="preserve"> </w:t>
      </w:r>
      <w:r>
        <w:rPr>
          <w:rFonts w:ascii="Arial" w:cs="Arial" w:eastAsia="Arial" w:hAnsi="Arial"/>
          <w:sz w:val="17"/>
          <w:szCs w:val="17"/>
          <w:color w:val="auto"/>
        </w:rPr>
        <w:t>are ammonia, fertilizer grade AN (“HDAN”) and UAN for agricultural applications, high purity and commercial grade ammonia, high purity AN, sulfuric acids, concentrated, blended and regular nitric acid, mixed nitrating acids, carbon dioxide, and diesel exhaust fluid for industrial applications, and industrial grade AN (“LDAN”) and solutions for the mining industry. We manufacture and distribute our products in four facilities; three of which we own and are located in El Dorado, Arkansas (the “El Dorado Facility”); Cherokee, Alabama (the “Cherokee Facility”); and Pryor, Oklahoma (the “Pryor Facility”); and one of which we operate on behalf of a global chemical company in Baytown, Texas (the “Baytown Facility”).</w:t>
      </w:r>
    </w:p>
    <w:p>
      <w:pPr>
        <w:spacing w:after="0" w:line="6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Sales to customers include farmers, ranchers, fertilizer dealers and distributors primarily in the ranch land and grain production markets in the United States (“U.S.”); industrial users of acids throughout the U.S. and parts of Canada; and explosive manufacturers in the U.S. and parts of Mexico.</w:t>
      </w:r>
    </w:p>
    <w:p>
      <w:pPr>
        <w:spacing w:after="0" w:line="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our opinion, the unaudited condensed consolidated financial statements of the Company as of June 30, 2020 and for the three and six months ended June 30, 2020 and 2019 include all adjustments and accruals, consisting of normal, recurring accrual adjustments, which are necessary for a fair presentation of the results for the interim periods. 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5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U.S. generally accepted accounting principles (“GAAP”) have been condensed or omitted in this Form 10-Q pursuant to the rules and regulations of the SEC. These condensed consolidated financial statements should be read in connection with our audited consolidated financial statements and notes thereto included in our 2019 Form 10-K.</w:t>
      </w:r>
    </w:p>
    <w:p>
      <w:pPr>
        <w:spacing w:after="0" w:line="3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Use of Estimates – </w:t>
      </w:r>
      <w:r>
        <w:rPr>
          <w:rFonts w:ascii="Arial" w:cs="Arial" w:eastAsia="Arial" w:hAnsi="Arial"/>
          <w:sz w:val="16"/>
          <w:szCs w:val="16"/>
          <w:color w:val="auto"/>
        </w:rPr>
        <w:t>The preparation of condensed consolidated financial statements in conformity with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3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Income Taxes – </w:t>
      </w:r>
      <w:r>
        <w:rPr>
          <w:rFonts w:ascii="Arial" w:cs="Arial" w:eastAsia="Arial" w:hAnsi="Arial"/>
          <w:sz w:val="17"/>
          <w:szCs w:val="17"/>
          <w:color w:val="auto"/>
        </w:rPr>
        <w:t>Income taxes are accounted for under the asset and liability method. Deferred tax assets and liabilities are measured using enacted tax</w:t>
      </w:r>
      <w:r>
        <w:rPr>
          <w:rFonts w:ascii="Arial" w:cs="Arial" w:eastAsia="Arial" w:hAnsi="Arial"/>
          <w:sz w:val="17"/>
          <w:szCs w:val="17"/>
          <w:b w:val="1"/>
          <w:bCs w:val="1"/>
          <w:color w:val="auto"/>
        </w:rPr>
        <w:t xml:space="preserve"> </w:t>
      </w:r>
      <w:r>
        <w:rPr>
          <w:rFonts w:ascii="Arial" w:cs="Arial" w:eastAsia="Arial" w:hAnsi="Arial"/>
          <w:sz w:val="17"/>
          <w:szCs w:val="17"/>
          <w:color w:val="auto"/>
        </w:rPr>
        <w:t>rates expected to apply to taxable income in the years in which those differences are expected to be recovered or settled. The effect on deferred tax assets and liabilities of a change in tax rates is recognized in the statement of operations in the period that includes the enactment date.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p>
    <w:p>
      <w:pPr>
        <w:spacing w:after="0" w:line="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do not recognize a tax benefit unless we conclude that it is more likely than not that the benefit will be sustained on audit by the relevant taxing authorities based solely on the technical merits of the associated tax position. If the recognition threshold is met, we recognize a tax benefit measured at the largest amount of the tax benefit that, in our judgment, is greater than 50% likely to be realized.</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tax benefits associated with amounts that are deductible for income tax purposes are recorded through the statement of operations. These benefits are principally generated from exercises of restricted stock. We reduce income tax expense for investment tax credits in the period the credit arises and is earned.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See Note 7 regarding the Coronavirus Aid, Relief, and Economic Security (“CARES”) 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 Certain conditions may exist which may result in a loss, but which will only be resolved when future events occur. We and our legal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when the contingencies have been resolved (generally at the time a settlement has been reached).</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2020, one of our subsidiaries, El Dorado Chemical Company (“EDC”), and certain vendors mediated settlements for EDC to recover certain costs associated with a nitric acid plant at our El Dorado Facility. The construction of this plant was completed and began production in 2016. As a result of the settlements, the vendors owe EDC $4.3 million (amount included in accounts receivable at June 30, 2020 and received in July) and provide services and parts totaling $2.8 million, which amount, or portion thereof, may be paid in cash at the option of the vendors (amount included in noncurrent accounts receivable, which is classified as a noncurrent other asset at June 30, 2020). As part of the settlements, EDC owes the vendors $2.7 million (which amount was paid in July) to settle $3.2 million of invoices that are held in our accounts payable. As a result, the recovery from these settlements recognized during the three months ended June 30, 2020 includes approximately $5.7 million classified as a reduction to cost of sales and approximately $1.9 million classified as a reduction to property, plant and equipment (“PP&amp;E”).</w:t>
      </w:r>
    </w:p>
    <w:p>
      <w:pPr>
        <w:spacing w:after="0" w:line="6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Redeemable Preferred Stocks </w:t>
      </w:r>
      <w:r>
        <w:rPr>
          <w:rFonts w:ascii="Arial" w:cs="Arial" w:eastAsia="Arial" w:hAnsi="Arial"/>
          <w:sz w:val="16"/>
          <w:szCs w:val="16"/>
          <w:color w:val="auto"/>
        </w:rPr>
        <w:t>– Our redeemable preferred stocks that are redeemable outside of our control are classified as temporary/mezzanine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The redeemable preferred stocks were recorded at fair value upon issuance, net of issuance costs or discounts. In addition, certain embedded features included in the Series E Redeemable Preferred required bifurcation and are classified as derivative liabilities. The carrying values of the redeemable preferred stocks are being increased by periodic accretions (including the amount for dividends earned but not yet declared or paid) using the interest method so that the carrying amount will equal the redemption value as of October 25, 2023, the earliest possible redemption date by the holder. The accretion was recorded to retained earnings. However, this accretion will change if the expected redemption date changes.</w:t>
      </w:r>
    </w:p>
    <w:p>
      <w:pPr>
        <w:spacing w:after="0" w:line="52"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 xml:space="preserve">Derivatives, Hedges and Financial Instruments </w:t>
      </w:r>
      <w:r>
        <w:rPr>
          <w:rFonts w:ascii="Arial" w:cs="Arial" w:eastAsia="Arial" w:hAnsi="Arial"/>
          <w:sz w:val="17"/>
          <w:szCs w:val="17"/>
          <w:color w:val="auto"/>
        </w:rPr>
        <w:t>– Derivatives are recognized in the balance sheet and are measured at fair value. Changes in fair value</w:t>
      </w:r>
      <w:r>
        <w:rPr>
          <w:rFonts w:ascii="Arial" w:cs="Arial" w:eastAsia="Arial" w:hAnsi="Arial"/>
          <w:sz w:val="17"/>
          <w:szCs w:val="17"/>
          <w:b w:val="1"/>
          <w:bCs w:val="1"/>
          <w:color w:val="auto"/>
        </w:rPr>
        <w:t xml:space="preserve"> </w:t>
      </w:r>
      <w:r>
        <w:rPr>
          <w:rFonts w:ascii="Arial" w:cs="Arial" w:eastAsia="Arial" w:hAnsi="Arial"/>
          <w:sz w:val="17"/>
          <w:szCs w:val="17"/>
          <w:color w:val="auto"/>
        </w:rPr>
        <w:t>of derivatives are recorded in results of operations unless the normal purchase or sale exceptions apply, or hedge accounting is elected.</w:t>
      </w:r>
    </w:p>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and liabilities measured at fair value are classified using the following hierarchy, which is based upon the transparency of inputs to the valuation as of the measurement date:</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of contracts classified as Level 1 are based on quoted prices in active markets for identical contracts.</w:t>
      </w:r>
    </w:p>
    <w:p>
      <w:pPr>
        <w:spacing w:after="0" w:line="117" w:lineRule="exact"/>
        <w:rPr>
          <w:sz w:val="20"/>
          <w:szCs w:val="20"/>
          <w:color w:val="auto"/>
        </w:rPr>
      </w:pPr>
    </w:p>
    <w:p>
      <w:pPr>
        <w:ind w:left="380"/>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of contracts classified as Level 2 are based on quoted prices for similar contracts and valuation inputs other than quoted prices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observable for these contracts</w:t>
      </w:r>
    </w:p>
    <w:p>
      <w:pPr>
        <w:spacing w:after="0" w:line="54" w:lineRule="exact"/>
        <w:rPr>
          <w:sz w:val="20"/>
          <w:szCs w:val="20"/>
          <w:color w:val="auto"/>
        </w:rPr>
      </w:pPr>
    </w:p>
    <w:p>
      <w:pPr>
        <w:ind w:left="380"/>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of assets and liabilities classified as Level 3 are based on prices or valuation techniques that require inputs that are both</w:t>
      </w:r>
      <w:r>
        <w:rPr>
          <w:rFonts w:ascii="Arial" w:cs="Arial" w:eastAsia="Arial" w:hAnsi="Arial"/>
          <w:sz w:val="18"/>
          <w:szCs w:val="18"/>
          <w:b w:val="1"/>
          <w:bCs w:val="1"/>
          <w:color w:val="auto"/>
        </w:rPr>
        <w:t xml:space="preserve"> </w:t>
      </w:r>
      <w:r>
        <w:rPr>
          <w:rFonts w:ascii="Arial" w:cs="Arial" w:eastAsia="Arial" w:hAnsi="Arial"/>
          <w:sz w:val="18"/>
          <w:szCs w:val="18"/>
          <w:color w:val="auto"/>
        </w:rPr>
        <w:t>unobservable and significant to the overall fair value measurement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23" w:lineRule="exact"/>
        <w:rPr>
          <w:sz w:val="20"/>
          <w:szCs w:val="20"/>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A contract’s transaction price is allocated to each distinct performance obligation and recognized as revenue when, or as, the performance obligation is satisfied. Generally, satisfaction occurs when control of the promised goods is transferred to the customer or as services are rendered or completed in exchange for consideration in an amount for which we expect to be entitled. Generally, control is transferred when the preparation for shipment of the product to a customer has been completed. Most of our contracts contain a single performance obligation with the promise to transfer a specific product.</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revenue is recognized from performance obligations satisfied at a point in time, however, we have a performance obligation to perform certain services that are satisfied over a period of time. Revenue is recognized from this type of performance obligation as services are rendered and are based on the amount for which we have a right to invoice, which reflects the amount of expected consideration that corresponds directly with the value of the services performed.</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most of our contracts with customers, the transaction price from the inception of a contract is constrained to a short period of time (generally one month) as these contracts contain terms with variable consideration related to both price and quantity. These contract prices are often based on commodity indexes (such as NYMEX natural gas index) published monthly and the contract quantities are typically based on estimated ranges. The quantities become fixed and determinable over a period of time as each sale order is received from the customer.</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nature of our contracts also gives rise to other types of variable consideration, including volume discounts and rebates, make-whole provisions, other pricing concessions, and short-fall charges. We estimate these amounts based on the expected amount to be provided to customers, which result in a transaction price adjustment reducing revenue (net sales) with the offset increasing contract or refund liabilities. These estimates are based on historical experience, anticipated performance, and our best judgment at the time. We reassess these estimates on a quarterly basis.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aforementioned constraints over transaction prices in conjunction with the variable consideration included in our material contracts prevent a practical assignment of a specific dollar amount to performance obligations at the beginning and end of the period. Therefore, we have applied the variable consideration allocation exception.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revenues to be earned from the satisfaction of performance obligations will be recognized when control transfers as goods are loaded and weighed or services are performed over the remaining duration of our contracts.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ASU 2020-04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March 2020, the FASB issued ASU 2020-04</w:t>
      </w:r>
      <w:r>
        <w:rPr>
          <w:rFonts w:ascii="Arial" w:cs="Arial" w:eastAsia="Arial" w:hAnsi="Arial"/>
          <w:sz w:val="18"/>
          <w:szCs w:val="18"/>
          <w:i w:val="1"/>
          <w:iCs w:val="1"/>
          <w:color w:val="auto"/>
        </w:rPr>
        <w:t>, Reference Rate Reform (Topic 848): Facilitation of the Effects of Reference Rate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Reform on Financial Reporting, </w:t>
      </w:r>
      <w:r>
        <w:rPr>
          <w:rFonts w:ascii="Arial" w:cs="Arial" w:eastAsia="Arial" w:hAnsi="Arial"/>
          <w:sz w:val="18"/>
          <w:szCs w:val="18"/>
          <w:color w:val="auto"/>
        </w:rPr>
        <w:t>which provides optional guidance for a limited time to ease the potential accounting burden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transitioning away from reference rates such as LIBOR that are expected to be discontinued. This ASU provides exceptions and optional expedients for applying GAAP to contract modifications, hedging relationships, and other transactions that reference LIBOR or other reference rates to be discontinued as a result of reference rate reform. They do not apply to modifications made or hedges entered into or evaluated after December 31, 2022, unless the hedging relationships existed as of that date and optional expedients for them were elected and retained through the end of the hedging relationship. This ASU became effective upon issuance. We continue to evaluate the effect of this ASU and plan to utilize this relief for our debt agreement that include LIBOR rates.</w:t>
      </w:r>
    </w:p>
    <w:p>
      <w:pPr>
        <w:spacing w:after="0" w:line="8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ASU 2019-12 </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 December 2019, the FASB issued ASU 2019-12,</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b w:val="1"/>
          <w:bCs w:val="1"/>
          <w:color w:val="auto"/>
        </w:rPr>
        <w:t xml:space="preserve"> </w:t>
      </w:r>
      <w:r>
        <w:rPr>
          <w:rFonts w:ascii="Arial" w:cs="Arial" w:eastAsia="Arial" w:hAnsi="Arial"/>
          <w:sz w:val="16"/>
          <w:szCs w:val="16"/>
          <w:color w:val="auto"/>
        </w:rPr>
        <w:t>which</w:t>
      </w:r>
      <w:r>
        <w:rPr>
          <w:rFonts w:ascii="Arial" w:cs="Arial" w:eastAsia="Arial" w:hAnsi="Arial"/>
          <w:sz w:val="16"/>
          <w:szCs w:val="16"/>
          <w:b w:val="1"/>
          <w:bCs w:val="1"/>
          <w:color w:val="auto"/>
        </w:rPr>
        <w:t xml:space="preserve"> </w:t>
      </w:r>
      <w:r>
        <w:rPr>
          <w:rFonts w:ascii="Arial" w:cs="Arial" w:eastAsia="Arial" w:hAnsi="Arial"/>
          <w:sz w:val="16"/>
          <w:szCs w:val="16"/>
          <w:color w:val="auto"/>
        </w:rPr>
        <w:t>affects general principles within Topic 740, Income Taxes. The amendments of ASU 2019-12 are meant to simplify and reduce the cost of accounting for income taxes. The ASU removes certain exceptions to the general framework and also seeks to simplify and/or clarify accounting for income taxes by adding certain requirements that would simplify GAAP for financial statement preparers. We plan to adopt this new standard on January 1, 2021. We continue to evaluate the effect of our pending adoption of this ASU on our consolidated financial statements and related disclosures at this time.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2. Loss Per Common Share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5"/>
          </w:tcPr>
          <w:p>
            <w:pPr>
              <w:jc w:val="right"/>
              <w:ind w:right="60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4"/>
                <w:szCs w:val="24"/>
                <w:color w:val="auto"/>
              </w:rPr>
            </w:pPr>
          </w:p>
        </w:tc>
        <w:tc>
          <w:tcPr>
            <w:tcW w:w="2240" w:type="dxa"/>
            <w:vAlign w:val="bottom"/>
            <w:gridSpan w:val="5"/>
          </w:tcPr>
          <w:p>
            <w:pPr>
              <w:jc w:val="right"/>
              <w:ind w:right="580"/>
              <w:spacing w:after="0"/>
              <w:rPr>
                <w:sz w:val="20"/>
                <w:szCs w:val="20"/>
                <w:color w:val="auto"/>
              </w:rPr>
            </w:pPr>
            <w:r>
              <w:rPr>
                <w:rFonts w:ascii="Arial" w:cs="Arial" w:eastAsia="Arial" w:hAnsi="Arial"/>
                <w:sz w:val="18"/>
                <w:szCs w:val="18"/>
                <w:color w:val="auto"/>
              </w:rPr>
              <w:t>Six Months Ended</w:t>
            </w:r>
          </w:p>
        </w:tc>
      </w:tr>
      <w:tr>
        <w:trPr>
          <w:trHeight w:val="229"/>
        </w:trPr>
        <w:tc>
          <w:tcPr>
            <w:tcW w:w="58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07"/>
        </w:trPr>
        <w:tc>
          <w:tcPr>
            <w:tcW w:w="58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20" w:type="dxa"/>
            <w:vAlign w:val="bottom"/>
            <w:gridSpan w:val="11"/>
          </w:tcPr>
          <w:p>
            <w:pPr>
              <w:jc w:val="right"/>
              <w:ind w:right="820"/>
              <w:spacing w:after="0"/>
              <w:rPr>
                <w:sz w:val="20"/>
                <w:szCs w:val="20"/>
                <w:color w:val="auto"/>
              </w:rPr>
            </w:pPr>
            <w:r>
              <w:rPr>
                <w:rFonts w:ascii="Arial" w:cs="Arial" w:eastAsia="Arial" w:hAnsi="Arial"/>
                <w:sz w:val="16"/>
                <w:szCs w:val="16"/>
                <w:color w:val="auto"/>
              </w:rPr>
              <w:t>(Dollars In Thousands, Except Per Share Amounts)</w:t>
            </w:r>
          </w:p>
        </w:tc>
      </w:tr>
      <w:tr>
        <w:trPr>
          <w:trHeight w:val="232"/>
        </w:trPr>
        <w:tc>
          <w:tcPr>
            <w:tcW w:w="580" w:type="dxa"/>
            <w:vAlign w:val="bottom"/>
          </w:tcPr>
          <w:p>
            <w:pPr>
              <w:spacing w:after="0"/>
              <w:rPr>
                <w:sz w:val="20"/>
                <w:szCs w:val="20"/>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(365)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6,631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(19,817)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(4,909)</w:t>
            </w: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for basic net loss per common share:</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Dividend requirements on Series E Redeemable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240" w:type="dxa"/>
            <w:vAlign w:val="bottom"/>
          </w:tcPr>
          <w:p>
            <w:pPr>
              <w:ind w:left="620"/>
              <w:spacing w:after="0"/>
              <w:rPr>
                <w:sz w:val="20"/>
                <w:szCs w:val="20"/>
                <w:color w:val="auto"/>
              </w:rPr>
            </w:pPr>
            <w:r>
              <w:rPr>
                <w:rFonts w:ascii="Arial" w:cs="Arial" w:eastAsia="Arial" w:hAnsi="Arial"/>
                <w:sz w:val="18"/>
                <w:szCs w:val="18"/>
                <w:color w:val="auto"/>
              </w:rPr>
              <w:t>Preferred</w:t>
            </w: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(8,689)</w:t>
            </w: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(7,589)</w:t>
            </w: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(16,996)</w:t>
            </w:r>
          </w:p>
        </w:tc>
        <w:tc>
          <w:tcPr>
            <w:tcW w:w="2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(14,845)</w:t>
            </w: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Dividend requirements on Series B Preferred</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w:t>
            </w:r>
          </w:p>
        </w:tc>
      </w:tr>
      <w:tr>
        <w:trPr>
          <w:trHeight w:val="229"/>
        </w:trPr>
        <w:tc>
          <w:tcPr>
            <w:tcW w:w="580" w:type="dxa"/>
            <w:vAlign w:val="bottom"/>
          </w:tcPr>
          <w:p>
            <w:pPr>
              <w:spacing w:after="0"/>
              <w:rPr>
                <w:sz w:val="19"/>
                <w:szCs w:val="19"/>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Dividend requirements on Series D Preferred</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30"/>
        </w:trPr>
        <w:tc>
          <w:tcPr>
            <w:tcW w:w="580" w:type="dxa"/>
            <w:vAlign w:val="bottom"/>
          </w:tcPr>
          <w:p>
            <w:pPr>
              <w:spacing w:after="0"/>
              <w:rPr>
                <w:sz w:val="19"/>
                <w:szCs w:val="19"/>
                <w:color w:val="auto"/>
              </w:rPr>
            </w:pPr>
          </w:p>
        </w:tc>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Accretion of Series E Redeemable Preferred</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(505)</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(497)</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(1,009)</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(993)</w:t>
            </w:r>
          </w:p>
        </w:tc>
      </w:tr>
      <w:tr>
        <w:trPr>
          <w:trHeight w:val="195"/>
        </w:trPr>
        <w:tc>
          <w:tcPr>
            <w:tcW w:w="580" w:type="dxa"/>
            <w:vAlign w:val="bottom"/>
          </w:tcPr>
          <w:p>
            <w:pPr>
              <w:spacing w:after="0"/>
              <w:rPr>
                <w:sz w:val="16"/>
                <w:szCs w:val="16"/>
                <w:color w:val="auto"/>
              </w:rPr>
            </w:pPr>
          </w:p>
        </w:tc>
        <w:tc>
          <w:tcPr>
            <w:tcW w:w="5240" w:type="dxa"/>
            <w:vAlign w:val="bottom"/>
          </w:tcPr>
          <w:p>
            <w:pPr>
              <w:ind w:left="240"/>
              <w:spacing w:after="0" w:line="195" w:lineRule="exact"/>
              <w:rPr>
                <w:sz w:val="20"/>
                <w:szCs w:val="20"/>
                <w:color w:val="auto"/>
              </w:rPr>
            </w:pPr>
            <w:r>
              <w:rPr>
                <w:rFonts w:ascii="Arial" w:cs="Arial" w:eastAsia="Arial" w:hAnsi="Arial"/>
                <w:sz w:val="18"/>
                <w:szCs w:val="18"/>
                <w:color w:val="auto"/>
              </w:rPr>
              <w:t>Numerator for basic and dilutive net loss per common</w:t>
            </w: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70"/>
        </w:trPr>
        <w:tc>
          <w:tcPr>
            <w:tcW w:w="580" w:type="dxa"/>
            <w:vAlign w:val="bottom"/>
          </w:tcPr>
          <w:p>
            <w:pPr>
              <w:spacing w:after="0"/>
              <w:rPr>
                <w:sz w:val="23"/>
                <w:szCs w:val="23"/>
                <w:color w:val="auto"/>
              </w:rPr>
            </w:pPr>
          </w:p>
        </w:tc>
        <w:tc>
          <w:tcPr>
            <w:tcW w:w="5240" w:type="dxa"/>
            <w:vAlign w:val="bottom"/>
          </w:tcPr>
          <w:p>
            <w:pPr>
              <w:ind w:left="380"/>
              <w:spacing w:after="0"/>
              <w:rPr>
                <w:sz w:val="20"/>
                <w:szCs w:val="20"/>
                <w:color w:val="auto"/>
              </w:rPr>
            </w:pPr>
            <w:r>
              <w:rPr>
                <w:rFonts w:ascii="Arial" w:cs="Arial" w:eastAsia="Arial" w:hAnsi="Arial"/>
                <w:sz w:val="18"/>
                <w:szCs w:val="18"/>
                <w:color w:val="auto"/>
              </w:rPr>
              <w:t>share - net loss attributable to common stockholders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(9,634)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(37,972)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(20,897)</w:t>
            </w:r>
          </w:p>
        </w:tc>
      </w:tr>
      <w:tr>
        <w:trPr>
          <w:trHeight w:val="210"/>
        </w:trPr>
        <w:tc>
          <w:tcPr>
            <w:tcW w:w="580" w:type="dxa"/>
            <w:vAlign w:val="bottom"/>
          </w:tcPr>
          <w:p>
            <w:pPr>
              <w:spacing w:after="0"/>
              <w:rPr>
                <w:sz w:val="18"/>
                <w:szCs w:val="18"/>
                <w:color w:val="auto"/>
              </w:rPr>
            </w:pPr>
          </w:p>
        </w:tc>
        <w:tc>
          <w:tcPr>
            <w:tcW w:w="5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Denominator:</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Denominator for basic and dilutive net loss per</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share - adjusted weighted-average</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2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shares (1)</w:t>
            </w: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28,198,963</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28,050,848</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28,187,584</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28,004,936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dilutive net loss per common share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(0.34)</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(0.75)</w:t>
            </w:r>
          </w:p>
        </w:tc>
      </w:tr>
      <w:tr>
        <w:trPr>
          <w:trHeight w:val="20"/>
        </w:trPr>
        <w:tc>
          <w:tcPr>
            <w:tcW w:w="580" w:type="dxa"/>
            <w:vAlign w:val="bottom"/>
          </w:tcPr>
          <w:p>
            <w:pPr>
              <w:spacing w:after="0" w:line="20" w:lineRule="exact"/>
              <w:rPr>
                <w:sz w:val="1"/>
                <w:szCs w:val="1"/>
                <w:color w:val="auto"/>
              </w:rPr>
            </w:pPr>
          </w:p>
        </w:tc>
        <w:tc>
          <w:tcPr>
            <w:tcW w:w="5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Excludes the weighted-average shares of unvested restricted stock that are contingently issuable.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loss per common share as their effect would have been antidilutive: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260" w:type="dxa"/>
            <w:vAlign w:val="bottom"/>
            <w:gridSpan w:val="5"/>
          </w:tcPr>
          <w:p>
            <w:pPr>
              <w:jc w:val="right"/>
              <w:ind w:right="38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gridSpan w:val="6"/>
          </w:tcPr>
          <w:p>
            <w:pPr>
              <w:jc w:val="center"/>
              <w:ind w:right="16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260" w:type="dxa"/>
            <w:vAlign w:val="bottom"/>
            <w:gridSpan w:val="5"/>
          </w:tcPr>
          <w:p>
            <w:pPr>
              <w:jc w:val="right"/>
              <w:ind w:right="840"/>
              <w:spacing w:after="0"/>
              <w:rPr>
                <w:sz w:val="20"/>
                <w:szCs w:val="20"/>
                <w:color w:val="auto"/>
              </w:rPr>
            </w:pPr>
            <w:r>
              <w:rPr>
                <w:rFonts w:ascii="Arial" w:cs="Arial" w:eastAsia="Arial" w:hAnsi="Arial"/>
                <w:sz w:val="18"/>
                <w:szCs w:val="18"/>
                <w:color w:val="auto"/>
              </w:rPr>
              <w:t>June 30,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gridSpan w:val="4"/>
          </w:tcPr>
          <w:p>
            <w:pPr>
              <w:jc w:val="center"/>
              <w:ind w:left="65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120" w:type="dxa"/>
            <w:vAlign w:val="bottom"/>
            <w:tcBorders>
              <w:bottom w:val="single" w:sz="8" w:color="CFF0FC"/>
            </w:tcBorders>
          </w:tcPr>
          <w:p>
            <w:pPr>
              <w:spacing w:after="0"/>
              <w:rPr>
                <w:sz w:val="20"/>
                <w:szCs w:val="20"/>
                <w:color w:val="auto"/>
              </w:rPr>
            </w:pPr>
          </w:p>
        </w:tc>
        <w:tc>
          <w:tcPr>
            <w:tcW w:w="4140" w:type="dxa"/>
            <w:vAlign w:val="bottom"/>
            <w:tcBorders>
              <w:bottom w:val="single" w:sz="8" w:color="CFF0FC"/>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2019</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 stock and stock units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1,308,881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806,711</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1,257,869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868,548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Convertible preferred stocks</w:t>
            </w:r>
          </w:p>
        </w:tc>
        <w:tc>
          <w:tcPr>
            <w:tcW w:w="1000" w:type="dxa"/>
            <w:vAlign w:val="bottom"/>
          </w:tcPr>
          <w:p>
            <w:pPr>
              <w:jc w:val="right"/>
              <w:spacing w:after="0"/>
              <w:rPr>
                <w:sz w:val="20"/>
                <w:szCs w:val="20"/>
                <w:color w:val="auto"/>
              </w:rPr>
            </w:pPr>
            <w:r>
              <w:rPr>
                <w:rFonts w:ascii="Arial" w:cs="Arial" w:eastAsia="Arial" w:hAnsi="Arial"/>
                <w:sz w:val="18"/>
                <w:szCs w:val="18"/>
                <w:color w:val="auto"/>
              </w:rPr>
              <w:t>916,666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916,666</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916,666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916,666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E Redeemable Preferred - embedded derivative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303,646</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Stock options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124,000</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124,000</w:t>
            </w: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124,000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41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2,653,193</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2,151,023</w:t>
            </w:r>
          </w:p>
        </w:tc>
        <w:tc>
          <w:tcPr>
            <w:tcW w:w="16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2,602,181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2,212,860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3. Current and Noncurrent Accrued and Other Liabilities</w:t>
            </w: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4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June 30,</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4"/>
          </w:tcPr>
          <w:p>
            <w:pPr>
              <w:ind w:left="20"/>
              <w:spacing w:after="0"/>
              <w:rPr>
                <w:sz w:val="20"/>
                <w:szCs w:val="20"/>
                <w:color w:val="auto"/>
              </w:rPr>
            </w:pPr>
            <w:r>
              <w:rPr>
                <w:rFonts w:ascii="Arial" w:cs="Arial" w:eastAsia="Arial" w:hAnsi="Arial"/>
                <w:sz w:val="18"/>
                <w:szCs w:val="18"/>
                <w:color w:val="auto"/>
              </w:rPr>
              <w:t>December 31,</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2020</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40" w:type="dxa"/>
            <w:vAlign w:val="bottom"/>
            <w:gridSpan w:val="9"/>
          </w:tcPr>
          <w:p>
            <w:pPr>
              <w:ind w:left="600"/>
              <w:spacing w:after="0"/>
              <w:rPr>
                <w:sz w:val="20"/>
                <w:szCs w:val="20"/>
                <w:color w:val="auto"/>
              </w:rPr>
            </w:pPr>
            <w:r>
              <w:rPr>
                <w:rFonts w:ascii="Arial" w:cs="Arial" w:eastAsia="Arial" w:hAnsi="Arial"/>
                <w:sz w:val="16"/>
                <w:szCs w:val="16"/>
                <w:color w:val="auto"/>
              </w:rPr>
              <w:t>(In Thousands)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10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8,776</w:t>
            </w:r>
          </w:p>
        </w:tc>
        <w:tc>
          <w:tcPr>
            <w:tcW w:w="40" w:type="dxa"/>
            <w:vAlign w:val="bottom"/>
            <w:shd w:val="clear" w:color="auto" w:fill="CFF0FC"/>
          </w:tcPr>
          <w:p>
            <w:pPr>
              <w:spacing w:after="0"/>
              <w:rPr>
                <w:sz w:val="20"/>
                <w:szCs w:val="20"/>
                <w:color w:val="auto"/>
              </w:rPr>
            </w:pP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7,091</w:t>
            </w:r>
          </w:p>
        </w:tc>
        <w:tc>
          <w:tcPr>
            <w:tcW w:w="80" w:type="dxa"/>
            <w:vAlign w:val="bottom"/>
            <w:shd w:val="clear" w:color="auto" w:fill="CFF0FC"/>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Accrued payroll and benefits</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5,632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5,385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5,107</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4,066</w:t>
            </w:r>
          </w:p>
        </w:tc>
        <w:tc>
          <w:tcPr>
            <w:tcW w:w="80" w:type="dxa"/>
            <w:vAlign w:val="bottom"/>
            <w:shd w:val="clear" w:color="auto" w:fill="CFF0FC"/>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Deferred revenue</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3,443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Accrued death and other executive benefits</w:t>
            </w: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2,564</w:t>
            </w:r>
          </w:p>
        </w:tc>
        <w:tc>
          <w:tcPr>
            <w:tcW w:w="80" w:type="dxa"/>
            <w:vAlign w:val="bottom"/>
            <w:shd w:val="clear" w:color="auto" w:fill="CFF0FC"/>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8,258</w:t>
            </w: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9,149</w:t>
            </w:r>
          </w:p>
        </w:tc>
        <w:tc>
          <w:tcPr>
            <w:tcW w:w="80" w:type="dxa"/>
            <w:vAlign w:val="bottom"/>
            <w:tcBorders>
              <w:bottom w:val="single" w:sz="8" w:color="CFF0FC"/>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33,012</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31,698</w:t>
            </w:r>
          </w:p>
        </w:tc>
        <w:tc>
          <w:tcPr>
            <w:tcW w:w="80" w:type="dxa"/>
            <w:vAlign w:val="bottom"/>
            <w:shd w:val="clear" w:color="auto" w:fill="CFF0FC"/>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noncurrent portion</w:t>
            </w:r>
          </w:p>
        </w:tc>
        <w:tc>
          <w:tcPr>
            <w:tcW w:w="10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5,244</w:t>
            </w: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6,214</w:t>
            </w:r>
          </w:p>
        </w:tc>
        <w:tc>
          <w:tcPr>
            <w:tcW w:w="80" w:type="dxa"/>
            <w:vAlign w:val="bottom"/>
            <w:tcBorders>
              <w:bottom w:val="single" w:sz="8" w:color="CFF0FC"/>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accrued and other liabilities</w:t>
            </w:r>
          </w:p>
        </w:tc>
        <w:tc>
          <w:tcPr>
            <w:tcW w:w="10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27,768</w:t>
            </w:r>
          </w:p>
        </w:tc>
        <w:tc>
          <w:tcPr>
            <w:tcW w:w="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25,484</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4. Long-Term Debt</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6820" w:type="dxa"/>
            <w:vAlign w:val="bottom"/>
            <w:gridSpan w:val="2"/>
          </w:tcPr>
          <w:p>
            <w:pPr>
              <w:spacing w:after="0"/>
              <w:rPr>
                <w:sz w:val="20"/>
                <w:szCs w:val="20"/>
                <w:color w:val="auto"/>
              </w:rPr>
            </w:pPr>
            <w:r>
              <w:rPr>
                <w:rFonts w:ascii="Arial" w:cs="Arial" w:eastAsia="Arial" w:hAnsi="Arial"/>
                <w:sz w:val="18"/>
                <w:szCs w:val="18"/>
                <w:color w:val="auto"/>
              </w:rPr>
              <w:t>Our long-term debt consists of the following:</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9"/>
        </w:trPr>
        <w:tc>
          <w:tcPr>
            <w:tcW w:w="170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June 30,</w:t>
            </w:r>
          </w:p>
        </w:tc>
        <w:tc>
          <w:tcPr>
            <w:tcW w:w="1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December 31,</w:t>
            </w:r>
          </w:p>
        </w:tc>
      </w:tr>
      <w:tr>
        <w:trPr>
          <w:trHeight w:val="230"/>
        </w:trPr>
        <w:tc>
          <w:tcPr>
            <w:tcW w:w="17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r>
      <w:tr>
        <w:trPr>
          <w:trHeight w:val="204"/>
        </w:trPr>
        <w:tc>
          <w:tcPr>
            <w:tcW w:w="170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5"/>
          </w:tcPr>
          <w:p>
            <w:pPr>
              <w:jc w:val="right"/>
              <w:ind w:right="940"/>
              <w:spacing w:after="0"/>
              <w:rPr>
                <w:sz w:val="20"/>
                <w:szCs w:val="20"/>
                <w:color w:val="auto"/>
              </w:rPr>
            </w:pPr>
            <w:r>
              <w:rPr>
                <w:rFonts w:ascii="Arial" w:cs="Arial" w:eastAsia="Arial" w:hAnsi="Arial"/>
                <w:sz w:val="16"/>
                <w:szCs w:val="16"/>
                <w:color w:val="auto"/>
              </w:rPr>
              <w:t>(In Thousands)</w:t>
            </w:r>
          </w:p>
        </w:tc>
      </w:tr>
      <w:tr>
        <w:trPr>
          <w:trHeight w:val="221"/>
        </w:trPr>
        <w:tc>
          <w:tcPr>
            <w:tcW w:w="170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Revolver Loan, with a current interest</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1700" w:type="dxa"/>
            <w:vAlign w:val="bottom"/>
          </w:tcPr>
          <w:p>
            <w:pPr>
              <w:spacing w:after="0"/>
              <w:rPr>
                <w:sz w:val="20"/>
                <w:szCs w:val="20"/>
                <w:color w:val="auto"/>
              </w:rPr>
            </w:pPr>
          </w:p>
        </w:tc>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4.00% (A)</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70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Senior Secured Notes due 2023 (B)</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435,000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435,000</w:t>
            </w:r>
          </w:p>
        </w:tc>
        <w:tc>
          <w:tcPr>
            <w:tcW w:w="80" w:type="dxa"/>
            <w:vAlign w:val="bottom"/>
          </w:tcPr>
          <w:p>
            <w:pPr>
              <w:spacing w:after="0"/>
              <w:rPr>
                <w:sz w:val="19"/>
                <w:szCs w:val="19"/>
                <w:color w:val="auto"/>
              </w:rPr>
            </w:pPr>
          </w:p>
        </w:tc>
      </w:tr>
      <w:tr>
        <w:trPr>
          <w:trHeight w:val="215"/>
        </w:trPr>
        <w:tc>
          <w:tcPr>
            <w:tcW w:w="170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Secured Promissory Note due 2021, with an interest</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5.25% (C)</w:t>
            </w: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3,007</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4,746</w:t>
            </w:r>
          </w:p>
        </w:tc>
        <w:tc>
          <w:tcPr>
            <w:tcW w:w="80" w:type="dxa"/>
            <w:vAlign w:val="bottom"/>
            <w:shd w:val="clear" w:color="auto" w:fill="CFF0FC"/>
          </w:tcPr>
          <w:p>
            <w:pPr>
              <w:spacing w:after="0"/>
              <w:rPr>
                <w:sz w:val="20"/>
                <w:szCs w:val="20"/>
                <w:color w:val="auto"/>
              </w:rPr>
            </w:pPr>
          </w:p>
        </w:tc>
      </w:tr>
      <w:tr>
        <w:trPr>
          <w:trHeight w:val="215"/>
        </w:trPr>
        <w:tc>
          <w:tcPr>
            <w:tcW w:w="17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Unsecured Loan Agreement due 2022, with an interest</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rate of 1.00% (D)</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170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Secured Promissory Note due 2023, with a current interest</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4.43% (E)</w:t>
            </w: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11,715</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12,705</w:t>
            </w:r>
          </w:p>
        </w:tc>
        <w:tc>
          <w:tcPr>
            <w:tcW w:w="80" w:type="dxa"/>
            <w:vAlign w:val="bottom"/>
            <w:shd w:val="clear" w:color="auto" w:fill="CFF0FC"/>
          </w:tcPr>
          <w:p>
            <w:pPr>
              <w:spacing w:after="0"/>
              <w:rPr>
                <w:sz w:val="20"/>
                <w:szCs w:val="20"/>
                <w:color w:val="auto"/>
              </w:rPr>
            </w:pPr>
          </w:p>
        </w:tc>
      </w:tr>
      <w:tr>
        <w:trPr>
          <w:trHeight w:val="215"/>
        </w:trPr>
        <w:tc>
          <w:tcPr>
            <w:tcW w:w="17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Secured Financing due 2023, with an interest</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rate of 8.32% (F)</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13,476</w:t>
            </w:r>
          </w:p>
        </w:tc>
        <w:tc>
          <w:tcPr>
            <w:tcW w:w="80" w:type="dxa"/>
            <w:vAlign w:val="bottom"/>
          </w:tcPr>
          <w:p>
            <w:pPr>
              <w:spacing w:after="0"/>
              <w:rPr>
                <w:sz w:val="20"/>
                <w:szCs w:val="20"/>
                <w:color w:val="auto"/>
              </w:rPr>
            </w:pPr>
          </w:p>
        </w:tc>
      </w:tr>
      <w:tr>
        <w:trPr>
          <w:trHeight w:val="215"/>
        </w:trPr>
        <w:tc>
          <w:tcPr>
            <w:tcW w:w="170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Secured Loan Agreement due 2025, with an interest</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8.75% (G)</w:t>
            </w: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7,481</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5,219</w:t>
            </w:r>
          </w:p>
        </w:tc>
        <w:tc>
          <w:tcPr>
            <w:tcW w:w="80" w:type="dxa"/>
            <w:vAlign w:val="bottom"/>
            <w:shd w:val="clear" w:color="auto" w:fill="CFF0FC"/>
          </w:tcPr>
          <w:p>
            <w:pPr>
              <w:spacing w:after="0"/>
              <w:rPr>
                <w:sz w:val="20"/>
                <w:szCs w:val="20"/>
                <w:color w:val="auto"/>
              </w:rPr>
            </w:pPr>
          </w:p>
        </w:tc>
      </w:tr>
      <w:tr>
        <w:trPr>
          <w:trHeight w:val="229"/>
        </w:trPr>
        <w:tc>
          <w:tcPr>
            <w:tcW w:w="170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9"/>
                <w:szCs w:val="19"/>
                <w:color w:val="auto"/>
              </w:rPr>
            </w:pPr>
          </w:p>
        </w:tc>
      </w:tr>
      <w:tr>
        <w:trPr>
          <w:trHeight w:val="215"/>
        </w:trPr>
        <w:tc>
          <w:tcPr>
            <w:tcW w:w="170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Unamortized discount, net of premium and debt issuance</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5120" w:type="dxa"/>
            <w:vAlign w:val="bottom"/>
            <w:shd w:val="clear" w:color="auto" w:fill="CFF0FC"/>
          </w:tcPr>
          <w:p>
            <w:pPr>
              <w:ind w:left="80"/>
              <w:spacing w:after="0"/>
              <w:rPr>
                <w:sz w:val="20"/>
                <w:szCs w:val="20"/>
                <w:color w:val="auto"/>
              </w:rPr>
            </w:pPr>
            <w:r>
              <w:rPr>
                <w:rFonts w:ascii="Arial" w:cs="Arial" w:eastAsia="Arial" w:hAnsi="Arial"/>
                <w:sz w:val="18"/>
                <w:szCs w:val="18"/>
                <w:color w:val="auto"/>
              </w:rPr>
              <w:t>costs</w:t>
            </w:r>
          </w:p>
        </w:tc>
        <w:tc>
          <w:tcPr>
            <w:tcW w:w="2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(10,420)</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(12,261)</w:t>
            </w:r>
          </w:p>
        </w:tc>
      </w:tr>
      <w:tr>
        <w:trPr>
          <w:trHeight w:val="223"/>
        </w:trPr>
        <w:tc>
          <w:tcPr>
            <w:tcW w:w="17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499,044</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459,044</w:t>
            </w:r>
          </w:p>
        </w:tc>
        <w:tc>
          <w:tcPr>
            <w:tcW w:w="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11,492</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9,410</w:t>
            </w:r>
          </w:p>
        </w:tc>
        <w:tc>
          <w:tcPr>
            <w:tcW w:w="80" w:type="dxa"/>
            <w:vAlign w:val="bottom"/>
            <w:shd w:val="clear" w:color="auto" w:fill="CFF0FC"/>
          </w:tcPr>
          <w:p>
            <w:pPr>
              <w:spacing w:after="0"/>
              <w:rPr>
                <w:sz w:val="19"/>
                <w:szCs w:val="19"/>
                <w:color w:val="auto"/>
              </w:rPr>
            </w:pPr>
          </w:p>
        </w:tc>
      </w:tr>
      <w:tr>
        <w:trPr>
          <w:trHeight w:val="223"/>
        </w:trPr>
        <w:tc>
          <w:tcPr>
            <w:tcW w:w="6820" w:type="dxa"/>
            <w:vAlign w:val="bottom"/>
            <w:gridSpan w:val="2"/>
          </w:tcPr>
          <w:p>
            <w:pPr>
              <w:ind w:left="1700"/>
              <w:spacing w:after="0"/>
              <w:rPr>
                <w:sz w:val="20"/>
                <w:szCs w:val="20"/>
                <w:color w:val="auto"/>
              </w:rPr>
            </w:pPr>
            <w:r>
              <w:rPr>
                <w:rFonts w:ascii="Arial" w:cs="Arial" w:eastAsia="Arial" w:hAnsi="Arial"/>
                <w:sz w:val="18"/>
                <w:szCs w:val="18"/>
                <w:color w:val="auto"/>
              </w:rPr>
              <w:t>Long-term debt due after one year, net</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487,552</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449,634</w:t>
            </w:r>
          </w:p>
        </w:tc>
        <w:tc>
          <w:tcPr>
            <w:tcW w:w="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8"/>
        <w:spacing w:after="0" w:line="288" w:lineRule="auto"/>
        <w:tabs>
          <w:tab w:leader="none" w:pos="307"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Our revolving credit facility (the “Working Capital Revolver Loan”), as amended, provides for advances up to $65 million (the “Maximum Revolver Amount”), based on specific percentages of eligible accounts receivable and inventories and up to $10 million of letters of credit, the outstanding amount of which reduces the available for borrowing under the Working Capital Revolver Loan. At June 30, 2020, our available borrowings under our Working Capital Revolver Loan were approximately $12.6 million, based on our eligible collateral, less outstanding letters of credit and loan balance. The maturity date of the Working Capital Revolver Loan is on the earlier of (i) the date that is 90 days prior to the earliest stated maturity date of the Senior Secured Notes (unless refinanced or repaid) and (ii) February 26, 2024. Subject to certain conditions and subject to lender approval, the Maximum Revolver Amount may increase up to an additional $10 million, less the outstanding aggregate principal amount of the unforgiven portion (as defined in the agreement) of the PPP loan discussed below within footnote (D). The Working Capital Revolver Loan also provides for a springing financial covenant (the “Financial Covenant”), which requires that, if the borrowing availability is less than 10.0% of the total revolver commitments, then the borrowers must maintain a minimum fixed charge coverage ratio of not less than 1.00 to 1.00. The Financial Covenant, if triggered, is tested monthly.</w:t>
      </w:r>
    </w:p>
    <w:p>
      <w:pPr>
        <w:spacing w:after="0" w:line="60" w:lineRule="exact"/>
        <w:rPr>
          <w:rFonts w:ascii="Arial" w:cs="Arial" w:eastAsia="Arial" w:hAnsi="Arial"/>
          <w:sz w:val="16"/>
          <w:szCs w:val="16"/>
          <w:b w:val="1"/>
          <w:bCs w:val="1"/>
          <w:color w:val="auto"/>
        </w:rPr>
      </w:pPr>
    </w:p>
    <w:p>
      <w:pPr>
        <w:ind w:right="20" w:firstLine="8"/>
        <w:spacing w:after="0" w:line="342" w:lineRule="auto"/>
        <w:tabs>
          <w:tab w:leader="none" w:pos="285"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On April 25, 2018, LSB completed the issuance and sale of $400 million aggregate principal amount of its 9.625% Senior Secured Notes due 2023 (the “Notes”), pursuant to an indenture (the “Indenture”), dated as of April 25, 2018. The Notes were issued at a price equal to 99.509% of their face value.</w:t>
      </w:r>
    </w:p>
    <w:p>
      <w:pPr>
        <w:spacing w:after="0" w:line="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21, 2019, LSB completed the issuance and sale of $35 million aggregate principal amount of its 9.625% Senior Secured Notes due 2023 (the “New Notes”). The New Notes were issued pursuant to the Indenture (the Notes together with the New Notes, the “Senior Secured Notes”). The New Notes were issued at a price equal to 102.125% of their face value, plus accrued interest from May 1, 2019 to June 21, 2019.</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Senior Secured Notes mature on May 1, 2023</w:t>
      </w:r>
      <w:r>
        <w:rPr>
          <w:rFonts w:ascii="Arial" w:cs="Arial" w:eastAsia="Arial" w:hAnsi="Arial"/>
          <w:sz w:val="18"/>
          <w:szCs w:val="18"/>
          <w:color w:val="0000FF"/>
        </w:rPr>
        <w:t>.</w:t>
      </w:r>
      <w:r>
        <w:rPr>
          <w:rFonts w:ascii="Arial" w:cs="Arial" w:eastAsia="Arial" w:hAnsi="Arial"/>
          <w:sz w:val="18"/>
          <w:szCs w:val="18"/>
          <w:color w:val="auto"/>
        </w:rPr>
        <w:t xml:space="preserve"> Interest is to be paid semiannually in arrears on May 1</w:t>
      </w:r>
      <w:r>
        <w:rPr>
          <w:rFonts w:ascii="Arial" w:cs="Arial" w:eastAsia="Arial" w:hAnsi="Arial"/>
          <w:sz w:val="15"/>
          <w:szCs w:val="15"/>
          <w:color w:val="auto"/>
        </w:rPr>
        <w:t>st</w:t>
      </w:r>
      <w:r>
        <w:rPr>
          <w:rFonts w:ascii="Arial" w:cs="Arial" w:eastAsia="Arial" w:hAnsi="Arial"/>
          <w:sz w:val="18"/>
          <w:szCs w:val="18"/>
          <w:color w:val="auto"/>
        </w:rPr>
        <w:t xml:space="preserve"> and November 1</w:t>
      </w:r>
      <w:r>
        <w:rPr>
          <w:rFonts w:ascii="Arial" w:cs="Arial" w:eastAsia="Arial" w:hAnsi="Arial"/>
          <w:sz w:val="15"/>
          <w:szCs w:val="15"/>
          <w:color w:val="auto"/>
        </w:rPr>
        <w:t>st</w:t>
      </w:r>
      <w:r>
        <w:rPr>
          <w:rFonts w:ascii="Arial" w:cs="Arial" w:eastAsia="Arial" w:hAnsi="Arial"/>
          <w:sz w:val="18"/>
          <w:szCs w:val="18"/>
          <w:color w:val="auto"/>
        </w:rPr>
        <w:t>.</w:t>
      </w:r>
    </w:p>
    <w:p>
      <w:pPr>
        <w:spacing w:after="0" w:line="117" w:lineRule="exact"/>
        <w:rPr>
          <w:sz w:val="20"/>
          <w:szCs w:val="20"/>
          <w:color w:val="auto"/>
        </w:rPr>
      </w:pPr>
    </w:p>
    <w:p>
      <w:pPr>
        <w:ind w:left="5540" w:right="2160" w:hanging="5532"/>
        <w:spacing w:after="0" w:line="527" w:lineRule="auto"/>
        <w:tabs>
          <w:tab w:leader="none" w:pos="309"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EDC is party to a secured promissory note due in March 2021. Principal and interest are payable in monthly installments.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Debt (continued)</w:t>
      </w:r>
    </w:p>
    <w:p>
      <w:pPr>
        <w:spacing w:after="0" w:line="121" w:lineRule="exact"/>
        <w:rPr>
          <w:sz w:val="20"/>
          <w:szCs w:val="20"/>
          <w:color w:val="auto"/>
        </w:rPr>
      </w:pPr>
    </w:p>
    <w:p>
      <w:pPr>
        <w:jc w:val="both"/>
        <w:ind w:firstLine="8"/>
        <w:spacing w:after="0" w:line="269" w:lineRule="auto"/>
        <w:tabs>
          <w:tab w:leader="none" w:pos="308"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 xml:space="preserve">In April 2020, LSB entered into a federally guaranteed loan agreement (“PPP loan”) for $10 million with a lender pursuant to a new loan program through the U.S. Small Business Administration (“SBA”) as the result of the Paycheck Protection Program (“PPP”) established by the Coronavirus Aid, Relief, and Economic Security (“CARES”) Act and amended by the Paycheck Protection Program Flexibility Act of 2020. We applied ASC 470, </w:t>
      </w:r>
      <w:r>
        <w:rPr>
          <w:rFonts w:ascii="Arial" w:cs="Arial" w:eastAsia="Arial" w:hAnsi="Arial"/>
          <w:sz w:val="17"/>
          <w:szCs w:val="17"/>
          <w:i w:val="1"/>
          <w:iCs w:val="1"/>
          <w:color w:val="auto"/>
        </w:rPr>
        <w:t>Debt,</w:t>
      </w:r>
      <w:r>
        <w:rPr>
          <w:rFonts w:ascii="Arial" w:cs="Arial" w:eastAsia="Arial" w:hAnsi="Arial"/>
          <w:sz w:val="17"/>
          <w:szCs w:val="17"/>
          <w:color w:val="auto"/>
        </w:rPr>
        <w:t xml:space="preserve"> to account for the PPP loan. We plan to use most, if not all, of the proceeds from the PPP loan for payroll, rent, utilities, and other specified costs that qualify for loan forgiveness. Under the current terms of the PPP loan, loan forgiveness applications are due within 10 months after the end of the loan forgiveness covered period which period began on the date the PPP loan was disbursed and ends either 8-weeks or 24-weeks after disbursement of the loan. Once the SBA notifies the lender the amount of approved loan forgiveness, the lender will determine the date that the equal monthly principal and interest payments will begin for the remaining loan balance, if any. Currently the loan matures in April 2022 which term may be extended to April 2025 if mutually agreed to by the parties. As for the potential loan forgiveness, once the PPP loan is, in part or wholly, forgiven and a legal release is received, the liability would be reduced by the amount forgiven and a gain on extinguishment would be recorded.</w:t>
      </w:r>
    </w:p>
    <w:p>
      <w:pPr>
        <w:spacing w:after="0" w:line="77" w:lineRule="exact"/>
        <w:rPr>
          <w:rFonts w:ascii="Arial" w:cs="Arial" w:eastAsia="Arial" w:hAnsi="Arial"/>
          <w:sz w:val="17"/>
          <w:szCs w:val="17"/>
          <w:b w:val="1"/>
          <w:bCs w:val="1"/>
          <w:color w:val="auto"/>
        </w:rPr>
      </w:pPr>
    </w:p>
    <w:p>
      <w:pPr>
        <w:ind w:right="20" w:firstLine="8"/>
        <w:spacing w:after="0" w:line="277" w:lineRule="auto"/>
        <w:tabs>
          <w:tab w:leader="none" w:pos="306"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El Dorado Ammonia L.L.C. (“EDA”), one of our subsidiaries, is party to a secured promissory note due in May 2023. Principal and interest are payable in equal monthly installments with a final balloon payment of approximately $6.1 million.</w:t>
      </w:r>
    </w:p>
    <w:p>
      <w:pPr>
        <w:spacing w:after="0" w:line="62" w:lineRule="exact"/>
        <w:rPr>
          <w:rFonts w:ascii="Arial" w:cs="Arial" w:eastAsia="Arial" w:hAnsi="Arial"/>
          <w:sz w:val="18"/>
          <w:szCs w:val="18"/>
          <w:b w:val="1"/>
          <w:bCs w:val="1"/>
          <w:color w:val="auto"/>
        </w:rPr>
      </w:pPr>
    </w:p>
    <w:p>
      <w:pPr>
        <w:ind w:firstLine="8"/>
        <w:spacing w:after="0" w:line="277" w:lineRule="auto"/>
        <w:tabs>
          <w:tab w:leader="none" w:pos="286"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EDC is party to a secured financing arrangement with an affiliate of LSB Funding L.L.C. (“LSB Funding”). Principal and interest are payable in 48 equal monthly installments with a final balloon payment of approximately $3 million due in June 2023.</w:t>
      </w:r>
    </w:p>
    <w:p>
      <w:pPr>
        <w:spacing w:after="0" w:line="62" w:lineRule="exact"/>
        <w:rPr>
          <w:rFonts w:ascii="Arial" w:cs="Arial" w:eastAsia="Arial" w:hAnsi="Arial"/>
          <w:sz w:val="18"/>
          <w:szCs w:val="18"/>
          <w:b w:val="1"/>
          <w:bCs w:val="1"/>
          <w:color w:val="auto"/>
        </w:rPr>
      </w:pPr>
    </w:p>
    <w:p>
      <w:pPr>
        <w:jc w:val="both"/>
        <w:ind w:firstLine="8"/>
        <w:spacing w:after="0" w:line="279" w:lineRule="auto"/>
        <w:tabs>
          <w:tab w:leader="none" w:pos="305"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EDC is party to a secured loan agreement with an affiliate of LSB Funding, which provided for available borrowings (the “Interim Loan”) during the construction of certain equipment (the “Interim Loan Period”), subject to certain conditions. During the Interim Loan Period, interest only was payable in monthly installments. Effective February 28, 2020, the Interim Loan Period ended, and the Interim Loan was replaced by a secured promissory note due in March 2025. Under the terms of the note, principal and interest are payable in 60 equal monthly installments.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Natural Gas Purchase Commitments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June 30, 2020, certain of our natural gas contracts qualify as normal purchases under GAAP and thus are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mark-to-market, which contracts included volume purchase commitments with fixed costs of approximately 6.5 million MMBtus of natural gas. These contracts extend through December 2020 at a weighted-average cost of $1.98 per MMBtu ($12.9 million) and a weighted-average market value of $1.72 per MMBtu ($11.2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Matters - </w:t>
      </w:r>
      <w:r>
        <w:rPr>
          <w:rFonts w:ascii="Arial" w:cs="Arial" w:eastAsia="Arial" w:hAnsi="Arial"/>
          <w:sz w:val="18"/>
          <w:szCs w:val="18"/>
          <w:color w:val="auto"/>
        </w:rPr>
        <w:t>Following is a summary of certain legal matters involving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claims for damages to persons or property, including natural resources, may result from the environmental, health and safety effects of our operations.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 (continued)</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2020, our accrued liabilities for environmental matters totaled $245,000 relating primarily to the matters discussed below. It is reasonably possible that a change in the estimate of our liability could occur in the near term.</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1. Discharge Water Matters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These permits limit the type and amount of effluents that can be discharged and control the method of such discharge.</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2017, PCC filed a Permit Renewal Application for its Non-Hazardous Injection Well Permit at the Pryor Facility. Although the Injection Well Permit expired in 2018, PCC continues to operate the injection well pending the Oklahoma Department of Environmental Quality (“ODEQ”) action on the Permit Renewal Application. PCC and ODEQ are engaged in ongoing discussions related to the renewal of the injection well to address the wastewater stream.</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El Dorado Facility is subject to a National Pollutant Discharge Elimination System (“NPDES”) permit issued by the Arkansas Department of Environmental Quality (“ADEQ”) in 2004. In 2010, the ADEQ issued a draft NPDES permit renewal for the El Dorado Facility, which contained more restrictive discharge limits than the previous 2004 permit. In August 2017, ADEQ issued a final NPDES permit with new dissolved mineral limits. EDC filed an appeal in September 2017 and a Permit Appeal Resolution (“PAR”) was signed in July 2018. EDC is in compliance with the revised permit limits agreed upon in the PAR.</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2006, the El Dorado Facility entered into a Consent Administrative Order (“CAO”) that recognizes the presence of nitrate contamination in the shallow groundwater. The CAO required EDC to perform semi-annual groundwater monitoring, continue operation of a groundwater recovery system, submit a human health and ecological risk assessment, and submit a remedial action plan.</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risk assessment was submitted in August 2007. In February 2015, the ADEQ stated that El Dorado Chemical was meeting the requirements of the CAO and should continue semi-annual monitoring. Subsequent to the PAR mentioned previously, a new CAO was signed in October 2018, which required an Evaluation Report of the data and effectiveness of the groundwater remedy for nitrate contamination. In February 2019, the Evaluation Report was submitted to the ADEQ and the ADEQ approved the report in August 2019. No liability has been established at June 30, 2020, in connection with this ADEQ matter.</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2. Other Environmental Matters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and develop a corrective action strategy based on the investigation. In addition, certain of our subsidiaries agreed to indemnify the buyer of such assets for these environmental matters.</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subsidiary and Chevron have retained an environmental consultant to prepare and perform a corrective action study work plan as to the appropriate method to remediate the Hallowell Facility. The proposed strategy includes long-term surface and groundwater monitoring to track the natural decline in contamination. The KDHE selected a remedy of annual monitoring and the implementation of an Environmental Use Control (“EUC”). The final remedy, including the EUC, the finalization of the cost estimates and any required financial assurances remains under negotiation. Additionally, the current operator of the site recently closed its operations at the site. The change in the use of the site, from active manufacturing to a closed facility, may impact the selected remedy and remains an open item to be discussed with the KDHE. Pending the negotiation of the final remedy and any impact based on operational changes at the site, we accrued our allocable portion of costs primarily for the additional testing, monitoring and risk assessments that could be reasonably estimated, which is included in our accrued liabilities for environmental matters discussed above.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estimated amount is not discounted to its present value. As more information becomes available, our estimated accrual will be refined, as necessary.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Other Pending, Threatened or Settled Litigation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2013, an explosion and fire occurred at the West Fertilizer Co. (“West Fertilizer”) located in West, Texas, causing death, bodily injury and substantial property damage. West Fertilizer is not owned or controlled by us, but West Fertilizer was a customer of EDC, and purchased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2014, EDC and LSB were named as defendants, together with other AN manufacturers and brokers that arranged the transport and delivery of AN to West Fertilizer, in the case styled </w:t>
      </w:r>
      <w:r>
        <w:rPr>
          <w:rFonts w:ascii="Arial" w:cs="Arial" w:eastAsia="Arial" w:hAnsi="Arial"/>
          <w:sz w:val="18"/>
          <w:szCs w:val="18"/>
          <w:i w:val="1"/>
          <w:iCs w:val="1"/>
          <w:color w:val="auto"/>
        </w:rPr>
        <w:t>City of West, Texas vs. CF Industries, Inc., et al.</w:t>
      </w:r>
      <w:r>
        <w:rPr>
          <w:rFonts w:ascii="Arial" w:cs="Arial" w:eastAsia="Arial" w:hAnsi="Arial"/>
          <w:sz w:val="18"/>
          <w:szCs w:val="18"/>
          <w:color w:val="auto"/>
        </w:rPr>
        <w:t>,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product liability insurance policies have aggregate limits of general liability totaling $100 million, with a self-insured retention of $250,000, which retention limit has been met relating to the West Fertilizer matter. In August 2015, the trial court dismissed plaintiff’s negligence claims against us, and EDC based on a duty to inspect but allowed the plaintiffs to proceed on claims for design defect and failure to warn.</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Subsequently, we and EDC have entered into confidential settlement agreements (with approval of our insurance carriers) with several plaintiffs that had claimed wrongful death and bodily injury and insurance companies asserting subrogation claims for damages from the explosion. While these settlements resolve the claims of a number of the claimants in this matter, we continue to be party to litigation related to the explosion. We continue to defend these lawsuits vigorously and we are unable to estimate a possible range of loss at this time if there is an adverse outcome in this matter as to EDC. As of June 30, 2020, no liability reserve has been established in connection with this matter.</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2015, we and EDA received formal written notice from Global Industrial, Inc. (“Global”) of Global’s intention to assert mechanic liens for labor, service, or materials furnished under certain subcontract agreements for the improvement of the new ammonia plant (“Ammonia Plant”) at our El Dorado Facility. Global was a subcontractor of Leidos Constructors, LLC (“Leidos”), the general contractor for EDA for the construction for the Ammonia Plant. Leidos terminated the services of Global with respect to their work performed at our El Dorado Facility.</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LSB and EDA intend to pursue recovery of any damage or loss caused by Global’s work performed through their contract with Leidos at our El Dorado Facility. In March 2016, EDC and we were served a summons in a case styled </w:t>
      </w:r>
      <w:r>
        <w:rPr>
          <w:rFonts w:ascii="Arial" w:cs="Arial" w:eastAsia="Arial" w:hAnsi="Arial"/>
          <w:sz w:val="17"/>
          <w:szCs w:val="17"/>
          <w:i w:val="1"/>
          <w:iCs w:val="1"/>
          <w:color w:val="auto"/>
        </w:rPr>
        <w:t>Global Industrial, Inc. d/b/a Global Turnaround vs. Leidos Constructors,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LLC et al., </w:t>
      </w:r>
      <w:r>
        <w:rPr>
          <w:rFonts w:ascii="Arial" w:cs="Arial" w:eastAsia="Arial" w:hAnsi="Arial"/>
          <w:sz w:val="17"/>
          <w:szCs w:val="17"/>
          <w:color w:val="auto"/>
        </w:rPr>
        <w:t>in the Circuit court of Union County, Arkansas, wherein Global seeks damages under breach of contract and other claims. At the time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summons, our accounts payable included invoices totaling approximately $3.5 million related to the claims asserted by Global but such invoices were not approved by Leidos for payment. We have requested indemnification from Leidos under the terms of our contracts which they have denied. As a result, we are seeking reimbursement of legal expenses from Leidos under our contracts. We also seek damages from Leidos for their wrongdoing during the expansion, including breach of contract, fraud, gross negligence, professional negligence and gross negligence.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 (continued)</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25, 2018, the Court bifurcated the case into: (1) Global’s claims against Leidos and LSB, and (2) the cross-claims between Leidos and LSB. Part (1) of the case was tried in the Court during the fall of 2018 and the Court rendered an interim judgment in March 2020 and issued its final judgment on April 23, 2020. In summary, the judgment awarded Global (i) approximately $7.4 million (amount includes the $3.5 million discussed above) for labor, service, and materials furnished relating to the Ammonia Plant, (ii) approximately $1.3 million for prejudgment interest, and (iii) a claim of lien on certain property and the foreclosure of the lien to satisfy these obligations. In addition, post-judgment interest will accrue at the annual rate of 4.25% until paid. As a result of the judgment during the first quarter of 2020, we accounted for the following:</w:t>
      </w:r>
    </w:p>
    <w:p>
      <w:pPr>
        <w:spacing w:after="0" w:line="70" w:lineRule="exact"/>
        <w:rPr>
          <w:sz w:val="20"/>
          <w:szCs w:val="20"/>
          <w:color w:val="auto"/>
        </w:rPr>
      </w:pPr>
    </w:p>
    <w:p>
      <w:pPr>
        <w:ind w:left="740" w:hanging="368"/>
        <w:spacing w:after="0" w:line="258"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accrued an additional $3.9 million in accounts payable, which offset amount was capitalized as PP&amp;E, since such costs directly related to the construction of the Ammonia Plant;</w:t>
      </w:r>
    </w:p>
    <w:p>
      <w:pPr>
        <w:spacing w:after="0" w:line="1"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recognized additional depreciation expense of $0.5 million associated with the amount above capitalized to PP&amp;E, which offset amount was a credit to PP&amp;E (accumulated depreciation);</w:t>
      </w:r>
    </w:p>
    <w:p>
      <w:pPr>
        <w:ind w:left="740" w:hanging="368"/>
        <w:spacing w:after="0"/>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accrued prejudgment and post-judgment interest totaling $1.4 million in accrued interest, which offset amount was classified as interest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have filed a notice of intent to appeal and the Court entered a stay of the judgment pending appeal.</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LSB intends to vigorously prosecute its claims against Leidos in Part (2) of the matter. Due to the impact from the coronavirus (“COVID-19”) pandemic, the Trial date for Part (2) of the matter has been delayed and we are awaiting a new Trial date.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involved in various other claims and legal actions (including matters involving gain contingencies).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Derivatives, Hedges and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periods presented, the following significant instruments are accounted for on a fair value basis: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Natural Gas Contracts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first six months of 2020, we entered into certain forward natural gas contracts (“natural gas contracts”), which are accounted for on a mark-to-market basis. We are utilizing these natural gas contracts as economic hedges for risk management purposes but are not designated as hedging instruments. At June 30, 2020, our natural gas contracts included 1.8 million MMBtu of natural gas and extend through January 2021 (there were none at December 31, 2019). The valuations of the natural gas contracts are classified as Level 2. At June 30, 2020, the valuation inputs included the contractual weighted-average cost of $2.01 per MMBtu and the weighted-average market value of $1.94 per MMBtu.</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six months ended June 30, 2020, we recognized a minimal gain and a loss $0.7 million (classified as cost of sales), respectively (none for the three and six months ended June 30, 2019), which includes an unrealized gain of $0.4 million and a minimal unrealized loss, respectively, attributed to natural gas contracts still held at the reporting date.</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Embedded Derivative</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discussed in Note 8, certain embedded features (“embedded derivative”) relating to the redemption of the Series E Redeemable Preferred, which includes certain contingent redemption features and the participation rights value have been bifurcated from the Series E Redeemable Preferred and recorded as a liability. At June 30, 2020 and December 31, 2019, we estimate that the contingent redemption features have fair value since we estimate that it is probable that a portion of the shares of this preferred stock would be redeemed prior to October 25, 2023. For certain other embedded features, we estimated no fair value based on our assessment that there is a remote probability that these features will be exercised.</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the embedded derivative was valued using discounted cash flow models and primarily based on the difference in the present value of estimated future cash flows with no redemptions prior to October 25, 2023 compared to certain redemptions deemed probable during the same period and applying the effective dividend rate of the Series E Redeemable Preferred. In addition, at June 30, 2020 and December 31, 2019, the fair value of the embedded derivative included the valuation of the participation rights, which was based on the equivalent of 303,646 shares of our common stock at $1.16 and $4.20 per share, respectively.</w:t>
      </w:r>
    </w:p>
    <w:p>
      <w:pPr>
        <w:spacing w:after="0" w:line="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valuations of the embedded derivative are classified as Level 3. This derivative is valued using market information, management’s redemption assumptions, the underlying number of shares as defined in the terms of the Series E Redeemable Preferred, and the market price of our common stock.</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Derivatives, Hedges and Financial Instruments (continued)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June 30, 2020 and 2019, we recognized an unrealized gain of approximately $0.1 million and $0.7 million, respectively, due to the change in fair value of the embedded derivative. For the six months ended June 30, 2020 and 2019, we recognized an unrealized gain of approximately $0.8 million and $0.5 million, respectively, due to the change in fair value of the embedded derivative. These unrealized gains are included in non-operating other income.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our liabilities that are measured at fair value on a recurring basis at June 30, 2020 and December 31, 2019:</w:t>
      </w:r>
    </w:p>
    <w:p>
      <w:pPr>
        <w:spacing w:after="0" w:line="198" w:lineRule="exact"/>
        <w:rPr>
          <w:sz w:val="20"/>
          <w:szCs w:val="20"/>
          <w:color w:val="auto"/>
        </w:rPr>
      </w:pPr>
    </w:p>
    <w:p>
      <w:pPr>
        <w:jc w:val="center"/>
        <w:ind w:left="4680"/>
        <w:spacing w:after="0"/>
        <w:rPr>
          <w:sz w:val="20"/>
          <w:szCs w:val="20"/>
          <w:color w:val="auto"/>
        </w:rPr>
      </w:pPr>
      <w:r>
        <w:rPr>
          <w:rFonts w:ascii="Arial" w:cs="Arial" w:eastAsia="Arial" w:hAnsi="Arial"/>
          <w:sz w:val="18"/>
          <w:szCs w:val="18"/>
          <w:color w:val="auto"/>
        </w:rPr>
        <w:t>Fair Value Measurements at</w:t>
      </w:r>
    </w:p>
    <w:p>
      <w:pPr>
        <w:spacing w:after="0" w:line="23" w:lineRule="exact"/>
        <w:rPr>
          <w:sz w:val="20"/>
          <w:szCs w:val="20"/>
          <w:color w:val="auto"/>
        </w:rPr>
      </w:pPr>
    </w:p>
    <w:p>
      <w:pPr>
        <w:jc w:val="center"/>
        <w:ind w:left="4680"/>
        <w:spacing w:after="0"/>
        <w:rPr>
          <w:sz w:val="20"/>
          <w:szCs w:val="20"/>
          <w:color w:val="auto"/>
        </w:rPr>
      </w:pPr>
      <w:r>
        <w:rPr>
          <w:rFonts w:ascii="Arial" w:cs="Arial" w:eastAsia="Arial" w:hAnsi="Arial"/>
          <w:sz w:val="18"/>
          <w:szCs w:val="18"/>
          <w:color w:val="auto"/>
        </w:rPr>
        <w:t>June 30, 2020 Using</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Borders>
              <w:top w:val="single" w:sz="8" w:color="auto"/>
            </w:tcBorders>
            <w:gridSpan w:val="3"/>
          </w:tcPr>
          <w:p>
            <w:pPr>
              <w:jc w:val="center"/>
              <w:ind w:right="240"/>
              <w:spacing w:after="0"/>
              <w:rPr>
                <w:sz w:val="20"/>
                <w:szCs w:val="20"/>
                <w:color w:val="auto"/>
              </w:rPr>
            </w:pPr>
            <w:r>
              <w:rPr>
                <w:rFonts w:ascii="Arial" w:cs="Arial" w:eastAsia="Arial" w:hAnsi="Arial"/>
                <w:sz w:val="16"/>
                <w:szCs w:val="16"/>
                <w:color w:val="auto"/>
                <w:w w:val="88"/>
              </w:rPr>
              <w:t>Quoted Prices</w:t>
            </w: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color w:val="auto"/>
                <w:w w:val="95"/>
              </w:rPr>
              <w:t>in Active</w:t>
            </w:r>
          </w:p>
        </w:tc>
        <w:tc>
          <w:tcPr>
            <w:tcW w:w="1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color w:val="auto"/>
                <w:w w:val="94"/>
              </w:rPr>
              <w:t>Significant</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6"/>
                <w:szCs w:val="16"/>
                <w:color w:val="auto"/>
                <w:w w:val="94"/>
              </w:rPr>
              <w:t>Total Fair</w:t>
            </w:r>
          </w:p>
        </w:tc>
        <w:tc>
          <w:tcPr>
            <w:tcW w:w="12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color w:val="auto"/>
                <w:w w:val="94"/>
              </w:rPr>
              <w:t>Markets for</w:t>
            </w:r>
          </w:p>
        </w:tc>
        <w:tc>
          <w:tcPr>
            <w:tcW w:w="1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color w:val="auto"/>
                <w:w w:val="94"/>
              </w:rPr>
              <w:t>Other</w:t>
            </w:r>
          </w:p>
        </w:tc>
        <w:tc>
          <w:tcPr>
            <w:tcW w:w="100" w:type="dxa"/>
            <w:vAlign w:val="bottom"/>
          </w:tcPr>
          <w:p>
            <w:pPr>
              <w:spacing w:after="0"/>
              <w:rPr>
                <w:sz w:val="17"/>
                <w:szCs w:val="17"/>
                <w:color w:val="auto"/>
              </w:rPr>
            </w:pPr>
          </w:p>
        </w:tc>
        <w:tc>
          <w:tcPr>
            <w:tcW w:w="1000" w:type="dxa"/>
            <w:vAlign w:val="bottom"/>
          </w:tcPr>
          <w:p>
            <w:pPr>
              <w:jc w:val="center"/>
              <w:ind w:right="16"/>
              <w:spacing w:after="0"/>
              <w:rPr>
                <w:sz w:val="20"/>
                <w:szCs w:val="20"/>
                <w:color w:val="auto"/>
              </w:rPr>
            </w:pPr>
            <w:r>
              <w:rPr>
                <w:rFonts w:ascii="Arial" w:cs="Arial" w:eastAsia="Arial" w:hAnsi="Arial"/>
                <w:sz w:val="16"/>
                <w:szCs w:val="16"/>
                <w:color w:val="auto"/>
                <w:w w:val="94"/>
              </w:rPr>
              <w:t>Significant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color w:val="auto"/>
                <w:w w:val="94"/>
              </w:rPr>
              <w:t>Total Fair</w:t>
            </w:r>
          </w:p>
        </w:tc>
      </w:tr>
      <w:tr>
        <w:trPr>
          <w:trHeight w:val="203"/>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6"/>
                <w:szCs w:val="16"/>
                <w:color w:val="auto"/>
                <w:w w:val="88"/>
              </w:rPr>
              <w:t>Value at</w:t>
            </w: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color w:val="auto"/>
                <w:w w:val="97"/>
              </w:rPr>
              <w:t>Identical</w:t>
            </w:r>
          </w:p>
        </w:tc>
        <w:tc>
          <w:tcPr>
            <w:tcW w:w="1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color w:val="auto"/>
                <w:w w:val="90"/>
              </w:rPr>
              <w:t>Observable</w:t>
            </w:r>
          </w:p>
        </w:tc>
        <w:tc>
          <w:tcPr>
            <w:tcW w:w="100" w:type="dxa"/>
            <w:vAlign w:val="bottom"/>
          </w:tcPr>
          <w:p>
            <w:pPr>
              <w:spacing w:after="0"/>
              <w:rPr>
                <w:sz w:val="17"/>
                <w:szCs w:val="17"/>
                <w:color w:val="auto"/>
              </w:rPr>
            </w:pPr>
          </w:p>
        </w:tc>
        <w:tc>
          <w:tcPr>
            <w:tcW w:w="1000" w:type="dxa"/>
            <w:vAlign w:val="bottom"/>
          </w:tcPr>
          <w:p>
            <w:pPr>
              <w:jc w:val="center"/>
              <w:ind w:right="16"/>
              <w:spacing w:after="0"/>
              <w:rPr>
                <w:sz w:val="20"/>
                <w:szCs w:val="20"/>
                <w:color w:val="auto"/>
              </w:rPr>
            </w:pPr>
            <w:r>
              <w:rPr>
                <w:rFonts w:ascii="Arial" w:cs="Arial" w:eastAsia="Arial" w:hAnsi="Arial"/>
                <w:sz w:val="16"/>
                <w:szCs w:val="16"/>
                <w:color w:val="auto"/>
                <w:w w:val="91"/>
              </w:rPr>
              <w:t>Unobservable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color w:val="auto"/>
                <w:w w:val="88"/>
              </w:rPr>
              <w:t>Value at</w:t>
            </w:r>
          </w:p>
        </w:tc>
      </w:tr>
      <w:tr>
        <w:trPr>
          <w:trHeight w:val="199"/>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color w:val="auto"/>
                <w:w w:val="87"/>
              </w:rPr>
              <w:t>June 30,</w:t>
            </w: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color w:val="auto"/>
                <w:w w:val="90"/>
              </w:rPr>
              <w:t>Contracts</w:t>
            </w: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color w:val="auto"/>
                <w:w w:val="91"/>
              </w:rPr>
              <w:t>Inputs</w:t>
            </w:r>
          </w:p>
        </w:tc>
        <w:tc>
          <w:tcPr>
            <w:tcW w:w="100" w:type="dxa"/>
            <w:vAlign w:val="bottom"/>
          </w:tcPr>
          <w:p>
            <w:pPr>
              <w:spacing w:after="0"/>
              <w:rPr>
                <w:sz w:val="17"/>
                <w:szCs w:val="17"/>
                <w:color w:val="auto"/>
              </w:rPr>
            </w:pPr>
          </w:p>
        </w:tc>
        <w:tc>
          <w:tcPr>
            <w:tcW w:w="1000" w:type="dxa"/>
            <w:vAlign w:val="bottom"/>
          </w:tcPr>
          <w:p>
            <w:pPr>
              <w:jc w:val="center"/>
              <w:ind w:right="16"/>
              <w:spacing w:after="0"/>
              <w:rPr>
                <w:sz w:val="20"/>
                <w:szCs w:val="20"/>
                <w:color w:val="auto"/>
              </w:rPr>
            </w:pPr>
            <w:r>
              <w:rPr>
                <w:rFonts w:ascii="Arial" w:cs="Arial" w:eastAsia="Arial" w:hAnsi="Arial"/>
                <w:sz w:val="16"/>
                <w:szCs w:val="16"/>
                <w:color w:val="auto"/>
                <w:w w:val="96"/>
              </w:rPr>
              <w:t>Inputs</w:t>
            </w:r>
          </w:p>
        </w:tc>
        <w:tc>
          <w:tcPr>
            <w:tcW w:w="220" w:type="dxa"/>
            <w:vAlign w:val="bottom"/>
          </w:tcPr>
          <w:p>
            <w:pPr>
              <w:spacing w:after="0"/>
              <w:rPr>
                <w:sz w:val="17"/>
                <w:szCs w:val="17"/>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December 31,</w:t>
            </w:r>
          </w:p>
        </w:tc>
      </w:tr>
      <w:tr>
        <w:trPr>
          <w:trHeight w:val="216"/>
        </w:trPr>
        <w:tc>
          <w:tcPr>
            <w:tcW w:w="4660" w:type="dxa"/>
            <w:vAlign w:val="bottom"/>
            <w:tcBorders>
              <w:bottom w:val="single" w:sz="8" w:color="auto"/>
            </w:tcBorders>
          </w:tcPr>
          <w:p>
            <w:pPr>
              <w:ind w:left="2000"/>
              <w:spacing w:after="0"/>
              <w:rPr>
                <w:sz w:val="20"/>
                <w:szCs w:val="20"/>
                <w:color w:val="auto"/>
              </w:rPr>
            </w:pPr>
            <w:r>
              <w:rPr>
                <w:rFonts w:ascii="Arial" w:cs="Arial" w:eastAsia="Arial" w:hAnsi="Arial"/>
                <w:sz w:val="14"/>
                <w:szCs w:val="14"/>
                <w:color w:val="auto"/>
              </w:rPr>
              <w:t>Description</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color w:val="auto"/>
                <w:w w:val="89"/>
              </w:rPr>
              <w:t>2020</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color w:val="auto"/>
                <w:w w:val="93"/>
              </w:rPr>
              <w:t>(Level 1)</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color w:val="auto"/>
                <w:w w:val="96"/>
              </w:rPr>
              <w:t>(Level 2)</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6"/>
              <w:spacing w:after="0" w:line="216" w:lineRule="exact"/>
              <w:rPr>
                <w:sz w:val="20"/>
                <w:szCs w:val="20"/>
                <w:color w:val="auto"/>
              </w:rPr>
            </w:pPr>
            <w:r>
              <w:rPr>
                <w:rFonts w:ascii="Arial" w:cs="Arial" w:eastAsia="Arial" w:hAnsi="Arial"/>
                <w:sz w:val="15"/>
                <w:szCs w:val="15"/>
                <w:color w:val="auto"/>
                <w:w w:val="96"/>
              </w:rPr>
              <w:t>(Level 3)</w:t>
            </w:r>
            <w:r>
              <w:rPr>
                <w:rFonts w:ascii="Arial" w:cs="Arial" w:eastAsia="Arial" w:hAnsi="Arial"/>
                <w:sz w:val="25"/>
                <w:szCs w:val="25"/>
                <w:color w:val="auto"/>
                <w:w w:val="96"/>
                <w:vertAlign w:val="superscript"/>
              </w:rPr>
              <w:t>(1)</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color w:val="auto"/>
                <w:w w:val="89"/>
              </w:rPr>
              <w:t>2019</w:t>
            </w:r>
          </w:p>
        </w:tc>
        <w:tc>
          <w:tcPr>
            <w:tcW w:w="100" w:type="dxa"/>
            <w:vAlign w:val="bottom"/>
          </w:tcPr>
          <w:p>
            <w:pPr>
              <w:spacing w:after="0"/>
              <w:rPr>
                <w:sz w:val="18"/>
                <w:szCs w:val="18"/>
                <w:color w:val="auto"/>
              </w:rPr>
            </w:pPr>
          </w:p>
        </w:tc>
      </w:tr>
      <w:tr>
        <w:trPr>
          <w:trHeight w:val="204"/>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ind w:left="20"/>
              <w:spacing w:after="0"/>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Liabilities - Current and noncurrent accrued and</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Natural gas contracts</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Embedded derivative</w:t>
            </w: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380" w:type="dxa"/>
            <w:vAlign w:val="bottom"/>
            <w:gridSpan w:val="2"/>
            <w:shd w:val="clear" w:color="auto" w:fill="CFF0FC"/>
          </w:tcPr>
          <w:p>
            <w:pPr>
              <w:jc w:val="right"/>
              <w:ind w:right="3"/>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FF0FC"/>
          </w:tcPr>
          <w:p>
            <w:pPr>
              <w:spacing w:after="0"/>
              <w:rPr>
                <w:sz w:val="19"/>
                <w:szCs w:val="19"/>
                <w:color w:val="auto"/>
              </w:rPr>
            </w:pPr>
          </w:p>
        </w:tc>
      </w:tr>
      <w:tr>
        <w:trPr>
          <w:trHeight w:val="224"/>
        </w:trPr>
        <w:tc>
          <w:tcPr>
            <w:tcW w:w="4660" w:type="dxa"/>
            <w:vAlign w:val="bottom"/>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0</wp:posOffset>
            </wp:positionV>
            <wp:extent cx="40373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5" w:lineRule="exact"/>
        <w:rPr>
          <w:sz w:val="20"/>
          <w:szCs w:val="20"/>
          <w:color w:val="auto"/>
        </w:rPr>
      </w:pPr>
    </w:p>
    <w:p>
      <w:pPr>
        <w:ind w:left="260" w:right="4840" w:firstLine="112"/>
        <w:spacing w:after="0" w:line="277" w:lineRule="auto"/>
        <w:tabs>
          <w:tab w:leader="none" w:pos="7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was no Level 3 transfer activity for the six months ended June 30, 2020. Other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-302260</wp:posOffset>
            </wp:positionV>
            <wp:extent cx="40373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037330" cy="8890"/>
                    </a:xfrm>
                    <a:prstGeom prst="rect">
                      <a:avLst/>
                    </a:prstGeom>
                    <a:noFill/>
                  </pic:spPr>
                </pic:pic>
              </a:graphicData>
            </a:graphic>
          </wp:anchor>
        </w:drawing>
      </w:r>
    </w:p>
    <w:p>
      <w:pPr>
        <w:spacing w:after="0" w:line="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June 30, 2020 and December 31, 2019, we did not have any financial instruments with fair values significantly different from their carrying amounts (which excludes issuance costs, if applicable), except for the Senior Secured Notes as shown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5"/>
          </w:tcPr>
          <w:p>
            <w:pPr>
              <w:ind w:left="580"/>
              <w:spacing w:after="0"/>
              <w:rPr>
                <w:sz w:val="20"/>
                <w:szCs w:val="20"/>
                <w:color w:val="auto"/>
              </w:rPr>
            </w:pPr>
            <w:r>
              <w:rPr>
                <w:rFonts w:ascii="Arial" w:cs="Arial" w:eastAsia="Arial" w:hAnsi="Arial"/>
                <w:sz w:val="18"/>
                <w:szCs w:val="18"/>
                <w:color w:val="auto"/>
              </w:rPr>
              <w:t>June 30, 2020</w:t>
            </w:r>
          </w:p>
        </w:tc>
        <w:tc>
          <w:tcPr>
            <w:tcW w:w="160" w:type="dxa"/>
            <w:vAlign w:val="bottom"/>
          </w:tcPr>
          <w:p>
            <w:pPr>
              <w:spacing w:after="0"/>
              <w:rPr>
                <w:sz w:val="20"/>
                <w:szCs w:val="20"/>
                <w:color w:val="auto"/>
              </w:rPr>
            </w:pPr>
          </w:p>
        </w:tc>
        <w:tc>
          <w:tcPr>
            <w:tcW w:w="2480" w:type="dxa"/>
            <w:vAlign w:val="bottom"/>
            <w:gridSpan w:val="5"/>
          </w:tcPr>
          <w:p>
            <w:pPr>
              <w:ind w:left="380"/>
              <w:spacing w:after="0"/>
              <w:rPr>
                <w:sz w:val="20"/>
                <w:szCs w:val="20"/>
                <w:color w:val="auto"/>
              </w:rPr>
            </w:pPr>
            <w:r>
              <w:rPr>
                <w:rFonts w:ascii="Arial" w:cs="Arial" w:eastAsia="Arial" w:hAnsi="Arial"/>
                <w:sz w:val="18"/>
                <w:szCs w:val="18"/>
                <w:color w:val="auto"/>
              </w:rPr>
              <w:t>December 31, 2019</w:t>
            </w:r>
          </w:p>
        </w:tc>
      </w:tr>
      <w:tr>
        <w:trPr>
          <w:trHeight w:val="222"/>
        </w:trPr>
        <w:tc>
          <w:tcPr>
            <w:tcW w:w="58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94"/>
              </w:rPr>
              <w:t>Carrying</w:t>
            </w: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Estimated</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4"/>
              </w:rPr>
              <w:t>Carrying</w:t>
            </w: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Estimated</w:t>
            </w:r>
          </w:p>
        </w:tc>
        <w:tc>
          <w:tcPr>
            <w:tcW w:w="100" w:type="dxa"/>
            <w:vAlign w:val="bottom"/>
          </w:tcPr>
          <w:p>
            <w:pPr>
              <w:spacing w:after="0"/>
              <w:rPr>
                <w:sz w:val="19"/>
                <w:szCs w:val="19"/>
                <w:color w:val="auto"/>
              </w:rPr>
            </w:pPr>
          </w:p>
        </w:tc>
      </w:tr>
      <w:tr>
        <w:trPr>
          <w:trHeight w:val="230"/>
        </w:trPr>
        <w:tc>
          <w:tcPr>
            <w:tcW w:w="5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96"/>
              </w:rPr>
              <w:t>Amount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r>
      <w:tr>
        <w:trPr>
          <w:trHeight w:val="207"/>
        </w:trPr>
        <w:tc>
          <w:tcPr>
            <w:tcW w:w="58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gridSpan w:val="4"/>
          </w:tcPr>
          <w:p>
            <w:pPr>
              <w:ind w:left="700"/>
              <w:spacing w:after="0"/>
              <w:rPr>
                <w:sz w:val="20"/>
                <w:szCs w:val="20"/>
                <w:color w:val="auto"/>
              </w:rPr>
            </w:pPr>
            <w:r>
              <w:rPr>
                <w:rFonts w:ascii="Arial" w:cs="Arial" w:eastAsia="Arial" w:hAnsi="Arial"/>
                <w:sz w:val="16"/>
                <w:szCs w:val="16"/>
                <w:color w:val="auto"/>
              </w:rPr>
              <w:t>(In Millions)</w:t>
            </w: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Senior Secured Notes (1)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3"/>
              </w:rPr>
              <w:t>422</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FF0FC"/>
          </w:tcPr>
          <w:p>
            <w:pPr>
              <w:spacing w:after="0"/>
              <w:rPr>
                <w:sz w:val="20"/>
                <w:szCs w:val="20"/>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1220" w:hanging="838"/>
        <w:spacing w:after="0"/>
        <w:tabs>
          <w:tab w:leader="none" w:pos="1220" w:val="left"/>
        </w:tabs>
        <w:numPr>
          <w:ilvl w:val="0"/>
          <w:numId w:val="12"/>
        </w:numPr>
        <w:rPr>
          <w:rFonts w:ascii="Arial" w:cs="Arial" w:eastAsia="Arial" w:hAnsi="Arial"/>
          <w:sz w:val="17"/>
          <w:szCs w:val="17"/>
          <w:color w:val="auto"/>
        </w:rPr>
      </w:pPr>
      <w:r>
        <w:rPr>
          <w:rFonts w:ascii="Arial" w:cs="Arial" w:eastAsia="Arial" w:hAnsi="Arial"/>
          <w:sz w:val="18"/>
          <w:szCs w:val="18"/>
          <w:color w:val="auto"/>
        </w:rPr>
        <w:t>Based on a quoted price of 97.0 at June 30, 2020 and 103.25 at December 31, 2019</w:t>
      </w:r>
      <w:r>
        <w:rPr>
          <w:rFonts w:ascii="Arial" w:cs="Arial" w:eastAsia="Arial" w:hAnsi="Arial"/>
          <w:sz w:val="17"/>
          <w:szCs w:val="17"/>
          <w:color w:val="auto"/>
        </w:rPr>
        <w: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Senior Secured Notes valuations are classified as Level 2. The fair value of financial instruments is not indicative of the overall fair value of our assets and liabilities since financial instruments do not include all assets, including intangibles, and all liabilities.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27, 2020, the President of the U.S. signed into law the CARES Act. The CARES Act provides relief to corporate taxpayers by permitting a five year carryback of 2018-2020 net operating losses (“NOLs”), removing the 80% limitation on the carryback of those NOLs, increasing the Section 163(j) 30% limitation on interest expense deductibility to 50% of adjusted taxable income for 2019 and 2020, and accelerates refunds for minimum tax credit carryforwards, along with a few other provisions. During the three and six months ended June 30, 2020, no material adjustments were required to the income tax benefit as a result of the enactment of the CARES Act.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Benefit for income taxes is as follows: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0"/>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tcPr>
          <w:p>
            <w:pPr>
              <w:jc w:val="right"/>
              <w:ind w:right="76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4"/>
                <w:szCs w:val="24"/>
                <w:color w:val="auto"/>
              </w:rPr>
            </w:pPr>
          </w:p>
        </w:tc>
        <w:tc>
          <w:tcPr>
            <w:tcW w:w="2260" w:type="dxa"/>
            <w:vAlign w:val="bottom"/>
            <w:gridSpan w:val="6"/>
          </w:tcPr>
          <w:p>
            <w:pPr>
              <w:jc w:val="right"/>
              <w:ind w:right="720"/>
              <w:spacing w:after="0"/>
              <w:rPr>
                <w:sz w:val="20"/>
                <w:szCs w:val="20"/>
                <w:color w:val="auto"/>
              </w:rPr>
            </w:pPr>
            <w:r>
              <w:rPr>
                <w:rFonts w:ascii="Arial" w:cs="Arial" w:eastAsia="Arial" w:hAnsi="Arial"/>
                <w:sz w:val="18"/>
                <w:szCs w:val="18"/>
                <w:color w:val="auto"/>
              </w:rPr>
              <w:t>Six Months Ended</w:t>
            </w:r>
          </w:p>
        </w:tc>
      </w:tr>
      <w:tr>
        <w:trPr>
          <w:trHeight w:val="229"/>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3"/>
          </w:tcPr>
          <w:p>
            <w:pPr>
              <w:jc w:val="right"/>
              <w:ind w:right="47"/>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4"/>
          </w:tcPr>
          <w:p>
            <w:pPr>
              <w:jc w:val="right"/>
              <w:ind w:right="10"/>
              <w:spacing w:after="0"/>
              <w:rPr>
                <w:sz w:val="20"/>
                <w:szCs w:val="20"/>
                <w:color w:val="auto"/>
              </w:rPr>
            </w:pPr>
            <w:r>
              <w:rPr>
                <w:rFonts w:ascii="Arial" w:cs="Arial" w:eastAsia="Arial" w:hAnsi="Arial"/>
                <w:sz w:val="18"/>
                <w:szCs w:val="18"/>
                <w:color w:val="auto"/>
              </w:rPr>
              <w:t>June 30,</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2020</w:t>
            </w: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07"/>
        </w:trPr>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2"/>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223"/>
        </w:trPr>
        <w:tc>
          <w:tcPr>
            <w:tcW w:w="58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Federal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(1,138)</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(156)</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(1,891)</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(5,579)</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(5,457)</w:t>
            </w:r>
          </w:p>
        </w:tc>
      </w:tr>
      <w:tr>
        <w:trPr>
          <w:trHeight w:val="223"/>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Deferred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(5,735)</w:t>
            </w:r>
          </w:p>
        </w:tc>
        <w:tc>
          <w:tcPr>
            <w:tcW w:w="24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(5,290)</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Benefit for income taxes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(5,733)</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(1,638)</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and six months ended June 30, 2020 and 2019, the current provision (benefit) for state income taxes shown above includes regular state income tax, provisions for uncertain state income tax positions, the impact of state tax law changes and other similar adjustments.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estimated annual effective rate for 2020 includes the impact of permanent tax differences, limits on deductible compensation, valuation allowances and other permanent items.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considered both positive and negative evidence in our determination of the need for valuation allowances for deferred tax assets. Information evaluated includes our financial position and results of operations for the current and preceding years, the availability of deferred tax liabilities and tax carrybacks, as well as an evaluation of currently available information about future years. Valuation allowances are reflective of our quarterly analysis of the four sources of taxable income, including the calculation of the reversal of existing tax assets and liabilities, the impact of financing activities and our quarterly results. Based on our analysis, we currently believe that it is more-likely-than-not that a portion of our federal deferred tax assets will not be able to be utilized and we estimate the valuation allowance to be recorded during 2020 to be approximately $5.7 million. We have also determined it was more-likely-than-not that a portion of our state deferred tax assets would not be able to be utilized and we estimate the valuation allowance associated with these state deferred tax assets to be recorded during 2020 will be approximately $3.7 million.</w:t>
      </w:r>
    </w:p>
    <w:p>
      <w:pPr>
        <w:spacing w:after="0" w:line="70"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We will continue to evaluate both the positive and negative evidence on a quarterly basis in determining the need for a valuation allowance with respect to our deferred tax assets. Changes in positive and negative evidence, including differences between estimated and actual results and additional guidance for various provisions of the CARES Act, could result in changes in the valuation of our deferred tax assets that could have a material impact on our consolidated financial statements. Changes in existing tax laws could also affect actual tax results and the realization of deferred tax assets over time.</w:t>
      </w:r>
    </w:p>
    <w:p>
      <w:pPr>
        <w:spacing w:after="0" w:line="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tax benefit for the six months ended June 30, 2020 was $1.6 million (8% benefit on pre-tax loss) and the tax benefit for the six months ended June 30, 2019 was $5.3 million (3% provision on pre-tax loss excluding the impact of state tax law changes). For the six months ended June 30, 2020 and 2019, the effective tax rate is less than the statutory tax rate primarily due to the impact of the valuation allowances.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LSB and certain of its subsidiaries file income tax returns in the U.S. federal jurisdiction and various state jurisdictions. With few exceptions, the 2016-2019 years remain open for all purposes of examination by the U.S. Internal Revenue Service and other major tax jurisdictions.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Redeemable Preferred Stocks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and Series F Redeemable Preferred</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June 30, 2020, the Series E Redeemable Preferred has a 14% annual dividend rate and a participating right in dividends and liquidating distributions equal to 303,646 shares of common stock (participation rights value). Dividends accrue semi-annually in arrears and are compounded. Pursuant to the terms of the Series E Redeemable Preferred, the annual dividend rate will increase (a) by 0.50% in April 2021 (b) by an additional 0.50% in April 2022 and</w:t>
      </w:r>
    </w:p>
    <w:p>
      <w:pPr>
        <w:spacing w:after="0" w:line="2" w:lineRule="exact"/>
        <w:rPr>
          <w:sz w:val="20"/>
          <w:szCs w:val="20"/>
          <w:color w:val="auto"/>
        </w:rPr>
      </w:pPr>
    </w:p>
    <w:p>
      <w:pPr>
        <w:ind w:firstLine="8"/>
        <w:spacing w:after="0" w:line="290" w:lineRule="auto"/>
        <w:tabs>
          <w:tab w:leader="none" w:pos="258" w:val="left"/>
        </w:tabs>
        <w:numPr>
          <w:ilvl w:val="0"/>
          <w:numId w:val="13"/>
        </w:numPr>
        <w:rPr>
          <w:rFonts w:ascii="Arial" w:cs="Arial" w:eastAsia="Arial" w:hAnsi="Arial"/>
          <w:sz w:val="17"/>
          <w:szCs w:val="17"/>
          <w:color w:val="auto"/>
        </w:rPr>
      </w:pPr>
      <w:r>
        <w:rPr>
          <w:rFonts w:ascii="Arial" w:cs="Arial" w:eastAsia="Arial" w:hAnsi="Arial"/>
          <w:sz w:val="17"/>
          <w:szCs w:val="17"/>
          <w:color w:val="auto"/>
        </w:rPr>
        <w:t>by an additional 1.0% in April 2023. The Series E Redeemable Preferred contains redemption features and a participation rights value that are being accounted for as derivative instruments and have been bifurcated from the Series E Redeemable Preferred as discussed in Note 6.</w:t>
      </w:r>
    </w:p>
    <w:p>
      <w:pPr>
        <w:spacing w:after="0" w:line="5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2020, the Series F Redeemable Preferred has voting rights to vote as a single class on all matters which the common stock have the right to vote and is entitled to a number of votes equal to 456,225 shares of our common stock.</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Changes in our Series E and Series F Redeemable Preferred are as follows:</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83"/>
        </w:trPr>
        <w:tc>
          <w:tcPr>
            <w:tcW w:w="17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440" w:type="dxa"/>
            <w:vAlign w:val="bottom"/>
            <w:gridSpan w:val="5"/>
          </w:tcPr>
          <w:p>
            <w:pPr>
              <w:jc w:val="center"/>
              <w:ind w:right="80"/>
              <w:spacing w:after="0"/>
              <w:rPr>
                <w:sz w:val="20"/>
                <w:szCs w:val="20"/>
                <w:color w:val="auto"/>
              </w:rPr>
            </w:pPr>
            <w:r>
              <w:rPr>
                <w:rFonts w:ascii="Arial" w:cs="Arial" w:eastAsia="Arial" w:hAnsi="Arial"/>
                <w:sz w:val="18"/>
                <w:szCs w:val="18"/>
                <w:color w:val="auto"/>
                <w:w w:val="87"/>
              </w:rPr>
              <w:t>Series E Redeemable Preferred</w:t>
            </w:r>
          </w:p>
        </w:tc>
      </w:tr>
      <w:tr>
        <w:trPr>
          <w:trHeight w:val="223"/>
        </w:trPr>
        <w:tc>
          <w:tcPr>
            <w:tcW w:w="170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8"/>
                <w:szCs w:val="18"/>
                <w:color w:val="auto"/>
              </w:rPr>
              <w:t>Shares</w:t>
            </w: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19"/>
                <w:szCs w:val="19"/>
                <w:color w:val="auto"/>
              </w:rPr>
            </w:pPr>
          </w:p>
        </w:tc>
      </w:tr>
      <w:tr>
        <w:trPr>
          <w:trHeight w:val="203"/>
        </w:trPr>
        <w:tc>
          <w:tcPr>
            <w:tcW w:w="170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440" w:type="dxa"/>
            <w:vAlign w:val="bottom"/>
            <w:gridSpan w:val="5"/>
          </w:tcPr>
          <w:p>
            <w:pPr>
              <w:jc w:val="center"/>
              <w:ind w:right="100"/>
              <w:spacing w:after="0"/>
              <w:rPr>
                <w:sz w:val="20"/>
                <w:szCs w:val="20"/>
                <w:color w:val="auto"/>
              </w:rPr>
            </w:pPr>
            <w:r>
              <w:rPr>
                <w:rFonts w:ascii="Arial" w:cs="Arial" w:eastAsia="Arial" w:hAnsi="Arial"/>
                <w:sz w:val="16"/>
                <w:szCs w:val="16"/>
                <w:color w:val="auto"/>
                <w:w w:val="92"/>
              </w:rPr>
              <w:t>(Dollars In Thousands)</w:t>
            </w:r>
          </w:p>
        </w:tc>
      </w:tr>
      <w:tr>
        <w:trPr>
          <w:trHeight w:val="236"/>
        </w:trPr>
        <w:tc>
          <w:tcPr>
            <w:tcW w:w="1700" w:type="dxa"/>
            <w:vAlign w:val="bottom"/>
          </w:tcPr>
          <w:p>
            <w:pPr>
              <w:spacing w:after="0"/>
              <w:rPr>
                <w:sz w:val="20"/>
                <w:szCs w:val="20"/>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139,768</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234,893</w:t>
            </w:r>
          </w:p>
        </w:tc>
        <w:tc>
          <w:tcPr>
            <w:tcW w:w="80" w:type="dxa"/>
            <w:vAlign w:val="bottom"/>
            <w:shd w:val="clear" w:color="auto" w:fill="CFF0FC"/>
          </w:tcPr>
          <w:p>
            <w:pPr>
              <w:spacing w:after="0"/>
              <w:rPr>
                <w:sz w:val="20"/>
                <w:szCs w:val="20"/>
                <w:color w:val="auto"/>
              </w:rPr>
            </w:pPr>
          </w:p>
        </w:tc>
      </w:tr>
      <w:tr>
        <w:trPr>
          <w:trHeight w:val="215"/>
        </w:trPr>
        <w:tc>
          <w:tcPr>
            <w:tcW w:w="1700" w:type="dxa"/>
            <w:vAlign w:val="bottom"/>
          </w:tcPr>
          <w:p>
            <w:pPr>
              <w:spacing w:after="0"/>
              <w:rPr>
                <w:sz w:val="18"/>
                <w:szCs w:val="18"/>
                <w:color w:val="auto"/>
              </w:rPr>
            </w:pPr>
          </w:p>
        </w:tc>
        <w:tc>
          <w:tcPr>
            <w:tcW w:w="5420" w:type="dxa"/>
            <w:vAlign w:val="bottom"/>
          </w:tcPr>
          <w:p>
            <w:pPr>
              <w:ind w:left="240"/>
              <w:spacing w:after="0"/>
              <w:rPr>
                <w:sz w:val="20"/>
                <w:szCs w:val="20"/>
                <w:color w:val="auto"/>
              </w:rPr>
            </w:pPr>
            <w:r>
              <w:rPr>
                <w:rFonts w:ascii="Arial" w:cs="Arial" w:eastAsia="Arial" w:hAnsi="Arial"/>
                <w:sz w:val="18"/>
                <w:szCs w:val="18"/>
                <w:color w:val="auto"/>
              </w:rPr>
              <w:t>Accretion relating to liquidation preference on</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5420" w:type="dxa"/>
            <w:vAlign w:val="bottom"/>
          </w:tcPr>
          <w:p>
            <w:pPr>
              <w:jc w:val="center"/>
              <w:ind w:right="3490"/>
              <w:spacing w:after="0"/>
              <w:rPr>
                <w:sz w:val="20"/>
                <w:szCs w:val="20"/>
                <w:color w:val="auto"/>
              </w:rPr>
            </w:pPr>
            <w:r>
              <w:rPr>
                <w:rFonts w:ascii="Arial" w:cs="Arial" w:eastAsia="Arial" w:hAnsi="Arial"/>
                <w:sz w:val="18"/>
                <w:szCs w:val="18"/>
                <w:color w:val="auto"/>
                <w:w w:val="89"/>
              </w:rPr>
              <w:t>preferred stock</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539</w:t>
            </w:r>
          </w:p>
        </w:tc>
        <w:tc>
          <w:tcPr>
            <w:tcW w:w="80" w:type="dxa"/>
            <w:vAlign w:val="bottom"/>
          </w:tcPr>
          <w:p>
            <w:pPr>
              <w:spacing w:after="0"/>
              <w:rPr>
                <w:sz w:val="20"/>
                <w:szCs w:val="20"/>
                <w:color w:val="auto"/>
              </w:rPr>
            </w:pPr>
          </w:p>
        </w:tc>
      </w:tr>
      <w:tr>
        <w:trPr>
          <w:trHeight w:val="215"/>
        </w:trPr>
        <w:tc>
          <w:tcPr>
            <w:tcW w:w="1700" w:type="dxa"/>
            <w:vAlign w:val="bottom"/>
          </w:tcPr>
          <w:p>
            <w:pPr>
              <w:spacing w:after="0"/>
              <w:rPr>
                <w:sz w:val="18"/>
                <w:szCs w:val="18"/>
                <w:color w:val="auto"/>
              </w:rPr>
            </w:pPr>
          </w:p>
        </w:tc>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for discount and issuance costs on</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5420" w:type="dxa"/>
            <w:vAlign w:val="bottom"/>
            <w:shd w:val="clear" w:color="auto" w:fill="CFF0FC"/>
          </w:tcPr>
          <w:p>
            <w:pPr>
              <w:jc w:val="center"/>
              <w:ind w:right="3490"/>
              <w:spacing w:after="0"/>
              <w:rPr>
                <w:sz w:val="20"/>
                <w:szCs w:val="20"/>
                <w:color w:val="auto"/>
              </w:rPr>
            </w:pPr>
            <w:r>
              <w:rPr>
                <w:rFonts w:ascii="Arial" w:cs="Arial" w:eastAsia="Arial" w:hAnsi="Arial"/>
                <w:sz w:val="18"/>
                <w:szCs w:val="18"/>
                <w:color w:val="auto"/>
                <w:w w:val="89"/>
              </w:rPr>
              <w:t>preferred stock</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80" w:type="dxa"/>
            <w:vAlign w:val="bottom"/>
            <w:shd w:val="clear" w:color="auto" w:fill="CFF0FC"/>
          </w:tcPr>
          <w:p>
            <w:pPr>
              <w:spacing w:after="0"/>
              <w:rPr>
                <w:sz w:val="20"/>
                <w:szCs w:val="20"/>
                <w:color w:val="auto"/>
              </w:rPr>
            </w:pPr>
          </w:p>
        </w:tc>
      </w:tr>
      <w:tr>
        <w:trPr>
          <w:trHeight w:val="229"/>
        </w:trPr>
        <w:tc>
          <w:tcPr>
            <w:tcW w:w="1700" w:type="dxa"/>
            <w:vAlign w:val="bottom"/>
          </w:tcPr>
          <w:p>
            <w:pPr>
              <w:spacing w:after="0"/>
              <w:rPr>
                <w:sz w:val="19"/>
                <w:szCs w:val="19"/>
                <w:color w:val="auto"/>
              </w:rPr>
            </w:pPr>
          </w:p>
        </w:tc>
        <w:tc>
          <w:tcPr>
            <w:tcW w:w="5420" w:type="dxa"/>
            <w:vAlign w:val="bottom"/>
          </w:tcPr>
          <w:p>
            <w:pPr>
              <w:ind w:left="240"/>
              <w:spacing w:after="0"/>
              <w:rPr>
                <w:sz w:val="20"/>
                <w:szCs w:val="20"/>
                <w:color w:val="auto"/>
              </w:rPr>
            </w:pPr>
            <w:r>
              <w:rPr>
                <w:rFonts w:ascii="Arial" w:cs="Arial" w:eastAsia="Arial" w:hAnsi="Arial"/>
                <w:sz w:val="18"/>
                <w:szCs w:val="18"/>
                <w:color w:val="auto"/>
              </w:rPr>
              <w:t>Accumulated dividends</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16,996</w:t>
            </w:r>
          </w:p>
        </w:tc>
        <w:tc>
          <w:tcPr>
            <w:tcW w:w="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jc w:val="center"/>
              <w:ind w:right="3530"/>
              <w:spacing w:after="0"/>
              <w:rPr>
                <w:sz w:val="20"/>
                <w:szCs w:val="20"/>
                <w:color w:val="auto"/>
              </w:rPr>
            </w:pPr>
            <w:r>
              <w:rPr>
                <w:rFonts w:ascii="Arial" w:cs="Arial" w:eastAsia="Arial" w:hAnsi="Arial"/>
                <w:sz w:val="18"/>
                <w:szCs w:val="18"/>
                <w:color w:val="auto"/>
                <w:w w:val="88"/>
              </w:rPr>
              <w:t>Balance at June 30, 2020</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139,768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252,898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Sales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Net Sales</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1, we primarily derive our revenues from the sales of various chemical products. The following table presents our net sales disaggregated by our principal markets, which disaggregation is consistent with other financial information utilized or provided outside of our consolidated financial statements: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4"/>
          </w:tcPr>
          <w:p>
            <w:pPr>
              <w:jc w:val="right"/>
              <w:ind w:right="432"/>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5"/>
          </w:tcPr>
          <w:p>
            <w:pPr>
              <w:ind w:left="360"/>
              <w:spacing w:after="0"/>
              <w:rPr>
                <w:sz w:val="20"/>
                <w:szCs w:val="20"/>
                <w:color w:val="auto"/>
              </w:rPr>
            </w:pPr>
            <w:r>
              <w:rPr>
                <w:rFonts w:ascii="Arial" w:cs="Arial" w:eastAsia="Arial" w:hAnsi="Arial"/>
                <w:sz w:val="18"/>
                <w:szCs w:val="18"/>
                <w:color w:val="auto"/>
              </w:rPr>
              <w:t>Six Months Ended</w:t>
            </w:r>
          </w:p>
        </w:tc>
      </w:tr>
      <w:tr>
        <w:trPr>
          <w:trHeight w:val="229"/>
        </w:trPr>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3"/>
          </w:tcPr>
          <w:p>
            <w:pPr>
              <w:jc w:val="right"/>
              <w:ind w:right="47"/>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r>
      <w:tr>
        <w:trPr>
          <w:trHeight w:val="206"/>
        </w:trPr>
        <w:tc>
          <w:tcPr>
            <w:tcW w:w="5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5"/>
          </w:tcPr>
          <w:p>
            <w:pPr>
              <w:ind w:left="220"/>
              <w:spacing w:after="0"/>
              <w:rPr>
                <w:sz w:val="20"/>
                <w:szCs w:val="20"/>
                <w:color w:val="auto"/>
              </w:rPr>
            </w:pPr>
            <w:r>
              <w:rPr>
                <w:rFonts w:ascii="Arial" w:cs="Arial" w:eastAsia="Arial" w:hAnsi="Arial"/>
                <w:sz w:val="16"/>
                <w:szCs w:val="16"/>
                <w:color w:val="auto"/>
              </w:rPr>
              <w:t>(Dollars In Thousands)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Agricultural products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64,997</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72,476</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106,455</w:t>
            </w:r>
          </w:p>
        </w:tc>
        <w:tc>
          <w:tcPr>
            <w:tcW w:w="26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119,296</w:t>
            </w:r>
          </w:p>
        </w:tc>
        <w:tc>
          <w:tcPr>
            <w:tcW w:w="120" w:type="dxa"/>
            <w:vAlign w:val="bottom"/>
          </w:tcPr>
          <w:p>
            <w:pPr>
              <w:spacing w:after="0"/>
              <w:rPr>
                <w:sz w:val="19"/>
                <w:szCs w:val="19"/>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Industrial acids and other chemical products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29,559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37,177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64,765</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75,027</w:t>
            </w:r>
          </w:p>
        </w:tc>
        <w:tc>
          <w:tcPr>
            <w:tcW w:w="120" w:type="dxa"/>
            <w:vAlign w:val="bottom"/>
            <w:shd w:val="clear" w:color="auto" w:fill="CFF0FC"/>
          </w:tcPr>
          <w:p>
            <w:pPr>
              <w:spacing w:after="0"/>
              <w:rPr>
                <w:sz w:val="19"/>
                <w:szCs w:val="19"/>
                <w:color w:val="auto"/>
              </w:rPr>
            </w:pPr>
          </w:p>
        </w:tc>
      </w:tr>
      <w:tr>
        <w:trPr>
          <w:trHeight w:val="230"/>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Mining products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10,477</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11,874</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17,224</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21,356</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net sales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105,033</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121,527</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188,444</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215,679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most of our contracts have an original expected duration of one year or less, for our contracts with a duration greater than one year, the average remaining expected duration was approximately 13 months at June 30, 2020.</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Liabilities associated with contracts with customers (contract liabilities) primarily relate to deferred revenue and customer deposits associated with cash payments received in advance from customers for volume shortfall charges and product shipments. We had approximately $2.8 million and $3.6 million of contract liabilities as of June 30, 2020 and December 31, 2019, respectively. For the three and six months ended June 30, 2020 revenues of $1.5 million and $1.0 million, respectively, were recognized and included in the balance at the beginning of the respective period. For the three and six months ended June 30, 2019, revenues of $3.0 million and $2.5 million, respectively, were recognized and included in the balance at the beginning of the respective period.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2020, we have two separate outstanding financing arrangements with an affiliate of LSB Funding as discussed in footnotes (F) and (G) of Note 4. Also, an affiliate of LSB Funding holds $50 million of our Senior Secured Notes discussed in footnote (B) of Note 4. In addition, LSB Funding holds all outstanding shares of the Series E and Series F Redeemable Preferred discussed in Note 8.</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Golsen Holders hold all outstanding shares of the Series B Preferred and Series D Preferred, which accumulated dividends on such shares totaled approximately $1.4 million at June 30,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29"/>
        </w:trPr>
        <w:tc>
          <w:tcPr>
            <w:tcW w:w="5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gridSpan w:val="4"/>
          </w:tcPr>
          <w:p>
            <w:pPr>
              <w:jc w:val="center"/>
              <w:ind w:right="340"/>
              <w:spacing w:after="0"/>
              <w:rPr>
                <w:sz w:val="20"/>
                <w:szCs w:val="20"/>
                <w:color w:val="auto"/>
              </w:rPr>
            </w:pPr>
            <w:r>
              <w:rPr>
                <w:rFonts w:ascii="Arial" w:cs="Arial" w:eastAsia="Arial" w:hAnsi="Arial"/>
                <w:sz w:val="18"/>
                <w:szCs w:val="18"/>
                <w:color w:val="auto"/>
                <w:w w:val="91"/>
              </w:rPr>
              <w:t>Six Months Ended</w:t>
            </w:r>
          </w:p>
        </w:tc>
      </w:tr>
      <w:tr>
        <w:trPr>
          <w:trHeight w:val="229"/>
        </w:trPr>
        <w:tc>
          <w:tcPr>
            <w:tcW w:w="5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center"/>
              <w:ind w:left="511"/>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r>
      <w:tr>
        <w:trPr>
          <w:trHeight w:val="203"/>
        </w:trPr>
        <w:tc>
          <w:tcPr>
            <w:tcW w:w="5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4"/>
          </w:tcPr>
          <w:p>
            <w:pPr>
              <w:jc w:val="center"/>
              <w:ind w:right="340"/>
              <w:spacing w:after="0"/>
              <w:rPr>
                <w:sz w:val="20"/>
                <w:szCs w:val="20"/>
                <w:color w:val="auto"/>
              </w:rPr>
            </w:pPr>
            <w:r>
              <w:rPr>
                <w:rFonts w:ascii="Arial" w:cs="Arial" w:eastAsia="Arial" w:hAnsi="Arial"/>
                <w:sz w:val="16"/>
                <w:szCs w:val="16"/>
                <w:color w:val="auto"/>
                <w:w w:val="91"/>
              </w:rPr>
              <w:t>(In Thousands)</w:t>
            </w:r>
          </w:p>
        </w:tc>
      </w:tr>
      <w:tr>
        <w:trPr>
          <w:trHeight w:val="235"/>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Cash refunds for:</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Income taxes, net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(319)</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Noncash continuing investing and financing activities:</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5"/>
        </w:trPr>
        <w:tc>
          <w:tcPr>
            <w:tcW w:w="5360" w:type="dxa"/>
            <w:vAlign w:val="bottom"/>
          </w:tcPr>
          <w:p>
            <w:pPr>
              <w:ind w:left="240"/>
              <w:spacing w:after="0"/>
              <w:rPr>
                <w:sz w:val="20"/>
                <w:szCs w:val="20"/>
                <w:color w:val="auto"/>
              </w:rPr>
            </w:pPr>
            <w:r>
              <w:rPr>
                <w:rFonts w:ascii="Arial" w:cs="Arial" w:eastAsia="Arial" w:hAnsi="Arial"/>
                <w:sz w:val="18"/>
                <w:szCs w:val="18"/>
                <w:color w:val="auto"/>
              </w:rPr>
              <w:t>Accounts receivable, supplies and accounts payable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60" w:type="dxa"/>
            <w:vAlign w:val="bottom"/>
          </w:tcPr>
          <w:p>
            <w:pPr>
              <w:ind w:left="420"/>
              <w:spacing w:after="0"/>
              <w:rPr>
                <w:sz w:val="20"/>
                <w:szCs w:val="20"/>
                <w:color w:val="auto"/>
              </w:rPr>
            </w:pPr>
            <w:r>
              <w:rPr>
                <w:rFonts w:ascii="Arial" w:cs="Arial" w:eastAsia="Arial" w:hAnsi="Arial"/>
                <w:sz w:val="18"/>
                <w:szCs w:val="18"/>
                <w:color w:val="auto"/>
              </w:rPr>
              <w:t>associated with additions of property, plant and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360" w:type="dxa"/>
            <w:vAlign w:val="bottom"/>
          </w:tcPr>
          <w:p>
            <w:pPr>
              <w:ind w:left="420"/>
              <w:spacing w:after="0"/>
              <w:rPr>
                <w:sz w:val="20"/>
                <w:szCs w:val="20"/>
                <w:color w:val="auto"/>
              </w:rPr>
            </w:pPr>
            <w:r>
              <w:rPr>
                <w:rFonts w:ascii="Arial" w:cs="Arial" w:eastAsia="Arial" w:hAnsi="Arial"/>
                <w:sz w:val="18"/>
                <w:szCs w:val="18"/>
                <w:color w:val="auto"/>
              </w:rPr>
              <w:t>equipment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11,152</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14,845</w:t>
            </w:r>
          </w:p>
        </w:tc>
        <w:tc>
          <w:tcPr>
            <w:tcW w:w="80" w:type="dxa"/>
            <w:vAlign w:val="bottom"/>
          </w:tcPr>
          <w:p>
            <w:pPr>
              <w:spacing w:after="0"/>
              <w:rPr>
                <w:sz w:val="20"/>
                <w:szCs w:val="20"/>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Dividends accrued on Series E Redeemable Preferred</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16,996</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12,062</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Accretion of Series E Redeemable Preferred</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1,009</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993</w:t>
            </w:r>
          </w:p>
        </w:tc>
        <w:tc>
          <w:tcPr>
            <w:tcW w:w="80" w:type="dxa"/>
            <w:vAlign w:val="bottom"/>
          </w:tcPr>
          <w:p>
            <w:pPr>
              <w:spacing w:after="0"/>
              <w:rPr>
                <w:sz w:val="19"/>
                <w:szCs w:val="19"/>
                <w:color w:val="auto"/>
              </w:rPr>
            </w:pPr>
          </w:p>
        </w:tc>
      </w:tr>
      <w:tr>
        <w:trPr>
          <w:trHeight w:val="215"/>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 associated with debt issuance costs</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3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incurred relating to senior secured notes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80" w:type="dxa"/>
            <w:vAlign w:val="bottom"/>
            <w:shd w:val="clear" w:color="auto" w:fill="CFF0FC"/>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6, 2020, we entered into the Section 382 Rights Agreement (the “NOL Rights Agreement”), dated as of July 6, 2020, between LSB and Computershare Trust Company, N.A., as rights agent.</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purpose of the NOL Rights Agreement is to facilitate our ability to preserve our NOLs and other tax attributes in order to be able to offset potential future income taxes for federal income tax purposes. Our ability to use these NOLs and other tax attributes would be substantially limited if we experience an “ownership change,” as defined in Section 382 of the Internal Revenue Code of 1986, as amended (the “Code”). A company generally experiences an ownership change if the percentage of the value of its stock owned by certain 5% shareholders, as defined in Section 382 of the Code, increases by more than 50% points over a rolling three-year period. The NOL Rights Agreement is intended to reduce the likelihood of an ownership change under Section 382 of the Code by deterring any person (as defined in the NOL Rights Agreement) or group of affiliated or associated persons (“Group”) from acquiring beneficial ownership of 4.9% or more of our outstanding common shares.</w:t>
      </w:r>
    </w:p>
    <w:p>
      <w:pPr>
        <w:spacing w:after="0" w:line="6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rights issued under the NOL Rights Agreement will expire on the earliest to occur of (i) the close of business on the day following the certification of the voting results of our 2021 annual meeting of stockholders, or other duly held stockholders’ meeting, (ii) the date on which our Board of Directors (the “Board”) determines in its sole discretion that (x) the NOL Rights Agreement is no longer necessary for the preservation of material valuable NOLs or tax attributes or (y) the NOLs and tax attributes have been fully utilized and may no longer be carried forward and (iii) the close of business on July 6, 2023.</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Board may, in its discretion, determine that a person, entity or a certain transaction is exempt from the operation of the NOL Rights Agreement or amend the terms of the rights.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summary description of the NOL Rights Agreement does not purport to be complete and is qualified in its entirety by reference to the Rights Agreement filed as an exhibit to our Current Report on Form 8-K filed on July 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a review of the other Items included in this Form 10-Q and our June 30, 2020 condensed consolidated financial statements included elsewhere in this report. A reference to a “Note” relates to a note in the accompanying notes to the condensed consolidated financial statements. This MD&amp;A reflects our operating results, unless otherwise noted. Certain statements contained in this MD&amp;A may be deemed to be forward-looking statements. See “Special Note Regarding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LSB is headquartered in Oklahoma City, Oklahoma and through its subsidiaries, manufactures and sells chemical products for the agricultural, mining, and industrial markets. We own and operate facilities in Cherokee, Alabama, El Dorado, Arkansas and Pryor, Oklahoma, and operate a facility for Covestro in Baytown, Texas. Our products are sold through distributors and directly to end customers primarily throughout the U.S.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Initiatives for 2020</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future results of operations and financial condition will depend significantly on our ability to successfully implement the following key initiatives:</w:t>
      </w:r>
    </w:p>
    <w:p>
      <w:pPr>
        <w:spacing w:after="0" w:line="62" w:lineRule="exact"/>
        <w:rPr>
          <w:sz w:val="20"/>
          <w:szCs w:val="20"/>
          <w:color w:val="auto"/>
        </w:rPr>
      </w:pPr>
    </w:p>
    <w:p>
      <w:pPr>
        <w:ind w:left="540" w:right="20" w:hanging="357"/>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Continued Focus on Becoming a “Best in Class” Chemical plant operator with respect to safe, reliable operations that produce the highest quality product.</w:t>
      </w:r>
    </w:p>
    <w:p>
      <w:pPr>
        <w:spacing w:after="0" w:line="62" w:lineRule="exact"/>
        <w:rPr>
          <w:sz w:val="20"/>
          <w:szCs w:val="20"/>
          <w:color w:val="auto"/>
        </w:rPr>
      </w:pPr>
    </w:p>
    <w:p>
      <w:pPr>
        <w:jc w:val="both"/>
        <w:ind w:left="740" w:hanging="368"/>
        <w:spacing w:after="0" w:line="254" w:lineRule="auto"/>
        <w:tabs>
          <w:tab w:leader="none" w:pos="740" w:val="left"/>
        </w:tabs>
        <w:numPr>
          <w:ilvl w:val="1"/>
          <w:numId w:val="15"/>
        </w:numPr>
        <w:rPr>
          <w:rFonts w:ascii="Courier New" w:cs="Courier New" w:eastAsia="Courier New" w:hAnsi="Courier New"/>
          <w:sz w:val="18"/>
          <w:szCs w:val="18"/>
          <w:color w:val="auto"/>
        </w:rPr>
      </w:pPr>
      <w:r>
        <w:rPr>
          <w:rFonts w:ascii="Arial" w:cs="Arial" w:eastAsia="Arial" w:hAnsi="Arial"/>
          <w:sz w:val="18"/>
          <w:szCs w:val="18"/>
          <w:color w:val="auto"/>
        </w:rPr>
        <w:t>We believe that high safety standards are critical and a precursor to improved plant performance. With that in mind, we implemented and are currently managing enhanced safety programs at our facilities that focus on improving our safety culture that will reduce risks and continuously improve our safety performance.</w:t>
      </w:r>
    </w:p>
    <w:p>
      <w:pPr>
        <w:spacing w:after="0" w:line="81" w:lineRule="exact"/>
        <w:rPr>
          <w:rFonts w:ascii="Courier New" w:cs="Courier New" w:eastAsia="Courier New" w:hAnsi="Courier New"/>
          <w:sz w:val="18"/>
          <w:szCs w:val="18"/>
          <w:color w:val="auto"/>
        </w:rPr>
      </w:pPr>
    </w:p>
    <w:p>
      <w:pPr>
        <w:ind w:left="740" w:hanging="368"/>
        <w:spacing w:after="0" w:line="259" w:lineRule="auto"/>
        <w:tabs>
          <w:tab w:leader="none" w:pos="740" w:val="left"/>
        </w:tabs>
        <w:numPr>
          <w:ilvl w:val="1"/>
          <w:numId w:val="15"/>
        </w:numPr>
        <w:rPr>
          <w:rFonts w:ascii="Courier New" w:cs="Courier New" w:eastAsia="Courier New" w:hAnsi="Courier New"/>
          <w:sz w:val="18"/>
          <w:szCs w:val="18"/>
          <w:color w:val="auto"/>
        </w:rPr>
      </w:pPr>
      <w:r>
        <w:rPr>
          <w:rFonts w:ascii="Arial" w:cs="Arial" w:eastAsia="Arial" w:hAnsi="Arial"/>
          <w:sz w:val="18"/>
          <w:szCs w:val="18"/>
          <w:color w:val="auto"/>
        </w:rPr>
        <w:t>Additionally, over the last several years, our focus has been on upgrading our existing maintenance management system through technology enhancements and work processes to improve our predictive and preventative maintenance programs at our facilities.</w:t>
      </w:r>
    </w:p>
    <w:p>
      <w:pPr>
        <w:spacing w:after="0" w:line="76" w:lineRule="exact"/>
        <w:rPr>
          <w:rFonts w:ascii="Courier New" w:cs="Courier New" w:eastAsia="Courier New" w:hAnsi="Courier New"/>
          <w:sz w:val="18"/>
          <w:szCs w:val="18"/>
          <w:color w:val="auto"/>
        </w:rPr>
      </w:pPr>
    </w:p>
    <w:p>
      <w:pPr>
        <w:jc w:val="both"/>
        <w:ind w:left="740" w:hanging="368"/>
        <w:spacing w:after="0" w:line="252" w:lineRule="auto"/>
        <w:tabs>
          <w:tab w:leader="none" w:pos="740" w:val="left"/>
        </w:tabs>
        <w:numPr>
          <w:ilvl w:val="1"/>
          <w:numId w:val="15"/>
        </w:numPr>
        <w:rPr>
          <w:rFonts w:ascii="Courier New" w:cs="Courier New" w:eastAsia="Courier New" w:hAnsi="Courier New"/>
          <w:sz w:val="18"/>
          <w:szCs w:val="18"/>
          <w:color w:val="auto"/>
        </w:rPr>
      </w:pPr>
      <w:r>
        <w:rPr>
          <w:rFonts w:ascii="Arial" w:cs="Arial" w:eastAsia="Arial" w:hAnsi="Arial"/>
          <w:sz w:val="18"/>
          <w:szCs w:val="18"/>
          <w:color w:val="auto"/>
        </w:rPr>
        <w:t>We have several initiatives underway that we believe will improve the overall reliability of our plants and allow us to produce more products for sale while lowering our cost of production. Those initiatives are focused on building internal expertise to improve oversight of external contractors, operating behavior and procedure enhancements including operator training, leadership training, shift change enhancements and operating and maintenance procedures and developing systems to advance the use of process data to identify and correct anomalies in the manufacturing processes and asset performance.</w:t>
      </w:r>
    </w:p>
    <w:p>
      <w:pPr>
        <w:spacing w:after="0" w:line="84" w:lineRule="exact"/>
        <w:rPr>
          <w:rFonts w:ascii="Courier New" w:cs="Courier New" w:eastAsia="Courier New" w:hAnsi="Courier New"/>
          <w:sz w:val="18"/>
          <w:szCs w:val="18"/>
          <w:color w:val="auto"/>
        </w:rPr>
      </w:pPr>
    </w:p>
    <w:p>
      <w:pPr>
        <w:jc w:val="both"/>
        <w:ind w:left="540" w:hanging="357"/>
        <w:spacing w:after="0" w:line="25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Continue Broadening of the Distribution of our Products. </w:t>
      </w:r>
      <w:r>
        <w:rPr>
          <w:rFonts w:ascii="Arial" w:cs="Arial" w:eastAsia="Arial" w:hAnsi="Arial"/>
          <w:sz w:val="18"/>
          <w:szCs w:val="18"/>
          <w:color w:val="auto"/>
        </w:rPr>
        <w:t>To further leverage our plants current production capacity, we are continuing to expand</w:t>
      </w:r>
      <w:r>
        <w:rPr>
          <w:rFonts w:ascii="Arial" w:cs="Arial" w:eastAsia="Arial" w:hAnsi="Arial"/>
          <w:sz w:val="18"/>
          <w:szCs w:val="18"/>
          <w:i w:val="1"/>
          <w:iCs w:val="1"/>
          <w:color w:val="auto"/>
        </w:rPr>
        <w:t xml:space="preserve"> </w:t>
      </w:r>
      <w:r>
        <w:rPr>
          <w:rFonts w:ascii="Arial" w:cs="Arial" w:eastAsia="Arial" w:hAnsi="Arial"/>
          <w:sz w:val="18"/>
          <w:szCs w:val="18"/>
          <w:color w:val="auto"/>
        </w:rPr>
        <w:t>the distribution of our industrial and mining products by partnering with customers to take product into different markets within the U.S. as well as markets outside the U.S. Additionally, we developed a pipeline of margin enhancement projects including product loading and unloading improvements, tank storage and capital to facilitate guest plant opportunities which, we expect will result in improved margins on the sales of our products. We expect to complete these projects over the next 12 to 18 months.</w:t>
      </w:r>
    </w:p>
    <w:p>
      <w:pPr>
        <w:spacing w:after="0" w:line="79" w:lineRule="exact"/>
        <w:rPr>
          <w:rFonts w:ascii="Arial" w:cs="Arial" w:eastAsia="Arial" w:hAnsi="Arial"/>
          <w:sz w:val="18"/>
          <w:szCs w:val="18"/>
          <w:color w:val="auto"/>
        </w:rPr>
      </w:pPr>
    </w:p>
    <w:p>
      <w:pPr>
        <w:jc w:val="both"/>
        <w:ind w:left="540" w:hanging="357"/>
        <w:spacing w:after="0" w:line="263"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Improve Our Capital Structure and Overall Cost of Capital. </w:t>
      </w:r>
      <w:r>
        <w:rPr>
          <w:rFonts w:ascii="Arial" w:cs="Arial" w:eastAsia="Arial" w:hAnsi="Arial"/>
          <w:sz w:val="18"/>
          <w:szCs w:val="18"/>
          <w:color w:val="auto"/>
        </w:rPr>
        <w:t>We are actively seeking ways to improve our capital structure and reduce our overall</w:t>
      </w:r>
      <w:r>
        <w:rPr>
          <w:rFonts w:ascii="Arial" w:cs="Arial" w:eastAsia="Arial" w:hAnsi="Arial"/>
          <w:sz w:val="18"/>
          <w:szCs w:val="18"/>
          <w:i w:val="1"/>
          <w:iCs w:val="1"/>
          <w:color w:val="auto"/>
        </w:rPr>
        <w:t xml:space="preserve"> </w:t>
      </w:r>
      <w:r>
        <w:rPr>
          <w:rFonts w:ascii="Arial" w:cs="Arial" w:eastAsia="Arial" w:hAnsi="Arial"/>
          <w:sz w:val="18"/>
          <w:szCs w:val="18"/>
          <w:color w:val="auto"/>
        </w:rPr>
        <w:t>cost of capital. We believe that continued improvement in operating performance combined with economic recovery from the COVID-19 pandemic and improved pricing for our products will be a benefit in achieving those efforts.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not successfully implement any or all of these initiatives. Even if we successfully implement the initiatives, they may not achieve the results that we expect or desire.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 Pandemic</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All of the facilities we operate have been designated as essential critical infrastructure based on guidelines issued by the United States Department of Homeland Security’s Cybersecurity and Infrastructure Security Agency. Since we produce fertilizer products used by the agriculture industry, as well as chemical products required in a variety of industrial manufacturing processes, LSB has been determined to be a critical service, and therefore, our facilities are remaining in operation despite the evolving global health crisis resulting from the COVID-19 pandemic. Management has taken significant measures to ensure the health and safety of our employees and our business continuity during this challenging situation. Specific to our personnel at our manufacturing facilities and retail agricultural centers, we have developed plans and procedures that allow them to operate in the safest manner possible in order to protect them, their families, our vendors and customers. These include daily health screenings, including temperature checks and questionnaires, use of proper personal protection equipment, regular disinfection and cleaning of equipment and workspaces, social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both"/>
        <w:spacing w:after="0" w:line="263" w:lineRule="auto"/>
        <w:rPr>
          <w:sz w:val="20"/>
          <w:szCs w:val="20"/>
          <w:color w:val="auto"/>
        </w:rPr>
      </w:pPr>
      <w:r>
        <w:rPr>
          <w:rFonts w:ascii="Arial" w:cs="Arial" w:eastAsia="Arial" w:hAnsi="Arial"/>
          <w:sz w:val="18"/>
          <w:szCs w:val="18"/>
          <w:color w:val="auto"/>
        </w:rPr>
        <w:t>distancing, working from home where appropriate and quarantining of employees according to specific protocols. Thus far, our efforts have been successful as we have had no employees known to contract COVID-19. We will maintain our discipline in this regard for however long the current health risk persists.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nitrogen chemical industry continued to be pressured during the second quarter of 2020. As a result of the COVID-19 global economic downturn and the resultant decline in energy prices, industry operating rates globally have risen, resulting in greater supply and lower fertilizer pricing. Pricing for all major agricultural product categories was impacted by the continued oversupply of ammonia in our primary end markets, along with increased imports of some of our downstream products. Industrial and mining sales volume declined as a result of pandemic-related weakness in demand in several of our end markets.</w:t>
      </w:r>
    </w:p>
    <w:p>
      <w:pPr>
        <w:spacing w:after="0" w:line="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Looking ahead to the second half of 2020, while much of the U.S. economy has a least partially reopened, substantial uncertainty remains for the balance of the year with respect to our various end markets. On the agricultural side, corn acres planted for the 2020 planting season are now expected to be approximately 92 million, which is below the USDA’s previous forecast of 97 million acres, but up from 2019 plants of 89 million. However, while lower expected corn acres planted is a positive for expected ending corn inventory, reduced demand from ethanol-related consumption due to the stay-at-home orders we experienced in the U.S. combined with strong yields projected from the 2020 planting season, all point to expected higher ending corn inventory. Higher expected corn inventory is likely to impact crop pricing and challenge fertilizer pricing for the balance of 2020. With respect to industrial and mining sales volume, we are seeing pockets of recovery and expected continued improvement in the second half of 2020.</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liquidity front, as of June 30, 2020, we had approximately $69.1 million of combined cash and borrowing capacity, which, we believe, provides us with ample liquidity to fund our operations and meet our obligations.</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April 2020, we received a $10 million loan through the PPP within the CARES Act stimulus package. The funds from this loan, along with the decisive action we have taken to defer expenses and capital expenditures, have enabled us to avoid the need to furlough or terminate employees to counteract the lost volume and pricing impacts we have seen or expect as a result of the COVID-19 pandemic. We are also evaluating additional funding options that may be available through the CARES Act stimulus package for mid-sized companies. Also see discussions below under “Liquidity and Capital Resources.”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Settlements with Certain Vendors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1, in June 2020, EDC, one of our subsidiaries, and certain vendors mediated settlements totaling $7.6 million for EDC to recover certain costs associated with our new nitric acid plant at our El Dorado Facility. The construction of this plant was completed and began production in 2016. Of the $7.6 million, approximately $5.7 million is classified as a reduction to cost of sales and approximately $1.9 million is classified as a reduction to PP&amp;E. The recovery amount was applied against the original classification of the underlying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NOL Rights Agreement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discussed in Note 12, on July 6, 2020, our Board took certain actions to facilitate our ability to preserve our net NOLs and certain other tax attributes. The Board declared a dividend of one Right, which was distributed on July 16, 2020 for each share of our then outstanding Common Shares. In connection with the distribution of the Rights, we entered into the NOL Rights Agreement with our rights agent. The purpose of the NOL Rights Agreement is to facilitate our ability to preserve our NOLs and other tax attributes in order to be able to offset potential future income taxes for federal income tax purposes. Our ability to use these NOLs and other tax attributes would be substantially limited if we experience an “ownership change,” as defined in Section 382 of the Code. A company generally experiences an ownership change if the percentage of the value of its stock owned by certain 5% shareholders, as defined in Section 382 of the Code, increases by more than 50% points over a rolling three-year period. The NOL Rights Agreement is intended to reduce the likelihood of an ownership change under Section 382 of the Code by deterring any person (as defined in the NOL Rights Agreement) or Group from acquiring beneficial ownership of 4.9% or more of our outstanding common shares.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Certain Regulations Released by U.S. Treasury Department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28, 2020, the U.S. Treasury Department released final regulations and proposed regulations with guidance on the business interest expense limitation under IRC Section 163(j). The Section 163(j) business interest expense limitation was modified in December 2017 by the Tax Cuts and Jobs Act, and in March 2020 by the CARES Act. Currently, we are in the process of evaluating the effect of these regulations on our consolidated financial statements and related disclosures.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Industry Factors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Supply and Demand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Agricultural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concerning the COVID-19 pandemic under “Recent Business Developments.”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of our agricultural products were approximately 62% of our total net sales for the second quarter of 2020. The price at which our agricultural products are ultimately sold depends on numerous factors, including the supply and demand for nitrogen fertilizers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jc w:val="both"/>
        <w:spacing w:after="0" w:line="279" w:lineRule="auto"/>
        <w:rPr>
          <w:sz w:val="20"/>
          <w:szCs w:val="20"/>
          <w:color w:val="auto"/>
        </w:rPr>
      </w:pPr>
      <w:r>
        <w:rPr>
          <w:rFonts w:ascii="Arial" w:cs="Arial" w:eastAsia="Arial" w:hAnsi="Arial"/>
          <w:sz w:val="17"/>
          <w:szCs w:val="17"/>
          <w:color w:val="auto"/>
        </w:rPr>
        <w:t>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a farmers’ perspective, 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changes in corn prices and those of soybean, cotton and wheat prices, can affect the number of acres of corn planted in a given year, and the number of acres planted will drive the level of nitrogen fertilizer consumption, likely effecting prices. The USDA estimates the number of acres of corn being planted in the U.S. in 2020 to be approximately 92.0 million acres. In addition, the USDA estimates corn production for the 2020 harvest at approximately 15.0 billion bushels, up 10 percent from the 2019 harvest. The average yield in the U.S. is estimated at 178.5 bushels per acre, 11.1 bushels above the 2019 harvest yield of 167.4 bushels per acre.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July estimates are associated with the corn market: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2021 Crop</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2020 Crop</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2019 Crop</w:t>
            </w: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(2020 Harvest)</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(2019 Harvest)</w:t>
            </w: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Percentage</w:t>
            </w: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(2018 Harvest)</w:t>
            </w: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4"/>
        </w:trPr>
        <w:tc>
          <w:tcPr>
            <w:tcW w:w="3540" w:type="dxa"/>
            <w:vAlign w:val="bottom"/>
            <w:vMerge w:val="restart"/>
          </w:tcPr>
          <w:p>
            <w:pPr>
              <w:spacing w:after="0"/>
              <w:rPr>
                <w:sz w:val="20"/>
                <w:szCs w:val="20"/>
                <w:color w:val="auto"/>
              </w:rPr>
            </w:pPr>
            <w:r>
              <w:rPr>
                <w:rFonts w:ascii="Arial" w:cs="Arial" w:eastAsia="Arial" w:hAnsi="Arial"/>
                <w:sz w:val="18"/>
                <w:szCs w:val="18"/>
                <w:color w:val="auto"/>
              </w:rPr>
              <w:t xml:space="preserve">U.S. Area Planted </w:t>
            </w:r>
            <w:r>
              <w:rPr>
                <w:rFonts w:ascii="Arial" w:cs="Arial" w:eastAsia="Arial" w:hAnsi="Arial"/>
                <w:sz w:val="14"/>
                <w:szCs w:val="14"/>
                <w:i w:val="1"/>
                <w:iCs w:val="1"/>
                <w:color w:val="auto"/>
              </w:rPr>
              <w:t>(Million acres)</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July Report (1)</w:t>
            </w:r>
          </w:p>
        </w:tc>
        <w:tc>
          <w:tcPr>
            <w:tcW w:w="26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July Report (1)</w:t>
            </w: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Change (2)</w:t>
            </w:r>
          </w:p>
        </w:tc>
        <w:tc>
          <w:tcPr>
            <w:tcW w:w="2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July Report (1)</w:t>
            </w: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Change (3)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40" w:type="dxa"/>
            <w:vAlign w:val="bottom"/>
            <w:vMerge w:val="continue"/>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92.0</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89.7</w:t>
            </w:r>
          </w:p>
        </w:tc>
        <w:tc>
          <w:tcPr>
            <w:tcW w:w="2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1400" w:type="dxa"/>
            <w:vAlign w:val="bottom"/>
          </w:tcPr>
          <w:p>
            <w:pPr>
              <w:jc w:val="right"/>
              <w:spacing w:after="0"/>
              <w:rPr>
                <w:sz w:val="20"/>
                <w:szCs w:val="20"/>
                <w:color w:val="auto"/>
              </w:rPr>
            </w:pPr>
            <w:r>
              <w:rPr>
                <w:rFonts w:ascii="Arial" w:cs="Arial" w:eastAsia="Arial" w:hAnsi="Arial"/>
                <w:sz w:val="18"/>
                <w:szCs w:val="18"/>
                <w:color w:val="auto"/>
              </w:rPr>
              <w:t>88.9</w:t>
            </w:r>
          </w:p>
        </w:tc>
        <w:tc>
          <w:tcPr>
            <w:tcW w:w="2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 Yield per Acre </w:t>
            </w:r>
            <w:r>
              <w:rPr>
                <w:rFonts w:ascii="Arial" w:cs="Arial" w:eastAsia="Arial" w:hAnsi="Arial"/>
                <w:sz w:val="14"/>
                <w:szCs w:val="14"/>
                <w:i w:val="1"/>
                <w:iCs w:val="1"/>
                <w:color w:val="auto"/>
              </w:rPr>
              <w:t>(Bushels)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 xml:space="preserve">U.S. Production </w:t>
            </w:r>
            <w:r>
              <w:rPr>
                <w:rFonts w:ascii="Arial" w:cs="Arial" w:eastAsia="Arial" w:hAnsi="Arial"/>
                <w:sz w:val="14"/>
                <w:szCs w:val="14"/>
                <w:i w:val="1"/>
                <w:iCs w:val="1"/>
                <w:color w:val="auto"/>
              </w:rPr>
              <w:t>(Million bushels)</w:t>
            </w:r>
          </w:p>
        </w:tc>
        <w:tc>
          <w:tcPr>
            <w:tcW w:w="1400" w:type="dxa"/>
            <w:vAlign w:val="bottom"/>
          </w:tcPr>
          <w:p>
            <w:pPr>
              <w:jc w:val="right"/>
              <w:spacing w:after="0"/>
              <w:rPr>
                <w:sz w:val="20"/>
                <w:szCs w:val="20"/>
                <w:color w:val="auto"/>
              </w:rPr>
            </w:pPr>
            <w:r>
              <w:rPr>
                <w:rFonts w:ascii="Arial" w:cs="Arial" w:eastAsia="Arial" w:hAnsi="Arial"/>
                <w:sz w:val="18"/>
                <w:szCs w:val="18"/>
                <w:color w:val="auto"/>
              </w:rPr>
              <w:t>15,000</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13,617</w:t>
            </w:r>
          </w:p>
        </w:tc>
        <w:tc>
          <w:tcPr>
            <w:tcW w:w="2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1400" w:type="dxa"/>
            <w:vAlign w:val="bottom"/>
          </w:tcPr>
          <w:p>
            <w:pPr>
              <w:jc w:val="right"/>
              <w:spacing w:after="0"/>
              <w:rPr>
                <w:sz w:val="20"/>
                <w:szCs w:val="20"/>
                <w:color w:val="auto"/>
              </w:rPr>
            </w:pPr>
            <w:r>
              <w:rPr>
                <w:rFonts w:ascii="Arial" w:cs="Arial" w:eastAsia="Arial" w:hAnsi="Arial"/>
                <w:sz w:val="18"/>
                <w:szCs w:val="18"/>
                <w:color w:val="auto"/>
              </w:rPr>
              <w:t>14,340</w:t>
            </w:r>
          </w:p>
        </w:tc>
        <w:tc>
          <w:tcPr>
            <w:tcW w:w="2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 Ending Stocks </w:t>
            </w:r>
            <w:r>
              <w:rPr>
                <w:rFonts w:ascii="Arial" w:cs="Arial" w:eastAsia="Arial" w:hAnsi="Arial"/>
                <w:sz w:val="14"/>
                <w:szCs w:val="14"/>
                <w:i w:val="1"/>
                <w:iCs w:val="1"/>
                <w:color w:val="auto"/>
              </w:rPr>
              <w:t>(Million metric tons)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19.3%</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 xml:space="preserve">World Ending Stocks </w:t>
            </w:r>
            <w:r>
              <w:rPr>
                <w:rFonts w:ascii="Arial" w:cs="Arial" w:eastAsia="Arial" w:hAnsi="Arial"/>
                <w:sz w:val="14"/>
                <w:szCs w:val="14"/>
                <w:i w:val="1"/>
                <w:iCs w:val="1"/>
                <w:color w:val="auto"/>
              </w:rPr>
              <w:t>(Million metric tons)</w:t>
            </w:r>
          </w:p>
        </w:tc>
        <w:tc>
          <w:tcPr>
            <w:tcW w:w="1400" w:type="dxa"/>
            <w:vAlign w:val="bottom"/>
          </w:tcPr>
          <w:p>
            <w:pPr>
              <w:jc w:val="right"/>
              <w:spacing w:after="0"/>
              <w:rPr>
                <w:sz w:val="20"/>
                <w:szCs w:val="20"/>
                <w:color w:val="auto"/>
              </w:rPr>
            </w:pPr>
            <w:r>
              <w:rPr>
                <w:rFonts w:ascii="Arial" w:cs="Arial" w:eastAsia="Arial" w:hAnsi="Arial"/>
                <w:sz w:val="18"/>
                <w:szCs w:val="18"/>
                <w:color w:val="auto"/>
              </w:rPr>
              <w:t>315.0</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320.1</w:t>
            </w:r>
          </w:p>
        </w:tc>
        <w:tc>
          <w:tcPr>
            <w:tcW w:w="24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1400" w:type="dxa"/>
            <w:vAlign w:val="bottom"/>
          </w:tcPr>
          <w:p>
            <w:pPr>
              <w:jc w:val="right"/>
              <w:spacing w:after="0"/>
              <w:rPr>
                <w:sz w:val="20"/>
                <w:szCs w:val="20"/>
                <w:color w:val="auto"/>
              </w:rPr>
            </w:pPr>
            <w:r>
              <w:rPr>
                <w:rFonts w:ascii="Arial" w:cs="Arial" w:eastAsia="Arial" w:hAnsi="Arial"/>
                <w:sz w:val="18"/>
                <w:szCs w:val="18"/>
                <w:color w:val="auto"/>
              </w:rPr>
              <w:t>312.0</w:t>
            </w:r>
          </w:p>
        </w:tc>
        <w:tc>
          <w:tcPr>
            <w:tcW w:w="2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740" w:hanging="368"/>
        <w:spacing w:after="0" w:line="254"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obtained from WASDE reports dated July 10, 2020 (“July Report”) for the 2020/2021 (“2021 Crop”), 2019/2020 (“2020 Crop”) and 2018/2019 (“2019 Crop”) corn marketing years. The marketing year is the twelve-month period during which a crop normally is marketed. For example, the marketing year for the current corn crop is from September 1 of the current year to August 31 of the next year. The year begins at the harvest and continues until just before harvest of the following year.</w:t>
      </w:r>
    </w:p>
    <w:p>
      <w:pPr>
        <w:spacing w:after="0" w:line="2"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percentage change between the 2021 Crop amounts compared to the 2020 Crop amounts.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percentage change between the 2021 Crop amounts compared to the 2019 Crop amounts.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jc w:val="both"/>
        <w:spacing w:after="0" w:line="269" w:lineRule="auto"/>
        <w:rPr>
          <w:sz w:val="20"/>
          <w:szCs w:val="20"/>
          <w:color w:val="auto"/>
        </w:rPr>
      </w:pPr>
      <w:r>
        <w:rPr>
          <w:rFonts w:ascii="Arial" w:cs="Arial" w:eastAsia="Arial" w:hAnsi="Arial"/>
          <w:sz w:val="17"/>
          <w:szCs w:val="17"/>
          <w:color w:val="auto"/>
        </w:rPr>
        <w:t>After a challenging 2019 for U.S. corn farmers, a lower 2019 harvest and a decline in the stock-to-use ratio for corn, the USDA is estimating an increase in planted corn acres for the 2020 planting season representing an approximate 3% increase in corn acres year over year. However, with the national restrictions and stay at home orders placed on traveling earlier this year, in an attempt to slow the spread of the COVID-19 pandemic, gasoline usage had been significantly curtailed causing a slowdown in production across many U.S. ethanol facilities. With the easing of restrictions and summer driving season ramping up, demand for ethanol has somewhat improved over the last several months after bottoming out in April, however, and is expected to average well below 2019 U.S. ethanol production. Most gasoline has 10% ethanol content. Ethanol is commonly made from corn and ethanol production is the largest user of U.S. corn, representing roughly 40% of total U.S. corn demand. As a result of overall lower expected ethanol demand, the USDA decreased corn demand from ethanol production by 575 million bushels for 2020 (compared to 2019) in their July report, an additional decrease of 200 million bushels since the April report. This change also increases the USDA ending corn stocks forecast from the 2020 harvest compared to their previous report estimates. This increase in ending corn stocks has added pressure on current and projected corn prices and on the number of corn acres planted this Spring and, in the Spring of 2021, which may impact fertilizer demand as early as this Fall.</w:t>
      </w:r>
    </w:p>
    <w:p>
      <w:pPr>
        <w:spacing w:after="0" w:line="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the supply side, given the low price of natural gas in North America over the last several years, North American fertilizer producers have become the global low-cost producers for delivered fertilizer products to the Midwest U.S. Several years ago, the market believed that low natural gas prices would continue. That belief, combined with favorable fertilizer pricing, stimulated investment in numerous expansions of existing nitrogen chemical facilities and the construction of new nitrogen chemical facilities. Following the expansions, global nitrogen fertilizer supply outpaced global nitrogen fertilizer demand causing oversupply in the global and North American markets. In addition, the new domestic supply of ammonia and other fertilizer products changed the physical flow of ammonia in North America placing pressure on nitrogen fertilizer selling prices as the new capacity was absorbed by the market. More recently, ammonia pricing has been under pressure as a result of inordinately inclement weather in late 2018 and 2019, which led to limited fertilizer application and resultant elevated ammonia inventory levels in the domestic distribution channel. Additionally, UAN prices have pulled back in part, due to European anti-dumping duties that were imposed on imports from certain countries, including the U.S., which has caused increased imports of UAN into the U.S. primarily from Trinidad and Russia and exports from the U.S. to decrease, resulting in increased overall supply in the U.S market. Also, ammonia prices in the Southern Plains market have been under additional pricing pressure relating to the closure of the Magellan ammonia pipeline discussed below under “Transportation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Industrial and Mining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concerning the COVID-19 pandemic under “Recent Business Developments.”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of our industrial products were approximately 28% of our total net sales for the second quarter of 2020. Our industrial products sales volumes are dependent upon general economic conditions primarily in the housing, automotive, and paper industries. According to the American Chemistry Council, the U.S. economic indicators are experiencing weakness and contracting in the wake of the COVID-19 pandemic and its impact on the U.S market we serve in addition to weakness in the global economy. Our sales prices generally vary with the market price of ammonia or natural gas, as applicable, in our pricing arrangements with customers.</w:t>
      </w:r>
    </w:p>
    <w:p>
      <w:pPr>
        <w:spacing w:after="0" w:line="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Sales of our mining products were approximately 10% of our total net sales for the second quarter of 2020. Our mining products are LDAN and AN solution, which are primary used as AN fuel oil and specialty emulsions for usage in the quarry and the construction industries, for metals mining, and to a lesser extent, for coal. In our mining markets, our sales volumes are typically driven by changes in the overall North American consumption levels of mining products that can be impacted by weather. Additionally, reduction in coal mining activities, due in part, to the shift from coal to natural gas in the electrical generation sector, is increasing competition within the other sectors of this market. While we believe our plants are well located to support the more stable quarry and construction industries and the metals mining industries, our mining sales volumes for the second quarter of 2020 were affected by overall lower customer demand in our mining markets due to COVID-19’s impact on our customer base resulting in mine closures or reductions in mining operating rates. Over the last month, we have seen a reopening of some of the closed mining operations and an increase in other mine operating rates.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Natural Gas Prices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Natural gas is the primary feedstock used to produce nitrogen fertilizers at our manufacturing facilities.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have been positively affected. Over the last several months, the COVID-19 global economic downturn and resultant decline in energy prices has lowered natural gas costs in countries where low natural gas has not been the norm. Although the North American cost advantage has narrowed, North America is still the low-cost producer. While we believe a recovery in global markets and easing of stay-at-home orders combined with a reduction in global natural gas production will lead to a long term increase in global natural gas prices, in the short term we believe the low price environment will continue.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jc w:val="both"/>
        <w:spacing w:after="0" w:line="296" w:lineRule="auto"/>
        <w:rPr>
          <w:sz w:val="20"/>
          <w:szCs w:val="20"/>
          <w:color w:val="auto"/>
        </w:rPr>
      </w:pPr>
      <w:r>
        <w:rPr>
          <w:rFonts w:ascii="Arial" w:cs="Arial" w:eastAsia="Arial" w:hAnsi="Arial"/>
          <w:sz w:val="16"/>
          <w:szCs w:val="16"/>
          <w:color w:val="auto"/>
        </w:rPr>
        <w:t>We historically have purchased natural gas in the spot market, using forward purchase contracts, or through a combination of both and have used forward purchase contracts to lock in pricing for a portion of our natural gas requirements. These forward purchase contracts are generally either fixed-price or index-price, short-term in nature and for a fixed supply quantity. During the second quarter of 2020, we also have certain forward natural gas contracts as discussed in Note 6. We are able to purchase natural gas at competitive prices due to our connections to large distribution systems and their proximity to interstate pipeline systems. The following table shows the volume of natural gas we purchased and the average cost per MMBtu:</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60" w:type="dxa"/>
            <w:vAlign w:val="bottom"/>
            <w:gridSpan w:val="5"/>
          </w:tcPr>
          <w:p>
            <w:pPr>
              <w:jc w:val="center"/>
              <w:ind w:left="25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00" w:type="dxa"/>
            <w:vAlign w:val="bottom"/>
            <w:gridSpan w:val="4"/>
          </w:tcPr>
          <w:p>
            <w:pPr>
              <w:jc w:val="center"/>
              <w:ind w:right="347"/>
              <w:spacing w:after="0"/>
              <w:rPr>
                <w:sz w:val="20"/>
                <w:szCs w:val="20"/>
                <w:color w:val="auto"/>
              </w:rPr>
            </w:pPr>
            <w:r>
              <w:rPr>
                <w:rFonts w:ascii="Arial" w:cs="Arial" w:eastAsia="Arial" w:hAnsi="Arial"/>
                <w:sz w:val="18"/>
                <w:szCs w:val="18"/>
                <w:color w:val="auto"/>
                <w:w w:val="86"/>
              </w:rPr>
              <w:t>June 30,</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Natural gas volumes (MMBtu in millions)</w:t>
            </w: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Natural gas average cost per MMBtu</w:t>
            </w:r>
          </w:p>
        </w:tc>
        <w:tc>
          <w:tcPr>
            <w:tcW w:w="19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1.81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Transportation Costs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Costs for transporting nitrogen-based products can be significant relative to their selling price. For example, ammonia is a hazardous gas at ambient temperatures and must be transported in specialized equipment, which is more expensive than other forms of nitrogen fertilizers. In recent years, a significant amount of the ammonia consumed annually in the U.S. was imported. Therefore, nitrogen fertilizers prices in the U.S. are influenced by the cost to transport product from exporting countries, giving domestic producers who transport shorter distances an advantage. However, we continue to evaluate the recent rising costs of rail and truck freight domestically. Additionally, the Magellan ammonia pipeline, which had an annual capacity to transport approximately 900,000 tons per year, most of which was produced in Oklahoma and Texas and delivered via the pipeline in the Midwest has been permanently shut down. Without the pipeline in place for ammonia transport, producers that relied on the pipeline to transport their ammonia now have to rely on other transportation modes, primarily trucks, but will also include rail and barge transport of ammonia. Due to the increase in demand for ammonia trucks, during the second quarter of 2020, higher transportation costs impacted our margins since we were unable to fully pass through these costs to our customers. As a result, we continue to evaluate supply chain efficiencies to reduce or counter the impact of higher logistics costs.</w:t>
      </w:r>
    </w:p>
    <w:p>
      <w:pPr>
        <w:spacing w:after="0" w:line="56" w:lineRule="exact"/>
        <w:rPr>
          <w:sz w:val="20"/>
          <w:szCs w:val="20"/>
          <w:color w:val="auto"/>
        </w:rPr>
      </w:pPr>
    </w:p>
    <w:p>
      <w:pPr>
        <w:jc w:val="center"/>
        <w:ind w:right="9320"/>
        <w:spacing w:after="0"/>
        <w:rPr>
          <w:sz w:val="20"/>
          <w:szCs w:val="20"/>
          <w:color w:val="auto"/>
        </w:rPr>
      </w:pPr>
      <w:r>
        <w:rPr>
          <w:rFonts w:ascii="Arial" w:cs="Arial" w:eastAsia="Arial" w:hAnsi="Arial"/>
          <w:sz w:val="16"/>
          <w:szCs w:val="16"/>
          <w:b w:val="1"/>
          <w:bCs w:val="1"/>
          <w:color w:val="auto"/>
        </w:rPr>
        <w:t>Key Operational Factors</w:t>
      </w:r>
    </w:p>
    <w:p>
      <w:pPr>
        <w:spacing w:after="0" w:line="144" w:lineRule="exact"/>
        <w:rPr>
          <w:sz w:val="20"/>
          <w:szCs w:val="20"/>
          <w:color w:val="auto"/>
        </w:rPr>
      </w:pPr>
    </w:p>
    <w:p>
      <w:pPr>
        <w:jc w:val="center"/>
        <w:ind w:right="9340"/>
        <w:spacing w:after="0"/>
        <w:rPr>
          <w:sz w:val="20"/>
          <w:szCs w:val="20"/>
          <w:color w:val="auto"/>
        </w:rPr>
      </w:pPr>
      <w:r>
        <w:rPr>
          <w:rFonts w:ascii="Arial" w:cs="Arial" w:eastAsia="Arial" w:hAnsi="Arial"/>
          <w:sz w:val="18"/>
          <w:szCs w:val="18"/>
          <w:b w:val="1"/>
          <w:bCs w:val="1"/>
          <w:i w:val="1"/>
          <w:iCs w:val="1"/>
          <w:color w:val="auto"/>
        </w:rPr>
        <w:t>Facility Reliability</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Consistent, reliable and safe operations at our chemical plants are critical to our financial performance and results of operations. The financial effects of planned downtime at our plants, including Turnarounds, is mitigated through a diligent planning process that considers the availability of resources to perform the needed maintenance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 cost absorption from lower production of our products, and increased costs related to repairs and maintenance, which repair, and maintenance costs are expensed as incurred.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Pryor Facility is currently on a two-year Turnaround cycle with the next Turnaround planned for the third quarter of 2021. At that time, we will seek to move to a three-year Turnaround cycle.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El Dorado Facility is currently on a three-year Turnaround cycle with the next Turnaround planned in the third quarter of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Cherokee Facility is currently on a three-year Turnaround cycle with the next Turnaround planned in the third quarter of 2021.</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Prepay Contracts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are agreed upon with dates typically occurring within 12 months.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the Second Quarter of 2020</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consolidated net sales for the second quarter of 2020 were $105.0 million compared to $121.5 million for the same period in 2019. Our consolidated operating income was $10.7 million compared to $11.3 million for the same period in 2019. The items impacting our operating results are discussed in more detail below and under “Results of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Items Affecting Comparability of Results of the Second Quarter</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Prices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second quarter of 2020, average agricultural selling prices for our ammonia, UAN and HDAN decreased 32%, 23% and 5%, respectively, compared to the same period in 2019. As discussed above under “Key Industry Factors,” the COVID-19 economic downturn and the resultant decline in energy prices has led to lower natural gas prices globally. This has led to an increase in operating rates for nitrogen producers around the globe, resulting in greater supply of nitrogen products and lower fertilizer pricing. This, combined with elevated ammonia inventory levels from the inordinately inclement weather throughout the Midwest in 2019 and the closure of the Magellan ammonia pipeline in September 2019, has led to excess ammonia supply in the Southern Plains market. UAN prices were negatively impacted by European anti-dumping duties which resulted in less exports of UAN from the U.S. and more imports of UAN from Russia and Trinidad into the United States. HDAN prices are being impacted by the decline in the overall agricultural commodity prices.</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second quarter 2020 average industrial selling prices for our products were lower compared to the same period of 2019 as a result of the aforementioned negative impact on the markets we serve from the COVID-19 pandemic and the elevated ammonia inventory levels. The Tampa Ammonia pricing has leveled as the second quarter 2020 Tampa Ammonia pricing declined slightly compared to the same period in 2019, which led to a slight decrease in industrial selling prices as many of our industrial contracts are indexed to the Tampa Ammonia benchmark price. Our second quarter 2020 average mining selling prices were lower compared to the same period of 2019 primarily as a result of a large portion of our mining sales contracts are linked to natural gas indexes and as the cost of natural gas declines, the pricing for these products declines accordingly.</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Settlements with Certain Vendors (2020 only)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above under “Recent Business Developments”, in June 2020, EDC and certain vendors mediated settlements for EDC to recover certain costs associated with a nitric acid plant at our El Dorado Facility. As a result, a recovery from these settlements was recognized during the second quarter of 2020, which includes approximately $5.7 million classified as a reduction to cost of sales.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Legal Fees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second quarters of 2020 and 2019, legal fees were approximately $1.4 million and $2.1 million, respectively. The change primarily relates to fees incurred as we pursue our claims against Leidos to recover damages and losses associated with the construction of the ammonia plant at the El Dorado Facility as discussed in footnote B of Note 5. Due to the impact from the COVID-19 pandemic, the trial date has been delayed and we are awaiting a new trial date. Once a new trial date is set, we expect these costs will increase as we restart preparations for the trial.</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Taxes (2019 only)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second quarter of 2019, the benefit for income taxes was $5.7 million and the resulting increase in the effective benefit rate was primarily due to changes to the state deferred tax assets and liabilities resulting from state tax law changes enacted and due to federal and state indefinite lived carryforward benefits that can be realized through the reversal of deferred tax liabilities.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Results of Operations should be read in conjunction with our condensed consolidated financial statements for the three months ended June 30, 2020 and 2019 and accompanying notes and the discussions under “Overview” and “Liquidity and Capital Resources” included in this MD&amp;A.</w:t>
      </w:r>
    </w:p>
    <w:p>
      <w:pPr>
        <w:sectPr>
          <w:pgSz w:w="11900" w:h="16838" w:orient="portrait"/>
          <w:cols w:equalWidth="0" w:num="1">
            <w:col w:w="11240"/>
          </w:cols>
          <w:pgMar w:left="320" w:top="445" w:right="339" w:bottom="1440" w:gutter="0" w:footer="0" w:header="0"/>
        </w:sectPr>
      </w:pP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We present the following information about our results of operations.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and gross profit represents net sales less cost of sales.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cost of sales.</w:t>
      </w:r>
    </w:p>
    <w:p>
      <w:pPr>
        <w:spacing w:after="0" w:line="20" w:lineRule="exact"/>
        <w:rPr>
          <w:sz w:val="20"/>
          <w:szCs w:val="20"/>
          <w:color w:val="auto"/>
        </w:rPr>
      </w:pPr>
      <w:r>
        <w:rPr>
          <w:sz w:val="20"/>
          <w:szCs w:val="20"/>
          <w:color w:val="auto"/>
        </w:rPr>
        <w:br w:type="column"/>
      </w:r>
    </w:p>
    <w:p>
      <w:pPr>
        <w:jc w:val="right"/>
        <w:spacing w:after="0" w:line="342" w:lineRule="auto"/>
        <w:rPr>
          <w:sz w:val="20"/>
          <w:szCs w:val="20"/>
          <w:color w:val="auto"/>
        </w:rPr>
      </w:pPr>
      <w:r>
        <w:rPr>
          <w:rFonts w:ascii="Arial" w:cs="Arial" w:eastAsia="Arial" w:hAnsi="Arial"/>
          <w:sz w:val="16"/>
          <w:szCs w:val="16"/>
          <w:color w:val="auto"/>
        </w:rPr>
        <w:t>Net sales to unaffiliated customers are reported in the condensed consolidated Net sales are reported on a gross basis with the cost of freight being recorded in</w:t>
      </w:r>
    </w:p>
    <w:p>
      <w:pPr>
        <w:spacing w:after="0" w:line="328" w:lineRule="exact"/>
        <w:rPr>
          <w:sz w:val="20"/>
          <w:szCs w:val="20"/>
          <w:color w:val="auto"/>
        </w:rPr>
      </w:pPr>
    </w:p>
    <w:p>
      <w:pPr>
        <w:sectPr>
          <w:pgSz w:w="11900" w:h="16838" w:orient="portrait"/>
          <w:cols w:equalWidth="0" w:num="2">
            <w:col w:w="5360" w:space="20"/>
            <w:col w:w="5860"/>
          </w:cols>
          <w:pgMar w:left="320" w:top="445" w:right="339" w:bottom="1440" w:gutter="0" w:footer="0" w:header="0"/>
          <w:type w:val="continuous"/>
        </w:sectPr>
      </w:pP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17"/>
                <w:szCs w:val="17"/>
                <w:color w:val="auto"/>
              </w:rPr>
            </w:pPr>
          </w:p>
        </w:tc>
        <w:tc>
          <w:tcPr>
            <w:tcW w:w="6580" w:type="dxa"/>
            <w:vAlign w:val="bottom"/>
            <w:gridSpan w:val="10"/>
          </w:tcPr>
          <w:p>
            <w:pPr>
              <w:spacing w:after="0"/>
              <w:rPr>
                <w:sz w:val="20"/>
                <w:szCs w:val="20"/>
                <w:color w:val="auto"/>
              </w:rPr>
            </w:pPr>
            <w:r>
              <w:rPr>
                <w:rFonts w:ascii="Arial" w:cs="Arial" w:eastAsia="Arial" w:hAnsi="Arial"/>
                <w:sz w:val="18"/>
                <w:szCs w:val="18"/>
                <w:b w:val="1"/>
                <w:bCs w:val="1"/>
                <w:color w:val="auto"/>
                <w:w w:val="90"/>
              </w:rPr>
              <w:t>Three Months Ended June 30, 2020 Compared to Three Months Ended June 30, 2019</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740" w:type="dxa"/>
            <w:vAlign w:val="bottom"/>
            <w:gridSpan w:val="2"/>
          </w:tcPr>
          <w:p>
            <w:pPr>
              <w:spacing w:after="0"/>
              <w:rPr>
                <w:sz w:val="20"/>
                <w:szCs w:val="20"/>
                <w:color w:val="auto"/>
              </w:rPr>
            </w:pPr>
            <w:r>
              <w:rPr>
                <w:rFonts w:ascii="Arial" w:cs="Arial" w:eastAsia="Arial" w:hAnsi="Arial"/>
                <w:sz w:val="18"/>
                <w:szCs w:val="18"/>
                <w:color w:val="auto"/>
              </w:rPr>
              <w:t>The following table contains certain financial information:</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00" w:type="dxa"/>
            <w:vAlign w:val="bottom"/>
            <w:gridSpan w:val="6"/>
          </w:tcPr>
          <w:p>
            <w:pPr>
              <w:jc w:val="right"/>
              <w:ind w:right="88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4"/>
          </w:tcPr>
          <w:p>
            <w:pPr>
              <w:jc w:val="right"/>
              <w:ind w:right="3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Percentage</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w w:val="85"/>
              </w:rPr>
              <w:t>Change</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7"/>
        </w:trPr>
        <w:tc>
          <w:tcPr>
            <w:tcW w:w="23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gridSpan w:val="4"/>
          </w:tcPr>
          <w:p>
            <w:pPr>
              <w:jc w:val="right"/>
              <w:ind w:right="200"/>
              <w:spacing w:after="0"/>
              <w:rPr>
                <w:sz w:val="20"/>
                <w:szCs w:val="20"/>
                <w:color w:val="auto"/>
              </w:rPr>
            </w:pPr>
            <w:r>
              <w:rPr>
                <w:rFonts w:ascii="Arial" w:cs="Arial" w:eastAsia="Arial" w:hAnsi="Arial"/>
                <w:sz w:val="16"/>
                <w:szCs w:val="16"/>
                <w:color w:val="auto"/>
                <w:w w:val="92"/>
              </w:rPr>
              <w:t>(Dollars In Thousands)</w:t>
            </w: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40" w:type="dxa"/>
            <w:vAlign w:val="bottom"/>
            <w:gridSpan w:val="2"/>
          </w:tcPr>
          <w:p>
            <w:pPr>
              <w:ind w:left="140"/>
              <w:spacing w:after="0"/>
              <w:rPr>
                <w:sz w:val="20"/>
                <w:szCs w:val="20"/>
                <w:color w:val="auto"/>
              </w:rPr>
            </w:pPr>
            <w:r>
              <w:rPr>
                <w:rFonts w:ascii="Arial" w:cs="Arial" w:eastAsia="Arial" w:hAnsi="Arial"/>
                <w:sz w:val="18"/>
                <w:szCs w:val="18"/>
                <w:color w:val="auto"/>
              </w:rPr>
              <w:t>Agricultural products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64,997</w:t>
            </w:r>
          </w:p>
        </w:tc>
        <w:tc>
          <w:tcPr>
            <w:tcW w:w="60" w:type="dxa"/>
            <w:vAlign w:val="bottom"/>
          </w:tcPr>
          <w:p>
            <w:pPr>
              <w:spacing w:after="0"/>
              <w:rPr>
                <w:sz w:val="19"/>
                <w:szCs w:val="19"/>
                <w:color w:val="auto"/>
              </w:rPr>
            </w:pP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72,476</w:t>
            </w:r>
          </w:p>
        </w:tc>
        <w:tc>
          <w:tcPr>
            <w:tcW w:w="3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(7,479)</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Industrial and mining products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40,036</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49,051</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(9,015)</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63"/>
        </w:trPr>
        <w:tc>
          <w:tcPr>
            <w:tcW w:w="5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Total net sales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105,033</w:t>
            </w:r>
          </w:p>
        </w:tc>
        <w:tc>
          <w:tcPr>
            <w:tcW w:w="6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121,527</w:t>
            </w:r>
          </w:p>
        </w:tc>
        <w:tc>
          <w:tcPr>
            <w:tcW w:w="3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(16,494)</w:t>
            </w:r>
          </w:p>
        </w:tc>
        <w:tc>
          <w:tcPr>
            <w:tcW w:w="300" w:type="dxa"/>
            <w:vAlign w:val="bottom"/>
            <w:tcBorders>
              <w:bottom w:val="single" w:sz="8" w:color="CFF0FC"/>
            </w:tcBorders>
          </w:tcPr>
          <w:p>
            <w:pPr>
              <w:spacing w:after="0"/>
              <w:rPr>
                <w:sz w:val="22"/>
                <w:szCs w:val="22"/>
                <w:color w:val="auto"/>
              </w:rPr>
            </w:pPr>
          </w:p>
        </w:tc>
        <w:tc>
          <w:tcPr>
            <w:tcW w:w="11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2340" w:type="dxa"/>
            <w:vAlign w:val="bottom"/>
            <w:shd w:val="clear" w:color="auto" w:fill="CFF0FC"/>
          </w:tcPr>
          <w:p>
            <w:pPr>
              <w:spacing w:after="0"/>
              <w:rPr>
                <w:sz w:val="18"/>
                <w:szCs w:val="18"/>
                <w:color w:val="auto"/>
              </w:rPr>
            </w:pPr>
          </w:p>
        </w:tc>
        <w:tc>
          <w:tcPr>
            <w:tcW w:w="3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Agricultural products </w:t>
            </w:r>
            <w:r>
              <w:rPr>
                <w:rFonts w:ascii="Arial" w:cs="Arial" w:eastAsia="Arial" w:hAnsi="Arial"/>
                <w:sz w:val="14"/>
                <w:szCs w:val="14"/>
                <w:color w:val="auto"/>
              </w:rPr>
              <w:t>(1)</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14,577</w:t>
            </w:r>
          </w:p>
        </w:tc>
        <w:tc>
          <w:tcPr>
            <w:tcW w:w="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19,323</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(4,746)</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5740" w:type="dxa"/>
            <w:vAlign w:val="bottom"/>
            <w:gridSpan w:val="2"/>
          </w:tcPr>
          <w:p>
            <w:pPr>
              <w:ind w:left="140"/>
              <w:spacing w:after="0"/>
              <w:rPr>
                <w:sz w:val="20"/>
                <w:szCs w:val="20"/>
                <w:color w:val="auto"/>
              </w:rPr>
            </w:pPr>
            <w:r>
              <w:rPr>
                <w:rFonts w:ascii="Arial" w:cs="Arial" w:eastAsia="Arial" w:hAnsi="Arial"/>
                <w:sz w:val="18"/>
                <w:szCs w:val="18"/>
                <w:color w:val="auto"/>
              </w:rPr>
              <w:t xml:space="preserve">Industrial and mining products </w:t>
            </w:r>
            <w:r>
              <w:rPr>
                <w:rFonts w:ascii="Arial" w:cs="Arial" w:eastAsia="Arial" w:hAnsi="Arial"/>
                <w:sz w:val="14"/>
                <w:szCs w:val="14"/>
                <w:color w:val="auto"/>
              </w:rPr>
              <w:t>(1)</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15,751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18,027</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(2,276)</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 xml:space="preserve">Adjusted gross profit by market </w:t>
            </w:r>
            <w:r>
              <w:rPr>
                <w:rFonts w:ascii="Arial" w:cs="Arial" w:eastAsia="Arial" w:hAnsi="Arial"/>
                <w:sz w:val="14"/>
                <w:szCs w:val="14"/>
                <w:color w:val="auto"/>
              </w:rPr>
              <w:t>(1)</w:t>
            </w: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30,328</w:t>
            </w: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37,350</w:t>
            </w: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(7,022)</w:t>
            </w:r>
          </w:p>
        </w:tc>
        <w:tc>
          <w:tcPr>
            <w:tcW w:w="3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5740" w:type="dxa"/>
            <w:vAlign w:val="bottom"/>
            <w:gridSpan w:val="2"/>
          </w:tcPr>
          <w:p>
            <w:pPr>
              <w:ind w:left="1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(2)</w:t>
            </w: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(16,960)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(17,069)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Turnaround expense</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(604)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gridSpan w:val="2"/>
          </w:tcPr>
          <w:p>
            <w:pPr>
              <w:ind w:left="140"/>
              <w:spacing w:after="0"/>
              <w:rPr>
                <w:sz w:val="20"/>
                <w:szCs w:val="20"/>
                <w:color w:val="auto"/>
              </w:rPr>
            </w:pPr>
            <w:r>
              <w:rPr>
                <w:rFonts w:ascii="Arial" w:cs="Arial" w:eastAsia="Arial" w:hAnsi="Arial"/>
                <w:sz w:val="18"/>
                <w:szCs w:val="18"/>
                <w:color w:val="auto"/>
              </w:rPr>
              <w:t xml:space="preserve">Recovery from settlements with certain vendors </w:t>
            </w:r>
            <w:r>
              <w:rPr>
                <w:rFonts w:ascii="Arial" w:cs="Arial" w:eastAsia="Arial" w:hAnsi="Arial"/>
                <w:sz w:val="14"/>
                <w:szCs w:val="14"/>
                <w:color w:val="auto"/>
              </w:rPr>
              <w:t>(3)</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5,664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5,664</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gross profit</w:t>
            </w: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19,021</w:t>
            </w: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19,677</w:t>
            </w: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3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7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8,504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8,366</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(133)</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gridSpan w:val="2"/>
          </w:tcPr>
          <w:p>
            <w:pPr>
              <w:ind w:left="14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11,345</w:t>
            </w: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12,476</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11,315</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740" w:type="dxa"/>
            <w:vAlign w:val="bottom"/>
            <w:gridSpan w:val="2"/>
          </w:tcPr>
          <w:p>
            <w:pPr>
              <w:spacing w:after="0"/>
              <w:rPr>
                <w:sz w:val="20"/>
                <w:szCs w:val="20"/>
                <w:color w:val="auto"/>
              </w:rPr>
            </w:pPr>
            <w:r>
              <w:rPr>
                <w:rFonts w:ascii="Arial" w:cs="Arial" w:eastAsia="Arial" w:hAnsi="Arial"/>
                <w:sz w:val="18"/>
                <w:szCs w:val="18"/>
                <w:color w:val="auto"/>
              </w:rPr>
              <w:t>Non-operating other income, net</w:t>
            </w: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(868)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740</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Benefit for income taxes</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(1,299)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(5,733)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4,434</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63"/>
        </w:trPr>
        <w:tc>
          <w:tcPr>
            <w:tcW w:w="574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6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6,631</w:t>
            </w:r>
          </w:p>
        </w:tc>
        <w:tc>
          <w:tcPr>
            <w:tcW w:w="3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(6,996)</w:t>
            </w:r>
          </w:p>
        </w:tc>
        <w:tc>
          <w:tcPr>
            <w:tcW w:w="300" w:type="dxa"/>
            <w:vAlign w:val="bottom"/>
            <w:tcBorders>
              <w:bottom w:val="single" w:sz="8" w:color="CFF0FC"/>
            </w:tcBorders>
          </w:tcPr>
          <w:p>
            <w:pPr>
              <w:spacing w:after="0"/>
              <w:rPr>
                <w:sz w:val="22"/>
                <w:szCs w:val="22"/>
                <w:color w:val="auto"/>
              </w:rPr>
            </w:pPr>
          </w:p>
        </w:tc>
        <w:tc>
          <w:tcPr>
            <w:tcW w:w="11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2340" w:type="dxa"/>
            <w:vAlign w:val="bottom"/>
            <w:shd w:val="clear" w:color="auto" w:fill="CFF0FC"/>
          </w:tcPr>
          <w:p>
            <w:pPr>
              <w:spacing w:after="0"/>
              <w:rPr>
                <w:sz w:val="18"/>
                <w:szCs w:val="18"/>
                <w:color w:val="auto"/>
              </w:rPr>
            </w:pPr>
          </w:p>
        </w:tc>
        <w:tc>
          <w:tcPr>
            <w:tcW w:w="3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Other information:</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Gross profit percentage </w:t>
            </w:r>
            <w:r>
              <w:rPr>
                <w:rFonts w:ascii="Arial" w:cs="Arial" w:eastAsia="Arial" w:hAnsi="Arial"/>
                <w:sz w:val="14"/>
                <w:szCs w:val="14"/>
                <w:color w:val="auto"/>
              </w:rPr>
              <w:t>(4)</w:t>
            </w:r>
          </w:p>
        </w:tc>
        <w:tc>
          <w:tcPr>
            <w:tcW w:w="24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73"/>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bottom w:val="single" w:sz="8" w:color="CFF0FC"/>
            </w:tcBorders>
            <w:gridSpan w:val="2"/>
            <w:vMerge w:val="restart"/>
          </w:tcPr>
          <w:p>
            <w:pPr>
              <w:ind w:left="140"/>
              <w:spacing w:after="0"/>
              <w:rPr>
                <w:sz w:val="20"/>
                <w:szCs w:val="20"/>
                <w:color w:val="auto"/>
              </w:rPr>
            </w:pPr>
            <w:r>
              <w:rPr>
                <w:rFonts w:ascii="Arial" w:cs="Arial" w:eastAsia="Arial" w:hAnsi="Arial"/>
                <w:sz w:val="18"/>
                <w:szCs w:val="18"/>
                <w:color w:val="auto"/>
              </w:rPr>
              <w:t>Property, plant and equipment expenditures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bottom w:val="single" w:sz="8" w:color="CFF0FC"/>
            </w:tcBorders>
            <w:gridSpan w:val="2"/>
            <w:vMerge w:val="restart"/>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line="20" w:lineRule="exact"/>
              <w:rPr>
                <w:sz w:val="1"/>
                <w:szCs w:val="1"/>
                <w:color w:val="auto"/>
              </w:rPr>
            </w:pPr>
          </w:p>
        </w:tc>
      </w:tr>
      <w:tr>
        <w:trPr>
          <w:trHeight w:val="210"/>
        </w:trPr>
        <w:tc>
          <w:tcPr>
            <w:tcW w:w="574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5,751</w:t>
            </w:r>
          </w:p>
        </w:tc>
        <w:tc>
          <w:tcPr>
            <w:tcW w:w="3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w:t>
            </w:r>
          </w:p>
        </w:tc>
        <w:tc>
          <w:tcPr>
            <w:tcW w:w="3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740" w:hanging="368"/>
        <w:spacing w:after="0"/>
        <w:tabs>
          <w:tab w:leader="none" w:pos="7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a non-GAAP measure since the amount excludes unallocated depreciation, amortization and Turnaround expenses and a recovery from settlements.</w:t>
      </w:r>
    </w:p>
    <w:p>
      <w:pPr>
        <w:spacing w:after="0" w:line="45" w:lineRule="exact"/>
        <w:rPr>
          <w:rFonts w:ascii="Arial" w:cs="Arial" w:eastAsia="Arial" w:hAnsi="Arial"/>
          <w:sz w:val="14"/>
          <w:szCs w:val="14"/>
          <w:color w:val="auto"/>
        </w:rPr>
      </w:pPr>
    </w:p>
    <w:p>
      <w:pPr>
        <w:ind w:left="740" w:hanging="368"/>
        <w:spacing w:after="0"/>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amount classified as cost of sales.</w:t>
      </w:r>
    </w:p>
    <w:p>
      <w:pPr>
        <w:spacing w:after="0" w:line="18" w:lineRule="exact"/>
        <w:rPr>
          <w:rFonts w:ascii="Arial" w:cs="Arial" w:eastAsia="Arial" w:hAnsi="Arial"/>
          <w:sz w:val="16"/>
          <w:szCs w:val="16"/>
          <w:color w:val="auto"/>
        </w:rPr>
      </w:pPr>
    </w:p>
    <w:p>
      <w:pPr>
        <w:ind w:left="740" w:hanging="368"/>
        <w:spacing w:after="0"/>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 discussion above under “Items Affecting Comparability of Results of the Second Quarter.”</w:t>
      </w:r>
    </w:p>
    <w:p>
      <w:pPr>
        <w:spacing w:after="0" w:line="18" w:lineRule="exact"/>
        <w:rPr>
          <w:rFonts w:ascii="Arial" w:cs="Arial" w:eastAsia="Arial" w:hAnsi="Arial"/>
          <w:sz w:val="16"/>
          <w:szCs w:val="16"/>
          <w:color w:val="auto"/>
        </w:rPr>
      </w:pPr>
    </w:p>
    <w:p>
      <w:pPr>
        <w:ind w:left="740" w:hanging="368"/>
        <w:spacing w:after="0"/>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a percentage of the total net sales.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financial information by market (dollars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6"/>
          </w:tcPr>
          <w:p>
            <w:pPr>
              <w:jc w:val="right"/>
              <w:ind w:right="68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June 30,</w:t>
            </w: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color w:val="auto"/>
              </w:rPr>
              <w:t>2020</w:t>
            </w:r>
          </w:p>
        </w:tc>
        <w:tc>
          <w:tcPr>
            <w:tcW w:w="8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2019</w:t>
            </w:r>
          </w:p>
        </w:tc>
        <w:tc>
          <w:tcPr>
            <w:tcW w:w="8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Change</w:t>
            </w:r>
          </w:p>
        </w:tc>
        <w:tc>
          <w:tcPr>
            <w:tcW w:w="8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5"/>
              </w:rPr>
              <w:t>Industrial</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5"/>
              </w:rPr>
              <w:t>Industrial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5"/>
              </w:rPr>
              <w:t>Industrial</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and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and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and</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w w:val="99"/>
              </w:rPr>
              <w:t>Agricultural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rPr>
              <w:t>Mining</w:t>
            </w:r>
          </w:p>
        </w:tc>
        <w:tc>
          <w:tcPr>
            <w:tcW w:w="60" w:type="dxa"/>
            <w:vAlign w:val="bottom"/>
          </w:tcPr>
          <w:p>
            <w:pPr>
              <w:spacing w:after="0"/>
              <w:rPr>
                <w:sz w:val="18"/>
                <w:szCs w:val="18"/>
                <w:color w:val="auto"/>
              </w:rPr>
            </w:pP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Agricultural</w:t>
            </w:r>
          </w:p>
        </w:tc>
        <w:tc>
          <w:tcPr>
            <w:tcW w:w="1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rPr>
              <w:t>Mining</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w w:val="99"/>
              </w:rPr>
              <w:t>Agricultural</w:t>
            </w:r>
          </w:p>
        </w:tc>
        <w:tc>
          <w:tcPr>
            <w:tcW w:w="1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rPr>
              <w:t>Mining</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Products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Products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Products</w:t>
            </w:r>
          </w:p>
        </w:tc>
        <w:tc>
          <w:tcPr>
            <w:tcW w:w="120" w:type="dxa"/>
            <w:vAlign w:val="bottom"/>
          </w:tcPr>
          <w:p>
            <w:pPr>
              <w:spacing w:after="0"/>
              <w:rPr>
                <w:sz w:val="20"/>
                <w:szCs w:val="20"/>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Products</w:t>
            </w:r>
          </w:p>
        </w:tc>
        <w:tc>
          <w:tcPr>
            <w:tcW w:w="12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Products</w:t>
            </w:r>
          </w:p>
        </w:tc>
        <w:tc>
          <w:tcPr>
            <w:tcW w:w="1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Products</w:t>
            </w: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64,997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40,036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72,476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49,051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(7,479)</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 xml:space="preserve">Adjusted gross profit by market </w:t>
            </w:r>
            <w:r>
              <w:rPr>
                <w:rFonts w:ascii="Arial" w:cs="Arial" w:eastAsia="Arial" w:hAnsi="Arial"/>
                <w:sz w:val="14"/>
                <w:szCs w:val="14"/>
                <w:color w:val="auto"/>
              </w:rPr>
              <w:t>(1)</w:t>
            </w: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FF0FC"/>
            </w:tcBorders>
            <w:vMerge w:val="continue"/>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14,577</w:t>
            </w:r>
          </w:p>
        </w:tc>
        <w:tc>
          <w:tcPr>
            <w:tcW w:w="2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15,751</w:t>
            </w:r>
          </w:p>
        </w:tc>
        <w:tc>
          <w:tcPr>
            <w:tcW w:w="2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19,323</w:t>
            </w:r>
          </w:p>
        </w:tc>
        <w:tc>
          <w:tcPr>
            <w:tcW w:w="3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18,027</w:t>
            </w:r>
          </w:p>
        </w:tc>
        <w:tc>
          <w:tcPr>
            <w:tcW w:w="3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(4,746)</w:t>
            </w:r>
          </w:p>
        </w:tc>
        <w:tc>
          <w:tcPr>
            <w:tcW w:w="36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(2,276)</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6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Adjusted gross profit percentage</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by market </w:t>
            </w:r>
            <w:r>
              <w:rPr>
                <w:rFonts w:ascii="Arial" w:cs="Arial" w:eastAsia="Arial" w:hAnsi="Arial"/>
                <w:sz w:val="14"/>
                <w:szCs w:val="14"/>
                <w:color w:val="auto"/>
              </w:rPr>
              <w:t>(2)</w:t>
            </w: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39.3%</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740" w:hanging="368"/>
        <w:spacing w:after="0" w:line="266"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a non-GAAP measure since the amount excludes unallocated depreciation, amortization, Turnaround expenses and a recovery from settlements. See reconciliation included in the financial information table above.</w:t>
      </w:r>
    </w:p>
    <w:p>
      <w:pPr>
        <w:spacing w:after="0" w:line="1" w:lineRule="exact"/>
        <w:rPr>
          <w:rFonts w:ascii="Arial" w:cs="Arial" w:eastAsia="Arial" w:hAnsi="Arial"/>
          <w:sz w:val="16"/>
          <w:szCs w:val="16"/>
          <w:color w:val="auto"/>
        </w:rPr>
      </w:pPr>
    </w:p>
    <w:p>
      <w:pPr>
        <w:ind w:left="740" w:hanging="368"/>
        <w:spacing w:after="0"/>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a percentage of the respective net sales.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tables provide key operating metrics for the agricultural products: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1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4"/>
          </w:tcPr>
          <w:p>
            <w:pPr>
              <w:jc w:val="right"/>
              <w:ind w:right="290"/>
              <w:spacing w:after="0"/>
              <w:rPr>
                <w:sz w:val="20"/>
                <w:szCs w:val="20"/>
                <w:color w:val="auto"/>
              </w:rPr>
            </w:pPr>
            <w:r>
              <w:rPr>
                <w:rFonts w:ascii="Arial" w:cs="Arial" w:eastAsia="Arial" w:hAnsi="Arial"/>
                <w:sz w:val="18"/>
                <w:szCs w:val="18"/>
                <w:color w:val="auto"/>
                <w:w w:val="99"/>
              </w:rPr>
              <w:t>Three Months Ended</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9"/>
              <w:spacing w:after="0"/>
              <w:rPr>
                <w:sz w:val="20"/>
                <w:szCs w:val="20"/>
                <w:color w:val="auto"/>
              </w:rPr>
            </w:pPr>
            <w:r>
              <w:rPr>
                <w:rFonts w:ascii="Arial" w:cs="Arial" w:eastAsia="Arial" w:hAnsi="Arial"/>
                <w:sz w:val="18"/>
                <w:szCs w:val="18"/>
                <w:color w:val="auto"/>
              </w:rPr>
              <w:t>June 30,</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170"/>
              <w:spacing w:after="0"/>
              <w:rPr>
                <w:sz w:val="20"/>
                <w:szCs w:val="20"/>
                <w:color w:val="auto"/>
              </w:rPr>
            </w:pPr>
            <w:r>
              <w:rPr>
                <w:rFonts w:ascii="Arial" w:cs="Arial" w:eastAsia="Arial" w:hAnsi="Arial"/>
                <w:sz w:val="18"/>
                <w:szCs w:val="18"/>
                <w:color w:val="auto"/>
                <w:w w:val="84"/>
              </w:rPr>
              <w:t>Percentage</w:t>
            </w:r>
          </w:p>
        </w:tc>
        <w:tc>
          <w:tcPr>
            <w:tcW w:w="0" w:type="dxa"/>
            <w:vAlign w:val="bottom"/>
          </w:tcPr>
          <w:p>
            <w:pPr>
              <w:spacing w:after="0"/>
              <w:rPr>
                <w:sz w:val="1"/>
                <w:szCs w:val="1"/>
                <w:color w:val="auto"/>
              </w:rPr>
            </w:pPr>
          </w:p>
        </w:tc>
      </w:tr>
      <w:tr>
        <w:trPr>
          <w:trHeight w:val="217"/>
        </w:trPr>
        <w:tc>
          <w:tcPr>
            <w:tcW w:w="5160" w:type="dxa"/>
            <w:vAlign w:val="bottom"/>
            <w:gridSpan w:val="3"/>
          </w:tcPr>
          <w:p>
            <w:pPr>
              <w:spacing w:after="0"/>
              <w:rPr>
                <w:sz w:val="20"/>
                <w:szCs w:val="20"/>
                <w:color w:val="auto"/>
              </w:rPr>
            </w:pPr>
            <w:r>
              <w:rPr>
                <w:rFonts w:ascii="Arial" w:cs="Arial" w:eastAsia="Arial" w:hAnsi="Arial"/>
                <w:sz w:val="14"/>
                <w:szCs w:val="14"/>
                <w:color w:val="auto"/>
              </w:rPr>
              <w:t>Product (tons sold)</w:t>
            </w:r>
          </w:p>
        </w:tc>
        <w:tc>
          <w:tcPr>
            <w:tcW w:w="180" w:type="dxa"/>
            <w:vAlign w:val="bottom"/>
          </w:tcPr>
          <w:p>
            <w:pPr>
              <w:spacing w:after="0"/>
              <w:rPr>
                <w:sz w:val="18"/>
                <w:szCs w:val="18"/>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Change</w:t>
            </w:r>
          </w:p>
        </w:tc>
        <w:tc>
          <w:tcPr>
            <w:tcW w:w="1240" w:type="dxa"/>
            <w:vAlign w:val="bottom"/>
            <w:gridSpan w:val="2"/>
          </w:tcPr>
          <w:p>
            <w:pPr>
              <w:jc w:val="center"/>
              <w:ind w:right="170"/>
              <w:spacing w:after="0"/>
              <w:rPr>
                <w:sz w:val="20"/>
                <w:szCs w:val="20"/>
                <w:color w:val="auto"/>
              </w:rPr>
            </w:pPr>
            <w:r>
              <w:rPr>
                <w:rFonts w:ascii="Arial" w:cs="Arial" w:eastAsia="Arial" w:hAnsi="Arial"/>
                <w:sz w:val="18"/>
                <w:szCs w:val="18"/>
                <w:color w:val="auto"/>
                <w:w w:val="85"/>
              </w:rPr>
              <w:t>Change</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4080" w:type="dxa"/>
            <w:vAlign w:val="bottom"/>
            <w:tcBorders>
              <w:right w:val="single" w:sz="8" w:color="CFF0FC"/>
            </w:tcBorders>
            <w:gridSpan w:val="2"/>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80" w:type="dxa"/>
            <w:vAlign w:val="bottom"/>
            <w:vMerge w:val="continue"/>
            <w:shd w:val="clear" w:color="auto" w:fill="CFF0FC"/>
          </w:tcPr>
          <w:p>
            <w:pPr>
              <w:spacing w:after="0"/>
              <w:rPr>
                <w:sz w:val="18"/>
                <w:szCs w:val="18"/>
                <w:color w:val="auto"/>
              </w:rPr>
            </w:pPr>
          </w:p>
        </w:tc>
        <w:tc>
          <w:tcPr>
            <w:tcW w:w="4080" w:type="dxa"/>
            <w:vAlign w:val="bottom"/>
            <w:tcBorders>
              <w:right w:val="single" w:sz="8" w:color="CFF0FC"/>
            </w:tcBorders>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111,860</w:t>
            </w: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95,183</w:t>
            </w: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16,677</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516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128,018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127,124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894</w:t>
            </w:r>
          </w:p>
        </w:tc>
        <w:tc>
          <w:tcPr>
            <w:tcW w:w="2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160" w:type="dxa"/>
            <w:vAlign w:val="bottom"/>
            <w:tcBorders>
              <w:right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8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28,383</w:t>
            </w:r>
          </w:p>
        </w:tc>
        <w:tc>
          <w:tcPr>
            <w:tcW w:w="22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28,228</w:t>
            </w: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160" w:type="dxa"/>
            <w:vAlign w:val="bottom"/>
            <w:gridSpan w:val="3"/>
          </w:tcPr>
          <w:p>
            <w:pPr>
              <w:ind w:left="2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9,257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10,377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(1,120)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bottom w:val="single" w:sz="8" w:color="CFF0FC"/>
              <w:right w:val="single" w:sz="8" w:color="CFF0FC"/>
            </w:tcBorders>
            <w:gridSpan w:val="3"/>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277,518</w:t>
            </w:r>
          </w:p>
        </w:tc>
        <w:tc>
          <w:tcPr>
            <w:tcW w:w="22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260,912</w:t>
            </w:r>
          </w:p>
        </w:tc>
        <w:tc>
          <w:tcPr>
            <w:tcW w:w="20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4"/>
          </w:tcPr>
          <w:p>
            <w:pPr>
              <w:jc w:val="right"/>
              <w:ind w:right="310"/>
              <w:spacing w:after="0"/>
              <w:rPr>
                <w:sz w:val="20"/>
                <w:szCs w:val="20"/>
                <w:color w:val="auto"/>
              </w:rPr>
            </w:pPr>
            <w:r>
              <w:rPr>
                <w:rFonts w:ascii="Arial" w:cs="Arial" w:eastAsia="Arial" w:hAnsi="Arial"/>
                <w:sz w:val="18"/>
                <w:szCs w:val="18"/>
                <w:color w:val="auto"/>
                <w:w w:val="98"/>
              </w:rPr>
              <w:t>Three Months Ended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29"/>
              <w:spacing w:after="0"/>
              <w:rPr>
                <w:sz w:val="20"/>
                <w:szCs w:val="20"/>
                <w:color w:val="auto"/>
              </w:rPr>
            </w:pPr>
            <w:r>
              <w:rPr>
                <w:rFonts w:ascii="Arial" w:cs="Arial" w:eastAsia="Arial" w:hAnsi="Arial"/>
                <w:sz w:val="18"/>
                <w:szCs w:val="18"/>
                <w:color w:val="auto"/>
              </w:rPr>
              <w:t>June 30,</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170"/>
              <w:spacing w:after="0"/>
              <w:rPr>
                <w:sz w:val="20"/>
                <w:szCs w:val="20"/>
                <w:color w:val="auto"/>
              </w:rPr>
            </w:pPr>
            <w:r>
              <w:rPr>
                <w:rFonts w:ascii="Arial" w:cs="Arial" w:eastAsia="Arial" w:hAnsi="Arial"/>
                <w:sz w:val="18"/>
                <w:szCs w:val="18"/>
                <w:color w:val="auto"/>
                <w:w w:val="84"/>
              </w:rPr>
              <w:t>Percentage</w:t>
            </w:r>
          </w:p>
        </w:tc>
        <w:tc>
          <w:tcPr>
            <w:tcW w:w="0" w:type="dxa"/>
            <w:vAlign w:val="bottom"/>
          </w:tcPr>
          <w:p>
            <w:pPr>
              <w:spacing w:after="0"/>
              <w:rPr>
                <w:sz w:val="1"/>
                <w:szCs w:val="1"/>
                <w:color w:val="auto"/>
              </w:rPr>
            </w:pPr>
          </w:p>
        </w:tc>
      </w:tr>
      <w:tr>
        <w:trPr>
          <w:trHeight w:val="237"/>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2"/>
              </w:rPr>
              <w:t>Gross Average Selling Prices (price per ton)</w:t>
            </w:r>
          </w:p>
        </w:tc>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w w:val="99"/>
              </w:rPr>
              <w:t>2019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Change</w:t>
            </w:r>
          </w:p>
        </w:tc>
        <w:tc>
          <w:tcPr>
            <w:tcW w:w="1240" w:type="dxa"/>
            <w:vAlign w:val="bottom"/>
            <w:gridSpan w:val="2"/>
          </w:tcPr>
          <w:p>
            <w:pPr>
              <w:jc w:val="center"/>
              <w:ind w:right="170"/>
              <w:spacing w:after="0"/>
              <w:rPr>
                <w:sz w:val="20"/>
                <w:szCs w:val="20"/>
                <w:color w:val="auto"/>
              </w:rPr>
            </w:pPr>
            <w:r>
              <w:rPr>
                <w:rFonts w:ascii="Arial" w:cs="Arial" w:eastAsia="Arial" w:hAnsi="Arial"/>
                <w:sz w:val="18"/>
                <w:szCs w:val="18"/>
                <w:color w:val="auto"/>
                <w:w w:val="85"/>
              </w:rPr>
              <w:t>Change</w:t>
            </w:r>
          </w:p>
        </w:tc>
        <w:tc>
          <w:tcPr>
            <w:tcW w:w="0" w:type="dxa"/>
            <w:vAlign w:val="bottom"/>
          </w:tcPr>
          <w:p>
            <w:pPr>
              <w:spacing w:after="0"/>
              <w:rPr>
                <w:sz w:val="1"/>
                <w:szCs w:val="1"/>
                <w:color w:val="auto"/>
              </w:rPr>
            </w:pPr>
          </w:p>
        </w:tc>
      </w:tr>
      <w:tr>
        <w:trPr>
          <w:trHeight w:val="217"/>
        </w:trPr>
        <w:tc>
          <w:tcPr>
            <w:tcW w:w="5160" w:type="dxa"/>
            <w:vAlign w:val="bottom"/>
            <w:tcBorders>
              <w:top w:val="single" w:sz="8" w:color="CFF0FC"/>
              <w:right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261</w:t>
            </w:r>
          </w:p>
        </w:tc>
        <w:tc>
          <w:tcPr>
            <w:tcW w:w="460" w:type="dxa"/>
            <w:vAlign w:val="bottom"/>
            <w:gridSpan w:val="2"/>
          </w:tcPr>
          <w:p>
            <w:pPr>
              <w:jc w:val="right"/>
              <w:ind w:right="12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160" w:type="dxa"/>
            <w:vAlign w:val="bottom"/>
            <w:tcBorders>
              <w:right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460" w:type="dxa"/>
            <w:vAlign w:val="bottom"/>
            <w:gridSpan w:val="2"/>
            <w:shd w:val="clear" w:color="auto" w:fill="CFF0FC"/>
          </w:tcPr>
          <w:p>
            <w:pPr>
              <w:jc w:val="right"/>
              <w:ind w:right="129"/>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(122)</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sales of industrial products, the following tables indicate key operating metrics of our major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10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5"/>
          </w:tcPr>
          <w:p>
            <w:pPr>
              <w:jc w:val="center"/>
              <w:ind w:right="42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10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70"/>
              <w:spacing w:after="0"/>
              <w:rPr>
                <w:sz w:val="20"/>
                <w:szCs w:val="20"/>
                <w:color w:val="auto"/>
              </w:rPr>
            </w:pPr>
            <w:r>
              <w:rPr>
                <w:rFonts w:ascii="Arial" w:cs="Arial" w:eastAsia="Arial" w:hAnsi="Arial"/>
                <w:sz w:val="18"/>
                <w:szCs w:val="18"/>
                <w:color w:val="auto"/>
                <w:w w:val="93"/>
              </w:rPr>
              <w:t>Percentage</w:t>
            </w:r>
          </w:p>
        </w:tc>
      </w:tr>
      <w:tr>
        <w:trPr>
          <w:trHeight w:val="237"/>
        </w:trPr>
        <w:tc>
          <w:tcPr>
            <w:tcW w:w="5120" w:type="dxa"/>
            <w:vAlign w:val="bottom"/>
            <w:gridSpan w:val="3"/>
          </w:tcPr>
          <w:p>
            <w:pPr>
              <w:spacing w:after="0"/>
              <w:rPr>
                <w:sz w:val="20"/>
                <w:szCs w:val="20"/>
                <w:color w:val="auto"/>
              </w:rPr>
            </w:pPr>
            <w:r>
              <w:rPr>
                <w:rFonts w:ascii="Arial" w:cs="Arial" w:eastAsia="Arial" w:hAnsi="Arial"/>
                <w:sz w:val="14"/>
                <w:szCs w:val="14"/>
                <w:color w:val="auto"/>
              </w:rPr>
              <w:t>Product (tons sold)</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Change</w:t>
            </w:r>
          </w:p>
        </w:tc>
        <w:tc>
          <w:tcPr>
            <w:tcW w:w="1240" w:type="dxa"/>
            <w:vAlign w:val="bottom"/>
            <w:gridSpan w:val="2"/>
          </w:tcPr>
          <w:p>
            <w:pPr>
              <w:jc w:val="right"/>
              <w:ind w:right="390"/>
              <w:spacing w:after="0"/>
              <w:rPr>
                <w:sz w:val="20"/>
                <w:szCs w:val="20"/>
                <w:color w:val="auto"/>
              </w:rPr>
            </w:pPr>
            <w:r>
              <w:rPr>
                <w:rFonts w:ascii="Arial" w:cs="Arial" w:eastAsia="Arial" w:hAnsi="Arial"/>
                <w:sz w:val="18"/>
                <w:szCs w:val="18"/>
                <w:color w:val="auto"/>
              </w:rPr>
              <w:t>Change</w:t>
            </w:r>
          </w:p>
        </w:tc>
      </w:tr>
      <w:tr>
        <w:trPr>
          <w:trHeight w:val="217"/>
        </w:trPr>
        <w:tc>
          <w:tcPr>
            <w:tcW w:w="108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4040" w:type="dxa"/>
            <w:vAlign w:val="bottom"/>
            <w:tcBorders>
              <w:top w:val="single" w:sz="8" w:color="CFF0FC"/>
            </w:tcBorders>
            <w:gridSpan w:val="2"/>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62,108</w:t>
            </w: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78,697</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(16,589)</w:t>
            </w: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gridSpan w:val="3"/>
          </w:tcPr>
          <w:p>
            <w:pPr>
              <w:ind w:left="240"/>
              <w:spacing w:after="0"/>
              <w:rPr>
                <w:sz w:val="20"/>
                <w:szCs w:val="20"/>
                <w:color w:val="auto"/>
              </w:rPr>
            </w:pPr>
            <w:r>
              <w:rPr>
                <w:rFonts w:ascii="Arial" w:cs="Arial" w:eastAsia="Arial" w:hAnsi="Arial"/>
                <w:sz w:val="18"/>
                <w:szCs w:val="18"/>
                <w:color w:val="auto"/>
              </w:rPr>
              <w:t>Nitric Acid</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19,048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22,271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(3,223)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51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Other Industrial Products</w:t>
            </w: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9,587</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8,948</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r>
      <w:tr>
        <w:trPr>
          <w:trHeight w:val="263"/>
        </w:trPr>
        <w:tc>
          <w:tcPr>
            <w:tcW w:w="5120" w:type="dxa"/>
            <w:vAlign w:val="bottom"/>
            <w:tcBorders>
              <w:bottom w:val="single" w:sz="8" w:color="CFF0FC"/>
            </w:tcBorders>
            <w:gridSpan w:val="3"/>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90,743</w:t>
            </w:r>
          </w:p>
        </w:tc>
        <w:tc>
          <w:tcPr>
            <w:tcW w:w="2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109,916</w:t>
            </w:r>
          </w:p>
        </w:tc>
        <w:tc>
          <w:tcPr>
            <w:tcW w:w="2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(19,173)</w:t>
            </w:r>
          </w:p>
        </w:tc>
        <w:tc>
          <w:tcPr>
            <w:tcW w:w="220" w:type="dxa"/>
            <w:vAlign w:val="bottom"/>
            <w:tcBorders>
              <w:bottom w:val="single" w:sz="8" w:color="CFF0FC"/>
            </w:tcBorders>
          </w:tcPr>
          <w:p>
            <w:pPr>
              <w:spacing w:after="0"/>
              <w:rPr>
                <w:sz w:val="22"/>
                <w:szCs w:val="22"/>
                <w:color w:val="auto"/>
              </w:rPr>
            </w:pPr>
          </w:p>
        </w:tc>
        <w:tc>
          <w:tcPr>
            <w:tcW w:w="12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(17)%</w:t>
            </w:r>
          </w:p>
        </w:tc>
      </w:tr>
      <w:tr>
        <w:trPr>
          <w:trHeight w:val="210"/>
        </w:trPr>
        <w:tc>
          <w:tcPr>
            <w:tcW w:w="1080" w:type="dxa"/>
            <w:vAlign w:val="bottom"/>
            <w:shd w:val="clear" w:color="auto" w:fill="CFF0FC"/>
          </w:tcPr>
          <w:p>
            <w:pPr>
              <w:spacing w:after="0"/>
              <w:rPr>
                <w:sz w:val="18"/>
                <w:szCs w:val="18"/>
                <w:color w:val="auto"/>
              </w:rPr>
            </w:pPr>
          </w:p>
        </w:tc>
        <w:tc>
          <w:tcPr>
            <w:tcW w:w="26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189"/>
        </w:trPr>
        <w:tc>
          <w:tcPr>
            <w:tcW w:w="370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8"/>
                <w:szCs w:val="18"/>
                <w:color w:val="auto"/>
                <w:w w:val="91"/>
              </w:rPr>
              <w:t>Tampa Ammonia Benchmark (price per metric ton)</w:t>
            </w:r>
          </w:p>
        </w:tc>
        <w:tc>
          <w:tcPr>
            <w:tcW w:w="1420" w:type="dxa"/>
            <w:vAlign w:val="bottom"/>
          </w:tcPr>
          <w:p>
            <w:pPr>
              <w:spacing w:after="0"/>
              <w:rPr>
                <w:sz w:val="16"/>
                <w:szCs w:val="16"/>
                <w:color w:val="auto"/>
              </w:rPr>
            </w:pPr>
          </w:p>
        </w:tc>
        <w:tc>
          <w:tcPr>
            <w:tcW w:w="220" w:type="dxa"/>
            <w:vAlign w:val="bottom"/>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234</w:t>
            </w:r>
          </w:p>
        </w:tc>
        <w:tc>
          <w:tcPr>
            <w:tcW w:w="200" w:type="dxa"/>
            <w:vAlign w:val="bottom"/>
          </w:tcPr>
          <w:p>
            <w:pPr>
              <w:spacing w:after="0"/>
              <w:rPr>
                <w:sz w:val="16"/>
                <w:szCs w:val="16"/>
                <w:color w:val="auto"/>
              </w:rPr>
            </w:pPr>
          </w:p>
        </w:tc>
        <w:tc>
          <w:tcPr>
            <w:tcW w:w="260" w:type="dxa"/>
            <w:vAlign w:val="bottom"/>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237</w:t>
            </w:r>
          </w:p>
        </w:tc>
        <w:tc>
          <w:tcPr>
            <w:tcW w:w="200" w:type="dxa"/>
            <w:vAlign w:val="bottom"/>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w:t>
            </w:r>
          </w:p>
        </w:tc>
        <w:tc>
          <w:tcPr>
            <w:tcW w:w="12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sales of mining products, the following table indicates the volumes sold of our major products: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460" w:type="dxa"/>
            <w:vAlign w:val="bottom"/>
            <w:gridSpan w:val="5"/>
          </w:tcPr>
          <w:p>
            <w:pPr>
              <w:jc w:val="center"/>
              <w:ind w:right="220"/>
              <w:spacing w:after="0"/>
              <w:rPr>
                <w:sz w:val="20"/>
                <w:szCs w:val="20"/>
                <w:color w:val="auto"/>
              </w:rPr>
            </w:pPr>
            <w:r>
              <w:rPr>
                <w:rFonts w:ascii="Arial" w:cs="Arial" w:eastAsia="Arial" w:hAnsi="Arial"/>
                <w:sz w:val="18"/>
                <w:szCs w:val="18"/>
                <w:color w:val="auto"/>
                <w:w w:val="90"/>
              </w:rPr>
              <w:t>Three Months Ended</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42"/>
        </w:trPr>
        <w:tc>
          <w:tcPr>
            <w:tcW w:w="108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1480" w:type="dxa"/>
            <w:vAlign w:val="bottom"/>
            <w:gridSpan w:val="3"/>
          </w:tcPr>
          <w:p>
            <w:pPr>
              <w:jc w:val="center"/>
              <w:ind w:left="670"/>
              <w:spacing w:after="0"/>
              <w:rPr>
                <w:sz w:val="20"/>
                <w:szCs w:val="20"/>
                <w:color w:val="auto"/>
              </w:rPr>
            </w:pPr>
            <w:r>
              <w:rPr>
                <w:rFonts w:ascii="Arial" w:cs="Arial" w:eastAsia="Arial" w:hAnsi="Arial"/>
                <w:sz w:val="18"/>
                <w:szCs w:val="18"/>
                <w:color w:val="auto"/>
                <w:w w:val="86"/>
              </w:rPr>
              <w:t>June 30,</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Percentage</w:t>
            </w:r>
          </w:p>
        </w:tc>
      </w:tr>
      <w:tr>
        <w:trPr>
          <w:trHeight w:val="217"/>
        </w:trPr>
        <w:tc>
          <w:tcPr>
            <w:tcW w:w="5160" w:type="dxa"/>
            <w:vAlign w:val="bottom"/>
            <w:gridSpan w:val="2"/>
          </w:tcPr>
          <w:p>
            <w:pPr>
              <w:spacing w:after="0"/>
              <w:rPr>
                <w:sz w:val="20"/>
                <w:szCs w:val="20"/>
                <w:color w:val="auto"/>
              </w:rPr>
            </w:pPr>
            <w:r>
              <w:rPr>
                <w:rFonts w:ascii="Arial" w:cs="Arial" w:eastAsia="Arial" w:hAnsi="Arial"/>
                <w:sz w:val="14"/>
                <w:szCs w:val="14"/>
                <w:color w:val="auto"/>
              </w:rPr>
              <w:t>Product (tons sold)</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color w:val="auto"/>
              </w:rPr>
              <w:t>Change</w:t>
            </w: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Change</w:t>
            </w:r>
          </w:p>
        </w:tc>
      </w:tr>
      <w:tr>
        <w:trPr>
          <w:trHeight w:val="20"/>
        </w:trPr>
        <w:tc>
          <w:tcPr>
            <w:tcW w:w="1080" w:type="dxa"/>
            <w:vAlign w:val="bottom"/>
            <w:tcBorders>
              <w:bottom w:val="single" w:sz="8" w:color="CFF0FC"/>
            </w:tcBorders>
            <w:shd w:val="clear" w:color="auto" w:fill="000000"/>
          </w:tcPr>
          <w:p>
            <w:pPr>
              <w:spacing w:after="0" w:line="20" w:lineRule="exact"/>
              <w:rPr>
                <w:sz w:val="1"/>
                <w:szCs w:val="1"/>
                <w:color w:val="auto"/>
              </w:rPr>
            </w:pPr>
          </w:p>
        </w:tc>
        <w:tc>
          <w:tcPr>
            <w:tcW w:w="4080" w:type="dxa"/>
            <w:vAlign w:val="bottom"/>
            <w:tcBorders>
              <w:bottom w:val="single" w:sz="8" w:color="CFF0FC"/>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r>
      <w:tr>
        <w:trPr>
          <w:trHeight w:val="216"/>
        </w:trPr>
        <w:tc>
          <w:tcPr>
            <w:tcW w:w="51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LDAN/HDAN/AN Solution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44,354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47,000</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(2,646)</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ind w:left="740" w:hanging="368"/>
        <w:spacing w:after="0" w:line="259"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Agricultural product sales decreased driven by lower selling prices for all of our agricultural products as discussed above under “Items Affecting Comparability of Results of the Second Quarter.” The impact from the decline in selling prices was partially offset by an increase in sales volume of UAN primarily as a result of higher production from the Pryor Facility as a result of the new Urea reactor which was installed in the fourth quarter of 2019.</w:t>
      </w:r>
    </w:p>
    <w:p>
      <w:pPr>
        <w:spacing w:after="0" w:line="78" w:lineRule="exact"/>
        <w:rPr>
          <w:rFonts w:ascii="Arial" w:cs="Arial" w:eastAsia="Arial" w:hAnsi="Arial"/>
          <w:sz w:val="18"/>
          <w:szCs w:val="18"/>
          <w:color w:val="auto"/>
        </w:rPr>
      </w:pPr>
    </w:p>
    <w:p>
      <w:pPr>
        <w:jc w:val="both"/>
        <w:ind w:left="740" w:hanging="368"/>
        <w:spacing w:after="0" w:line="254"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Industrial acids and other industrial chemical product sales decreased primarily from lower sales volumes into end markets affected by the COVID-19 pandemic. The automotive industry, a significant consumer of products that are provided by a number of our nitric acid customers were shut down during the first six weeks of the second quarter. Although, plants returned to service in mid-May they are still not operating at full capacity. The slowdown in the housing sector has also impacted nitric acid demand where nitric acid is used in paints, coatings and a variety of other building materials. Additionally, the slowdown of industrial manufacturing in general has diminished consumption of power throughout the U.S., which has reduced the demand for industrial ammonia. Further, water treatment for industrial manufacturers and municipalities has impacted our sulfuric acid volumes.</w:t>
      </w:r>
    </w:p>
    <w:p>
      <w:pPr>
        <w:spacing w:after="0" w:line="86" w:lineRule="exact"/>
        <w:rPr>
          <w:rFonts w:ascii="Arial" w:cs="Arial" w:eastAsia="Arial" w:hAnsi="Arial"/>
          <w:sz w:val="18"/>
          <w:szCs w:val="18"/>
          <w:color w:val="auto"/>
        </w:rPr>
      </w:pPr>
    </w:p>
    <w:p>
      <w:pPr>
        <w:jc w:val="both"/>
        <w:ind w:left="740" w:hanging="368"/>
        <w:spacing w:after="0" w:line="259"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Mining products sales decreased primarily as the result of overall lower sales volume and selling prices for our mining products. Sales volumes were impacted by reduced production or complete closures of gold, copper, iron ore and vanadium ore mines which impacted overall demand for mining products. Additionally, a large portion of our mining sales contracts are linked to natural gas indexes and as the cost of natural gas declines, the pricing for these products declines accordingly.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noted in the tables above, we recognized a gross profit of $19.0 million for the second quarter of 2020 compared to $19.7 million for the same period in 2019, or a decrease of $0.7 million. Overall, our gross profit percentage increased to 18.1% compared to a gross profit of 16.2% for the same period in 2019.</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agricultural products adjusted gross profit percentage decreased to 22.4% for the second quarter of 2020 from 26.7% for the second quarter of 2019 due primarily to decline in selling prices for all of our agricultural products, partially offset by higher sales volumes for UAN and other our major products as discussed above.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Industrial and mining products adjusted gross profit percentage increased to 39.3% for the second quarter of 2020 from 36.8% for the same period in 2019 primarily driven by a shift of product mix and by lower production costs partially offset by lower sales volumes for all of our major products as discussed above.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negative effect on gross profit from activity discussed above was partially offset by the result of settlements with certain vendors resulting in a recovery of approximately $5.7 million (as discussed above under “Recent Business Developments”) and approximately $4.6 million in lower natural gas costs per MMBtu.</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for the second quarter of 2020 was $12.5 million compared to $11.3 million for the same period in 2019. The increase relates primarily to the interest expense incurred associated with the issuance of the New Notes in 2019 as discussed in Note 4.</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 for Income Taxes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benefit for income taxes for the second quarter of 2020 was $1.3 million compared to $5.7 million for the same period in 2019. For the second quarter of 2020, the effective tax rate was impacted by adjustments made to our valuation allowances. For the second quarter of 2019, the effective tax rate was impacted by adjustments made to our valuation allowances and enacted state tax law changes. Also see discussion above under “Items Affecting Comparability of Results of the Second Quarter-Deferred Taxes” and in Note 7.</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2560" w:type="dxa"/>
            <w:vAlign w:val="bottom"/>
          </w:tcPr>
          <w:p>
            <w:pPr>
              <w:spacing w:after="0"/>
              <w:rPr>
                <w:sz w:val="17"/>
                <w:szCs w:val="17"/>
                <w:color w:val="auto"/>
              </w:rPr>
            </w:pPr>
          </w:p>
        </w:tc>
        <w:tc>
          <w:tcPr>
            <w:tcW w:w="6240" w:type="dxa"/>
            <w:vAlign w:val="bottom"/>
            <w:gridSpan w:val="9"/>
          </w:tcPr>
          <w:p>
            <w:pPr>
              <w:jc w:val="right"/>
              <w:ind w:right="30"/>
              <w:spacing w:after="0"/>
              <w:rPr>
                <w:sz w:val="20"/>
                <w:szCs w:val="20"/>
                <w:color w:val="auto"/>
              </w:rPr>
            </w:pPr>
            <w:r>
              <w:rPr>
                <w:rFonts w:ascii="Arial" w:cs="Arial" w:eastAsia="Arial" w:hAnsi="Arial"/>
                <w:sz w:val="18"/>
                <w:szCs w:val="18"/>
                <w:b w:val="1"/>
                <w:bCs w:val="1"/>
                <w:color w:val="auto"/>
                <w:w w:val="90"/>
              </w:rPr>
              <w:t>Six Months Ended June 30, 2020 Compared to Six Months Ended June 30, 2019</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680" w:type="dxa"/>
            <w:vAlign w:val="bottom"/>
            <w:gridSpan w:val="2"/>
          </w:tcPr>
          <w:p>
            <w:pPr>
              <w:spacing w:after="0"/>
              <w:rPr>
                <w:sz w:val="20"/>
                <w:szCs w:val="20"/>
                <w:color w:val="auto"/>
              </w:rPr>
            </w:pPr>
            <w:r>
              <w:rPr>
                <w:rFonts w:ascii="Arial" w:cs="Arial" w:eastAsia="Arial" w:hAnsi="Arial"/>
                <w:sz w:val="18"/>
                <w:szCs w:val="18"/>
                <w:color w:val="auto"/>
              </w:rPr>
              <w:t>The following table contains certain financial information:</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00" w:type="dxa"/>
            <w:vAlign w:val="bottom"/>
            <w:gridSpan w:val="6"/>
          </w:tcPr>
          <w:p>
            <w:pPr>
              <w:jc w:val="right"/>
              <w:ind w:right="960"/>
              <w:spacing w:after="0"/>
              <w:rPr>
                <w:sz w:val="20"/>
                <w:szCs w:val="20"/>
                <w:color w:val="auto"/>
              </w:rPr>
            </w:pPr>
            <w:r>
              <w:rPr>
                <w:rFonts w:ascii="Arial" w:cs="Arial" w:eastAsia="Arial" w:hAnsi="Arial"/>
                <w:sz w:val="18"/>
                <w:szCs w:val="18"/>
                <w:color w:val="auto"/>
              </w:rPr>
              <w:t>Six Months Ended</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5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4"/>
          </w:tcPr>
          <w:p>
            <w:pPr>
              <w:jc w:val="right"/>
              <w:ind w:right="5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Percentage</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Change</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7"/>
        </w:trPr>
        <w:tc>
          <w:tcPr>
            <w:tcW w:w="25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4"/>
          </w:tcPr>
          <w:p>
            <w:pPr>
              <w:jc w:val="right"/>
              <w:ind w:right="180"/>
              <w:spacing w:after="0"/>
              <w:rPr>
                <w:sz w:val="20"/>
                <w:szCs w:val="20"/>
                <w:color w:val="auto"/>
              </w:rPr>
            </w:pPr>
            <w:r>
              <w:rPr>
                <w:rFonts w:ascii="Arial" w:cs="Arial" w:eastAsia="Arial" w:hAnsi="Arial"/>
                <w:sz w:val="16"/>
                <w:szCs w:val="16"/>
                <w:color w:val="auto"/>
                <w:w w:val="92"/>
              </w:rPr>
              <w:t>(Dollars In Thousands)</w:t>
            </w: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tcBorders>
              <w:left w:val="single" w:sz="8" w:color="CFF0FC"/>
            </w:tcBorders>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Agricultural products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106,455</w:t>
            </w:r>
          </w:p>
        </w:tc>
        <w:tc>
          <w:tcPr>
            <w:tcW w:w="80" w:type="dxa"/>
            <w:vAlign w:val="bottom"/>
          </w:tcPr>
          <w:p>
            <w:pPr>
              <w:spacing w:after="0"/>
              <w:rPr>
                <w:sz w:val="19"/>
                <w:szCs w:val="19"/>
                <w:color w:val="auto"/>
              </w:rPr>
            </w:pP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119,296</w:t>
            </w:r>
          </w:p>
        </w:tc>
        <w:tc>
          <w:tcPr>
            <w:tcW w:w="3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(12,841)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56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Industrial and mining products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81,989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96,383</w:t>
            </w:r>
          </w:p>
        </w:tc>
        <w:tc>
          <w:tcPr>
            <w:tcW w:w="30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spacing w:after="0"/>
              <w:rPr>
                <w:sz w:val="19"/>
                <w:szCs w:val="19"/>
                <w:color w:val="auto"/>
              </w:rPr>
            </w:pP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(14,394)</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3"/>
        </w:trPr>
        <w:tc>
          <w:tcPr>
            <w:tcW w:w="56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Total net sales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188,444</w:t>
            </w: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215,679</w:t>
            </w:r>
          </w:p>
        </w:tc>
        <w:tc>
          <w:tcPr>
            <w:tcW w:w="3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(27,235)</w:t>
            </w:r>
          </w:p>
        </w:tc>
        <w:tc>
          <w:tcPr>
            <w:tcW w:w="360" w:type="dxa"/>
            <w:vAlign w:val="bottom"/>
            <w:tcBorders>
              <w:bottom w:val="single" w:sz="8" w:color="CFF0FC"/>
            </w:tcBorders>
          </w:tcPr>
          <w:p>
            <w:pPr>
              <w:spacing w:after="0"/>
              <w:rPr>
                <w:sz w:val="22"/>
                <w:szCs w:val="22"/>
                <w:color w:val="auto"/>
              </w:rPr>
            </w:pPr>
          </w:p>
        </w:tc>
        <w:tc>
          <w:tcPr>
            <w:tcW w:w="11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560" w:type="dxa"/>
            <w:vAlign w:val="bottom"/>
            <w:shd w:val="clear" w:color="auto" w:fill="CFF0FC"/>
          </w:tcPr>
          <w:p>
            <w:pPr>
              <w:spacing w:after="0"/>
              <w:rPr>
                <w:sz w:val="18"/>
                <w:szCs w:val="18"/>
                <w:color w:val="auto"/>
              </w:rPr>
            </w:pPr>
          </w:p>
        </w:tc>
        <w:tc>
          <w:tcPr>
            <w:tcW w:w="3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tcBorders>
              <w:left w:val="single" w:sz="8" w:color="CFF0FC"/>
            </w:tcBorders>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Agricultural products </w:t>
            </w:r>
            <w:r>
              <w:rPr>
                <w:rFonts w:ascii="Arial" w:cs="Arial" w:eastAsia="Arial" w:hAnsi="Arial"/>
                <w:sz w:val="14"/>
                <w:szCs w:val="14"/>
                <w:color w:val="auto"/>
              </w:rPr>
              <w:t>(1)</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17,831</w:t>
            </w:r>
          </w:p>
        </w:tc>
        <w:tc>
          <w:tcPr>
            <w:tcW w:w="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25,776</w:t>
            </w:r>
          </w:p>
        </w:tc>
        <w:tc>
          <w:tcPr>
            <w:tcW w:w="30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(7,945)</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 xml:space="preserve">Industrial and mining products </w:t>
            </w:r>
            <w:r>
              <w:rPr>
                <w:rFonts w:ascii="Arial" w:cs="Arial" w:eastAsia="Arial" w:hAnsi="Arial"/>
                <w:sz w:val="14"/>
                <w:szCs w:val="14"/>
                <w:color w:val="auto"/>
              </w:rPr>
              <w:t>(1)</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32,625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35,703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(3,078)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 xml:space="preserve">Adjusted gross profit by market </w:t>
            </w:r>
            <w:r>
              <w:rPr>
                <w:rFonts w:ascii="Arial" w:cs="Arial" w:eastAsia="Arial" w:hAnsi="Arial"/>
                <w:sz w:val="14"/>
                <w:szCs w:val="14"/>
                <w:color w:val="auto"/>
              </w:rPr>
              <w:t>(1)</w:t>
            </w: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50,456</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61,479</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left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(11,023)</w:t>
            </w:r>
          </w:p>
        </w:tc>
        <w:tc>
          <w:tcPr>
            <w:tcW w:w="36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(2)</w:t>
            </w: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(34,537)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(33,880)</w:t>
            </w:r>
          </w:p>
        </w:tc>
        <w:tc>
          <w:tcPr>
            <w:tcW w:w="18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(657)</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6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Turnaround expense</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(604)</w:t>
            </w:r>
          </w:p>
        </w:tc>
        <w:tc>
          <w:tcPr>
            <w:tcW w:w="180" w:type="dxa"/>
            <w:vAlign w:val="bottom"/>
            <w:tcBorders>
              <w:left w:val="single" w:sz="8" w:color="CFF0FC"/>
            </w:tcBorders>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 xml:space="preserve">Recovery from settlements with certain vendors </w:t>
            </w:r>
            <w:r>
              <w:rPr>
                <w:rFonts w:ascii="Arial" w:cs="Arial" w:eastAsia="Arial" w:hAnsi="Arial"/>
                <w:sz w:val="14"/>
                <w:szCs w:val="14"/>
                <w:color w:val="auto"/>
              </w:rPr>
              <w:t>(3)</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5,664</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gross profit</w:t>
            </w: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21,572</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26,995</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left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(5,423)</w:t>
            </w:r>
          </w:p>
        </w:tc>
        <w:tc>
          <w:tcPr>
            <w:tcW w:w="36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15,590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2,920</w:t>
            </w:r>
          </w:p>
        </w:tc>
        <w:tc>
          <w:tcPr>
            <w:tcW w:w="3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w:t>
            </w:r>
          </w:p>
        </w:tc>
        <w:tc>
          <w:tcPr>
            <w:tcW w:w="180" w:type="dxa"/>
            <w:vAlign w:val="bottom"/>
            <w:tcBorders>
              <w:left w:val="single" w:sz="8" w:color="CFF0FC"/>
            </w:tcBorders>
            <w:shd w:val="clear" w:color="auto" w:fill="CFF0FC"/>
          </w:tcPr>
          <w:p>
            <w:pPr>
              <w:spacing w:after="0"/>
              <w:rPr>
                <w:sz w:val="19"/>
                <w:szCs w:val="19"/>
                <w:color w:val="auto"/>
              </w:rPr>
            </w:pP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(624)</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11,416</w:t>
            </w: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(7,719)</w:t>
            </w:r>
          </w:p>
        </w:tc>
        <w:tc>
          <w:tcPr>
            <w:tcW w:w="3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14"/>
                <w:szCs w:val="14"/>
                <w:color w:val="auto"/>
              </w:rPr>
              <w:t>(4)</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22,302</w:t>
            </w:r>
          </w:p>
        </w:tc>
        <w:tc>
          <w:tcPr>
            <w:tcW w:w="300" w:type="dxa"/>
            <w:vAlign w:val="bottom"/>
            <w:shd w:val="clear" w:color="auto" w:fill="CFF0FC"/>
          </w:tcPr>
          <w:p>
            <w:pPr>
              <w:spacing w:after="0"/>
              <w:rPr>
                <w:sz w:val="19"/>
                <w:szCs w:val="19"/>
                <w:color w:val="auto"/>
              </w:rPr>
            </w:pPr>
          </w:p>
        </w:tc>
        <w:tc>
          <w:tcPr>
            <w:tcW w:w="180" w:type="dxa"/>
            <w:vAlign w:val="bottom"/>
            <w:tcBorders>
              <w:left w:val="single" w:sz="8" w:color="CFF0FC"/>
            </w:tcBorders>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3,653</w:t>
            </w: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5680" w:type="dxa"/>
            <w:vAlign w:val="bottom"/>
            <w:gridSpan w:val="2"/>
          </w:tcPr>
          <w:p>
            <w:pPr>
              <w:spacing w:after="0"/>
              <w:rPr>
                <w:sz w:val="20"/>
                <w:szCs w:val="20"/>
                <w:color w:val="auto"/>
              </w:rPr>
            </w:pPr>
            <w:r>
              <w:rPr>
                <w:rFonts w:ascii="Arial" w:cs="Arial" w:eastAsia="Arial" w:hAnsi="Arial"/>
                <w:sz w:val="18"/>
                <w:szCs w:val="18"/>
                <w:color w:val="auto"/>
              </w:rPr>
              <w:t>Non-operating other income, net</w:t>
            </w: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(803)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(644)</w:t>
            </w:r>
          </w:p>
        </w:tc>
        <w:tc>
          <w:tcPr>
            <w:tcW w:w="18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(159)</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Benefit for income taxes</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(1,638)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(5,333)</w:t>
            </w:r>
          </w:p>
        </w:tc>
        <w:tc>
          <w:tcPr>
            <w:tcW w:w="180" w:type="dxa"/>
            <w:vAlign w:val="bottom"/>
            <w:tcBorders>
              <w:left w:val="single" w:sz="8" w:color="CFF0FC"/>
            </w:tcBorders>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3,695</w:t>
            </w: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63"/>
        </w:trPr>
        <w:tc>
          <w:tcPr>
            <w:tcW w:w="56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(19,817)</w:t>
            </w: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(4,909)</w:t>
            </w:r>
          </w:p>
        </w:tc>
        <w:tc>
          <w:tcPr>
            <w:tcW w:w="3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(14,908)</w:t>
            </w:r>
          </w:p>
        </w:tc>
        <w:tc>
          <w:tcPr>
            <w:tcW w:w="360" w:type="dxa"/>
            <w:vAlign w:val="bottom"/>
            <w:tcBorders>
              <w:bottom w:val="single" w:sz="8" w:color="CFF0FC"/>
            </w:tcBorders>
          </w:tcPr>
          <w:p>
            <w:pPr>
              <w:spacing w:after="0"/>
              <w:rPr>
                <w:sz w:val="22"/>
                <w:szCs w:val="22"/>
                <w:color w:val="auto"/>
              </w:rPr>
            </w:pPr>
          </w:p>
        </w:tc>
        <w:tc>
          <w:tcPr>
            <w:tcW w:w="11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0"/>
        </w:trPr>
        <w:tc>
          <w:tcPr>
            <w:tcW w:w="2560" w:type="dxa"/>
            <w:vAlign w:val="bottom"/>
            <w:shd w:val="clear" w:color="auto" w:fill="CFF0FC"/>
          </w:tcPr>
          <w:p>
            <w:pPr>
              <w:spacing w:after="0"/>
              <w:rPr>
                <w:sz w:val="18"/>
                <w:szCs w:val="18"/>
                <w:color w:val="auto"/>
              </w:rPr>
            </w:pPr>
          </w:p>
        </w:tc>
        <w:tc>
          <w:tcPr>
            <w:tcW w:w="3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tcBorders>
              <w:left w:val="single" w:sz="8" w:color="CFF0FC"/>
            </w:tcBorders>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Other information:</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Gross profit percentage </w:t>
            </w:r>
            <w:r>
              <w:rPr>
                <w:rFonts w:ascii="Arial" w:cs="Arial" w:eastAsia="Arial" w:hAnsi="Arial"/>
                <w:sz w:val="14"/>
                <w:szCs w:val="14"/>
                <w:color w:val="auto"/>
              </w:rPr>
              <w:t>(5)</w:t>
            </w:r>
          </w:p>
        </w:tc>
        <w:tc>
          <w:tcPr>
            <w:tcW w:w="24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73"/>
              <w:spacing w:after="0"/>
              <w:rPr>
                <w:sz w:val="20"/>
                <w:szCs w:val="20"/>
                <w:color w:val="auto"/>
              </w:rPr>
            </w:pPr>
            <w:r>
              <w:rPr>
                <w:rFonts w:ascii="Arial" w:cs="Arial" w:eastAsia="Arial" w:hAnsi="Arial"/>
                <w:sz w:val="18"/>
                <w:szCs w:val="18"/>
                <w:color w:val="auto"/>
              </w:rPr>
              <w:t>11.4%</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12.5%</w:t>
            </w:r>
          </w:p>
        </w:tc>
        <w:tc>
          <w:tcPr>
            <w:tcW w:w="180" w:type="dxa"/>
            <w:vAlign w:val="bottom"/>
            <w:tcBorders>
              <w:left w:val="single" w:sz="8" w:color="CFF0FC"/>
            </w:tcBorders>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FF0FC"/>
              <w:bottom w:val="single" w:sz="8" w:color="CFF0FC"/>
            </w:tcBorders>
            <w:gridSpan w:val="2"/>
            <w:vMerge w:val="restart"/>
          </w:tcPr>
          <w:p>
            <w:pPr>
              <w:ind w:left="140"/>
              <w:spacing w:after="0"/>
              <w:rPr>
                <w:sz w:val="20"/>
                <w:szCs w:val="20"/>
                <w:color w:val="auto"/>
              </w:rPr>
            </w:pPr>
            <w:r>
              <w:rPr>
                <w:rFonts w:ascii="Arial" w:cs="Arial" w:eastAsia="Arial" w:hAnsi="Arial"/>
                <w:sz w:val="18"/>
                <w:szCs w:val="18"/>
                <w:color w:val="auto"/>
              </w:rPr>
              <w:t>Property, plant and equipment expenditures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bottom w:val="single" w:sz="8" w:color="CFF0FC"/>
            </w:tcBorders>
            <w:gridSpan w:val="2"/>
            <w:vMerge w:val="restart"/>
          </w:tcPr>
          <w:p>
            <w:pPr>
              <w:jc w:val="right"/>
              <w:ind w:right="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line="20" w:lineRule="exact"/>
              <w:rPr>
                <w:sz w:val="1"/>
                <w:szCs w:val="1"/>
                <w:color w:val="auto"/>
              </w:rPr>
            </w:pPr>
          </w:p>
        </w:tc>
      </w:tr>
      <w:tr>
        <w:trPr>
          <w:trHeight w:val="210"/>
        </w:trPr>
        <w:tc>
          <w:tcPr>
            <w:tcW w:w="568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12,866</w:t>
            </w:r>
          </w:p>
        </w:tc>
        <w:tc>
          <w:tcPr>
            <w:tcW w:w="3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5,087</w:t>
            </w:r>
          </w:p>
        </w:tc>
        <w:tc>
          <w:tcPr>
            <w:tcW w:w="3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740" w:hanging="368"/>
        <w:spacing w:after="0"/>
        <w:tabs>
          <w:tab w:leader="none" w:pos="7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 non-GAAP measure since the amount excludes unallocated depreciation, amortization and Turnaround expenses and a recovery from settlements.</w:t>
      </w:r>
    </w:p>
    <w:p>
      <w:pPr>
        <w:spacing w:after="0" w:line="45" w:lineRule="exact"/>
        <w:rPr>
          <w:rFonts w:ascii="Arial" w:cs="Arial" w:eastAsia="Arial" w:hAnsi="Arial"/>
          <w:sz w:val="14"/>
          <w:szCs w:val="14"/>
          <w:color w:val="auto"/>
        </w:rPr>
      </w:pPr>
    </w:p>
    <w:p>
      <w:pPr>
        <w:ind w:left="740" w:hanging="368"/>
        <w:spacing w:after="0"/>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amount classified as cost of sales.</w:t>
      </w:r>
    </w:p>
    <w:p>
      <w:pPr>
        <w:spacing w:after="0" w:line="55" w:lineRule="exact"/>
        <w:rPr>
          <w:rFonts w:ascii="Arial" w:cs="Arial" w:eastAsia="Arial" w:hAnsi="Arial"/>
          <w:sz w:val="16"/>
          <w:szCs w:val="16"/>
          <w:color w:val="auto"/>
        </w:rPr>
      </w:pPr>
    </w:p>
    <w:p>
      <w:pPr>
        <w:ind w:left="740" w:hanging="368"/>
        <w:spacing w:after="0"/>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See discussion above under “Items Affecting Comparability of Results of the Second Quarter.”</w:t>
      </w:r>
    </w:p>
    <w:p>
      <w:pPr>
        <w:spacing w:after="0" w:line="22" w:lineRule="exact"/>
        <w:rPr>
          <w:rFonts w:ascii="Arial" w:cs="Arial" w:eastAsia="Arial" w:hAnsi="Arial"/>
          <w:sz w:val="16"/>
          <w:szCs w:val="16"/>
          <w:color w:val="auto"/>
        </w:rPr>
      </w:pPr>
    </w:p>
    <w:p>
      <w:pPr>
        <w:ind w:left="740" w:hanging="368"/>
        <w:spacing w:after="0"/>
        <w:tabs>
          <w:tab w:leader="none" w:pos="7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Includes interest expense of $1.4 million associated with a litigation judgment issued during the first six months of 2020 as discussed in footnote (B) of Note 5.</w:t>
      </w:r>
    </w:p>
    <w:p>
      <w:pPr>
        <w:spacing w:after="0" w:line="30" w:lineRule="exact"/>
        <w:rPr>
          <w:rFonts w:ascii="Arial" w:cs="Arial" w:eastAsia="Arial" w:hAnsi="Arial"/>
          <w:sz w:val="15"/>
          <w:szCs w:val="15"/>
          <w:color w:val="auto"/>
        </w:rPr>
      </w:pPr>
    </w:p>
    <w:p>
      <w:pPr>
        <w:ind w:left="740" w:hanging="368"/>
        <w:spacing w:after="0"/>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a percentage of the total net sales.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financial information by market (dollars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6"/>
          </w:tcPr>
          <w:p>
            <w:pPr>
              <w:jc w:val="right"/>
              <w:ind w:right="760"/>
              <w:spacing w:after="0"/>
              <w:rPr>
                <w:sz w:val="20"/>
                <w:szCs w:val="20"/>
                <w:color w:val="auto"/>
              </w:rPr>
            </w:pPr>
            <w:r>
              <w:rPr>
                <w:rFonts w:ascii="Arial" w:cs="Arial" w:eastAsia="Arial" w:hAnsi="Arial"/>
                <w:sz w:val="18"/>
                <w:szCs w:val="18"/>
                <w:color w:val="auto"/>
              </w:rPr>
              <w:t>Six Months Ended</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June 30,</w:t>
            </w: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color w:val="auto"/>
              </w:rPr>
              <w:t>2020</w:t>
            </w:r>
          </w:p>
        </w:tc>
        <w:tc>
          <w:tcPr>
            <w:tcW w:w="8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2019</w:t>
            </w:r>
          </w:p>
        </w:tc>
        <w:tc>
          <w:tcPr>
            <w:tcW w:w="8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Change</w:t>
            </w:r>
          </w:p>
        </w:tc>
        <w:tc>
          <w:tcPr>
            <w:tcW w:w="8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5"/>
              </w:rPr>
              <w:t>Industrial</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5"/>
              </w:rPr>
              <w:t>Industrial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5"/>
              </w:rPr>
              <w:t>Industrial</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and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and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1"/>
              <w:spacing w:after="0"/>
              <w:rPr>
                <w:sz w:val="20"/>
                <w:szCs w:val="20"/>
                <w:color w:val="auto"/>
              </w:rPr>
            </w:pPr>
            <w:r>
              <w:rPr>
                <w:rFonts w:ascii="Arial" w:cs="Arial" w:eastAsia="Arial" w:hAnsi="Arial"/>
                <w:sz w:val="18"/>
                <w:szCs w:val="18"/>
                <w:color w:val="auto"/>
                <w:w w:val="86"/>
              </w:rPr>
              <w:t>and</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w w:val="99"/>
              </w:rPr>
              <w:t>Agricultural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rPr>
              <w:t>Mining</w:t>
            </w:r>
          </w:p>
        </w:tc>
        <w:tc>
          <w:tcPr>
            <w:tcW w:w="60" w:type="dxa"/>
            <w:vAlign w:val="bottom"/>
          </w:tcPr>
          <w:p>
            <w:pPr>
              <w:spacing w:after="0"/>
              <w:rPr>
                <w:sz w:val="18"/>
                <w:szCs w:val="18"/>
                <w:color w:val="auto"/>
              </w:rPr>
            </w:pP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Agricultural</w:t>
            </w:r>
          </w:p>
        </w:tc>
        <w:tc>
          <w:tcPr>
            <w:tcW w:w="1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rPr>
              <w:t>Mining</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w w:val="99"/>
              </w:rPr>
              <w:t>Agricultural</w:t>
            </w:r>
          </w:p>
        </w:tc>
        <w:tc>
          <w:tcPr>
            <w:tcW w:w="100" w:type="dxa"/>
            <w:vAlign w:val="bottom"/>
          </w:tcPr>
          <w:p>
            <w:pPr>
              <w:spacing w:after="0"/>
              <w:rPr>
                <w:sz w:val="18"/>
                <w:szCs w:val="18"/>
                <w:color w:val="auto"/>
              </w:rPr>
            </w:pPr>
          </w:p>
        </w:tc>
        <w:tc>
          <w:tcPr>
            <w:tcW w:w="1040" w:type="dxa"/>
            <w:vAlign w:val="bottom"/>
            <w:gridSpan w:val="2"/>
          </w:tcPr>
          <w:p>
            <w:pPr>
              <w:jc w:val="center"/>
              <w:ind w:right="221"/>
              <w:spacing w:after="0"/>
              <w:rPr>
                <w:sz w:val="20"/>
                <w:szCs w:val="20"/>
                <w:color w:val="auto"/>
              </w:rPr>
            </w:pPr>
            <w:r>
              <w:rPr>
                <w:rFonts w:ascii="Arial" w:cs="Arial" w:eastAsia="Arial" w:hAnsi="Arial"/>
                <w:sz w:val="18"/>
                <w:szCs w:val="18"/>
                <w:color w:val="auto"/>
              </w:rPr>
              <w:t>Mining</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Products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Products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Products</w:t>
            </w:r>
          </w:p>
        </w:tc>
        <w:tc>
          <w:tcPr>
            <w:tcW w:w="120" w:type="dxa"/>
            <w:vAlign w:val="bottom"/>
          </w:tcPr>
          <w:p>
            <w:pPr>
              <w:spacing w:after="0"/>
              <w:rPr>
                <w:sz w:val="20"/>
                <w:szCs w:val="20"/>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Products</w:t>
            </w:r>
          </w:p>
        </w:tc>
        <w:tc>
          <w:tcPr>
            <w:tcW w:w="12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Products</w:t>
            </w:r>
          </w:p>
        </w:tc>
        <w:tc>
          <w:tcPr>
            <w:tcW w:w="100" w:type="dxa"/>
            <w:vAlign w:val="bottom"/>
          </w:tcPr>
          <w:p>
            <w:pPr>
              <w:spacing w:after="0"/>
              <w:rPr>
                <w:sz w:val="20"/>
                <w:szCs w:val="20"/>
                <w:color w:val="auto"/>
              </w:rPr>
            </w:pPr>
          </w:p>
        </w:tc>
        <w:tc>
          <w:tcPr>
            <w:tcW w:w="1040" w:type="dxa"/>
            <w:vAlign w:val="bottom"/>
            <w:gridSpan w:val="2"/>
          </w:tcPr>
          <w:p>
            <w:pPr>
              <w:jc w:val="center"/>
              <w:ind w:right="221"/>
              <w:spacing w:after="0"/>
              <w:rPr>
                <w:sz w:val="20"/>
                <w:szCs w:val="20"/>
                <w:color w:val="auto"/>
              </w:rPr>
            </w:pPr>
            <w:r>
              <w:rPr>
                <w:rFonts w:ascii="Arial" w:cs="Arial" w:eastAsia="Arial" w:hAnsi="Arial"/>
                <w:sz w:val="18"/>
                <w:szCs w:val="18"/>
                <w:color w:val="auto"/>
                <w:w w:val="87"/>
              </w:rPr>
              <w:t>Products</w:t>
            </w: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81,989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119,296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96,383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(12,841)</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(14,394</w:t>
            </w:r>
          </w:p>
        </w:tc>
        <w:tc>
          <w:tcPr>
            <w:tcW w:w="18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 xml:space="preserve">Adjusted gross profit by market </w:t>
            </w:r>
            <w:r>
              <w:rPr>
                <w:rFonts w:ascii="Arial" w:cs="Arial" w:eastAsia="Arial" w:hAnsi="Arial"/>
                <w:sz w:val="14"/>
                <w:szCs w:val="14"/>
                <w:color w:val="auto"/>
              </w:rPr>
              <w:t>(1)</w:t>
            </w: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FF0FC"/>
            </w:tcBorders>
            <w:vMerge w:val="continue"/>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17,831</w:t>
            </w:r>
          </w:p>
        </w:tc>
        <w:tc>
          <w:tcPr>
            <w:tcW w:w="2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32,625</w:t>
            </w:r>
          </w:p>
        </w:tc>
        <w:tc>
          <w:tcPr>
            <w:tcW w:w="2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25,776</w:t>
            </w:r>
          </w:p>
        </w:tc>
        <w:tc>
          <w:tcPr>
            <w:tcW w:w="3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35,703</w:t>
            </w:r>
          </w:p>
        </w:tc>
        <w:tc>
          <w:tcPr>
            <w:tcW w:w="3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(7,945)</w:t>
            </w:r>
          </w:p>
        </w:tc>
        <w:tc>
          <w:tcPr>
            <w:tcW w:w="36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(3,078)</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6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Adjusted gross profit percentage</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by market </w:t>
            </w:r>
            <w:r>
              <w:rPr>
                <w:rFonts w:ascii="Arial" w:cs="Arial" w:eastAsia="Arial" w:hAnsi="Arial"/>
                <w:sz w:val="14"/>
                <w:szCs w:val="14"/>
                <w:color w:val="auto"/>
              </w:rPr>
              <w:t>(2)</w:t>
            </w: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39.8%</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740" w:hanging="368"/>
        <w:spacing w:after="0" w:line="266" w:lineRule="auto"/>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a non-GAAP measure since the amount excludes unallocated depreciation, amortization, Turnaround expenses and a recovery from settlements. See reconciliation included in the financial information table above.</w:t>
      </w:r>
    </w:p>
    <w:p>
      <w:pPr>
        <w:spacing w:after="0" w:line="1" w:lineRule="exact"/>
        <w:rPr>
          <w:rFonts w:ascii="Arial" w:cs="Arial" w:eastAsia="Arial" w:hAnsi="Arial"/>
          <w:sz w:val="16"/>
          <w:szCs w:val="16"/>
          <w:color w:val="auto"/>
        </w:rPr>
      </w:pPr>
    </w:p>
    <w:p>
      <w:pPr>
        <w:ind w:left="740" w:hanging="368"/>
        <w:spacing w:after="0"/>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a percentage of the respective net sales.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following tables provide key operating metrics for the agricultural products: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4"/>
          </w:tcPr>
          <w:p>
            <w:pPr>
              <w:jc w:val="center"/>
              <w:ind w:right="170"/>
              <w:spacing w:after="0"/>
              <w:rPr>
                <w:sz w:val="20"/>
                <w:szCs w:val="20"/>
                <w:color w:val="auto"/>
              </w:rPr>
            </w:pPr>
            <w:r>
              <w:rPr>
                <w:rFonts w:ascii="Arial" w:cs="Arial" w:eastAsia="Arial" w:hAnsi="Arial"/>
                <w:sz w:val="18"/>
                <w:szCs w:val="18"/>
                <w:color w:val="auto"/>
                <w:w w:val="91"/>
              </w:rPr>
              <w:t>Six Months Ended</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3"/>
          </w:tcPr>
          <w:p>
            <w:pPr>
              <w:jc w:val="center"/>
              <w:ind w:left="530"/>
              <w:spacing w:after="0"/>
              <w:rPr>
                <w:sz w:val="20"/>
                <w:szCs w:val="20"/>
                <w:color w:val="auto"/>
              </w:rPr>
            </w:pPr>
            <w:r>
              <w:rPr>
                <w:rFonts w:ascii="Arial" w:cs="Arial" w:eastAsia="Arial" w:hAnsi="Arial"/>
                <w:sz w:val="18"/>
                <w:szCs w:val="18"/>
                <w:color w:val="auto"/>
                <w:w w:val="86"/>
              </w:rPr>
              <w:t>June 30,</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center"/>
              <w:ind w:right="150"/>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17"/>
        </w:trPr>
        <w:tc>
          <w:tcPr>
            <w:tcW w:w="4140" w:type="dxa"/>
            <w:vAlign w:val="bottom"/>
            <w:gridSpan w:val="3"/>
          </w:tcPr>
          <w:p>
            <w:pPr>
              <w:spacing w:after="0"/>
              <w:rPr>
                <w:sz w:val="20"/>
                <w:szCs w:val="20"/>
                <w:color w:val="auto"/>
              </w:rPr>
            </w:pPr>
            <w:r>
              <w:rPr>
                <w:rFonts w:ascii="Arial" w:cs="Arial" w:eastAsia="Arial" w:hAnsi="Arial"/>
                <w:sz w:val="14"/>
                <w:szCs w:val="14"/>
                <w:color w:val="auto"/>
              </w:rPr>
              <w:t>Product (tons sold)</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Change</w:t>
            </w:r>
          </w:p>
        </w:tc>
        <w:tc>
          <w:tcPr>
            <w:tcW w:w="1360" w:type="dxa"/>
            <w:vAlign w:val="bottom"/>
            <w:gridSpan w:val="2"/>
          </w:tcPr>
          <w:p>
            <w:pPr>
              <w:jc w:val="center"/>
              <w:ind w:right="15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0"/>
        </w:trPr>
        <w:tc>
          <w:tcPr>
            <w:tcW w:w="1100" w:type="dxa"/>
            <w:vAlign w:val="bottom"/>
            <w:tcBorders>
              <w:top w:val="single" w:sz="8" w:color="auto"/>
            </w:tcBorders>
            <w:vMerge w:val="restart"/>
            <w:shd w:val="clear" w:color="auto" w:fill="CFF0FC"/>
          </w:tcPr>
          <w:p>
            <w:pPr>
              <w:ind w:left="260"/>
              <w:spacing w:after="0"/>
              <w:rPr>
                <w:sz w:val="20"/>
                <w:szCs w:val="20"/>
                <w:color w:val="auto"/>
              </w:rPr>
            </w:pPr>
            <w:r>
              <w:rPr>
                <w:rFonts w:ascii="Arial" w:cs="Arial" w:eastAsia="Arial" w:hAnsi="Arial"/>
                <w:sz w:val="18"/>
                <w:szCs w:val="18"/>
                <w:color w:val="auto"/>
              </w:rPr>
              <w:t>UAN</w:t>
            </w:r>
          </w:p>
        </w:tc>
        <w:tc>
          <w:tcPr>
            <w:tcW w:w="3040" w:type="dxa"/>
            <w:vAlign w:val="bottom"/>
            <w:gridSpan w:val="2"/>
            <w:vMerge w:val="restart"/>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00" w:type="dxa"/>
            <w:vAlign w:val="bottom"/>
            <w:vMerge w:val="continue"/>
            <w:shd w:val="clear" w:color="auto" w:fill="CFF0FC"/>
          </w:tcPr>
          <w:p>
            <w:pPr>
              <w:spacing w:after="0"/>
              <w:rPr>
                <w:sz w:val="18"/>
                <w:szCs w:val="18"/>
                <w:color w:val="auto"/>
              </w:rPr>
            </w:pPr>
          </w:p>
        </w:tc>
        <w:tc>
          <w:tcPr>
            <w:tcW w:w="3040" w:type="dxa"/>
            <w:vAlign w:val="bottom"/>
            <w:gridSpan w:val="2"/>
            <w:vMerge w:val="continue"/>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226,549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189,760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36,789</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140" w:type="dxa"/>
            <w:vAlign w:val="bottom"/>
            <w:gridSpan w:val="3"/>
          </w:tcPr>
          <w:p>
            <w:pPr>
              <w:ind w:left="260"/>
              <w:spacing w:after="0"/>
              <w:rPr>
                <w:sz w:val="20"/>
                <w:szCs w:val="20"/>
                <w:color w:val="auto"/>
              </w:rPr>
            </w:pPr>
            <w:r>
              <w:rPr>
                <w:rFonts w:ascii="Arial" w:cs="Arial" w:eastAsia="Arial" w:hAnsi="Arial"/>
                <w:sz w:val="18"/>
                <w:szCs w:val="18"/>
                <w:color w:val="auto"/>
              </w:rPr>
              <w:t>HDAN</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193,892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186,969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6,923</w:t>
            </w:r>
          </w:p>
        </w:tc>
        <w:tc>
          <w:tcPr>
            <w:tcW w:w="24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1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Ammonia</w:t>
            </w:r>
          </w:p>
        </w:tc>
        <w:tc>
          <w:tcPr>
            <w:tcW w:w="1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48,893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47,433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140" w:type="dxa"/>
            <w:vAlign w:val="bottom"/>
            <w:gridSpan w:val="3"/>
          </w:tcPr>
          <w:p>
            <w:pPr>
              <w:ind w:left="260"/>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12,203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(1,502)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4140" w:type="dxa"/>
            <w:vAlign w:val="bottom"/>
            <w:tcBorders>
              <w:top w:val="single" w:sz="8" w:color="CFF0FC"/>
              <w:bottom w:val="single" w:sz="8" w:color="CFF0FC"/>
            </w:tcBorders>
            <w:gridSpan w:val="3"/>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481,537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437,867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43,670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4"/>
          </w:tcPr>
          <w:p>
            <w:pPr>
              <w:jc w:val="center"/>
              <w:ind w:right="170"/>
              <w:spacing w:after="0"/>
              <w:rPr>
                <w:sz w:val="20"/>
                <w:szCs w:val="20"/>
                <w:color w:val="auto"/>
              </w:rPr>
            </w:pPr>
            <w:r>
              <w:rPr>
                <w:rFonts w:ascii="Arial" w:cs="Arial" w:eastAsia="Arial" w:hAnsi="Arial"/>
                <w:sz w:val="18"/>
                <w:szCs w:val="18"/>
                <w:color w:val="auto"/>
                <w:w w:val="91"/>
              </w:rPr>
              <w:t>Six Months Ended</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3"/>
          </w:tcPr>
          <w:p>
            <w:pPr>
              <w:jc w:val="center"/>
              <w:ind w:left="530"/>
              <w:spacing w:after="0"/>
              <w:rPr>
                <w:sz w:val="20"/>
                <w:szCs w:val="20"/>
                <w:color w:val="auto"/>
              </w:rPr>
            </w:pPr>
            <w:r>
              <w:rPr>
                <w:rFonts w:ascii="Arial" w:cs="Arial" w:eastAsia="Arial" w:hAnsi="Arial"/>
                <w:sz w:val="18"/>
                <w:szCs w:val="18"/>
                <w:color w:val="auto"/>
                <w:w w:val="86"/>
              </w:rPr>
              <w:t>June 30,</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center"/>
              <w:ind w:right="150"/>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37"/>
        </w:trPr>
        <w:tc>
          <w:tcPr>
            <w:tcW w:w="4140" w:type="dxa"/>
            <w:vAlign w:val="bottom"/>
            <w:gridSpan w:val="3"/>
          </w:tcPr>
          <w:p>
            <w:pPr>
              <w:spacing w:after="0"/>
              <w:rPr>
                <w:sz w:val="20"/>
                <w:szCs w:val="20"/>
                <w:color w:val="auto"/>
              </w:rPr>
            </w:pPr>
            <w:r>
              <w:rPr>
                <w:rFonts w:ascii="Arial" w:cs="Arial" w:eastAsia="Arial" w:hAnsi="Arial"/>
                <w:sz w:val="14"/>
                <w:szCs w:val="14"/>
                <w:color w:val="auto"/>
              </w:rPr>
              <w:t>Gross Average Selling Prices (price per ton)</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Change</w:t>
            </w:r>
          </w:p>
        </w:tc>
        <w:tc>
          <w:tcPr>
            <w:tcW w:w="1360" w:type="dxa"/>
            <w:vAlign w:val="bottom"/>
            <w:gridSpan w:val="2"/>
          </w:tcPr>
          <w:p>
            <w:pPr>
              <w:jc w:val="center"/>
              <w:ind w:right="15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17"/>
        </w:trPr>
        <w:tc>
          <w:tcPr>
            <w:tcW w:w="2540" w:type="dxa"/>
            <w:vAlign w:val="bottom"/>
            <w:tcBorders>
              <w:top w:val="single" w:sz="8" w:color="auto"/>
            </w:tcBorders>
            <w:gridSpan w:val="2"/>
            <w:shd w:val="clear" w:color="auto" w:fill="CFF0FC"/>
          </w:tcPr>
          <w:p>
            <w:pPr>
              <w:ind w:left="260"/>
              <w:spacing w:after="0"/>
              <w:rPr>
                <w:sz w:val="20"/>
                <w:szCs w:val="20"/>
                <w:color w:val="auto"/>
              </w:rPr>
            </w:pPr>
            <w:r>
              <w:rPr>
                <w:rFonts w:ascii="Arial" w:cs="Arial" w:eastAsia="Arial" w:hAnsi="Arial"/>
                <w:sz w:val="18"/>
                <w:szCs w:val="18"/>
                <w:color w:val="auto"/>
              </w:rPr>
              <w:t>UAN</w:t>
            </w:r>
          </w:p>
        </w:tc>
        <w:tc>
          <w:tcPr>
            <w:tcW w:w="1600" w:type="dxa"/>
            <w:vAlign w:val="bottom"/>
            <w:tcBorders>
              <w:top w:val="single" w:sz="8" w:color="CFF0FC"/>
            </w:tcBorders>
            <w:shd w:val="clear" w:color="auto" w:fill="CFF0FC"/>
          </w:tcPr>
          <w:p>
            <w:pPr>
              <w:spacing w:after="0"/>
              <w:rPr>
                <w:sz w:val="18"/>
                <w:szCs w:val="18"/>
                <w:color w:val="auto"/>
              </w:rPr>
            </w:pPr>
          </w:p>
        </w:tc>
        <w:tc>
          <w:tcPr>
            <w:tcW w:w="16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40" w:type="dxa"/>
            <w:vAlign w:val="bottom"/>
            <w:gridSpan w:val="3"/>
          </w:tcPr>
          <w:p>
            <w:pPr>
              <w:ind w:left="260"/>
              <w:spacing w:after="0"/>
              <w:rPr>
                <w:sz w:val="20"/>
                <w:szCs w:val="20"/>
                <w:color w:val="auto"/>
              </w:rPr>
            </w:pPr>
            <w:r>
              <w:rPr>
                <w:rFonts w:ascii="Arial" w:cs="Arial" w:eastAsia="Arial" w:hAnsi="Arial"/>
                <w:sz w:val="18"/>
                <w:szCs w:val="18"/>
                <w:color w:val="auto"/>
              </w:rPr>
              <w:t>HDAN</w:t>
            </w:r>
          </w:p>
        </w:tc>
        <w:tc>
          <w:tcPr>
            <w:tcW w:w="18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253</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271</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41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Ammonia</w:t>
            </w:r>
          </w:p>
        </w:tc>
        <w:tc>
          <w:tcPr>
            <w:tcW w:w="18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5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(124)</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sales of industrial products, the following tables indicate key operating metrics of our major products: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4"/>
          </w:tcPr>
          <w:p>
            <w:pPr>
              <w:jc w:val="center"/>
              <w:ind w:right="170"/>
              <w:spacing w:after="0"/>
              <w:rPr>
                <w:sz w:val="20"/>
                <w:szCs w:val="20"/>
                <w:color w:val="auto"/>
              </w:rPr>
            </w:pPr>
            <w:r>
              <w:rPr>
                <w:rFonts w:ascii="Arial" w:cs="Arial" w:eastAsia="Arial" w:hAnsi="Arial"/>
                <w:sz w:val="18"/>
                <w:szCs w:val="18"/>
                <w:color w:val="auto"/>
                <w:w w:val="91"/>
              </w:rPr>
              <w:t>Six Months Ended</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1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3"/>
          </w:tcPr>
          <w:p>
            <w:pPr>
              <w:jc w:val="center"/>
              <w:ind w:left="530"/>
              <w:spacing w:after="0"/>
              <w:rPr>
                <w:sz w:val="20"/>
                <w:szCs w:val="20"/>
                <w:color w:val="auto"/>
              </w:rPr>
            </w:pPr>
            <w:r>
              <w:rPr>
                <w:rFonts w:ascii="Arial" w:cs="Arial" w:eastAsia="Arial" w:hAnsi="Arial"/>
                <w:sz w:val="18"/>
                <w:szCs w:val="18"/>
                <w:color w:val="auto"/>
                <w:w w:val="86"/>
              </w:rPr>
              <w:t>June 30,</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310"/>
              <w:spacing w:after="0"/>
              <w:rPr>
                <w:sz w:val="20"/>
                <w:szCs w:val="20"/>
                <w:color w:val="auto"/>
              </w:rPr>
            </w:pPr>
            <w:r>
              <w:rPr>
                <w:rFonts w:ascii="Arial" w:cs="Arial" w:eastAsia="Arial" w:hAnsi="Arial"/>
                <w:sz w:val="18"/>
                <w:szCs w:val="18"/>
                <w:color w:val="auto"/>
              </w:rPr>
              <w:t>Percentage</w:t>
            </w:r>
          </w:p>
        </w:tc>
      </w:tr>
      <w:tr>
        <w:trPr>
          <w:trHeight w:val="237"/>
        </w:trPr>
        <w:tc>
          <w:tcPr>
            <w:tcW w:w="3720" w:type="dxa"/>
            <w:vAlign w:val="bottom"/>
            <w:gridSpan w:val="2"/>
          </w:tcPr>
          <w:p>
            <w:pPr>
              <w:spacing w:after="0"/>
              <w:rPr>
                <w:sz w:val="20"/>
                <w:szCs w:val="20"/>
                <w:color w:val="auto"/>
              </w:rPr>
            </w:pPr>
            <w:r>
              <w:rPr>
                <w:rFonts w:ascii="Arial" w:cs="Arial" w:eastAsia="Arial" w:hAnsi="Arial"/>
                <w:sz w:val="14"/>
                <w:szCs w:val="14"/>
                <w:color w:val="auto"/>
              </w:rPr>
              <w:t>Product (tons sold)</w:t>
            </w: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Change</w:t>
            </w:r>
          </w:p>
        </w:tc>
        <w:tc>
          <w:tcPr>
            <w:tcW w:w="1360" w:type="dxa"/>
            <w:vAlign w:val="bottom"/>
            <w:gridSpan w:val="2"/>
          </w:tcPr>
          <w:p>
            <w:pPr>
              <w:jc w:val="right"/>
              <w:ind w:right="430"/>
              <w:spacing w:after="0"/>
              <w:rPr>
                <w:sz w:val="20"/>
                <w:szCs w:val="20"/>
                <w:color w:val="auto"/>
              </w:rPr>
            </w:pPr>
            <w:r>
              <w:rPr>
                <w:rFonts w:ascii="Arial" w:cs="Arial" w:eastAsia="Arial" w:hAnsi="Arial"/>
                <w:sz w:val="18"/>
                <w:szCs w:val="18"/>
                <w:color w:val="auto"/>
              </w:rPr>
              <w:t>Change</w:t>
            </w:r>
          </w:p>
        </w:tc>
      </w:tr>
      <w:tr>
        <w:trPr>
          <w:trHeight w:val="217"/>
        </w:trPr>
        <w:tc>
          <w:tcPr>
            <w:tcW w:w="110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Ammonia</w:t>
            </w:r>
          </w:p>
        </w:tc>
        <w:tc>
          <w:tcPr>
            <w:tcW w:w="2620" w:type="dxa"/>
            <w:vAlign w:val="bottom"/>
            <w:tcBorders>
              <w:top w:val="single" w:sz="8" w:color="CFF0FC"/>
            </w:tcBorders>
            <w:shd w:val="clear" w:color="auto" w:fill="CFF0FC"/>
          </w:tcPr>
          <w:p>
            <w:pPr>
              <w:spacing w:after="0"/>
              <w:rPr>
                <w:sz w:val="18"/>
                <w:szCs w:val="18"/>
                <w:color w:val="auto"/>
              </w:rPr>
            </w:pPr>
          </w:p>
        </w:tc>
        <w:tc>
          <w:tcPr>
            <w:tcW w:w="20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132,636</w:t>
            </w:r>
          </w:p>
        </w:tc>
        <w:tc>
          <w:tcPr>
            <w:tcW w:w="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153,531</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(20,895)</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720" w:type="dxa"/>
            <w:vAlign w:val="bottom"/>
            <w:gridSpan w:val="2"/>
          </w:tcPr>
          <w:p>
            <w:pPr>
              <w:ind w:left="260"/>
              <w:spacing w:after="0"/>
              <w:rPr>
                <w:sz w:val="20"/>
                <w:szCs w:val="20"/>
                <w:color w:val="auto"/>
              </w:rPr>
            </w:pPr>
            <w:r>
              <w:rPr>
                <w:rFonts w:ascii="Arial" w:cs="Arial" w:eastAsia="Arial" w:hAnsi="Arial"/>
                <w:sz w:val="18"/>
                <w:szCs w:val="18"/>
                <w:color w:val="auto"/>
              </w:rPr>
              <w:t>Nitric Acid</w:t>
            </w: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44,871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44,646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w:t>
            </w:r>
          </w:p>
        </w:tc>
        <w:tc>
          <w:tcPr>
            <w:tcW w:w="24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3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Industrial Products</w:t>
            </w:r>
          </w:p>
        </w:tc>
        <w:tc>
          <w:tcPr>
            <w:tcW w:w="20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20,475</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17,222</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3,253</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r>
      <w:tr>
        <w:trPr>
          <w:trHeight w:val="263"/>
        </w:trPr>
        <w:tc>
          <w:tcPr>
            <w:tcW w:w="372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197,982</w:t>
            </w:r>
          </w:p>
        </w:tc>
        <w:tc>
          <w:tcPr>
            <w:tcW w:w="2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215,399</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(17,417)</w:t>
            </w:r>
          </w:p>
        </w:tc>
        <w:tc>
          <w:tcPr>
            <w:tcW w:w="240" w:type="dxa"/>
            <w:vAlign w:val="bottom"/>
            <w:tcBorders>
              <w:bottom w:val="single" w:sz="8" w:color="CFF0FC"/>
            </w:tcBorders>
          </w:tcPr>
          <w:p>
            <w:pPr>
              <w:spacing w:after="0"/>
              <w:rPr>
                <w:sz w:val="22"/>
                <w:szCs w:val="22"/>
                <w:color w:val="auto"/>
              </w:rPr>
            </w:pPr>
          </w:p>
        </w:tc>
        <w:tc>
          <w:tcPr>
            <w:tcW w:w="13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(8)%</w:t>
            </w:r>
          </w:p>
        </w:tc>
      </w:tr>
      <w:tr>
        <w:trPr>
          <w:trHeight w:val="210"/>
        </w:trPr>
        <w:tc>
          <w:tcPr>
            <w:tcW w:w="1100" w:type="dxa"/>
            <w:vAlign w:val="bottom"/>
            <w:shd w:val="clear" w:color="auto" w:fill="CFF0FC"/>
          </w:tcPr>
          <w:p>
            <w:pPr>
              <w:spacing w:after="0"/>
              <w:rPr>
                <w:sz w:val="18"/>
                <w:szCs w:val="18"/>
                <w:color w:val="auto"/>
              </w:rPr>
            </w:pPr>
          </w:p>
        </w:tc>
        <w:tc>
          <w:tcPr>
            <w:tcW w:w="262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189"/>
        </w:trPr>
        <w:tc>
          <w:tcPr>
            <w:tcW w:w="372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8"/>
                <w:szCs w:val="18"/>
                <w:color w:val="auto"/>
                <w:w w:val="91"/>
              </w:rPr>
              <w:t>Tampa Ammonia Benchmark (price per metric ton)</w:t>
            </w:r>
          </w:p>
        </w:tc>
        <w:tc>
          <w:tcPr>
            <w:tcW w:w="22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242</w:t>
            </w:r>
          </w:p>
        </w:tc>
        <w:tc>
          <w:tcPr>
            <w:tcW w:w="52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258</w:t>
            </w:r>
          </w:p>
        </w:tc>
        <w:tc>
          <w:tcPr>
            <w:tcW w:w="4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(16)</w:t>
            </w:r>
          </w:p>
        </w:tc>
        <w:tc>
          <w:tcPr>
            <w:tcW w:w="13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sales of mining products, the following table indicates the volumes sold of our major products: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8"/>
                <w:szCs w:val="18"/>
                <w:color w:val="auto"/>
                <w:w w:val="91"/>
              </w:rPr>
              <w:t>Six Months Ended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2"/>
        </w:trPr>
        <w:tc>
          <w:tcPr>
            <w:tcW w:w="110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1660" w:type="dxa"/>
            <w:vAlign w:val="bottom"/>
            <w:gridSpan w:val="3"/>
          </w:tcPr>
          <w:p>
            <w:pPr>
              <w:jc w:val="center"/>
              <w:ind w:left="770"/>
              <w:spacing w:after="0"/>
              <w:rPr>
                <w:sz w:val="20"/>
                <w:szCs w:val="20"/>
                <w:color w:val="auto"/>
              </w:rPr>
            </w:pPr>
            <w:r>
              <w:rPr>
                <w:rFonts w:ascii="Arial" w:cs="Arial" w:eastAsia="Arial" w:hAnsi="Arial"/>
                <w:sz w:val="18"/>
                <w:szCs w:val="18"/>
                <w:color w:val="auto"/>
                <w:w w:val="86"/>
              </w:rPr>
              <w:t>June 30,</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150"/>
              <w:spacing w:after="0"/>
              <w:rPr>
                <w:sz w:val="20"/>
                <w:szCs w:val="20"/>
                <w:color w:val="auto"/>
              </w:rPr>
            </w:pPr>
            <w:r>
              <w:rPr>
                <w:rFonts w:ascii="Arial" w:cs="Arial" w:eastAsia="Arial" w:hAnsi="Arial"/>
                <w:sz w:val="18"/>
                <w:szCs w:val="18"/>
                <w:color w:val="auto"/>
                <w:w w:val="86"/>
              </w:rPr>
              <w:t>Percentage</w:t>
            </w:r>
          </w:p>
        </w:tc>
      </w:tr>
      <w:tr>
        <w:trPr>
          <w:trHeight w:val="217"/>
        </w:trPr>
        <w:tc>
          <w:tcPr>
            <w:tcW w:w="5740" w:type="dxa"/>
            <w:vAlign w:val="bottom"/>
            <w:gridSpan w:val="2"/>
          </w:tcPr>
          <w:p>
            <w:pPr>
              <w:spacing w:after="0"/>
              <w:rPr>
                <w:sz w:val="20"/>
                <w:szCs w:val="20"/>
                <w:color w:val="auto"/>
              </w:rPr>
            </w:pPr>
            <w:r>
              <w:rPr>
                <w:rFonts w:ascii="Arial" w:cs="Arial" w:eastAsia="Arial" w:hAnsi="Arial"/>
                <w:sz w:val="14"/>
                <w:szCs w:val="14"/>
                <w:color w:val="auto"/>
              </w:rPr>
              <w:t>Product (tons sold)</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8"/>
                <w:szCs w:val="18"/>
                <w:color w:val="auto"/>
              </w:rPr>
            </w:pPr>
          </w:p>
        </w:tc>
        <w:tc>
          <w:tcPr>
            <w:tcW w:w="1380" w:type="dxa"/>
            <w:vAlign w:val="bottom"/>
            <w:gridSpan w:val="2"/>
          </w:tcPr>
          <w:p>
            <w:pPr>
              <w:ind w:left="280"/>
              <w:spacing w:after="0"/>
              <w:rPr>
                <w:sz w:val="20"/>
                <w:szCs w:val="20"/>
                <w:color w:val="auto"/>
              </w:rPr>
            </w:pPr>
            <w:r>
              <w:rPr>
                <w:rFonts w:ascii="Arial" w:cs="Arial" w:eastAsia="Arial" w:hAnsi="Arial"/>
                <w:sz w:val="18"/>
                <w:szCs w:val="18"/>
                <w:color w:val="auto"/>
              </w:rPr>
              <w:t>Change</w:t>
            </w:r>
          </w:p>
        </w:tc>
        <w:tc>
          <w:tcPr>
            <w:tcW w:w="1360" w:type="dxa"/>
            <w:vAlign w:val="bottom"/>
            <w:gridSpan w:val="2"/>
          </w:tcPr>
          <w:p>
            <w:pPr>
              <w:jc w:val="center"/>
              <w:ind w:right="150"/>
              <w:spacing w:after="0"/>
              <w:rPr>
                <w:sz w:val="20"/>
                <w:szCs w:val="20"/>
                <w:color w:val="auto"/>
              </w:rPr>
            </w:pPr>
            <w:r>
              <w:rPr>
                <w:rFonts w:ascii="Arial" w:cs="Arial" w:eastAsia="Arial" w:hAnsi="Arial"/>
                <w:sz w:val="18"/>
                <w:szCs w:val="18"/>
                <w:color w:val="auto"/>
                <w:w w:val="88"/>
              </w:rPr>
              <w:t>Change</w:t>
            </w:r>
          </w:p>
        </w:tc>
      </w:tr>
      <w:tr>
        <w:trPr>
          <w:trHeight w:val="20"/>
        </w:trPr>
        <w:tc>
          <w:tcPr>
            <w:tcW w:w="1100" w:type="dxa"/>
            <w:vAlign w:val="bottom"/>
            <w:tcBorders>
              <w:bottom w:val="single" w:sz="8" w:color="CFF0FC"/>
            </w:tcBorders>
            <w:shd w:val="clear" w:color="auto" w:fill="000000"/>
          </w:tcPr>
          <w:p>
            <w:pPr>
              <w:spacing w:after="0" w:line="20" w:lineRule="exact"/>
              <w:rPr>
                <w:sz w:val="1"/>
                <w:szCs w:val="1"/>
                <w:color w:val="auto"/>
              </w:rPr>
            </w:pPr>
          </w:p>
        </w:tc>
        <w:tc>
          <w:tcPr>
            <w:tcW w:w="4640" w:type="dxa"/>
            <w:vAlign w:val="bottom"/>
            <w:tcBorders>
              <w:bottom w:val="single" w:sz="8" w:color="CFF0FC"/>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r>
      <w:tr>
        <w:trPr>
          <w:trHeight w:val="216"/>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LDAN/HDAN/AN Solution</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75,077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83,615</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(8,538)</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ind w:left="740" w:hanging="368"/>
        <w:spacing w:after="0" w:line="259"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Agricultural product sales decreased driven by lower selling prices for all of our agricultural products. The impact from the decline in selling prices was partially offset by an increase in sales volume of UAN as a result of higher production from the Pryor facility as a result of the new Urea reactor which was installed in the fourth quarter of 2019 and to a lesser extent increased sales volume of HDAN and ammonia compared to the spring season of 2019.</w:t>
      </w:r>
    </w:p>
    <w:p>
      <w:pPr>
        <w:spacing w:after="0" w:line="78" w:lineRule="exact"/>
        <w:rPr>
          <w:rFonts w:ascii="Arial" w:cs="Arial" w:eastAsia="Arial" w:hAnsi="Arial"/>
          <w:sz w:val="18"/>
          <w:szCs w:val="18"/>
          <w:color w:val="auto"/>
        </w:rPr>
      </w:pPr>
    </w:p>
    <w:p>
      <w:pPr>
        <w:jc w:val="both"/>
        <w:ind w:left="740" w:hanging="368"/>
        <w:spacing w:after="0" w:line="263"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Industrial acids and other industrial chemical product sales decreased primarily from lower selling prices due primarily to lower Tampa Ammonia benchmark pricing. The average Tampa ammonia pricing was approximately $16 per ton lower compared to the same period in 2019. Additionally, sales volumes were lower into markets we serve from the COVID-19 pandemic.</w:t>
      </w:r>
    </w:p>
    <w:p>
      <w:pPr>
        <w:spacing w:after="0" w:line="75" w:lineRule="exact"/>
        <w:rPr>
          <w:rFonts w:ascii="Arial" w:cs="Arial" w:eastAsia="Arial" w:hAnsi="Arial"/>
          <w:sz w:val="18"/>
          <w:szCs w:val="18"/>
          <w:color w:val="auto"/>
        </w:rPr>
      </w:pPr>
    </w:p>
    <w:p>
      <w:pPr>
        <w:jc w:val="both"/>
        <w:ind w:left="740" w:hanging="368"/>
        <w:spacing w:after="0" w:line="259"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Mining products sales decreased primarily as the result of overall lower sales volume and selling prices for our mining products. Sales volumes were impacted by reduced production or complete closures of gold, copper, iron ore and vanadium ore mines which impacted overall demand for mining products. A large portion of our mining sales contracts are linked to natural gas indexes and as the cost of natural gas declines, the pricing for these products declines accordingly.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noted in the tables above, we recognized a gross profit $21.6 million in the first six months of 2020 compared to $27.0 million for the same period of 2019, or a decrease of approximately $5.4 million.</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agricultural products adjusted gross profit percentage decreased to 17% during the first six months of 2020 from 22% for the first six months of 2019 due primarily to lower selling prices for all of our agricultural products, partially offset by increased sales volumes for all of our major products as discussed above.</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Industrial and mining products adjusted gross profit percentage increased in the first six months of 2020 to 40% from 37% in first six months of 2019 primarily driven by a shift of product mix and lower production costs partially offset by lower overall Tampa Ammonia pricing, which averaged approximately $242 per metric ton during 2020 compared to approximately $258 per metric ton for the same period in 2019 and from the lower sales volumes for all of our major products as discussed above.</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negative effect on gross profit from activity discussed above was partially offset by approximately $10.7 million in lower natural gas costs per MMBtu and the result of settlements with certain vendors resulting in a recovery of approximately $5.7 million (as discussed above under “Recent Business Developments”).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SG&amp;A expenses were $18.5 million for the first six months of 2020, an increase of $2.9 million compared to the same period in 2019. The increase was primarily driven by professional fees including legal fees associated with the legal matter discussed above under “Items Affecting Comparability of Results of the Second Quarter.”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for the first half of 2020 was $26.0 million compared to $22.3 million for the same period in 2019. The net increase relates primarily to interest expense incurred associated with the issuance of the New Notes in 2019 as discussed in Note 4 and a litigation judgment discussed in footnote (B) of Note 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 for Income Taxes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benefit for income taxes for the first six months of 2020 was $1.6 million compared to $5.3 million for the same period in 2019. For the first six months of 2020, the effective tax rate was impacted by adjustments made to our valuation allowances. For the first six months of 2019, the effective tax rate was impacted by adjustments made to our valuation allowances and enacted state tax law changes. Also see discussion above under “Items Affecting Comparability of Results of the Second Quarter-Deferred Taxes” and in Note 7.</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6480" w:type="dxa"/>
            <w:vAlign w:val="bottom"/>
            <w:gridSpan w:val="4"/>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740" w:type="dxa"/>
            <w:vAlign w:val="bottom"/>
            <w:gridSpan w:val="5"/>
          </w:tcPr>
          <w:p>
            <w:pPr>
              <w:spacing w:after="0"/>
              <w:rPr>
                <w:sz w:val="20"/>
                <w:szCs w:val="20"/>
                <w:color w:val="auto"/>
              </w:rPr>
            </w:pPr>
            <w:r>
              <w:rPr>
                <w:rFonts w:ascii="Arial" w:cs="Arial" w:eastAsia="Arial" w:hAnsi="Arial"/>
                <w:sz w:val="18"/>
                <w:szCs w:val="18"/>
                <w:color w:val="auto"/>
                <w:w w:val="94"/>
              </w:rPr>
              <w:t>The following table summarizes our cash flow activities for the six months ended June 30:</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332"/>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color w:val="auto"/>
                <w:w w:val="91"/>
              </w:rPr>
              <w:t>(In Thousands)</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5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Net cash flows from operating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19,376</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20,261</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Net cash flows from investing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(17,654)</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(12,804)</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90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Net cash flows from financing activities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32,000</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24,466</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Net Cash Flow from Operating Activities</w:t>
            </w:r>
          </w:p>
        </w:tc>
        <w:tc>
          <w:tcPr>
            <w:tcW w:w="3320" w:type="dxa"/>
            <w:vAlign w:val="bottom"/>
            <w:gridSpan w:val="2"/>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3160" w:type="dxa"/>
            <w:vAlign w:val="bottom"/>
            <w:tcBorders>
              <w:bottom w:val="single" w:sz="8" w:color="auto"/>
            </w:tcBorders>
            <w:gridSpan w:val="2"/>
            <w:vMerge w:val="continue"/>
          </w:tcPr>
          <w:p>
            <w:pPr>
              <w:spacing w:after="0"/>
              <w:rPr>
                <w:sz w:val="22"/>
                <w:szCs w:val="22"/>
                <w:color w:val="auto"/>
              </w:rPr>
            </w:pPr>
          </w:p>
        </w:tc>
        <w:tc>
          <w:tcPr>
            <w:tcW w:w="33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operating activities was $19.4 million for the first half of 2020 compared to $20.3 million for the same period of 2019, a change of approximately $0.9 million.</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first half of 2020, the net cash provided is the result of a net loss of $19.8 million plus adjustments of $34.6 million for depreciation and amortization of PP&amp;E and other adjustments of $2.1 million and net cash provided of $2.5 million primarily from our working capital.</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half of 2019, the net cash provided is the result of a net loss of $4.9 million plus adjustments of $33.9 million for depreciation and amortization of PP&amp;E and other adjustments of $3.1 million less an adjustment of $5.3 million for deferred taxes and net cash used of approximately $6.5 million primarily from our working capital.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Cash Flow from Investing Activities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by investing activities was $17.7 million for the first half of 2020 compared to $12.8 million for the same period of 2019, a change of $4.9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the first half of 2020 and 2019, the net cash used relates primarily to expenditures for PP&amp;E.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Cash Flow from Financing Activities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was $32.0 million for the first half of 2020 compared to $24.5 million for the same period of 2019, a change of $7.5 million.</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half of 2020, the net cash provided primarily consists of proceeds of $30 million from our Working Capital Revolver Loan and proceeds of $12.6 million from other long-term debt partially offset by payments on other long-term debt and short-term financing of $10.5 million and payments of $0.1 million for other financing activities.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half of 2019, the net cash provided primarily consists of net proceeds of $35.1 million from the New Notes, proceeds of $15.8 million from other long-term debt partially offset by payments on other long-term debt and short-term financing of $15.4 million, net payments of $10 million on the Working Capital Revolver Loan, and payments of $1.0 million for other financing activities.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Capitalization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total current cash, long-term debt, redeemable preferred stock and stockholders’ equity:</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5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June 30,</w:t>
            </w:r>
          </w:p>
        </w:tc>
        <w:tc>
          <w:tcPr>
            <w:tcW w:w="1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40" w:type="dxa"/>
            <w:vAlign w:val="bottom"/>
            <w:gridSpan w:val="5"/>
          </w:tcPr>
          <w:p>
            <w:pPr>
              <w:jc w:val="right"/>
              <w:ind w:right="1240"/>
              <w:spacing w:after="0"/>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r>
        <w:trPr>
          <w:trHeight w:val="232"/>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Long-term debt:</w:t>
            </w:r>
          </w:p>
        </w:tc>
        <w:tc>
          <w:tcPr>
            <w:tcW w:w="16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Working Capital Revolver Loan</w:t>
            </w:r>
          </w:p>
        </w:tc>
        <w:tc>
          <w:tcPr>
            <w:tcW w:w="18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tcPr>
          <w:p>
            <w:pPr>
              <w:ind w:left="240"/>
              <w:spacing w:after="0"/>
              <w:rPr>
                <w:sz w:val="20"/>
                <w:szCs w:val="20"/>
                <w:color w:val="auto"/>
              </w:rPr>
            </w:pPr>
            <w:r>
              <w:rPr>
                <w:rFonts w:ascii="Arial" w:cs="Arial" w:eastAsia="Arial" w:hAnsi="Arial"/>
                <w:sz w:val="18"/>
                <w:szCs w:val="18"/>
                <w:color w:val="auto"/>
              </w:rPr>
              <w:t>Senior Secured Notes due 2023</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435.0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Promissory Note due 2021</w:t>
            </w:r>
          </w:p>
        </w:tc>
        <w:tc>
          <w:tcPr>
            <w:tcW w:w="1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Unsecured Loan Agreement due 2022</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Promissory Note due 2023</w:t>
            </w:r>
          </w:p>
        </w:tc>
        <w:tc>
          <w:tcPr>
            <w:tcW w:w="1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40"/>
              <w:spacing w:after="0"/>
              <w:rPr>
                <w:sz w:val="20"/>
                <w:szCs w:val="20"/>
                <w:color w:val="auto"/>
              </w:rPr>
            </w:pPr>
            <w:r>
              <w:rPr>
                <w:rFonts w:ascii="Arial" w:cs="Arial" w:eastAsia="Arial" w:hAnsi="Arial"/>
                <w:sz w:val="18"/>
                <w:szCs w:val="18"/>
                <w:color w:val="auto"/>
              </w:rPr>
              <w:t>Secured Financing due 2023</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Loan Agreement due 2025</w:t>
            </w:r>
          </w:p>
        </w:tc>
        <w:tc>
          <w:tcPr>
            <w:tcW w:w="1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40"/>
              <w:spacing w:after="0"/>
              <w:rPr>
                <w:sz w:val="20"/>
                <w:szCs w:val="20"/>
                <w:color w:val="auto"/>
              </w:rPr>
            </w:pPr>
            <w:r>
              <w:rPr>
                <w:rFonts w:ascii="Arial" w:cs="Arial" w:eastAsia="Arial" w:hAnsi="Arial"/>
                <w:sz w:val="18"/>
                <w:szCs w:val="18"/>
                <w:color w:val="auto"/>
              </w:rPr>
              <w:t>Other</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Unamortized discount and debt issuance costs</w:t>
            </w:r>
          </w:p>
        </w:tc>
        <w:tc>
          <w:tcPr>
            <w:tcW w:w="1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63"/>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 debt, including current portion, net</w:t>
            </w:r>
          </w:p>
        </w:tc>
        <w:tc>
          <w:tcPr>
            <w:tcW w:w="16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499.0</w:t>
            </w:r>
          </w:p>
        </w:tc>
        <w:tc>
          <w:tcPr>
            <w:tcW w:w="2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Series E and F redeemable preferred stock </w:t>
            </w:r>
            <w:r>
              <w:rPr>
                <w:rFonts w:ascii="Arial" w:cs="Arial" w:eastAsia="Arial" w:hAnsi="Arial"/>
                <w:sz w:val="14"/>
                <w:szCs w:val="14"/>
                <w:color w:val="auto"/>
              </w:rPr>
              <w:t>(1)</w:t>
            </w:r>
          </w:p>
        </w:tc>
        <w:tc>
          <w:tcPr>
            <w:tcW w:w="16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252.9</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Total stockholders' equity</w:t>
            </w:r>
          </w:p>
        </w:tc>
        <w:tc>
          <w:tcPr>
            <w:tcW w:w="18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210.6</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Liquidation preference of $259.8 million as of June 30,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concerning the COVID-19 pandemic under “Recent Business Developments.”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June 30, 2020, we have a revolving credit facility, our Working Capital Revolver Loan, with a borrowing base of $65 million. As of June 30, 2020, our Working Capital Revolver Loan had outstanding borrowings of $30.0 million and approximately $12.6 million of availability. We preemptively borrowed on the Working Capital Revolver Loan to ensure access to liquidity given the uncertainty surrounding the COVID-19 pandemic.</w:t>
      </w:r>
    </w:p>
    <w:p>
      <w:pPr>
        <w:spacing w:after="0" w:line="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April 2020, LSB entered into a $10 million loan under the PPP within the CARES Act stimulus package and amended by the Paycheck Protection Program Flexibility Act of 2020. Under the terms of the PPP, an amount up to the full principal amount and any accrued interest of the loan may be forgiven based on the proceeds from the loan being spent primarily on payroll costs. We plan to use most, if not all, of the proceeds from the PPP loan for payroll, rent, utilities, and other specified costs that qualify for loan forgiveness. Under the current terms of the PPP loan, the loan bears an annual interest rate of 1.00%. Also, loan forgiveness applications are due within 10 months after the end of the loan forgiveness covered period, which period began on the date the PPP loan was disbursed and ends either 8-weeks or 24-weeks after disbursement of the loan. Once the SBA notifies the lender the amount of approved loan forgiveness, the lender will determine the date that the equal monthly principal and interest payments will begin for the remaining loan balance, if any. Currently the loan matures in April 2022, which term may be extended to April 2025 if mutually agreed to by the parties. As for the potential loan forgiveness, once the PPP loan is, in part or wholly, forgiven and a legal release is received, the liability would be reduced by the amount forgiven and a gain on extinguishment would be recorded.</w:t>
      </w:r>
    </w:p>
    <w:p>
      <w:pPr>
        <w:spacing w:after="0" w:line="7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full year of 2020, we expect capital expenditures to be approximately $25 million to $30 million, which includes approximately $5 million to $10 million for margin enhancement projects. The remaining capital spending is planned for reliability and maintenance capital projects.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combination of our cash on hand, the availability on our revolving credit facility, and our cash flow from operations will be sufficient to fund our anticipated liquidity needs for the next twelve months.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below in Note 4, the Working Capital Revolver Loan requires, among other things, that we meet certain financial covenants. The Working Capital Revolver Loan does not include financial covenant requirements unless a defined covenant trigger event has occurred and is continuing. As of June 30, 2020, no trigger event had occurred.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Loan Agreements and Redeemable Preferred Stock</w:t>
      </w:r>
    </w:p>
    <w:p>
      <w:pPr>
        <w:spacing w:after="0" w:line="11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Senior Secured Notes due 2023 </w:t>
      </w:r>
      <w:r>
        <w:rPr>
          <w:rFonts w:ascii="Arial" w:cs="Arial" w:eastAsia="Arial" w:hAnsi="Arial"/>
          <w:sz w:val="18"/>
          <w:szCs w:val="18"/>
          <w:color w:val="auto"/>
        </w:rPr>
        <w:t>– LSB has $435 million aggregate principal amount of the 9.625% Senior Secured Notes currently outstanding, as</w:t>
      </w:r>
      <w:r>
        <w:rPr>
          <w:rFonts w:ascii="Arial" w:cs="Arial" w:eastAsia="Arial" w:hAnsi="Arial"/>
          <w:sz w:val="18"/>
          <w:szCs w:val="18"/>
          <w:b w:val="1"/>
          <w:bCs w:val="1"/>
          <w:color w:val="auto"/>
        </w:rPr>
        <w:t xml:space="preserve"> </w:t>
      </w:r>
      <w:r>
        <w:rPr>
          <w:rFonts w:ascii="Arial" w:cs="Arial" w:eastAsia="Arial" w:hAnsi="Arial"/>
          <w:sz w:val="18"/>
          <w:szCs w:val="18"/>
          <w:color w:val="auto"/>
        </w:rPr>
        <w:t>discussed in footnote (B) of Note 4. Interest is to be paid semiannually on May 1</w:t>
      </w:r>
      <w:r>
        <w:rPr>
          <w:rFonts w:ascii="Arial" w:cs="Arial" w:eastAsia="Arial" w:hAnsi="Arial"/>
          <w:sz w:val="15"/>
          <w:szCs w:val="15"/>
          <w:color w:val="auto"/>
        </w:rPr>
        <w:t>st</w:t>
      </w:r>
      <w:r>
        <w:rPr>
          <w:rFonts w:ascii="Arial" w:cs="Arial" w:eastAsia="Arial" w:hAnsi="Arial"/>
          <w:sz w:val="18"/>
          <w:szCs w:val="18"/>
          <w:color w:val="auto"/>
        </w:rPr>
        <w:t xml:space="preserve"> and November 1</w:t>
      </w:r>
      <w:r>
        <w:rPr>
          <w:rFonts w:ascii="Arial" w:cs="Arial" w:eastAsia="Arial" w:hAnsi="Arial"/>
          <w:sz w:val="15"/>
          <w:szCs w:val="15"/>
          <w:color w:val="auto"/>
        </w:rPr>
        <w:t>st</w:t>
      </w:r>
      <w:r>
        <w:rPr>
          <w:rFonts w:ascii="Arial" w:cs="Arial" w:eastAsia="Arial" w:hAnsi="Arial"/>
          <w:sz w:val="18"/>
          <w:szCs w:val="18"/>
          <w:color w:val="auto"/>
        </w:rPr>
        <w:t>, maturing May 1, 2023.</w:t>
      </w:r>
    </w:p>
    <w:p>
      <w:pPr>
        <w:spacing w:after="0" w:line="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Secured Promissory Note due 2021 – </w:t>
      </w:r>
      <w:r>
        <w:rPr>
          <w:rFonts w:ascii="Arial" w:cs="Arial" w:eastAsia="Arial" w:hAnsi="Arial"/>
          <w:sz w:val="18"/>
          <w:szCs w:val="18"/>
          <w:color w:val="auto"/>
        </w:rPr>
        <w:t>EDC is party to a secured promissory note due in March 2021. This promissory note bears interest at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rate of 5.25%. Principal and interest are payable in monthly installments. This promissory note is secured by a natural gas pipeline at the El Dorado Facility and is guaranteed by LSB.</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Unsecured Loan Agreement due 2022 – </w:t>
      </w:r>
      <w:r>
        <w:rPr>
          <w:rFonts w:ascii="Arial" w:cs="Arial" w:eastAsia="Arial" w:hAnsi="Arial"/>
          <w:sz w:val="18"/>
          <w:szCs w:val="18"/>
          <w:color w:val="auto"/>
        </w:rPr>
        <w:t>As discussed above and in footnote (D) of Note 4, LSB is a party to an unsecured PPP loan with a lender</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 new loan program through the SBA as the result of the PPP established by the CARES Act and amended by the Paycheck Protection Program Flexibility Act of 2020.</w:t>
      </w:r>
    </w:p>
    <w:p>
      <w:pPr>
        <w:spacing w:after="0" w:line="6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Secured Promissory Note due 2023 – </w:t>
      </w:r>
      <w:r>
        <w:rPr>
          <w:rFonts w:ascii="Arial" w:cs="Arial" w:eastAsia="Arial" w:hAnsi="Arial"/>
          <w:sz w:val="16"/>
          <w:szCs w:val="16"/>
          <w:color w:val="auto"/>
        </w:rPr>
        <w:t>EDA is party to a secured promissory note due in May 2023. Principal and interest are payable in equal monthly</w:t>
      </w:r>
      <w:r>
        <w:rPr>
          <w:rFonts w:ascii="Arial" w:cs="Arial" w:eastAsia="Arial" w:hAnsi="Arial"/>
          <w:sz w:val="16"/>
          <w:szCs w:val="16"/>
          <w:b w:val="1"/>
          <w:bCs w:val="1"/>
          <w:color w:val="auto"/>
        </w:rPr>
        <w:t xml:space="preserve"> </w:t>
      </w:r>
      <w:r>
        <w:rPr>
          <w:rFonts w:ascii="Arial" w:cs="Arial" w:eastAsia="Arial" w:hAnsi="Arial"/>
          <w:sz w:val="16"/>
          <w:szCs w:val="16"/>
          <w:color w:val="auto"/>
        </w:rPr>
        <w:t>installments with a final balloon payment of approximately $6.1 million. This promissory note bears interest at a rate that is based on the monthly LIBOR rate plus a base rate for a total of 4.43%. This promissory note is secured by the ammonia storage tank and related systems and is guaranteed by LSB.</w:t>
      </w:r>
    </w:p>
    <w:p>
      <w:pPr>
        <w:spacing w:after="0" w:line="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Secured Financing due 2023 – </w:t>
      </w:r>
      <w:r>
        <w:rPr>
          <w:rFonts w:ascii="Arial" w:cs="Arial" w:eastAsia="Arial" w:hAnsi="Arial"/>
          <w:sz w:val="18"/>
          <w:szCs w:val="18"/>
          <w:color w:val="auto"/>
        </w:rPr>
        <w:t>EDC is party to a secured financing arrangement with an affiliate of LSB Funding. Principal and interest are payable in 48</w:t>
      </w:r>
      <w:r>
        <w:rPr>
          <w:rFonts w:ascii="Arial" w:cs="Arial" w:eastAsia="Arial" w:hAnsi="Arial"/>
          <w:sz w:val="18"/>
          <w:szCs w:val="18"/>
          <w:b w:val="1"/>
          <w:bCs w:val="1"/>
          <w:color w:val="auto"/>
        </w:rPr>
        <w:t xml:space="preserve"> </w:t>
      </w:r>
      <w:r>
        <w:rPr>
          <w:rFonts w:ascii="Arial" w:cs="Arial" w:eastAsia="Arial" w:hAnsi="Arial"/>
          <w:sz w:val="18"/>
          <w:szCs w:val="18"/>
          <w:color w:val="auto"/>
        </w:rPr>
        <w:t>equal monthly installments with a final balloon payment of approximately $3 million due in June 2023.</w:t>
      </w:r>
    </w:p>
    <w:p>
      <w:pPr>
        <w:spacing w:after="0" w:line="5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Secured Loan Agreement due 2025 - </w:t>
      </w:r>
      <w:r>
        <w:rPr>
          <w:rFonts w:ascii="Arial" w:cs="Arial" w:eastAsia="Arial" w:hAnsi="Arial"/>
          <w:sz w:val="16"/>
          <w:szCs w:val="16"/>
          <w:color w:val="auto"/>
        </w:rPr>
        <w:t>EDC is party to a secured loan agreement with an affiliate of LSB Funding, which provided for available</w:t>
      </w:r>
      <w:r>
        <w:rPr>
          <w:rFonts w:ascii="Arial" w:cs="Arial" w:eastAsia="Arial" w:hAnsi="Arial"/>
          <w:sz w:val="16"/>
          <w:szCs w:val="16"/>
          <w:b w:val="1"/>
          <w:bCs w:val="1"/>
          <w:color w:val="auto"/>
        </w:rPr>
        <w:t xml:space="preserve"> </w:t>
      </w:r>
      <w:r>
        <w:rPr>
          <w:rFonts w:ascii="Arial" w:cs="Arial" w:eastAsia="Arial" w:hAnsi="Arial"/>
          <w:sz w:val="16"/>
          <w:szCs w:val="16"/>
          <w:color w:val="auto"/>
        </w:rPr>
        <w:t>borrowings (the “Interim Loan”) during the construction of certain equipment (the “Interim Loan Period”), subject to certain conditions. During the Interim Loan Period, interest only was payable in monthly installments. Effective February 28, 2020, the Interim Loan Period ended, and the Interim Loan was replaced by a secured promissory note due in March 2025. Under the terms of the note, principal and interest are payable in 60 equal monthly installments.</w:t>
      </w:r>
    </w:p>
    <w:p>
      <w:pPr>
        <w:spacing w:after="0" w:line="4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Working Capital Revolver Loan – </w:t>
      </w:r>
      <w:r>
        <w:rPr>
          <w:rFonts w:ascii="Arial" w:cs="Arial" w:eastAsia="Arial" w:hAnsi="Arial"/>
          <w:sz w:val="18"/>
          <w:szCs w:val="18"/>
          <w:color w:val="auto"/>
        </w:rPr>
        <w:t>At June 30, 2020, our Working Capital Revolver Loan had outstanding borrowings of $30 million and approximately</w:t>
      </w:r>
      <w:r>
        <w:rPr>
          <w:rFonts w:ascii="Arial" w:cs="Arial" w:eastAsia="Arial" w:hAnsi="Arial"/>
          <w:sz w:val="18"/>
          <w:szCs w:val="18"/>
          <w:b w:val="1"/>
          <w:bCs w:val="1"/>
          <w:color w:val="auto"/>
        </w:rPr>
        <w:t xml:space="preserve"> </w:t>
      </w:r>
      <w:r>
        <w:rPr>
          <w:rFonts w:ascii="Arial" w:cs="Arial" w:eastAsia="Arial" w:hAnsi="Arial"/>
          <w:sz w:val="18"/>
          <w:szCs w:val="18"/>
          <w:color w:val="auto"/>
        </w:rPr>
        <w:t>$12.6 million of availability, based on our eligible collateral, less outstanding letters of credit as of that date. Also see discussion above under “Compliance with Long-Term Debt Covenants.”</w:t>
      </w:r>
    </w:p>
    <w:p>
      <w:pPr>
        <w:spacing w:after="0" w:line="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Redemption of Series E Redeemable Preferred – </w:t>
      </w:r>
      <w:r>
        <w:rPr>
          <w:rFonts w:ascii="Arial" w:cs="Arial" w:eastAsia="Arial" w:hAnsi="Arial"/>
          <w:sz w:val="18"/>
          <w:szCs w:val="18"/>
          <w:color w:val="auto"/>
        </w:rPr>
        <w:t>At June 30, 2020, there were 139,768 outstanding shares of Series E Redeemable Preferred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liquidation preference (par value plus accrued dividends) was $259.8 million.</w:t>
      </w:r>
    </w:p>
    <w:p>
      <w:pPr>
        <w:spacing w:after="0" w:line="58"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At any time on or after October 25, 2023, each Series E holder has the right to elect to have such holder’s shares redeemed by us at a redemption price per share equal to the liquidation preference per share of $1,000 plus accrued and unpaid dividends plus the participation rights value (the “Liquidation Preference”). Additionally, at our option, we may redeem the Series E Redeemable Preferred at any time at a redemption price per share equal to the Liquidation Preference of such share as of the redemption date. Lastly, with receipt of (i) prior consent of the electing Series E holder or a majority of shares of Series E Redeemable Preferred and (ii) all other required approvals, including under any principal U.S. securities exchange on which our common stock is then listed for trading, we can redeem the Series E Redeemable Preferred by the issuance of shares of common stock having an aggregate common stock price equal to the amount of the aggregate Liquidation Preference of such shares being redeemed in shares of common stock in lieu of cash at the redemption date.</w:t>
      </w:r>
    </w:p>
    <w:p>
      <w:pPr>
        <w:spacing w:after="0" w:line="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of liquidation, the Series E Redeemable Preferred is entitled to receive its Liquidation Preference before any such distribution of assets or proceeds is made to or set aside for the holders of our common stock and any other junior stock. In the event of a change of control, we must make an offer to purchase all of the shares of Series E Redeemable Preferred outstanding at the Liquidation Preference.</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carrying values of the redeemable preferred stocks are being increased by periodic accretions (including the amount for dividends earned but not yet declared or paid) using the interest method so that the carrying amount will equal the redemption value as of October 25, 2023, the earliest possible redemption date by the holder, this accretion has and will continue to affect income (loss) per common share. However, this accretion will change if the expected redemption date changes.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 First Six Months of 2020</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half of 2020, capital expenditures relating to PP&amp;E were $18.0 million. The capital expenditures were funded primarily from cash and working capital.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“Capitalization” for our expected capital expenditures.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specific federal and state environmental compliance laws, regulations and guidelines. As a result, we incurred expenses of $2.1 million during the first six months of 2020 in connection with environmental projects. For the remainder of 2020, we expect to incur expenses ranging from $2.0 million to $2.3 million in connection with additional environmental projects. However, it is possible that the actual costs could be significantly different than our estimates.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paid cash dividends on our outstanding common stock in many years, and we do not currently anticipate paying cash dividends on our outstanding common stock in the near future.</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Dividends on the Series E Redeemable Preferred are cumulative and payable semi-annually (May 1 and November 1) in arrears at the current annual rate of 14% of the liquidation value of $1,000 per share, but such annual rate will increase beginning on April 25, 2021 as discussed in Note 8. Each share of Series E Redeemable Preferred is entitled to receive a semi-annual dividend, only when declared by our Board. In addition, dividends in arrears at the dividend date, until paid, shall compound additional dividends at the current annual rate of 14%, but such annual rate will increase beginning on April 25, 2021. The current semi-annual compounded dividend is approximately $127.20 per share for the current aggregate semi-annual dividend of $17.8 million. We also must declare a dividend on the Series E Redeemable Preferred on a pro rata basis with our common stock. As long as the Purchaser holds at least 10% of the Series E Redeemable Preferred, we may not declare dividends on our common stock and other preferred stocks unless and until dividends have been declared and paid on the Series E Redeemable Preferred for the then current dividend period in cash. As of June 30, 2020, the amount of accumulated dividends on the Series E Redeemable Preferred was approximately $120.0 million.</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Dividends on the Series D 6% cumulative convertible Class C preferred stock (the “Series D Preferred”) and Series B 12% cumulative convertible Class C Preferred Stock (the “Series B Preferred”) are payable annually, only when declared by our Board, as follows:</w:t>
      </w:r>
    </w:p>
    <w:p>
      <w:pPr>
        <w:spacing w:after="0" w:line="62" w:lineRule="exact"/>
        <w:rPr>
          <w:sz w:val="20"/>
          <w:szCs w:val="20"/>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$0.06 per share on our outstanding non-redeemable Series D Preferred for an aggregate dividend of $60,000,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$12.00 per share on our outstanding non-redeemable Series B Preferred for an aggregate dividend of $240,000.</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2020, the amount of accumulated dividends on the Series D Preferred and Series B Preferred totaled approximately $1.4 million. All shares of the Series D Preferred and Series B Preferred are owned by the Golsen Holders. There are no optional or mandatory redemption rights with respect to the Series B Preferred or Series D Preferred.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fertilizer products sold to the agricultural industry are seasonal while sales into the industrial and mining sectors generally are less susceptible. The selling seasons for agricultural products are primarily during the spring and fall planting seasons, which typically extend from March through June and from September through November in the geographical markets we distribute the majority of our agricultural products. As a result, we typically increase our inventory of fertilizer products prior to the beginning of each planting season in order to meet the demand for our products. In addition, the amount and timing of sales to the agricultural markets depend upon weather conditions and other circumstances beyond our control.</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June 30, 2020, we have agreed to indemnify the sureties for payments, up to $9.7 million, made by them in respect of such bonds. These insurance bonds are expected to expire or be renewed later in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for recently issued accounting standards.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See “Critical Accounting Policies and Estimates,” Item 7 of our 2019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including a remedy of annual monitoring and the implementation of an EUC selected by the KDHE discussed under footnote 2 – Other Environmental Matters of Note 5 and the lawsuits styled </w:t>
      </w:r>
      <w:r>
        <w:rPr>
          <w:rFonts w:ascii="Arial" w:cs="Arial" w:eastAsia="Arial" w:hAnsi="Arial"/>
          <w:sz w:val="17"/>
          <w:szCs w:val="17"/>
          <w:i w:val="1"/>
          <w:iCs w:val="1"/>
          <w:color w:val="auto"/>
        </w:rPr>
        <w:t>City of West, Texas vs. CF Industries, Inc., et al.,</w:t>
      </w:r>
      <w:r>
        <w:rPr>
          <w:rFonts w:ascii="Arial" w:cs="Arial" w:eastAsia="Arial" w:hAnsi="Arial"/>
          <w:sz w:val="17"/>
          <w:szCs w:val="17"/>
          <w:color w:val="auto"/>
        </w:rPr>
        <w:t xml:space="preserve"> discussed under “Other Pending, Threatened or Settled Litigation” of Note 5. Also, we recognize contingent gains when such gains are realized or when the contingencies have been resolved (generally at the time a settlement has been reached). As a result, a recovery from settlements with certain vendors was recognized during the second quarter of 2020 discussed under Contingencies of Note 1.</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measured using enacted tax rates expected to apply to taxable income in the years in which those differences are expected to be recovered or settled.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6" w:name="page37"/>
    <w:bookmarkEnd w:id="36"/>
    <w:p>
      <w:pPr>
        <w:jc w:val="both"/>
        <w:spacing w:after="0" w:line="263" w:lineRule="auto"/>
        <w:rPr>
          <w:sz w:val="20"/>
          <w:szCs w:val="20"/>
          <w:color w:val="auto"/>
        </w:rPr>
      </w:pPr>
      <w:r>
        <w:rPr>
          <w:rFonts w:ascii="Arial" w:cs="Arial" w:eastAsia="Arial" w:hAnsi="Arial"/>
          <w:sz w:val="18"/>
          <w:szCs w:val="18"/>
          <w:color w:val="auto"/>
        </w:rPr>
        <w:t>The carrying values of the redeemable preferred stocks discussed in Note 8 are being increased by periodic accretions (recorded to retained earnings and included in determining income or loss per share) using the interest method so that the carrying amount will equal the redemption value as of October 25, 2023, the earliest possible redemption date by the holder.</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also reasonably possible that the estimates and assumptions utilized as of June 30, 2020 could change in the near term. Actual results could differ materially from these estimates and judgments, as additional information becomes known.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 as defined in Item 303(a)(4)(ii) of Regulation S-K under the Exchange Act.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results of operations and operating cash flows are impacted by changes in market prices of ammonia and natural gas and changes in market interest rates.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Periodically, we enter into forward firm sales commitments for products to be delivered in future periods. As a result, at June 30, 2020 we could be exposed to embedded losses should our product costs exceed the firm sales prices. At June 30, 2020, we had no embedded losses associated with sales commitments with firm sales prices.</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substantial portion of our products and raw materials are commodities whose prices fluctuate as market supply and demand fundamentals change. Since we are exposed to commodity price risk, we periodically enter into contracts to purchase natural gas for anticipated production needs to manage risk related to changes in prices of natural gas commodities.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As discussed in Note 6, during the first six months of 2020, we entered into certain natural gas contracts, which are accounted for on a mark-to-market basis. At June 30, 2020, these natural gas contracts included 1.8 million MMBtus of natural gas and therefore a $0.10 change in natural gas price would impact pre-tax operating results by approximately $0.2 million.</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Generally, we are exposed to variable interest rate risk with respect to our revolving credit facility. As of June 30, 2020, we had $30 million outstanding borrowings on this credit facility. We are also exposed to interest rate risk on variable rate borrowings for certain commercial loans in the amount of approximately $11.7 million. We currently do not hedge our interest rate risk associated with these variable interest loans.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June 30, 2020. Based on this evaluation, the Company's Chief Executive Officer and Chief Financial Officer have concluded that the Company's disclosure controls and procedures were effective as of June 30, 2020, at the reasonable assurance level.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u w:val="single" w:color="auto"/>
          <w:color w:val="auto"/>
        </w:rPr>
        <w:t>SPECIAL NOTE REGARDING FORWARD-LOOKING STATEMENTS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7"/>
          <w:szCs w:val="17"/>
          <w:color w:val="auto"/>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“plan,” “may,” “could” and similar expressions identify Forward-Looking Statements. Forward-Looking Statements contained herein include, but are not limited to, the following: our ability to invest in projects that will generate best returns for our stockholders;</w:t>
      </w:r>
    </w:p>
    <w:p>
      <w:pPr>
        <w:spacing w:after="0" w:line="15" w:lineRule="exact"/>
        <w:rPr>
          <w:sz w:val="20"/>
          <w:szCs w:val="20"/>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from the COVID-19 pandemic;</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future liquidity outlook;</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outlook our chemical products and related markets;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timing and effect on the nitrogen market from the recent nitrogen expansion projects;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from the lack of non-seasonal volume;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belief that competition is based upon service, price, location of production and distribution sites, and product quality and performance;</w:t>
      </w:r>
    </w:p>
    <w:p>
      <w:pPr>
        <w:spacing w:after="0" w:line="61" w:lineRule="exact"/>
        <w:rPr>
          <w:rFonts w:ascii="Arial" w:cs="Arial" w:eastAsia="Arial" w:hAnsi="Arial"/>
          <w:sz w:val="17"/>
          <w:szCs w:val="17"/>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outlook for the industrial and mining industries;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raw materials;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result of our product and market diversification strategy</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domestic fertilizer production;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increasing output and capacity of our production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on-stream rates at our production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moderate risk inherent in agricultural markets;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sources to fund our cash needs and how this cash will be used;</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enter into the additional borrowings;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anticipated cost and timing of our capital projects;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costs covered under warranty provisions;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pass to our customers cost increases in the form of higher prices;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belief as to whether we have sufficient sources for materials and components;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 natural gas requirements;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by our Facilities with the terms of our permits;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compliance with environmental laws, health laws, security regulations and transportation regulations;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belief as to when Turnarounds will be performed and completed;</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expenses in connection with environmental projects;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litigation and other contingencies;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increase in interest expense;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comply with debt servicing and covenants;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meet debt maturities or redemption obligations when due; and</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beliefs as to whether we can meet all required covenant tests for the next twelve months.</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13" w:lineRule="exact"/>
        <w:rPr>
          <w:sz w:val="20"/>
          <w:szCs w:val="20"/>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associated with the COVID-19 pandemic;</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reductions in revenues;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collect in a timely manner a material amount of receivables;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effects on increases in prices of raw materials;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ind w:left="740" w:hanging="368"/>
        <w:spacing w:after="0" w:line="273"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especially environmental regulations or the American Reinvestment and Recovery Act, or in the interpretation of such;</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laws, regulations or other issues related to climate change;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secure additional financing for planned capital expenditures or financing obligations due in the near future;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substantial existing indebtedness;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material changes in the cost of natural gas and certain precious metals;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in cost to maintain internal controls over financial reporting;</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inability to fund the working capital and expansion of our businesses;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unplanned downtime at one or more of our chemical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production rates at any of our chemical plants;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inability to obtain necessary raw materials and purchased components;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material increases in cost of raw materials;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inability to obtain or retain our insurance coverage;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difficulty obtaining necessary permits;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difficulty obtaining third-party financing;</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associated with proxy contests initiated by dissident stockholders;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decreases in duties for products we sell resulting in an increase in imported products into the U.S.;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effects from regulatory policies, including tariffs;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in imported agricultural products; and</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factors described in “Risk Factors” in our Form 10-K for the year ended December 31, 2019.</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terms used in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r>
              <w:rPr>
                <w:rFonts w:ascii="Arial" w:cs="Arial" w:eastAsia="Arial" w:hAnsi="Arial"/>
                <w:sz w:val="18"/>
                <w:szCs w:val="18"/>
                <w:b w:val="1"/>
                <w:bCs w:val="1"/>
                <w:color w:val="auto"/>
              </w:rPr>
              <w:t>ADEQ</w:t>
            </w:r>
          </w:p>
        </w:tc>
        <w:tc>
          <w:tcPr>
            <w:tcW w:w="8960" w:type="dxa"/>
            <w:vAlign w:val="bottom"/>
          </w:tcPr>
          <w:p>
            <w:pPr>
              <w:ind w:left="900"/>
              <w:spacing w:after="0"/>
              <w:rPr>
                <w:sz w:val="20"/>
                <w:szCs w:val="20"/>
                <w:color w:val="auto"/>
              </w:rPr>
            </w:pPr>
            <w:r>
              <w:rPr>
                <w:rFonts w:ascii="Arial" w:cs="Arial" w:eastAsia="Arial" w:hAnsi="Arial"/>
                <w:sz w:val="18"/>
                <w:szCs w:val="18"/>
                <w:color w:val="auto"/>
              </w:rPr>
              <w:t>- The Arkansas Department of Environmental Quality.</w:t>
            </w:r>
          </w:p>
        </w:tc>
      </w:tr>
      <w:tr>
        <w:trPr>
          <w:trHeight w:val="256"/>
        </w:trPr>
        <w:tc>
          <w:tcPr>
            <w:tcW w:w="2280" w:type="dxa"/>
            <w:vAlign w:val="bottom"/>
          </w:tcPr>
          <w:p>
            <w:pPr>
              <w:spacing w:after="0"/>
              <w:rPr>
                <w:sz w:val="20"/>
                <w:szCs w:val="20"/>
                <w:color w:val="auto"/>
              </w:rPr>
            </w:pPr>
            <w:r>
              <w:rPr>
                <w:rFonts w:ascii="Arial" w:cs="Arial" w:eastAsia="Arial" w:hAnsi="Arial"/>
                <w:sz w:val="18"/>
                <w:szCs w:val="18"/>
                <w:b w:val="1"/>
                <w:bCs w:val="1"/>
                <w:color w:val="auto"/>
              </w:rPr>
              <w:t>AN</w:t>
            </w:r>
          </w:p>
        </w:tc>
        <w:tc>
          <w:tcPr>
            <w:tcW w:w="8960" w:type="dxa"/>
            <w:vAlign w:val="bottom"/>
          </w:tcPr>
          <w:p>
            <w:pPr>
              <w:ind w:left="900"/>
              <w:spacing w:after="0"/>
              <w:rPr>
                <w:sz w:val="20"/>
                <w:szCs w:val="20"/>
                <w:color w:val="auto"/>
              </w:rPr>
            </w:pPr>
            <w:r>
              <w:rPr>
                <w:rFonts w:ascii="Arial" w:cs="Arial" w:eastAsia="Arial" w:hAnsi="Arial"/>
                <w:sz w:val="18"/>
                <w:szCs w:val="18"/>
                <w:color w:val="auto"/>
              </w:rPr>
              <w:t>- Ammonium nitrate.</w:t>
            </w:r>
          </w:p>
        </w:tc>
      </w:tr>
      <w:tr>
        <w:trPr>
          <w:trHeight w:val="257"/>
        </w:trPr>
        <w:tc>
          <w:tcPr>
            <w:tcW w:w="2280" w:type="dxa"/>
            <w:vAlign w:val="bottom"/>
          </w:tcPr>
          <w:p>
            <w:pPr>
              <w:spacing w:after="0"/>
              <w:rPr>
                <w:sz w:val="20"/>
                <w:szCs w:val="20"/>
                <w:color w:val="auto"/>
              </w:rPr>
            </w:pPr>
            <w:r>
              <w:rPr>
                <w:rFonts w:ascii="Arial" w:cs="Arial" w:eastAsia="Arial" w:hAnsi="Arial"/>
                <w:sz w:val="18"/>
                <w:szCs w:val="18"/>
                <w:b w:val="1"/>
                <w:bCs w:val="1"/>
                <w:color w:val="auto"/>
              </w:rPr>
              <w:t>ASU</w:t>
            </w:r>
          </w:p>
        </w:tc>
        <w:tc>
          <w:tcPr>
            <w:tcW w:w="8960" w:type="dxa"/>
            <w:vAlign w:val="bottom"/>
          </w:tcPr>
          <w:p>
            <w:pPr>
              <w:ind w:left="900"/>
              <w:spacing w:after="0"/>
              <w:rPr>
                <w:sz w:val="20"/>
                <w:szCs w:val="20"/>
                <w:color w:val="auto"/>
              </w:rPr>
            </w:pPr>
            <w:r>
              <w:rPr>
                <w:rFonts w:ascii="Arial" w:cs="Arial" w:eastAsia="Arial" w:hAnsi="Arial"/>
                <w:sz w:val="18"/>
                <w:szCs w:val="18"/>
                <w:color w:val="auto"/>
              </w:rPr>
              <w:t>- Accounting Standard Update.</w:t>
            </w:r>
          </w:p>
        </w:tc>
      </w:tr>
      <w:tr>
        <w:trPr>
          <w:trHeight w:val="256"/>
        </w:trPr>
        <w:tc>
          <w:tcPr>
            <w:tcW w:w="2280" w:type="dxa"/>
            <w:vAlign w:val="bottom"/>
          </w:tcPr>
          <w:p>
            <w:pPr>
              <w:spacing w:after="0"/>
              <w:rPr>
                <w:sz w:val="20"/>
                <w:szCs w:val="20"/>
                <w:color w:val="auto"/>
              </w:rPr>
            </w:pPr>
            <w:r>
              <w:rPr>
                <w:rFonts w:ascii="Arial" w:cs="Arial" w:eastAsia="Arial" w:hAnsi="Arial"/>
                <w:sz w:val="18"/>
                <w:szCs w:val="18"/>
                <w:b w:val="1"/>
                <w:bCs w:val="1"/>
                <w:color w:val="auto"/>
              </w:rPr>
              <w:t>Baytown Facility</w:t>
            </w:r>
          </w:p>
        </w:tc>
        <w:tc>
          <w:tcPr>
            <w:tcW w:w="8960" w:type="dxa"/>
            <w:vAlign w:val="bottom"/>
          </w:tcPr>
          <w:p>
            <w:pPr>
              <w:ind w:left="900"/>
              <w:spacing w:after="0"/>
              <w:rPr>
                <w:sz w:val="20"/>
                <w:szCs w:val="20"/>
                <w:color w:val="auto"/>
              </w:rPr>
            </w:pPr>
            <w:r>
              <w:rPr>
                <w:rFonts w:ascii="Arial" w:cs="Arial" w:eastAsia="Arial" w:hAnsi="Arial"/>
                <w:sz w:val="18"/>
                <w:szCs w:val="18"/>
                <w:color w:val="auto"/>
              </w:rPr>
              <w:t>- The nitric acid production facility located in Baytown, Texas.</w:t>
            </w:r>
          </w:p>
        </w:tc>
      </w:tr>
      <w:tr>
        <w:trPr>
          <w:trHeight w:val="270"/>
        </w:trPr>
        <w:tc>
          <w:tcPr>
            <w:tcW w:w="2280" w:type="dxa"/>
            <w:vAlign w:val="bottom"/>
          </w:tcPr>
          <w:p>
            <w:pPr>
              <w:spacing w:after="0"/>
              <w:rPr>
                <w:sz w:val="20"/>
                <w:szCs w:val="20"/>
                <w:color w:val="auto"/>
              </w:rPr>
            </w:pPr>
            <w:r>
              <w:rPr>
                <w:rFonts w:ascii="Arial" w:cs="Arial" w:eastAsia="Arial" w:hAnsi="Arial"/>
                <w:sz w:val="18"/>
                <w:szCs w:val="18"/>
                <w:b w:val="1"/>
                <w:bCs w:val="1"/>
                <w:color w:val="auto"/>
              </w:rPr>
              <w:t>CARES</w:t>
            </w:r>
          </w:p>
        </w:tc>
        <w:tc>
          <w:tcPr>
            <w:tcW w:w="8960" w:type="dxa"/>
            <w:vAlign w:val="bottom"/>
          </w:tcPr>
          <w:p>
            <w:pPr>
              <w:ind w:left="900"/>
              <w:spacing w:after="0"/>
              <w:rPr>
                <w:sz w:val="20"/>
                <w:szCs w:val="20"/>
                <w:color w:val="auto"/>
              </w:rPr>
            </w:pPr>
            <w:r>
              <w:rPr>
                <w:rFonts w:ascii="Arial" w:cs="Arial" w:eastAsia="Arial" w:hAnsi="Arial"/>
                <w:sz w:val="18"/>
                <w:szCs w:val="18"/>
                <w:color w:val="auto"/>
              </w:rPr>
              <w:t>- Coronavirus Aid, Relief, and Economic Security Act</w:t>
            </w:r>
          </w:p>
        </w:tc>
      </w:tr>
      <w:tr>
        <w:trPr>
          <w:trHeight w:val="256"/>
        </w:trPr>
        <w:tc>
          <w:tcPr>
            <w:tcW w:w="2280" w:type="dxa"/>
            <w:vAlign w:val="bottom"/>
          </w:tcPr>
          <w:p>
            <w:pPr>
              <w:spacing w:after="0"/>
              <w:rPr>
                <w:sz w:val="20"/>
                <w:szCs w:val="20"/>
                <w:color w:val="auto"/>
              </w:rPr>
            </w:pPr>
            <w:r>
              <w:rPr>
                <w:rFonts w:ascii="Arial" w:cs="Arial" w:eastAsia="Arial" w:hAnsi="Arial"/>
                <w:sz w:val="18"/>
                <w:szCs w:val="18"/>
                <w:b w:val="1"/>
                <w:bCs w:val="1"/>
                <w:color w:val="auto"/>
              </w:rPr>
              <w:t>CAO</w:t>
            </w:r>
          </w:p>
        </w:tc>
        <w:tc>
          <w:tcPr>
            <w:tcW w:w="8960" w:type="dxa"/>
            <w:vAlign w:val="bottom"/>
          </w:tcPr>
          <w:p>
            <w:pPr>
              <w:ind w:left="900"/>
              <w:spacing w:after="0"/>
              <w:rPr>
                <w:sz w:val="20"/>
                <w:szCs w:val="20"/>
                <w:color w:val="auto"/>
              </w:rPr>
            </w:pPr>
            <w:r>
              <w:rPr>
                <w:rFonts w:ascii="Arial" w:cs="Arial" w:eastAsia="Arial" w:hAnsi="Arial"/>
                <w:sz w:val="18"/>
                <w:szCs w:val="18"/>
                <w:color w:val="auto"/>
              </w:rPr>
              <w:t>- A consent administrative order.</w:t>
            </w:r>
          </w:p>
        </w:tc>
      </w:tr>
      <w:tr>
        <w:trPr>
          <w:trHeight w:val="256"/>
        </w:trPr>
        <w:tc>
          <w:tcPr>
            <w:tcW w:w="2280" w:type="dxa"/>
            <w:vAlign w:val="bottom"/>
          </w:tcPr>
          <w:p>
            <w:pPr>
              <w:spacing w:after="0"/>
              <w:rPr>
                <w:sz w:val="20"/>
                <w:szCs w:val="20"/>
                <w:color w:val="auto"/>
              </w:rPr>
            </w:pPr>
            <w:r>
              <w:rPr>
                <w:rFonts w:ascii="Arial" w:cs="Arial" w:eastAsia="Arial" w:hAnsi="Arial"/>
                <w:sz w:val="18"/>
                <w:szCs w:val="18"/>
                <w:b w:val="1"/>
                <w:bCs w:val="1"/>
                <w:color w:val="auto"/>
              </w:rPr>
              <w:t>Cherokee Facility</w:t>
            </w:r>
          </w:p>
        </w:tc>
        <w:tc>
          <w:tcPr>
            <w:tcW w:w="8960" w:type="dxa"/>
            <w:vAlign w:val="bottom"/>
          </w:tcPr>
          <w:p>
            <w:pPr>
              <w:ind w:left="900"/>
              <w:spacing w:after="0"/>
              <w:rPr>
                <w:sz w:val="20"/>
                <w:szCs w:val="20"/>
                <w:color w:val="auto"/>
              </w:rPr>
            </w:pPr>
            <w:r>
              <w:rPr>
                <w:rFonts w:ascii="Arial" w:cs="Arial" w:eastAsia="Arial" w:hAnsi="Arial"/>
                <w:sz w:val="18"/>
                <w:szCs w:val="18"/>
                <w:color w:val="auto"/>
              </w:rPr>
              <w:t>- Our chemical production facility located in Cherokee, Alabama.</w:t>
            </w:r>
          </w:p>
        </w:tc>
      </w:tr>
      <w:tr>
        <w:trPr>
          <w:trHeight w:val="473"/>
        </w:trPr>
        <w:tc>
          <w:tcPr>
            <w:tcW w:w="2280" w:type="dxa"/>
            <w:vAlign w:val="bottom"/>
          </w:tcPr>
          <w:p>
            <w:pPr>
              <w:spacing w:after="0"/>
              <w:rPr>
                <w:sz w:val="24"/>
                <w:szCs w:val="24"/>
                <w:color w:val="auto"/>
              </w:rPr>
            </w:pPr>
          </w:p>
        </w:tc>
        <w:tc>
          <w:tcPr>
            <w:tcW w:w="8960" w:type="dxa"/>
            <w:vAlign w:val="bottom"/>
          </w:tcPr>
          <w:p>
            <w:pPr>
              <w:ind w:left="3260"/>
              <w:spacing w:after="0"/>
              <w:rPr>
                <w:sz w:val="20"/>
                <w:szCs w:val="20"/>
                <w:color w:val="auto"/>
              </w:rPr>
            </w:pPr>
            <w:r>
              <w:rPr>
                <w:rFonts w:ascii="Arial" w:cs="Arial" w:eastAsia="Arial" w:hAnsi="Arial"/>
                <w:sz w:val="18"/>
                <w:szCs w:val="18"/>
                <w:color w:val="auto"/>
              </w:rPr>
              <w:t>40</w:t>
            </w:r>
          </w:p>
        </w:tc>
      </w:tr>
      <w:tr>
        <w:trPr>
          <w:trHeight w:val="115"/>
        </w:trPr>
        <w:tc>
          <w:tcPr>
            <w:tcW w:w="2280" w:type="dxa"/>
            <w:vAlign w:val="bottom"/>
            <w:tcBorders>
              <w:bottom w:val="single" w:sz="8" w:color="9A9A9A"/>
            </w:tcBorders>
          </w:tcPr>
          <w:p>
            <w:pPr>
              <w:spacing w:after="0"/>
              <w:rPr>
                <w:sz w:val="10"/>
                <w:szCs w:val="10"/>
                <w:color w:val="auto"/>
              </w:rPr>
            </w:pPr>
          </w:p>
        </w:tc>
        <w:tc>
          <w:tcPr>
            <w:tcW w:w="8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Chevron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Covestro</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ECU</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 Dorado Facility</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and Health Laws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FASB</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Golsen Holders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Hallowell Facility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HDAN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Loan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Loan Period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KDHE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LDAN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Leidos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LSB</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LSB Funding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MD&amp;A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Notes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NPDES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ODEQ</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PCC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PP&amp;E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PPP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Pryor Facility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SBA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Financing due 2023</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Secured Loan Agreement due 2025</w:t>
      </w:r>
    </w:p>
    <w:p>
      <w:pPr>
        <w:spacing w:after="0" w:line="289" w:lineRule="exact"/>
        <w:rPr>
          <w:sz w:val="20"/>
          <w:szCs w:val="20"/>
          <w:color w:val="auto"/>
        </w:rPr>
      </w:pPr>
    </w:p>
    <w:p>
      <w:pPr>
        <w:ind w:right="20"/>
        <w:spacing w:after="0" w:line="442" w:lineRule="auto"/>
        <w:rPr>
          <w:sz w:val="20"/>
          <w:szCs w:val="20"/>
          <w:color w:val="auto"/>
        </w:rPr>
      </w:pPr>
      <w:r>
        <w:rPr>
          <w:rFonts w:ascii="Arial" w:cs="Arial" w:eastAsia="Arial" w:hAnsi="Arial"/>
          <w:sz w:val="15"/>
          <w:szCs w:val="15"/>
          <w:b w:val="1"/>
          <w:bCs w:val="1"/>
          <w:color w:val="auto"/>
        </w:rPr>
        <w:t>Secured Promissory Note due 2021 Secured Promissory Note due 2023</w:t>
      </w:r>
    </w:p>
    <w:p>
      <w:pPr>
        <w:spacing w:after="0" w:line="20" w:lineRule="exact"/>
        <w:rPr>
          <w:sz w:val="20"/>
          <w:szCs w:val="20"/>
          <w:color w:val="auto"/>
        </w:rPr>
      </w:pPr>
      <w:r>
        <w:rPr>
          <w:sz w:val="20"/>
          <w:szCs w:val="20"/>
          <w:color w:val="auto"/>
        </w:rPr>
        <w:br w:type="column"/>
      </w: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Chevron Environmental Management Company.</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coronavirus.</w:t>
      </w:r>
    </w:p>
    <w:p>
      <w:pPr>
        <w:spacing w:after="0" w:line="49" w:lineRule="exact"/>
        <w:rPr>
          <w:rFonts w:ascii="Arial" w:cs="Arial" w:eastAsia="Arial" w:hAnsi="Arial"/>
          <w:sz w:val="18"/>
          <w:szCs w:val="18"/>
          <w:color w:val="auto"/>
        </w:rPr>
      </w:pPr>
    </w:p>
    <w:p>
      <w:pPr>
        <w:ind w:left="96" w:right="20" w:hanging="96"/>
        <w:spacing w:after="0" w:line="273" w:lineRule="auto"/>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party with whom our subsidiary in Baytown has entered into an agreement for supply of nitric acid through at least October 2021, the Covestro Agreement.</w:t>
      </w:r>
    </w:p>
    <w:p>
      <w:pPr>
        <w:spacing w:after="0" w:line="1"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Environmental Use Control.</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 Dorado Ammonia L.L.C.</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 Dorado Chemical Company.</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chemical production facility located in El Dorado, Arkansas.</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Numerous federal, state and local environmental, health and safety laws.</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Accounting Standards Board.</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springing financial covenants associated with the working capital revolver loan.</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U. S. Generally Accepted Accounting Principles.</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7"/>
          <w:szCs w:val="17"/>
          <w:color w:val="auto"/>
        </w:rPr>
      </w:pPr>
      <w:r>
        <w:rPr>
          <w:rFonts w:ascii="Arial" w:cs="Arial" w:eastAsia="Arial" w:hAnsi="Arial"/>
          <w:sz w:val="17"/>
          <w:szCs w:val="17"/>
          <w:color w:val="auto"/>
        </w:rPr>
        <w:t>Global Industrial, Inc., a subcontractor asserting mechanics liens for work rendered to LSB and EDC.</w:t>
      </w:r>
    </w:p>
    <w:p>
      <w:pPr>
        <w:spacing w:after="0" w:line="61" w:lineRule="exact"/>
        <w:rPr>
          <w:rFonts w:ascii="Arial" w:cs="Arial" w:eastAsia="Arial" w:hAnsi="Arial"/>
          <w:sz w:val="17"/>
          <w:szCs w:val="17"/>
          <w:color w:val="auto"/>
        </w:rPr>
      </w:pPr>
    </w:p>
    <w:p>
      <w:pPr>
        <w:ind w:left="96" w:right="20" w:hanging="96"/>
        <w:spacing w:after="0" w:line="290" w:lineRule="auto"/>
        <w:tabs>
          <w:tab w:leader="none" w:pos="96" w:val="left"/>
        </w:tabs>
        <w:numPr>
          <w:ilvl w:val="0"/>
          <w:numId w:val="27"/>
        </w:numPr>
        <w:rPr>
          <w:rFonts w:ascii="Arial" w:cs="Arial" w:eastAsia="Arial" w:hAnsi="Arial"/>
          <w:sz w:val="17"/>
          <w:szCs w:val="17"/>
          <w:color w:val="auto"/>
        </w:rPr>
      </w:pPr>
      <w:r>
        <w:rPr>
          <w:rFonts w:ascii="Arial" w:cs="Arial" w:eastAsia="Arial" w:hAnsi="Arial"/>
          <w:sz w:val="17"/>
          <w:szCs w:val="17"/>
          <w:color w:val="auto"/>
        </w:rPr>
        <w:t>Jack E. Golsen, our Executive Chairman of the Board, and Barry H. Golsen, a member of the Board, entities owned by them and trusts for which they possess voting or dispositive power as trustee.</w:t>
      </w: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chemical facility previously owned by two of our subsidiaries located in Kansas.</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 density ammonium nitrate prills used in the agricultural industry.</w:t>
      </w:r>
    </w:p>
    <w:p>
      <w:pPr>
        <w:spacing w:after="0" w:line="49" w:lineRule="exact"/>
        <w:rPr>
          <w:rFonts w:ascii="Arial" w:cs="Arial" w:eastAsia="Arial" w:hAnsi="Arial"/>
          <w:sz w:val="18"/>
          <w:szCs w:val="18"/>
          <w:color w:val="auto"/>
        </w:rPr>
      </w:pPr>
    </w:p>
    <w:p>
      <w:pPr>
        <w:ind w:left="96" w:right="20" w:hanging="96"/>
        <w:spacing w:after="0" w:line="273" w:lineRule="auto"/>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loan agreement between EDC and a lender, which had borrowing availability for the construction of certain equipment.</w:t>
      </w:r>
    </w:p>
    <w:p>
      <w:pPr>
        <w:spacing w:after="0" w:line="1"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time period covered by the Interim Loan for certain equipment construction between EDC and a lender.</w:t>
      </w:r>
    </w:p>
    <w:p>
      <w:pPr>
        <w:spacing w:after="0" w:line="72" w:lineRule="exact"/>
        <w:rPr>
          <w:rFonts w:ascii="Arial" w:cs="Arial" w:eastAsia="Arial" w:hAnsi="Arial"/>
          <w:sz w:val="16"/>
          <w:szCs w:val="16"/>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Kansas Department of Health and Environment.</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 density ammonium nitrate prills used in the mining industry.</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Leidos Constructors L.L.C.</w:t>
      </w:r>
    </w:p>
    <w:p>
      <w:pPr>
        <w:spacing w:after="0" w:line="49" w:lineRule="exact"/>
        <w:rPr>
          <w:rFonts w:ascii="Arial" w:cs="Arial" w:eastAsia="Arial" w:hAnsi="Arial"/>
          <w:sz w:val="18"/>
          <w:szCs w:val="18"/>
          <w:color w:val="auto"/>
        </w:rPr>
      </w:pPr>
    </w:p>
    <w:p>
      <w:pPr>
        <w:ind w:left="96" w:hanging="96"/>
        <w:spacing w:after="0" w:line="273" w:lineRule="auto"/>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Series E Redeemable Preferred liquidation preference of $1,000 per share plus accrued and unpaid dividends plus the participation rights value.</w:t>
      </w:r>
    </w:p>
    <w:p>
      <w:pPr>
        <w:spacing w:after="0" w:line="1"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LSB Industries, Inc.</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LSB Funding L.L.C.</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notes issued on June 21, 2019 with an interest rate of 9.625%, which mature in May 2023.</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note in the accompanying notes to the condensed consolidated financial statements.</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notes issued on April 28, 2018 with an interest rate of 9.625%, which mature in May 2023.</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National Pollutant Discharge Elimination System.</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Oklahoma Department of Environmental Quality.</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Permit Appeal Resolution.</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Pryor Chemical Company.</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Plant, property and equipment.</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Paycheck Protection Program.</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chemical production facility located in Pryor, Oklahoma.</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LSB Funding L.L.C.</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Small Business Administration</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U.S. Securities and Exchange Commission.</w:t>
      </w:r>
    </w:p>
    <w:p>
      <w:pPr>
        <w:spacing w:after="0" w:line="49" w:lineRule="exact"/>
        <w:rPr>
          <w:rFonts w:ascii="Arial" w:cs="Arial" w:eastAsia="Arial" w:hAnsi="Arial"/>
          <w:sz w:val="18"/>
          <w:szCs w:val="18"/>
          <w:color w:val="auto"/>
        </w:rPr>
      </w:pPr>
    </w:p>
    <w:p>
      <w:pPr>
        <w:ind w:left="96" w:hanging="96"/>
        <w:spacing w:after="0" w:line="273" w:lineRule="auto"/>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secured financing agreement between EDC and an affiliate of LSB Funding L.L.C. which matures in June 2023.</w:t>
      </w:r>
    </w:p>
    <w:p>
      <w:pPr>
        <w:spacing w:after="0" w:line="1" w:lineRule="exact"/>
        <w:rPr>
          <w:rFonts w:ascii="Arial" w:cs="Arial" w:eastAsia="Arial" w:hAnsi="Arial"/>
          <w:sz w:val="18"/>
          <w:szCs w:val="18"/>
          <w:color w:val="auto"/>
        </w:rPr>
      </w:pPr>
    </w:p>
    <w:p>
      <w:pPr>
        <w:ind w:left="96" w:right="20" w:hanging="96"/>
        <w:spacing w:after="0" w:line="273" w:lineRule="auto"/>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secured loan agreement between EDC and an affiliate of LSB Funding L.L.C. which matures in March 2025.</w:t>
      </w:r>
    </w:p>
    <w:p>
      <w:pPr>
        <w:spacing w:after="0" w:line="1"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secured promissory note between EDC and a lender which matures in March 2021.</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secured promissory note between EDA and a lender which matures in May 2023.</w:t>
      </w:r>
    </w:p>
    <w:p>
      <w:pPr>
        <w:spacing w:after="0" w:line="266" w:lineRule="exact"/>
        <w:rPr>
          <w:sz w:val="20"/>
          <w:szCs w:val="20"/>
          <w:color w:val="auto"/>
        </w:rPr>
      </w:pPr>
    </w:p>
    <w:p>
      <w:pPr>
        <w:ind w:left="2356"/>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-2016125</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700" w:space="484"/>
            <w:col w:w="8056"/>
          </w:cols>
          <w:pgMar w:left="320" w:top="337"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20"/>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Senior Secured Notes</w:t>
            </w:r>
          </w:p>
        </w:tc>
        <w:tc>
          <w:tcPr>
            <w:tcW w:w="8400" w:type="dxa"/>
            <w:vAlign w:val="bottom"/>
          </w:tcPr>
          <w:p>
            <w:pPr>
              <w:ind w:left="340"/>
              <w:spacing w:after="0"/>
              <w:rPr>
                <w:sz w:val="20"/>
                <w:szCs w:val="20"/>
                <w:color w:val="auto"/>
              </w:rPr>
            </w:pPr>
            <w:r>
              <w:rPr>
                <w:rFonts w:ascii="Arial" w:cs="Arial" w:eastAsia="Arial" w:hAnsi="Arial"/>
                <w:sz w:val="18"/>
                <w:szCs w:val="18"/>
                <w:color w:val="auto"/>
              </w:rPr>
              <w:t>- The Notes and New Notes, taken together due on May 1, 2023 with a stated interest rate of</w:t>
            </w:r>
          </w:p>
        </w:tc>
      </w:tr>
      <w:tr>
        <w:trPr>
          <w:trHeight w:val="230"/>
        </w:trPr>
        <w:tc>
          <w:tcPr>
            <w:tcW w:w="2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0" w:type="dxa"/>
            <w:vAlign w:val="bottom"/>
          </w:tcPr>
          <w:p>
            <w:pPr>
              <w:ind w:left="440"/>
              <w:spacing w:after="0"/>
              <w:rPr>
                <w:sz w:val="20"/>
                <w:szCs w:val="20"/>
                <w:color w:val="auto"/>
              </w:rPr>
            </w:pPr>
            <w:r>
              <w:rPr>
                <w:rFonts w:ascii="Arial" w:cs="Arial" w:eastAsia="Arial" w:hAnsi="Arial"/>
                <w:sz w:val="18"/>
                <w:szCs w:val="18"/>
                <w:color w:val="auto"/>
              </w:rPr>
              <w:t>9.625%.</w:t>
            </w:r>
          </w:p>
        </w:tc>
      </w:tr>
      <w:tr>
        <w:trPr>
          <w:trHeight w:val="257"/>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Series B Preferred</w:t>
            </w:r>
          </w:p>
        </w:tc>
        <w:tc>
          <w:tcPr>
            <w:tcW w:w="8400" w:type="dxa"/>
            <w:vAlign w:val="bottom"/>
          </w:tcPr>
          <w:p>
            <w:pPr>
              <w:ind w:left="340"/>
              <w:spacing w:after="0"/>
              <w:rPr>
                <w:sz w:val="20"/>
                <w:szCs w:val="20"/>
                <w:color w:val="auto"/>
              </w:rPr>
            </w:pPr>
            <w:r>
              <w:rPr>
                <w:rFonts w:ascii="Arial" w:cs="Arial" w:eastAsia="Arial" w:hAnsi="Arial"/>
                <w:sz w:val="18"/>
                <w:szCs w:val="18"/>
                <w:color w:val="auto"/>
              </w:rPr>
              <w:t>- The Series B 12% cumulative convertible Class C Preferred stock.</w:t>
            </w:r>
          </w:p>
        </w:tc>
      </w:tr>
      <w:tr>
        <w:trPr>
          <w:trHeight w:val="257"/>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Series D Preferred</w:t>
            </w:r>
          </w:p>
        </w:tc>
        <w:tc>
          <w:tcPr>
            <w:tcW w:w="8400" w:type="dxa"/>
            <w:vAlign w:val="bottom"/>
          </w:tcPr>
          <w:p>
            <w:pPr>
              <w:ind w:left="340"/>
              <w:spacing w:after="0"/>
              <w:rPr>
                <w:sz w:val="20"/>
                <w:szCs w:val="20"/>
                <w:color w:val="auto"/>
              </w:rPr>
            </w:pPr>
            <w:r>
              <w:rPr>
                <w:rFonts w:ascii="Arial" w:cs="Arial" w:eastAsia="Arial" w:hAnsi="Arial"/>
                <w:sz w:val="18"/>
                <w:szCs w:val="18"/>
                <w:color w:val="auto"/>
              </w:rPr>
              <w:t>- The Series D 6% cumulative convertible Class C preferred stock.</w:t>
            </w:r>
          </w:p>
        </w:tc>
      </w:tr>
      <w:tr>
        <w:trPr>
          <w:trHeight w:val="242"/>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Series E Redeemable Preferred</w:t>
            </w:r>
          </w:p>
        </w:tc>
        <w:tc>
          <w:tcPr>
            <w:tcW w:w="8400" w:type="dxa"/>
            <w:vAlign w:val="bottom"/>
          </w:tcPr>
          <w:p>
            <w:pPr>
              <w:ind w:left="340"/>
              <w:spacing w:after="0"/>
              <w:rPr>
                <w:sz w:val="20"/>
                <w:szCs w:val="20"/>
                <w:color w:val="auto"/>
              </w:rPr>
            </w:pPr>
            <w:r>
              <w:rPr>
                <w:rFonts w:ascii="Arial" w:cs="Arial" w:eastAsia="Arial" w:hAnsi="Arial"/>
                <w:sz w:val="18"/>
                <w:szCs w:val="18"/>
                <w:color w:val="auto"/>
                <w:w w:val="91"/>
              </w:rPr>
              <w:t>- The 14% Series E Redeemable Preferred stock with participating rights and liquidating distributions based on</w:t>
            </w:r>
          </w:p>
        </w:tc>
      </w:tr>
      <w:tr>
        <w:trPr>
          <w:trHeight w:val="230"/>
        </w:trPr>
        <w:tc>
          <w:tcPr>
            <w:tcW w:w="2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0" w:type="dxa"/>
            <w:vAlign w:val="bottom"/>
          </w:tcPr>
          <w:p>
            <w:pPr>
              <w:ind w:left="440"/>
              <w:spacing w:after="0"/>
              <w:rPr>
                <w:sz w:val="20"/>
                <w:szCs w:val="20"/>
                <w:color w:val="auto"/>
              </w:rPr>
            </w:pPr>
            <w:r>
              <w:rPr>
                <w:rFonts w:ascii="Arial" w:cs="Arial" w:eastAsia="Arial" w:hAnsi="Arial"/>
                <w:sz w:val="18"/>
                <w:szCs w:val="18"/>
                <w:color w:val="auto"/>
              </w:rPr>
              <w:t>a certain number of shares of our common stock.</w:t>
            </w:r>
          </w:p>
        </w:tc>
      </w:tr>
      <w:tr>
        <w:trPr>
          <w:trHeight w:val="242"/>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Series F Redeemable Preferred</w:t>
            </w:r>
          </w:p>
        </w:tc>
        <w:tc>
          <w:tcPr>
            <w:tcW w:w="8400" w:type="dxa"/>
            <w:vAlign w:val="bottom"/>
          </w:tcPr>
          <w:p>
            <w:pPr>
              <w:ind w:left="340"/>
              <w:spacing w:after="0"/>
              <w:rPr>
                <w:sz w:val="20"/>
                <w:szCs w:val="20"/>
                <w:color w:val="auto"/>
              </w:rPr>
            </w:pPr>
            <w:r>
              <w:rPr>
                <w:rFonts w:ascii="Arial" w:cs="Arial" w:eastAsia="Arial" w:hAnsi="Arial"/>
                <w:sz w:val="18"/>
                <w:szCs w:val="18"/>
                <w:color w:val="auto"/>
                <w:w w:val="94"/>
              </w:rPr>
              <w:t>- The Series F Redeemable Preferred stock with one share to vote as a single class on all matters with our</w:t>
            </w:r>
          </w:p>
        </w:tc>
      </w:tr>
      <w:tr>
        <w:trPr>
          <w:trHeight w:val="230"/>
        </w:trPr>
        <w:tc>
          <w:tcPr>
            <w:tcW w:w="2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0" w:type="dxa"/>
            <w:vAlign w:val="bottom"/>
          </w:tcPr>
          <w:p>
            <w:pPr>
              <w:ind w:left="440"/>
              <w:spacing w:after="0"/>
              <w:rPr>
                <w:sz w:val="20"/>
                <w:szCs w:val="20"/>
                <w:color w:val="auto"/>
              </w:rPr>
            </w:pPr>
            <w:r>
              <w:rPr>
                <w:rFonts w:ascii="Arial" w:cs="Arial" w:eastAsia="Arial" w:hAnsi="Arial"/>
                <w:sz w:val="18"/>
                <w:szCs w:val="18"/>
                <w:color w:val="auto"/>
              </w:rPr>
              <w:t>common stock equal to 456,225 shares of our common stock.</w:t>
            </w:r>
          </w:p>
        </w:tc>
      </w:tr>
      <w:tr>
        <w:trPr>
          <w:trHeight w:val="256"/>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SG&amp;A</w:t>
            </w:r>
          </w:p>
        </w:tc>
        <w:tc>
          <w:tcPr>
            <w:tcW w:w="8400" w:type="dxa"/>
            <w:vAlign w:val="bottom"/>
          </w:tcPr>
          <w:p>
            <w:pPr>
              <w:ind w:left="340"/>
              <w:spacing w:after="0"/>
              <w:rPr>
                <w:sz w:val="20"/>
                <w:szCs w:val="20"/>
                <w:color w:val="auto"/>
              </w:rPr>
            </w:pPr>
            <w:r>
              <w:rPr>
                <w:rFonts w:ascii="Arial" w:cs="Arial" w:eastAsia="Arial" w:hAnsi="Arial"/>
                <w:sz w:val="18"/>
                <w:szCs w:val="18"/>
                <w:color w:val="auto"/>
              </w:rPr>
              <w:t>- Selling, general and administrative expense.</w:t>
            </w:r>
          </w:p>
        </w:tc>
      </w:tr>
      <w:tr>
        <w:trPr>
          <w:trHeight w:val="257"/>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Turnaround</w:t>
            </w:r>
          </w:p>
        </w:tc>
        <w:tc>
          <w:tcPr>
            <w:tcW w:w="8400" w:type="dxa"/>
            <w:vAlign w:val="bottom"/>
          </w:tcPr>
          <w:p>
            <w:pPr>
              <w:ind w:left="340"/>
              <w:spacing w:after="0"/>
              <w:rPr>
                <w:sz w:val="20"/>
                <w:szCs w:val="20"/>
                <w:color w:val="auto"/>
              </w:rPr>
            </w:pPr>
            <w:r>
              <w:rPr>
                <w:rFonts w:ascii="Arial" w:cs="Arial" w:eastAsia="Arial" w:hAnsi="Arial"/>
                <w:sz w:val="18"/>
                <w:szCs w:val="18"/>
                <w:color w:val="auto"/>
              </w:rPr>
              <w:t>- A planned major maintenance activity.</w:t>
            </w:r>
          </w:p>
        </w:tc>
      </w:tr>
      <w:tr>
        <w:trPr>
          <w:trHeight w:val="257"/>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UAN</w:t>
            </w:r>
          </w:p>
        </w:tc>
        <w:tc>
          <w:tcPr>
            <w:tcW w:w="8400" w:type="dxa"/>
            <w:vAlign w:val="bottom"/>
          </w:tcPr>
          <w:p>
            <w:pPr>
              <w:ind w:left="340"/>
              <w:spacing w:after="0"/>
              <w:rPr>
                <w:sz w:val="20"/>
                <w:szCs w:val="20"/>
                <w:color w:val="auto"/>
              </w:rPr>
            </w:pPr>
            <w:r>
              <w:rPr>
                <w:rFonts w:ascii="Arial" w:cs="Arial" w:eastAsia="Arial" w:hAnsi="Arial"/>
                <w:sz w:val="18"/>
                <w:szCs w:val="18"/>
                <w:color w:val="auto"/>
              </w:rPr>
              <w:t>- Urea ammonium nitrate.</w:t>
            </w:r>
          </w:p>
        </w:tc>
      </w:tr>
      <w:tr>
        <w:trPr>
          <w:trHeight w:val="257"/>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U.S.</w:t>
            </w:r>
          </w:p>
        </w:tc>
        <w:tc>
          <w:tcPr>
            <w:tcW w:w="8400" w:type="dxa"/>
            <w:vAlign w:val="bottom"/>
          </w:tcPr>
          <w:p>
            <w:pPr>
              <w:ind w:left="340"/>
              <w:spacing w:after="0"/>
              <w:rPr>
                <w:sz w:val="20"/>
                <w:szCs w:val="20"/>
                <w:color w:val="auto"/>
              </w:rPr>
            </w:pPr>
            <w:r>
              <w:rPr>
                <w:rFonts w:ascii="Arial" w:cs="Arial" w:eastAsia="Arial" w:hAnsi="Arial"/>
                <w:sz w:val="18"/>
                <w:szCs w:val="18"/>
                <w:color w:val="auto"/>
              </w:rPr>
              <w:t>- United States.</w:t>
            </w:r>
          </w:p>
        </w:tc>
      </w:tr>
      <w:tr>
        <w:trPr>
          <w:trHeight w:val="256"/>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USDA</w:t>
            </w:r>
          </w:p>
        </w:tc>
        <w:tc>
          <w:tcPr>
            <w:tcW w:w="8400" w:type="dxa"/>
            <w:vAlign w:val="bottom"/>
          </w:tcPr>
          <w:p>
            <w:pPr>
              <w:ind w:left="340"/>
              <w:spacing w:after="0"/>
              <w:rPr>
                <w:sz w:val="20"/>
                <w:szCs w:val="20"/>
                <w:color w:val="auto"/>
              </w:rPr>
            </w:pPr>
            <w:r>
              <w:rPr>
                <w:rFonts w:ascii="Arial" w:cs="Arial" w:eastAsia="Arial" w:hAnsi="Arial"/>
                <w:sz w:val="18"/>
                <w:szCs w:val="18"/>
                <w:color w:val="auto"/>
              </w:rPr>
              <w:t>- United States Department of Agriculture.</w:t>
            </w:r>
          </w:p>
        </w:tc>
      </w:tr>
      <w:tr>
        <w:trPr>
          <w:trHeight w:val="257"/>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WASDE</w:t>
            </w:r>
          </w:p>
        </w:tc>
        <w:tc>
          <w:tcPr>
            <w:tcW w:w="8400" w:type="dxa"/>
            <w:vAlign w:val="bottom"/>
          </w:tcPr>
          <w:p>
            <w:pPr>
              <w:ind w:left="340"/>
              <w:spacing w:after="0"/>
              <w:rPr>
                <w:sz w:val="20"/>
                <w:szCs w:val="20"/>
                <w:color w:val="auto"/>
              </w:rPr>
            </w:pPr>
            <w:r>
              <w:rPr>
                <w:rFonts w:ascii="Arial" w:cs="Arial" w:eastAsia="Arial" w:hAnsi="Arial"/>
                <w:sz w:val="18"/>
                <w:szCs w:val="18"/>
                <w:color w:val="auto"/>
              </w:rPr>
              <w:t>- World Agricultural Supply and Demand Estimates Report.</w:t>
            </w:r>
          </w:p>
        </w:tc>
      </w:tr>
      <w:tr>
        <w:trPr>
          <w:trHeight w:val="257"/>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West Fertilizer</w:t>
            </w:r>
          </w:p>
        </w:tc>
        <w:tc>
          <w:tcPr>
            <w:tcW w:w="8400" w:type="dxa"/>
            <w:vAlign w:val="bottom"/>
          </w:tcPr>
          <w:p>
            <w:pPr>
              <w:ind w:left="340"/>
              <w:spacing w:after="0"/>
              <w:rPr>
                <w:sz w:val="20"/>
                <w:szCs w:val="20"/>
                <w:color w:val="auto"/>
              </w:rPr>
            </w:pPr>
            <w:r>
              <w:rPr>
                <w:rFonts w:ascii="Arial" w:cs="Arial" w:eastAsia="Arial" w:hAnsi="Arial"/>
                <w:sz w:val="18"/>
                <w:szCs w:val="18"/>
                <w:color w:val="auto"/>
              </w:rPr>
              <w:t>- West Fertilizer Company.</w:t>
            </w:r>
          </w:p>
        </w:tc>
      </w:tr>
      <w:tr>
        <w:trPr>
          <w:trHeight w:val="257"/>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Working Capital Revolver Loan</w:t>
            </w:r>
          </w:p>
        </w:tc>
        <w:tc>
          <w:tcPr>
            <w:tcW w:w="8400" w:type="dxa"/>
            <w:vAlign w:val="bottom"/>
          </w:tcPr>
          <w:p>
            <w:pPr>
              <w:ind w:left="340"/>
              <w:spacing w:after="0"/>
              <w:rPr>
                <w:sz w:val="20"/>
                <w:szCs w:val="20"/>
                <w:color w:val="auto"/>
              </w:rPr>
            </w:pPr>
            <w:r>
              <w:rPr>
                <w:rFonts w:ascii="Arial" w:cs="Arial" w:eastAsia="Arial" w:hAnsi="Arial"/>
                <w:sz w:val="18"/>
                <w:szCs w:val="18"/>
                <w:color w:val="auto"/>
              </w:rPr>
              <w:t>- Our secured revolving credit facility.</w:t>
            </w:r>
          </w:p>
        </w:tc>
      </w:tr>
      <w:tr>
        <w:trPr>
          <w:trHeight w:val="242"/>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2019 Crop</w:t>
            </w:r>
          </w:p>
        </w:tc>
        <w:tc>
          <w:tcPr>
            <w:tcW w:w="8400" w:type="dxa"/>
            <w:vAlign w:val="bottom"/>
          </w:tcPr>
          <w:p>
            <w:pPr>
              <w:ind w:left="340"/>
              <w:spacing w:after="0"/>
              <w:rPr>
                <w:sz w:val="20"/>
                <w:szCs w:val="20"/>
                <w:color w:val="auto"/>
              </w:rPr>
            </w:pPr>
            <w:r>
              <w:rPr>
                <w:rFonts w:ascii="Arial" w:cs="Arial" w:eastAsia="Arial" w:hAnsi="Arial"/>
                <w:sz w:val="18"/>
                <w:szCs w:val="18"/>
                <w:color w:val="auto"/>
                <w:w w:val="92"/>
              </w:rPr>
              <w:t>- Corn crop marketing year (September 1 - August 31), which began in 2018 and ended in 2019 and primarily</w:t>
            </w:r>
          </w:p>
        </w:tc>
      </w:tr>
      <w:tr>
        <w:trPr>
          <w:trHeight w:val="230"/>
        </w:trPr>
        <w:tc>
          <w:tcPr>
            <w:tcW w:w="2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0" w:type="dxa"/>
            <w:vAlign w:val="bottom"/>
          </w:tcPr>
          <w:p>
            <w:pPr>
              <w:ind w:left="440"/>
              <w:spacing w:after="0"/>
              <w:rPr>
                <w:sz w:val="20"/>
                <w:szCs w:val="20"/>
                <w:color w:val="auto"/>
              </w:rPr>
            </w:pPr>
            <w:r>
              <w:rPr>
                <w:rFonts w:ascii="Arial" w:cs="Arial" w:eastAsia="Arial" w:hAnsi="Arial"/>
                <w:sz w:val="18"/>
                <w:szCs w:val="18"/>
                <w:color w:val="auto"/>
              </w:rPr>
              <w:t>relates to corn planted and harvested in 2018.</w:t>
            </w:r>
          </w:p>
        </w:tc>
      </w:tr>
      <w:tr>
        <w:trPr>
          <w:trHeight w:val="242"/>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2020 Crop</w:t>
            </w:r>
          </w:p>
        </w:tc>
        <w:tc>
          <w:tcPr>
            <w:tcW w:w="8400" w:type="dxa"/>
            <w:vAlign w:val="bottom"/>
          </w:tcPr>
          <w:p>
            <w:pPr>
              <w:ind w:left="340"/>
              <w:spacing w:after="0"/>
              <w:rPr>
                <w:sz w:val="20"/>
                <w:szCs w:val="20"/>
                <w:color w:val="auto"/>
              </w:rPr>
            </w:pPr>
            <w:r>
              <w:rPr>
                <w:rFonts w:ascii="Arial" w:cs="Arial" w:eastAsia="Arial" w:hAnsi="Arial"/>
                <w:sz w:val="18"/>
                <w:szCs w:val="18"/>
                <w:color w:val="auto"/>
                <w:w w:val="99"/>
              </w:rPr>
              <w:t>- Corn crop marketing year (September 1 - August 31), which began in 2019 and will end in 2020 and</w:t>
            </w:r>
          </w:p>
        </w:tc>
      </w:tr>
      <w:tr>
        <w:trPr>
          <w:trHeight w:val="230"/>
        </w:trPr>
        <w:tc>
          <w:tcPr>
            <w:tcW w:w="2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0" w:type="dxa"/>
            <w:vAlign w:val="bottom"/>
          </w:tcPr>
          <w:p>
            <w:pPr>
              <w:ind w:left="440"/>
              <w:spacing w:after="0"/>
              <w:rPr>
                <w:sz w:val="20"/>
                <w:szCs w:val="20"/>
                <w:color w:val="auto"/>
              </w:rPr>
            </w:pPr>
            <w:r>
              <w:rPr>
                <w:rFonts w:ascii="Arial" w:cs="Arial" w:eastAsia="Arial" w:hAnsi="Arial"/>
                <w:sz w:val="18"/>
                <w:szCs w:val="18"/>
                <w:color w:val="auto"/>
              </w:rPr>
              <w:t>primarily relates to corn planted and harvested in 2019.</w:t>
            </w:r>
          </w:p>
        </w:tc>
      </w:tr>
      <w:tr>
        <w:trPr>
          <w:trHeight w:val="242"/>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2021 Crop</w:t>
            </w:r>
          </w:p>
        </w:tc>
        <w:tc>
          <w:tcPr>
            <w:tcW w:w="8400" w:type="dxa"/>
            <w:vAlign w:val="bottom"/>
          </w:tcPr>
          <w:p>
            <w:pPr>
              <w:ind w:left="340"/>
              <w:spacing w:after="0"/>
              <w:rPr>
                <w:sz w:val="20"/>
                <w:szCs w:val="20"/>
                <w:color w:val="auto"/>
              </w:rPr>
            </w:pPr>
            <w:r>
              <w:rPr>
                <w:rFonts w:ascii="Arial" w:cs="Arial" w:eastAsia="Arial" w:hAnsi="Arial"/>
                <w:sz w:val="18"/>
                <w:szCs w:val="18"/>
                <w:color w:val="auto"/>
                <w:w w:val="99"/>
              </w:rPr>
              <w:t>- Corn crop marketing year (September 1 - August 31), which began in 2020 and will end in 2021 and</w:t>
            </w:r>
          </w:p>
        </w:tc>
      </w:tr>
      <w:tr>
        <w:trPr>
          <w:trHeight w:val="230"/>
        </w:trPr>
        <w:tc>
          <w:tcPr>
            <w:tcW w:w="2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0" w:type="dxa"/>
            <w:vAlign w:val="bottom"/>
          </w:tcPr>
          <w:p>
            <w:pPr>
              <w:ind w:left="440"/>
              <w:spacing w:after="0"/>
              <w:rPr>
                <w:sz w:val="20"/>
                <w:szCs w:val="20"/>
                <w:color w:val="auto"/>
              </w:rPr>
            </w:pPr>
            <w:r>
              <w:rPr>
                <w:rFonts w:ascii="Arial" w:cs="Arial" w:eastAsia="Arial" w:hAnsi="Arial"/>
                <w:sz w:val="18"/>
                <w:szCs w:val="18"/>
                <w:color w:val="auto"/>
              </w:rPr>
              <w:t>primarily relates to corn planted and harvested in 2020.</w:t>
            </w:r>
          </w:p>
        </w:tc>
      </w:tr>
      <w:tr>
        <w:trPr>
          <w:trHeight w:val="414"/>
        </w:trPr>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0" w:type="dxa"/>
            <w:vAlign w:val="bottom"/>
          </w:tcPr>
          <w:p>
            <w:pPr>
              <w:ind w:left="2460"/>
              <w:spacing w:after="0"/>
              <w:rPr>
                <w:sz w:val="20"/>
                <w:szCs w:val="20"/>
                <w:color w:val="auto"/>
              </w:rPr>
            </w:pPr>
            <w:r>
              <w:rPr>
                <w:rFonts w:ascii="Arial" w:cs="Arial" w:eastAsia="Arial" w:hAnsi="Arial"/>
                <w:sz w:val="18"/>
                <w:szCs w:val="18"/>
                <w:b w:val="1"/>
                <w:bCs w:val="1"/>
                <w:color w:val="auto"/>
              </w:rPr>
              <w:t>PART II</w:t>
            </w:r>
          </w:p>
        </w:tc>
      </w:tr>
      <w:tr>
        <w:trPr>
          <w:trHeight w:val="234"/>
        </w:trPr>
        <w:tc>
          <w:tcPr>
            <w:tcW w:w="2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0" w:type="dxa"/>
            <w:vAlign w:val="bottom"/>
          </w:tcPr>
          <w:p>
            <w:pPr>
              <w:ind w:left="1780"/>
              <w:spacing w:after="0"/>
              <w:rPr>
                <w:sz w:val="20"/>
                <w:szCs w:val="20"/>
                <w:color w:val="auto"/>
              </w:rPr>
            </w:pPr>
            <w:r>
              <w:rPr>
                <w:rFonts w:ascii="Arial" w:cs="Arial" w:eastAsia="Arial" w:hAnsi="Arial"/>
                <w:sz w:val="18"/>
                <w:szCs w:val="18"/>
                <w:b w:val="1"/>
                <w:bCs w:val="1"/>
                <w:color w:val="auto"/>
              </w:rPr>
              <w:t>OTHER INFORMATION</w:t>
            </w:r>
          </w:p>
        </w:tc>
      </w:tr>
      <w:tr>
        <w:trPr>
          <w:trHeight w:val="297"/>
        </w:trPr>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Item 1. Legal Proceedings</w:t>
            </w:r>
          </w:p>
        </w:tc>
        <w:tc>
          <w:tcPr>
            <w:tcW w:w="800" w:type="dxa"/>
            <w:vAlign w:val="bottom"/>
          </w:tcPr>
          <w:p>
            <w:pPr>
              <w:spacing w:after="0"/>
              <w:rPr>
                <w:sz w:val="24"/>
                <w:szCs w:val="24"/>
                <w:color w:val="auto"/>
              </w:rPr>
            </w:pPr>
          </w:p>
        </w:tc>
        <w:tc>
          <w:tcPr>
            <w:tcW w:w="8400" w:type="dxa"/>
            <w:vAlign w:val="bottom"/>
          </w:tcPr>
          <w:p>
            <w:pPr>
              <w:spacing w:after="0"/>
              <w:rPr>
                <w:sz w:val="24"/>
                <w:szCs w:val="24"/>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from time to time subject to various legal proceedings and claims arising in the ordinary course of business, including, but not limited to, examinations by the Internal Revenue Service. For further discussion of our legal matters, see “Note 5—Commitments and Contingencies—Legal Matters” in the Notes to the Condensed Consolidated Financial Statements in this Form 10-Q.</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Reference is made to Item 1A of our 2019 Form 10-K, filed with the SEC on February 25, 2020, and our March 31, 2020 Form 10-Q, filed with the SEC on May 7, 2020 for our discussion regarding risk factors. There are no material changes from the risk factors disclosed in our 2019 Form 10-K and March 31, 2020 Form 10-Q, except the following addition to the risk factor styled “</w:t>
      </w:r>
      <w:r>
        <w:rPr>
          <w:rFonts w:ascii="Arial" w:cs="Arial" w:eastAsia="Arial" w:hAnsi="Arial"/>
          <w:sz w:val="18"/>
          <w:szCs w:val="18"/>
          <w:i w:val="1"/>
          <w:iCs w:val="1"/>
          <w:color w:val="auto"/>
        </w:rPr>
        <w:t>Pandemics or disease outbreaks, such as COVID-19, may disrupt our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which could adversely affect our financial performance</w:t>
      </w:r>
      <w:r>
        <w:rPr>
          <w:rFonts w:ascii="Arial" w:cs="Arial" w:eastAsia="Arial" w:hAnsi="Arial"/>
          <w:sz w:val="18"/>
          <w:szCs w:val="18"/>
          <w:color w:val="auto"/>
        </w:rPr>
        <w:t>”:</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Legislative, regulatory, judicial or social influences related to the COVID-19 pandemic may affect our financial performance and our ability to conduct our business.</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an extended period of remote work arrangements due to the COVID-19 pandemic could exacerbate cybersecurity risks. Our business depends on the proper functioning and availability of our information technology platform, including communications and data processing systems. We are also required to effect electronic transmissions with third parties including clients, vendors and others with whom we do business, and with our Board. We believe we have implemented appropriate security measures, controls and procedures to safeguard our information technology systems and to prevent unauthorized access to such systems and any data processed or stored in such systems, and we periodically evaluate and test the adequacy of such systems, measures, controls and procedures and perform third-party risk assessments; however, there can be no guarantee that such systems, measures, controls and procedures will be effective, that we will be able to establish secure capabilities with all of third parties, or that third parties will have appropriate controls in place to protect the confidentiality of our information. Security breaches could expose us to a risk of loss or misuse of our information, litigation and potential liability.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on page 44.</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auto"/>
        </w:rPr>
        <w:t>Index to Exhibits Item</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40" w:type="dxa"/>
            <w:vAlign w:val="bottom"/>
            <w:gridSpan w:val="10"/>
            <w:vMerge w:val="restart"/>
          </w:tcPr>
          <w:p>
            <w:pPr>
              <w:ind w:left="400"/>
              <w:spacing w:after="0"/>
              <w:rPr>
                <w:sz w:val="20"/>
                <w:szCs w:val="20"/>
                <w:color w:val="auto"/>
              </w:rPr>
            </w:pPr>
            <w:r>
              <w:rPr>
                <w:rFonts w:ascii="Arial" w:cs="Arial" w:eastAsia="Arial" w:hAnsi="Arial"/>
                <w:sz w:val="14"/>
                <w:szCs w:val="14"/>
                <w:b w:val="1"/>
                <w:bCs w:val="1"/>
                <w:color w:val="auto"/>
              </w:rPr>
              <w:t>Exhibit Title</w:t>
            </w:r>
          </w:p>
        </w:tc>
        <w:tc>
          <w:tcPr>
            <w:tcW w:w="60" w:type="dxa"/>
            <w:vAlign w:val="bottom"/>
            <w:vMerge w:val="restart"/>
          </w:tcPr>
          <w:p>
            <w:pPr>
              <w:spacing w:after="0"/>
              <w:rPr>
                <w:sz w:val="14"/>
                <w:szCs w:val="14"/>
                <w:color w:val="auto"/>
              </w:rPr>
            </w:pPr>
          </w:p>
        </w:tc>
        <w:tc>
          <w:tcPr>
            <w:tcW w:w="4480" w:type="dxa"/>
            <w:vAlign w:val="bottom"/>
          </w:tcPr>
          <w:p>
            <w:pPr>
              <w:ind w:left="142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71"/>
        </w:trPr>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10"/>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448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to the Following</w:t>
            </w:r>
          </w:p>
        </w:tc>
        <w:tc>
          <w:tcPr>
            <w:tcW w:w="0" w:type="dxa"/>
            <w:vAlign w:val="bottom"/>
          </w:tcPr>
          <w:p>
            <w:pPr>
              <w:spacing w:after="0"/>
              <w:rPr>
                <w:sz w:val="1"/>
                <w:szCs w:val="1"/>
                <w:color w:val="auto"/>
              </w:rPr>
            </w:pPr>
          </w:p>
        </w:tc>
      </w:tr>
      <w:tr>
        <w:trPr>
          <w:trHeight w:val="290"/>
        </w:trPr>
        <w:tc>
          <w:tcPr>
            <w:tcW w:w="1140" w:type="dxa"/>
            <w:vAlign w:val="bottom"/>
          </w:tcPr>
          <w:p>
            <w:pPr>
              <w:ind w:left="100"/>
              <w:spacing w:after="0"/>
              <w:rPr>
                <w:sz w:val="20"/>
                <w:szCs w:val="20"/>
                <w:color w:val="auto"/>
              </w:rPr>
            </w:pPr>
            <w:r>
              <w:rPr>
                <w:rFonts w:ascii="Arial" w:cs="Arial" w:eastAsia="Arial" w:hAnsi="Arial"/>
                <w:sz w:val="18"/>
                <w:szCs w:val="18"/>
                <w:color w:val="auto"/>
              </w:rPr>
              <w:t>3(i).1</w:t>
            </w:r>
          </w:p>
        </w:tc>
        <w:tc>
          <w:tcPr>
            <w:tcW w:w="120" w:type="dxa"/>
            <w:vAlign w:val="bottom"/>
          </w:tcPr>
          <w:p>
            <w:pPr>
              <w:spacing w:after="0"/>
              <w:rPr>
                <w:sz w:val="24"/>
                <w:szCs w:val="24"/>
                <w:color w:val="auto"/>
              </w:rPr>
            </w:pPr>
          </w:p>
        </w:tc>
        <w:tc>
          <w:tcPr>
            <w:tcW w:w="5400" w:type="dxa"/>
            <w:vAlign w:val="bottom"/>
            <w:tcBorders>
              <w:bottom w:val="single" w:sz="8" w:color="0000EE"/>
            </w:tcBorders>
            <w:gridSpan w:val="10"/>
          </w:tcPr>
          <w:p>
            <w:pPr>
              <w:spacing w:after="0"/>
              <w:rPr>
                <w:rFonts w:ascii="Arial" w:cs="Arial" w:eastAsia="Arial" w:hAnsi="Arial"/>
                <w:sz w:val="18"/>
                <w:szCs w:val="18"/>
                <w:color w:val="0000EE"/>
                <w:w w:val="95"/>
              </w:rPr>
            </w:pPr>
            <w:hyperlink r:id="rId68">
              <w:r>
                <w:rPr>
                  <w:rFonts w:ascii="Arial" w:cs="Arial" w:eastAsia="Arial" w:hAnsi="Arial"/>
                  <w:sz w:val="18"/>
                  <w:szCs w:val="18"/>
                  <w:color w:val="0000EE"/>
                  <w:w w:val="95"/>
                </w:rPr>
                <w:t>Restated  Certificate  of  Incorporation  of  LSB  Industries,  Inc.,  dated</w:t>
              </w:r>
            </w:hyperlink>
          </w:p>
        </w:tc>
        <w:tc>
          <w:tcPr>
            <w:tcW w:w="100" w:type="dxa"/>
            <w:vAlign w:val="bottom"/>
            <w:gridSpan w:val="3"/>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Exhibit  3(i).1  to  the  Company’s  Form  10-K  filed  on</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r:id="rId68">
              <w:r>
                <w:rPr>
                  <w:rFonts w:ascii="Arial" w:cs="Arial" w:eastAsia="Arial" w:hAnsi="Arial"/>
                  <w:sz w:val="18"/>
                  <w:szCs w:val="18"/>
                  <w:color w:val="0000EE"/>
                  <w:w w:val="88"/>
                </w:rPr>
                <w:t>January 21, 1977, as amended August 27, 1987</w:t>
              </w:r>
            </w:hyperlink>
          </w:p>
        </w:tc>
        <w:tc>
          <w:tcPr>
            <w:tcW w:w="2080" w:type="dxa"/>
            <w:vAlign w:val="bottom"/>
            <w:gridSpan w:val="7"/>
          </w:tcPr>
          <w:p>
            <w:pPr>
              <w:spacing w:after="0"/>
              <w:rPr>
                <w:sz w:val="17"/>
                <w:szCs w:val="17"/>
                <w:color w:val="auto"/>
              </w:rPr>
            </w:pPr>
          </w:p>
        </w:tc>
        <w:tc>
          <w:tcPr>
            <w:tcW w:w="4480" w:type="dxa"/>
            <w:vAlign w:val="bottom"/>
          </w:tcPr>
          <w:p>
            <w:pPr>
              <w:spacing w:after="0" w:line="196" w:lineRule="exact"/>
              <w:rPr>
                <w:sz w:val="20"/>
                <w:szCs w:val="20"/>
                <w:color w:val="auto"/>
              </w:rPr>
            </w:pPr>
            <w:r>
              <w:rPr>
                <w:rFonts w:ascii="Arial" w:cs="Arial" w:eastAsia="Arial" w:hAnsi="Arial"/>
                <w:sz w:val="18"/>
                <w:szCs w:val="18"/>
                <w:color w:val="auto"/>
              </w:rPr>
              <w:t>February 28, 2013</w:t>
            </w:r>
          </w:p>
        </w:tc>
        <w:tc>
          <w:tcPr>
            <w:tcW w:w="0" w:type="dxa"/>
            <w:vAlign w:val="bottom"/>
          </w:tcPr>
          <w:p>
            <w:pPr>
              <w:spacing w:after="0"/>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3(ii).1</w:t>
            </w:r>
          </w:p>
        </w:tc>
        <w:tc>
          <w:tcPr>
            <w:tcW w:w="120" w:type="dxa"/>
            <w:vAlign w:val="bottom"/>
          </w:tcPr>
          <w:p>
            <w:pPr>
              <w:spacing w:after="0"/>
              <w:rPr>
                <w:sz w:val="24"/>
                <w:szCs w:val="24"/>
                <w:color w:val="auto"/>
              </w:rPr>
            </w:pPr>
          </w:p>
        </w:tc>
        <w:tc>
          <w:tcPr>
            <w:tcW w:w="5400" w:type="dxa"/>
            <w:vAlign w:val="bottom"/>
            <w:tcBorders>
              <w:bottom w:val="single" w:sz="8" w:color="0000EE"/>
            </w:tcBorders>
            <w:gridSpan w:val="10"/>
          </w:tcPr>
          <w:p>
            <w:pPr>
              <w:spacing w:after="0"/>
              <w:rPr>
                <w:rFonts w:ascii="Arial" w:cs="Arial" w:eastAsia="Arial" w:hAnsi="Arial"/>
                <w:sz w:val="18"/>
                <w:szCs w:val="18"/>
                <w:color w:val="0000EE"/>
                <w:w w:val="93"/>
              </w:rPr>
            </w:pPr>
            <w:hyperlink r:id="rId69">
              <w:r>
                <w:rPr>
                  <w:rFonts w:ascii="Arial" w:cs="Arial" w:eastAsia="Arial" w:hAnsi="Arial"/>
                  <w:sz w:val="18"/>
                  <w:szCs w:val="18"/>
                  <w:color w:val="0000EE"/>
                  <w:w w:val="93"/>
                </w:rPr>
                <w:t>Amended and Restated Bylaws of LSB Industries, Inc. dated August 20,</w:t>
              </w:r>
            </w:hyperlink>
          </w:p>
        </w:tc>
        <w:tc>
          <w:tcPr>
            <w:tcW w:w="100" w:type="dxa"/>
            <w:vAlign w:val="bottom"/>
            <w:gridSpan w:val="3"/>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7"/>
              </w:rPr>
              <w:t>Exhibit 3(ii).1 to the Company’s Form 8-K filed August 27,</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69">
              <w:r>
                <w:rPr>
                  <w:rFonts w:ascii="Arial" w:cs="Arial" w:eastAsia="Arial" w:hAnsi="Arial"/>
                  <w:sz w:val="18"/>
                  <w:szCs w:val="18"/>
                  <w:color w:val="0000EE"/>
                  <w:w w:val="90"/>
                </w:rPr>
                <w:t>2009, as amended February 18, 2010, January 17, 2014, February 4, 2014</w:t>
              </w:r>
            </w:hyperlink>
          </w:p>
        </w:tc>
        <w:tc>
          <w:tcPr>
            <w:tcW w:w="100" w:type="dxa"/>
            <w:vAlign w:val="bottom"/>
            <w:gridSpan w:val="3"/>
          </w:tcPr>
          <w:p>
            <w:pPr>
              <w:spacing w:after="0"/>
              <w:rPr>
                <w:sz w:val="17"/>
                <w:szCs w:val="17"/>
                <w:color w:val="auto"/>
              </w:rPr>
            </w:pPr>
          </w:p>
        </w:tc>
        <w:tc>
          <w:tcPr>
            <w:tcW w:w="4480" w:type="dxa"/>
            <w:vAlign w:val="bottom"/>
          </w:tcPr>
          <w:p>
            <w:pPr>
              <w:spacing w:after="0" w:line="196" w:lineRule="exact"/>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3"/>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and August 21, 2014</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3(ii).2</w:t>
            </w:r>
          </w:p>
        </w:tc>
        <w:tc>
          <w:tcPr>
            <w:tcW w:w="120" w:type="dxa"/>
            <w:vAlign w:val="bottom"/>
          </w:tcPr>
          <w:p>
            <w:pPr>
              <w:spacing w:after="0"/>
              <w:rPr>
                <w:sz w:val="24"/>
                <w:szCs w:val="24"/>
                <w:color w:val="auto"/>
              </w:rPr>
            </w:pPr>
          </w:p>
        </w:tc>
        <w:tc>
          <w:tcPr>
            <w:tcW w:w="5420" w:type="dxa"/>
            <w:vAlign w:val="bottom"/>
            <w:tcBorders>
              <w:bottom w:val="single" w:sz="8" w:color="0000EE"/>
            </w:tcBorders>
            <w:gridSpan w:val="11"/>
          </w:tcPr>
          <w:p>
            <w:pPr>
              <w:spacing w:after="0"/>
              <w:rPr>
                <w:rFonts w:ascii="Arial" w:cs="Arial" w:eastAsia="Arial" w:hAnsi="Arial"/>
                <w:sz w:val="18"/>
                <w:szCs w:val="18"/>
                <w:color w:val="0000EE"/>
                <w:w w:val="98"/>
              </w:rPr>
            </w:pPr>
            <w:hyperlink r:id="rId70">
              <w:r>
                <w:rPr>
                  <w:rFonts w:ascii="Arial" w:cs="Arial" w:eastAsia="Arial" w:hAnsi="Arial"/>
                  <w:sz w:val="18"/>
                  <w:szCs w:val="18"/>
                  <w:color w:val="0000EE"/>
                  <w:w w:val="98"/>
                </w:rPr>
                <w:t>Fifth  Amendment  to  the  Amended  and  Restated  Bylaws  of  LSB</w:t>
              </w:r>
            </w:hyperlink>
          </w:p>
        </w:tc>
        <w:tc>
          <w:tcPr>
            <w:tcW w:w="80" w:type="dxa"/>
            <w:vAlign w:val="bottom"/>
            <w:gridSpan w:val="2"/>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Exhibit 3(ii) to the Company’s Form 8-K filed April 30,</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3"/>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Industries, Inc., dated as of April 26, 2015</w:t>
              </w:r>
            </w:hyperlink>
          </w:p>
        </w:tc>
        <w:tc>
          <w:tcPr>
            <w:tcW w:w="4480" w:type="dxa"/>
            <w:vAlign w:val="bottom"/>
          </w:tcPr>
          <w:p>
            <w:pPr>
              <w:spacing w:after="0" w:line="196"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3(ii).3</w:t>
            </w:r>
          </w:p>
        </w:tc>
        <w:tc>
          <w:tcPr>
            <w:tcW w:w="120" w:type="dxa"/>
            <w:vAlign w:val="bottom"/>
          </w:tcPr>
          <w:p>
            <w:pPr>
              <w:spacing w:after="0"/>
              <w:rPr>
                <w:sz w:val="24"/>
                <w:szCs w:val="24"/>
                <w:color w:val="auto"/>
              </w:rPr>
            </w:pPr>
          </w:p>
        </w:tc>
        <w:tc>
          <w:tcPr>
            <w:tcW w:w="5400" w:type="dxa"/>
            <w:vAlign w:val="bottom"/>
            <w:tcBorders>
              <w:bottom w:val="single" w:sz="8" w:color="0000EE"/>
            </w:tcBorders>
            <w:gridSpan w:val="10"/>
          </w:tcPr>
          <w:p>
            <w:pPr>
              <w:spacing w:after="0"/>
              <w:rPr>
                <w:rFonts w:ascii="Arial" w:cs="Arial" w:eastAsia="Arial" w:hAnsi="Arial"/>
                <w:sz w:val="18"/>
                <w:szCs w:val="18"/>
                <w:color w:val="0000EE"/>
                <w:w w:val="97"/>
              </w:rPr>
            </w:pPr>
            <w:hyperlink r:id="rId71">
              <w:r>
                <w:rPr>
                  <w:rFonts w:ascii="Arial" w:cs="Arial" w:eastAsia="Arial" w:hAnsi="Arial"/>
                  <w:sz w:val="18"/>
                  <w:szCs w:val="18"/>
                  <w:color w:val="0000EE"/>
                  <w:w w:val="97"/>
                </w:rPr>
                <w:t>Sixth  Amendment  to  the  Amended  and  Restated  Bylaws  of  LSB</w:t>
              </w:r>
            </w:hyperlink>
          </w:p>
        </w:tc>
        <w:tc>
          <w:tcPr>
            <w:tcW w:w="100" w:type="dxa"/>
            <w:vAlign w:val="bottom"/>
            <w:gridSpan w:val="3"/>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6"/>
              </w:rPr>
              <w:t>Exhibit 3(ii) to the Company’s Form 8-K filed December 8,</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71">
              <w:r>
                <w:rPr>
                  <w:rFonts w:ascii="Arial" w:cs="Arial" w:eastAsia="Arial" w:hAnsi="Arial"/>
                  <w:sz w:val="18"/>
                  <w:szCs w:val="18"/>
                  <w:color w:val="0000EE"/>
                  <w:w w:val="89"/>
                </w:rPr>
                <w:t>Industries, Inc., dated as of December 2, 2015</w:t>
              </w:r>
            </w:hyperlink>
          </w:p>
        </w:tc>
        <w:tc>
          <w:tcPr>
            <w:tcW w:w="2180" w:type="dxa"/>
            <w:vAlign w:val="bottom"/>
            <w:gridSpan w:val="9"/>
          </w:tcPr>
          <w:p>
            <w:pPr>
              <w:spacing w:after="0"/>
              <w:rPr>
                <w:sz w:val="17"/>
                <w:szCs w:val="17"/>
                <w:color w:val="auto"/>
              </w:rPr>
            </w:pPr>
          </w:p>
        </w:tc>
        <w:tc>
          <w:tcPr>
            <w:tcW w:w="4480" w:type="dxa"/>
            <w:vAlign w:val="bottom"/>
          </w:tcPr>
          <w:p>
            <w:pPr>
              <w:spacing w:after="0" w:line="196"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3(ii).4</w:t>
            </w:r>
          </w:p>
        </w:tc>
        <w:tc>
          <w:tcPr>
            <w:tcW w:w="120" w:type="dxa"/>
            <w:vAlign w:val="bottom"/>
          </w:tcPr>
          <w:p>
            <w:pPr>
              <w:spacing w:after="0"/>
              <w:rPr>
                <w:sz w:val="24"/>
                <w:szCs w:val="24"/>
                <w:color w:val="auto"/>
              </w:rPr>
            </w:pPr>
          </w:p>
        </w:tc>
        <w:tc>
          <w:tcPr>
            <w:tcW w:w="5420" w:type="dxa"/>
            <w:vAlign w:val="bottom"/>
            <w:tcBorders>
              <w:bottom w:val="single" w:sz="8" w:color="0000EE"/>
            </w:tcBorders>
            <w:gridSpan w:val="11"/>
          </w:tcPr>
          <w:p>
            <w:pPr>
              <w:spacing w:after="0"/>
              <w:rPr>
                <w:rFonts w:ascii="Arial" w:cs="Arial" w:eastAsia="Arial" w:hAnsi="Arial"/>
                <w:sz w:val="18"/>
                <w:szCs w:val="18"/>
                <w:color w:val="0000EE"/>
              </w:rPr>
            </w:pPr>
            <w:hyperlink r:id="rId72">
              <w:r>
                <w:rPr>
                  <w:rFonts w:ascii="Arial" w:cs="Arial" w:eastAsia="Arial" w:hAnsi="Arial"/>
                  <w:sz w:val="18"/>
                  <w:szCs w:val="18"/>
                  <w:color w:val="0000EE"/>
                </w:rPr>
                <w:t>Seventh Amendment to the Amended and Restated Bylaws of LSB</w:t>
              </w:r>
            </w:hyperlink>
          </w:p>
        </w:tc>
        <w:tc>
          <w:tcPr>
            <w:tcW w:w="80" w:type="dxa"/>
            <w:vAlign w:val="bottom"/>
            <w:gridSpan w:val="2"/>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4"/>
              </w:rPr>
              <w:t>Exhibit 3(ii) to the Company’s Form 8-K filed December 29,</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3"/>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Industries, Inc., dated as of December 22, 2015</w:t>
              </w:r>
            </w:hyperlink>
          </w:p>
        </w:tc>
        <w:tc>
          <w:tcPr>
            <w:tcW w:w="4480" w:type="dxa"/>
            <w:vAlign w:val="bottom"/>
          </w:tcPr>
          <w:p>
            <w:pPr>
              <w:spacing w:after="0" w:line="196"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tcBorders>
              <w:bottom w:val="single" w:sz="8" w:color="0000EE"/>
            </w:tcBorders>
            <w:gridSpan w:val="10"/>
          </w:tcPr>
          <w:p>
            <w:pPr>
              <w:spacing w:after="0"/>
              <w:rPr>
                <w:rFonts w:ascii="Arial" w:cs="Arial" w:eastAsia="Arial" w:hAnsi="Arial"/>
                <w:sz w:val="18"/>
                <w:szCs w:val="18"/>
                <w:color w:val="0000EE"/>
                <w:w w:val="95"/>
              </w:rPr>
            </w:pPr>
            <w:hyperlink r:id="rId73">
              <w:r>
                <w:rPr>
                  <w:rFonts w:ascii="Arial" w:cs="Arial" w:eastAsia="Arial" w:hAnsi="Arial"/>
                  <w:sz w:val="18"/>
                  <w:szCs w:val="18"/>
                  <w:color w:val="0000EE"/>
                  <w:w w:val="95"/>
                </w:rPr>
                <w:t>Certificate of Designations of Series G Class C Preferred Stock of LSB</w:t>
              </w:r>
            </w:hyperlink>
          </w:p>
        </w:tc>
        <w:tc>
          <w:tcPr>
            <w:tcW w:w="100" w:type="dxa"/>
            <w:vAlign w:val="bottom"/>
            <w:gridSpan w:val="3"/>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9"/>
              </w:rPr>
              <w:t>Exhibit 3.1 to the Company’s Form 8-K filed July 6, 2020</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Borders>
              <w:bottom w:val="single" w:sz="8" w:color="0000EE"/>
            </w:tcBorders>
            <w:gridSpan w:val="10"/>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Industries, Inc., as filed with the Secretary of State of the State of</w:t>
              </w:r>
            </w:hyperlink>
          </w:p>
        </w:tc>
        <w:tc>
          <w:tcPr>
            <w:tcW w:w="100" w:type="dxa"/>
            <w:vAlign w:val="bottom"/>
            <w:gridSpan w:val="3"/>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100"/>
              <w:spacing w:after="0" w:line="19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19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73">
              <w:r>
                <w:rPr>
                  <w:rFonts w:ascii="Arial" w:cs="Arial" w:eastAsia="Arial" w:hAnsi="Arial"/>
                  <w:sz w:val="18"/>
                  <w:szCs w:val="18"/>
                  <w:color w:val="0000EE"/>
                  <w:w w:val="90"/>
                </w:rPr>
                <w:t>Delaware on July 6, 2020.</w:t>
              </w:r>
            </w:hyperlink>
          </w:p>
        </w:tc>
        <w:tc>
          <w:tcPr>
            <w:tcW w:w="3600" w:type="dxa"/>
            <w:vAlign w:val="bottom"/>
            <w:gridSpan w:val="11"/>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tcBorders>
              <w:bottom w:val="single" w:sz="8" w:color="0000EE"/>
            </w:tcBorders>
            <w:gridSpan w:val="10"/>
          </w:tcPr>
          <w:p>
            <w:pPr>
              <w:spacing w:after="0"/>
              <w:rPr>
                <w:rFonts w:ascii="Arial" w:cs="Arial" w:eastAsia="Arial" w:hAnsi="Arial"/>
                <w:sz w:val="18"/>
                <w:szCs w:val="18"/>
                <w:color w:val="0000EE"/>
                <w:w w:val="95"/>
              </w:rPr>
            </w:pPr>
            <w:hyperlink r:id="rId74">
              <w:r>
                <w:rPr>
                  <w:rFonts w:ascii="Arial" w:cs="Arial" w:eastAsia="Arial" w:hAnsi="Arial"/>
                  <w:sz w:val="18"/>
                  <w:szCs w:val="18"/>
                  <w:color w:val="0000EE"/>
                  <w:w w:val="95"/>
                </w:rPr>
                <w:t>Section 382 Rights Agreement, dated as of July 6, 2020, between LSB</w:t>
              </w:r>
            </w:hyperlink>
          </w:p>
        </w:tc>
        <w:tc>
          <w:tcPr>
            <w:tcW w:w="100" w:type="dxa"/>
            <w:vAlign w:val="bottom"/>
            <w:gridSpan w:val="3"/>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9"/>
              </w:rPr>
              <w:t>Exhibit 3.1 to the Company’s Form 8-K filed July 6, 2020</w:t>
            </w:r>
          </w:p>
        </w:tc>
        <w:tc>
          <w:tcPr>
            <w:tcW w:w="0" w:type="dxa"/>
            <w:vAlign w:val="bottom"/>
          </w:tcPr>
          <w:p>
            <w:pPr>
              <w:spacing w:after="0"/>
              <w:rPr>
                <w:sz w:val="1"/>
                <w:szCs w:val="1"/>
                <w:color w:val="auto"/>
              </w:rPr>
            </w:pPr>
          </w:p>
        </w:tc>
      </w:tr>
      <w:tr>
        <w:trPr>
          <w:trHeight w:val="237"/>
        </w:trPr>
        <w:tc>
          <w:tcPr>
            <w:tcW w:w="1140" w:type="dxa"/>
            <w:vAlign w:val="bottom"/>
          </w:tcPr>
          <w:p>
            <w:pPr>
              <w:ind w:lef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5500" w:type="dxa"/>
            <w:vAlign w:val="bottom"/>
            <w:gridSpan w:val="13"/>
          </w:tcPr>
          <w:p>
            <w:pPr>
              <w:spacing w:after="0"/>
              <w:rPr>
                <w:rFonts w:ascii="Arial" w:cs="Arial" w:eastAsia="Arial" w:hAnsi="Arial"/>
                <w:sz w:val="18"/>
                <w:szCs w:val="18"/>
                <w:u w:val="single" w:color="auto"/>
                <w:color w:val="0000EE"/>
                <w:w w:val="93"/>
              </w:rPr>
            </w:pPr>
            <w:hyperlink r:id="rId74">
              <w:r>
                <w:rPr>
                  <w:rFonts w:ascii="Arial" w:cs="Arial" w:eastAsia="Arial" w:hAnsi="Arial"/>
                  <w:sz w:val="18"/>
                  <w:szCs w:val="18"/>
                  <w:u w:val="single" w:color="auto"/>
                  <w:color w:val="0000EE"/>
                  <w:w w:val="93"/>
                </w:rPr>
                <w:t>Industries, Inc. and Computershare Trust Company, N.A., as rights agent.</w:t>
              </w:r>
            </w:hyperlink>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40" w:type="dxa"/>
            <w:vAlign w:val="bottom"/>
          </w:tcPr>
          <w:p>
            <w:pPr>
              <w:ind w:left="100"/>
              <w:spacing w:after="0"/>
              <w:rPr>
                <w:sz w:val="20"/>
                <w:szCs w:val="20"/>
                <w:color w:val="auto"/>
              </w:rPr>
            </w:pPr>
            <w:r>
              <w:rPr>
                <w:rFonts w:ascii="Arial" w:cs="Arial" w:eastAsia="Arial" w:hAnsi="Arial"/>
                <w:sz w:val="18"/>
                <w:szCs w:val="18"/>
                <w:color w:val="auto"/>
              </w:rPr>
              <w:t>31.1(a)</w:t>
            </w:r>
          </w:p>
        </w:tc>
        <w:tc>
          <w:tcPr>
            <w:tcW w:w="120" w:type="dxa"/>
            <w:vAlign w:val="bottom"/>
          </w:tcPr>
          <w:p>
            <w:pPr>
              <w:spacing w:after="0"/>
              <w:rPr>
                <w:sz w:val="24"/>
                <w:szCs w:val="24"/>
                <w:color w:val="auto"/>
              </w:rPr>
            </w:pPr>
          </w:p>
        </w:tc>
        <w:tc>
          <w:tcPr>
            <w:tcW w:w="540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46">
              <w:r>
                <w:rPr>
                  <w:rFonts w:ascii="Arial" w:cs="Arial" w:eastAsia="Arial" w:hAnsi="Arial"/>
                  <w:sz w:val="18"/>
                  <w:szCs w:val="18"/>
                  <w:color w:val="0000EE"/>
                  <w:w w:val="97"/>
                </w:rPr>
                <w:t>Certification of Mark T. Behrman, Chief Executive Officer, pursuant to</w:t>
              </w:r>
            </w:hyperlink>
          </w:p>
        </w:tc>
        <w:tc>
          <w:tcPr>
            <w:tcW w:w="100" w:type="dxa"/>
            <w:vAlign w:val="bottom"/>
            <w:gridSpan w:val="3"/>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3"/>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Sarbanes-Oxley Act of 2002, Section 302</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31.2(a)</w:t>
            </w:r>
          </w:p>
        </w:tc>
        <w:tc>
          <w:tcPr>
            <w:tcW w:w="120" w:type="dxa"/>
            <w:vAlign w:val="bottom"/>
          </w:tcPr>
          <w:p>
            <w:pPr>
              <w:spacing w:after="0"/>
              <w:rPr>
                <w:sz w:val="24"/>
                <w:szCs w:val="24"/>
                <w:color w:val="auto"/>
              </w:rPr>
            </w:pPr>
          </w:p>
        </w:tc>
        <w:tc>
          <w:tcPr>
            <w:tcW w:w="540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47">
              <w:r>
                <w:rPr>
                  <w:rFonts w:ascii="Arial" w:cs="Arial" w:eastAsia="Arial" w:hAnsi="Arial"/>
                  <w:sz w:val="18"/>
                  <w:szCs w:val="18"/>
                  <w:color w:val="0000EE"/>
                  <w:w w:val="97"/>
                </w:rPr>
                <w:t>Certification of Cheryl A. Maguire, Chief Financial Officer, pursuant to</w:t>
              </w:r>
            </w:hyperlink>
          </w:p>
        </w:tc>
        <w:tc>
          <w:tcPr>
            <w:tcW w:w="100" w:type="dxa"/>
            <w:vAlign w:val="bottom"/>
            <w:gridSpan w:val="3"/>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Sarbanes-Oxley Act of 2002, Section 302</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40" w:type="dxa"/>
            <w:vAlign w:val="bottom"/>
          </w:tcPr>
          <w:p>
            <w:pPr>
              <w:ind w:left="100"/>
              <w:spacing w:after="0"/>
              <w:rPr>
                <w:sz w:val="20"/>
                <w:szCs w:val="20"/>
                <w:color w:val="auto"/>
              </w:rPr>
            </w:pPr>
            <w:r>
              <w:rPr>
                <w:rFonts w:ascii="Arial" w:cs="Arial" w:eastAsia="Arial" w:hAnsi="Arial"/>
                <w:sz w:val="18"/>
                <w:szCs w:val="18"/>
                <w:color w:val="auto"/>
              </w:rPr>
              <w:t>32.1(b)</w:t>
            </w:r>
          </w:p>
        </w:tc>
        <w:tc>
          <w:tcPr>
            <w:tcW w:w="120" w:type="dxa"/>
            <w:vAlign w:val="bottom"/>
          </w:tcPr>
          <w:p>
            <w:pPr>
              <w:spacing w:after="0"/>
              <w:rPr>
                <w:sz w:val="24"/>
                <w:szCs w:val="24"/>
                <w:color w:val="auto"/>
              </w:rPr>
            </w:pPr>
          </w:p>
        </w:tc>
        <w:tc>
          <w:tcPr>
            <w:tcW w:w="540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48">
              <w:r>
                <w:rPr>
                  <w:rFonts w:ascii="Arial" w:cs="Arial" w:eastAsia="Arial" w:hAnsi="Arial"/>
                  <w:sz w:val="18"/>
                  <w:szCs w:val="18"/>
                  <w:color w:val="0000EE"/>
                  <w:w w:val="96"/>
                </w:rPr>
                <w:t>Certification of Mark T. Behrman,  Chief  Executive  Officer,  furnished</w:t>
              </w:r>
            </w:hyperlink>
          </w:p>
        </w:tc>
        <w:tc>
          <w:tcPr>
            <w:tcW w:w="100" w:type="dxa"/>
            <w:vAlign w:val="bottom"/>
            <w:gridSpan w:val="3"/>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48">
              <w:r>
                <w:rPr>
                  <w:rFonts w:ascii="Arial" w:cs="Arial" w:eastAsia="Arial" w:hAnsi="Arial"/>
                  <w:sz w:val="18"/>
                  <w:szCs w:val="18"/>
                  <w:color w:val="0000EE"/>
                  <w:w w:val="86"/>
                </w:rPr>
                <w:t>pursuant to Sarbanes-Oxley Act of 2002, Section 906</w:t>
              </w:r>
            </w:hyperlink>
          </w:p>
        </w:tc>
        <w:tc>
          <w:tcPr>
            <w:tcW w:w="1820" w:type="dxa"/>
            <w:vAlign w:val="bottom"/>
            <w:gridSpan w:val="6"/>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32.2(b)</w:t>
            </w:r>
          </w:p>
        </w:tc>
        <w:tc>
          <w:tcPr>
            <w:tcW w:w="120" w:type="dxa"/>
            <w:vAlign w:val="bottom"/>
          </w:tcPr>
          <w:p>
            <w:pPr>
              <w:spacing w:after="0"/>
              <w:rPr>
                <w:sz w:val="24"/>
                <w:szCs w:val="24"/>
                <w:color w:val="auto"/>
              </w:rPr>
            </w:pPr>
          </w:p>
        </w:tc>
        <w:tc>
          <w:tcPr>
            <w:tcW w:w="5380" w:type="dxa"/>
            <w:vAlign w:val="bottom"/>
            <w:tcBorders>
              <w:bottom w:val="single" w:sz="8" w:color="0000EE"/>
            </w:tcBorders>
            <w:gridSpan w:val="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Certification of Cheryl A. Maguire, Chief Financial Officer, furnished</w:t>
              </w:r>
            </w:hyperlink>
          </w:p>
        </w:tc>
        <w:tc>
          <w:tcPr>
            <w:tcW w:w="120" w:type="dxa"/>
            <w:vAlign w:val="bottom"/>
            <w:gridSpan w:val="4"/>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3"/>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pursuant to Sarbanes-Oxley Act of 2002, Section 906</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40" w:type="dxa"/>
            <w:vAlign w:val="bottom"/>
          </w:tcPr>
          <w:p>
            <w:pPr>
              <w:spacing w:after="0"/>
              <w:rPr>
                <w:sz w:val="20"/>
                <w:szCs w:val="20"/>
                <w:color w:val="auto"/>
              </w:rPr>
            </w:pPr>
            <w:r>
              <w:rPr>
                <w:rFonts w:ascii="Arial" w:cs="Arial" w:eastAsia="Arial" w:hAnsi="Arial"/>
                <w:sz w:val="18"/>
                <w:szCs w:val="18"/>
                <w:color w:val="auto"/>
              </w:rPr>
              <w:t>101.INS(a)</w:t>
            </w:r>
          </w:p>
        </w:tc>
        <w:tc>
          <w:tcPr>
            <w:tcW w:w="120" w:type="dxa"/>
            <w:vAlign w:val="bottom"/>
          </w:tcPr>
          <w:p>
            <w:pPr>
              <w:spacing w:after="0"/>
              <w:rPr>
                <w:sz w:val="24"/>
                <w:szCs w:val="24"/>
                <w:color w:val="auto"/>
              </w:rPr>
            </w:pPr>
          </w:p>
        </w:tc>
        <w:tc>
          <w:tcPr>
            <w:tcW w:w="376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XBRL Instance Document</w:t>
            </w:r>
          </w:p>
        </w:tc>
        <w:tc>
          <w:tcPr>
            <w:tcW w:w="1740" w:type="dxa"/>
            <w:vAlign w:val="bottom"/>
            <w:gridSpan w:val="5"/>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140" w:type="dxa"/>
            <w:vAlign w:val="bottom"/>
          </w:tcPr>
          <w:p>
            <w:pPr>
              <w:spacing w:after="0"/>
              <w:rPr>
                <w:sz w:val="20"/>
                <w:szCs w:val="20"/>
                <w:color w:val="auto"/>
              </w:rPr>
            </w:pPr>
            <w:r>
              <w:rPr>
                <w:rFonts w:ascii="Arial" w:cs="Arial" w:eastAsia="Arial" w:hAnsi="Arial"/>
                <w:sz w:val="18"/>
                <w:szCs w:val="18"/>
                <w:color w:val="auto"/>
              </w:rPr>
              <w:t>101.SCH(a)</w:t>
            </w:r>
          </w:p>
        </w:tc>
        <w:tc>
          <w:tcPr>
            <w:tcW w:w="120" w:type="dxa"/>
            <w:vAlign w:val="bottom"/>
          </w:tcPr>
          <w:p>
            <w:pPr>
              <w:spacing w:after="0"/>
              <w:rPr>
                <w:sz w:val="24"/>
                <w:szCs w:val="24"/>
                <w:color w:val="auto"/>
              </w:rPr>
            </w:pPr>
          </w:p>
        </w:tc>
        <w:tc>
          <w:tcPr>
            <w:tcW w:w="550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101.CAL(a)</w:t>
            </w:r>
          </w:p>
        </w:tc>
        <w:tc>
          <w:tcPr>
            <w:tcW w:w="120" w:type="dxa"/>
            <w:vAlign w:val="bottom"/>
          </w:tcPr>
          <w:p>
            <w:pPr>
              <w:spacing w:after="0"/>
              <w:rPr>
                <w:sz w:val="24"/>
                <w:szCs w:val="24"/>
                <w:color w:val="auto"/>
              </w:rPr>
            </w:pPr>
          </w:p>
        </w:tc>
        <w:tc>
          <w:tcPr>
            <w:tcW w:w="550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101.DEF(a)</w:t>
            </w:r>
          </w:p>
        </w:tc>
        <w:tc>
          <w:tcPr>
            <w:tcW w:w="120" w:type="dxa"/>
            <w:vAlign w:val="bottom"/>
          </w:tcPr>
          <w:p>
            <w:pPr>
              <w:spacing w:after="0"/>
              <w:rPr>
                <w:sz w:val="24"/>
                <w:szCs w:val="24"/>
                <w:color w:val="auto"/>
              </w:rPr>
            </w:pPr>
          </w:p>
        </w:tc>
        <w:tc>
          <w:tcPr>
            <w:tcW w:w="550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101.LAB(a)</w:t>
            </w:r>
          </w:p>
        </w:tc>
        <w:tc>
          <w:tcPr>
            <w:tcW w:w="120" w:type="dxa"/>
            <w:vAlign w:val="bottom"/>
          </w:tcPr>
          <w:p>
            <w:pPr>
              <w:spacing w:after="0"/>
              <w:rPr>
                <w:sz w:val="24"/>
                <w:szCs w:val="24"/>
                <w:color w:val="auto"/>
              </w:rPr>
            </w:pPr>
          </w:p>
        </w:tc>
        <w:tc>
          <w:tcPr>
            <w:tcW w:w="5500" w:type="dxa"/>
            <w:vAlign w:val="bottom"/>
            <w:gridSpan w:val="13"/>
          </w:tcPr>
          <w:p>
            <w:pPr>
              <w:spacing w:after="0"/>
              <w:rPr>
                <w:sz w:val="20"/>
                <w:szCs w:val="20"/>
                <w:color w:val="auto"/>
              </w:rPr>
            </w:pPr>
            <w:r>
              <w:rPr>
                <w:rFonts w:ascii="Arial" w:cs="Arial" w:eastAsia="Arial" w:hAnsi="Arial"/>
                <w:sz w:val="18"/>
                <w:szCs w:val="18"/>
                <w:color w:val="auto"/>
              </w:rPr>
              <w:t>XBRL Taxonomy Extension Labels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101.PRE(a)</w:t>
            </w:r>
          </w:p>
        </w:tc>
        <w:tc>
          <w:tcPr>
            <w:tcW w:w="120" w:type="dxa"/>
            <w:vAlign w:val="bottom"/>
          </w:tcPr>
          <w:p>
            <w:pPr>
              <w:spacing w:after="0"/>
              <w:rPr>
                <w:sz w:val="24"/>
                <w:szCs w:val="24"/>
                <w:color w:val="auto"/>
              </w:rPr>
            </w:pPr>
          </w:p>
        </w:tc>
        <w:tc>
          <w:tcPr>
            <w:tcW w:w="550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Company has caused the undersigned, duly authorized, to sign this report on its behalf on this 30</w:t>
      </w:r>
      <w:r>
        <w:rPr>
          <w:rFonts w:ascii="Arial" w:cs="Arial" w:eastAsia="Arial" w:hAnsi="Arial"/>
          <w:sz w:val="15"/>
          <w:szCs w:val="15"/>
          <w:color w:val="auto"/>
        </w:rPr>
        <w:t>th</w:t>
      </w:r>
      <w:r>
        <w:rPr>
          <w:rFonts w:ascii="Arial" w:cs="Arial" w:eastAsia="Arial" w:hAnsi="Arial"/>
          <w:sz w:val="18"/>
          <w:szCs w:val="18"/>
          <w:color w:val="auto"/>
        </w:rPr>
        <w:t xml:space="preserve"> day of July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LSB INDUSTRIES,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Cheryl A. Maguire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Harold L. Rieker,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Harold L. Rieker,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 Financial 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33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T. Behrman, certify that:</w:t>
      </w:r>
    </w:p>
    <w:p>
      <w:pPr>
        <w:spacing w:after="0" w:line="117"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20" w:hanging="500"/>
        <w:spacing w:after="0" w:line="308" w:lineRule="auto"/>
        <w:tabs>
          <w:tab w:leader="none" w:pos="15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20" w:hanging="500"/>
        <w:spacing w:after="0" w:line="277" w:lineRule="auto"/>
        <w:tabs>
          <w:tab w:leader="none" w:pos="15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Mark T. Behrman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Director</w:t>
      </w:r>
    </w:p>
    <w:p>
      <w:pPr>
        <w:sectPr>
          <w:pgSz w:w="11900" w:h="16838" w:orient="portrait"/>
          <w:cols w:equalWidth="0" w:num="1">
            <w:col w:w="11240"/>
          </w:cols>
          <w:pgMar w:left="320" w:top="33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Cheryl A. Maguire, certify that:</w:t>
      </w:r>
    </w:p>
    <w:p>
      <w:pPr>
        <w:spacing w:after="0" w:line="117"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20" w:hanging="500"/>
        <w:spacing w:after="0" w:line="308" w:lineRule="auto"/>
        <w:tabs>
          <w:tab w:leader="none" w:pos="15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20" w:hanging="500"/>
        <w:spacing w:after="0" w:line="277" w:lineRule="auto"/>
        <w:tabs>
          <w:tab w:leader="none" w:pos="15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Cheryl A. Maguire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240"/>
          </w:cols>
          <w:pgMar w:left="320" w:top="337"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June 30, 2020 as filed with the Securities and Exchange Commission on the date hereof (the “Report”). I, Mark T. Behrman, President and Chief Executive Officer of LSB, certify pursuant to 18 U.S.C. §1350, as adopted pursuant to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Mark T. Behrman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 and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July 30, 2020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240"/>
          </w:cols>
          <w:pgMar w:left="320" w:top="337"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June 30, 2020 as filed with the Securities and Exchange Commission on the date hereof (the “Report”), I, Cheryl A. Maguire, Senior Vice President and Chief Financial Officer of LSB, certify pursuant to 18 U.S.C. §1350, as adopted pursuant to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Cheryl A. Maguire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July 30, 2020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upperLetter"/>
      <w:start w:val="1"/>
    </w:lvl>
  </w:abstractNum>
  <w:abstractNum w:abstractNumId="7">
    <w:nsid w:val="62BBD95A"/>
    <w:multiLevelType w:val="hybridMultilevel"/>
    <w:lvl w:ilvl="0">
      <w:lvlJc w:val="left"/>
      <w:lvlText w:val="(%1)"/>
      <w:numFmt w:val="upperLetter"/>
      <w:start w:val="3"/>
    </w:lvl>
  </w:abstractNum>
  <w:abstractNum w:abstractNumId="8">
    <w:nsid w:val="436C6125"/>
    <w:multiLevelType w:val="hybridMultilevel"/>
    <w:lvl w:ilvl="0">
      <w:lvlJc w:val="left"/>
      <w:lvlText w:val="(%1)"/>
      <w:numFmt w:val="upperLetter"/>
      <w:start w:val="4"/>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lowerLetter"/>
      <w:start w:val="3"/>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lvl w:ilvl="1">
      <w:lvlJc w:val="left"/>
      <w:lvlText w:val="o"/>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68" Type="http://schemas.openxmlformats.org/officeDocument/2006/relationships/hyperlink" Target="http://www.sec.gov/Archives/edgar/data/60714/000119312513084410/d447083dex3i1.htm" TargetMode="External"/><Relationship Id="rId69" Type="http://schemas.openxmlformats.org/officeDocument/2006/relationships/hyperlink" Target="http://www.sec.gov/Archives/edgar/data/60714/000119312514323405/d781455dex3ii.htm" TargetMode="External"/><Relationship Id="rId70" Type="http://schemas.openxmlformats.org/officeDocument/2006/relationships/hyperlink" Target="http://www.sec.gov/Archives/edgar/data/60714/000119312515161375/d918969dex3ii.htm" TargetMode="External"/><Relationship Id="rId71" Type="http://schemas.openxmlformats.org/officeDocument/2006/relationships/hyperlink" Target="http://www.sec.gov/Archives/edgar/data/60714/000119312515397856/d22963dex3ii.htm" TargetMode="External"/><Relationship Id="rId72" Type="http://schemas.openxmlformats.org/officeDocument/2006/relationships/hyperlink" Target="http://www.sec.gov/Archives/edgar/data/60714/000119312515415325/d102136dex3ii.htm" TargetMode="External"/><Relationship Id="rId73" Type="http://schemas.openxmlformats.org/officeDocument/2006/relationships/hyperlink" Target="http://www.sec.gov/Archives/edgar/data/60714/000156459020031834/lxu-ex31_6.htm" TargetMode="External"/><Relationship Id="rId74" Type="http://schemas.openxmlformats.org/officeDocument/2006/relationships/hyperlink" Target="http://www.sec.gov/Archives/edgar/data/60714/000156459020031834/lxu-ex41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2020-07-31T05:27:29Z</dcterms:created>
  <dcterms:modified xsi:type="dcterms:W3CDTF">2020-07-31T05:27:29Z</dcterms:modified>
</cp:coreProperties>
</file>