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72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56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LSB INDUSTRIES, INC.</w:t>
      </w:r>
    </w:p>
    <w:p>
      <w:pPr>
        <w:sectPr>
          <w:pgSz w:w="11900" w:h="16838" w:orient="portrait"/>
          <w:cols w:equalWidth="0" w:num="1">
            <w:col w:w="11420"/>
          </w:cols>
          <w:pgMar w:left="240" w:top="540" w:right="2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12"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(State of or other Jurisdiction</w:t>
      </w:r>
    </w:p>
    <w:p>
      <w:pPr>
        <w:jc w:val="center"/>
        <w:ind w:right="196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73-1015226</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1" w:lineRule="exact"/>
        <w:rPr>
          <w:sz w:val="24"/>
          <w:szCs w:val="24"/>
          <w:color w:val="auto"/>
        </w:rPr>
      </w:pPr>
    </w:p>
    <w:p>
      <w:pPr>
        <w:sectPr>
          <w:pgSz w:w="11900" w:h="16838" w:orient="portrait"/>
          <w:cols w:equalWidth="0" w:num="2">
            <w:col w:w="7580" w:space="560"/>
            <w:col w:w="3280"/>
          </w:cols>
          <w:pgMar w:left="240" w:top="540" w:right="23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4460" w:type="dxa"/>
            <w:vAlign w:val="bottom"/>
            <w:gridSpan w:val="2"/>
          </w:tcPr>
          <w:p>
            <w:pPr>
              <w:jc w:val="center"/>
              <w:ind w:left="1043"/>
              <w:spacing w:after="0" w:line="268" w:lineRule="exact"/>
              <w:rPr>
                <w:sz w:val="20"/>
                <w:szCs w:val="20"/>
                <w:color w:val="auto"/>
              </w:rPr>
            </w:pPr>
            <w:r>
              <w:rPr>
                <w:rFonts w:ascii="Arial" w:cs="Arial" w:eastAsia="Arial" w:hAnsi="Arial"/>
                <w:sz w:val="16"/>
                <w:szCs w:val="16"/>
                <w:b w:val="1"/>
                <w:bCs w:val="1"/>
                <w:color w:val="auto"/>
                <w:w w:val="90"/>
              </w:rPr>
              <w:t>3503 NW 63</w:t>
            </w:r>
            <w:r>
              <w:rPr>
                <w:rFonts w:ascii="Arial" w:cs="Arial" w:eastAsia="Arial" w:hAnsi="Arial"/>
                <w:sz w:val="27"/>
                <w:szCs w:val="27"/>
                <w:b w:val="1"/>
                <w:bCs w:val="1"/>
                <w:color w:val="auto"/>
                <w:w w:val="90"/>
                <w:vertAlign w:val="superscript"/>
              </w:rPr>
              <w:t>rd</w:t>
            </w:r>
            <w:r>
              <w:rPr>
                <w:rFonts w:ascii="Arial" w:cs="Arial" w:eastAsia="Arial" w:hAnsi="Arial"/>
                <w:sz w:val="16"/>
                <w:szCs w:val="16"/>
                <w:b w:val="1"/>
                <w:bCs w:val="1"/>
                <w:color w:val="auto"/>
                <w:w w:val="90"/>
              </w:rPr>
              <w:t xml:space="preserve"> Street, Suite 500,</w:t>
            </w: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198"/>
        </w:trPr>
        <w:tc>
          <w:tcPr>
            <w:tcW w:w="20" w:type="dxa"/>
            <w:vAlign w:val="bottom"/>
          </w:tcPr>
          <w:p>
            <w:pPr>
              <w:spacing w:after="0"/>
              <w:rPr>
                <w:sz w:val="17"/>
                <w:szCs w:val="17"/>
                <w:color w:val="auto"/>
              </w:rPr>
            </w:pPr>
          </w:p>
        </w:tc>
        <w:tc>
          <w:tcPr>
            <w:tcW w:w="4460" w:type="dxa"/>
            <w:vAlign w:val="bottom"/>
            <w:gridSpan w:val="2"/>
          </w:tcPr>
          <w:p>
            <w:pPr>
              <w:jc w:val="center"/>
              <w:ind w:left="1043"/>
              <w:spacing w:after="0"/>
              <w:rPr>
                <w:sz w:val="20"/>
                <w:szCs w:val="20"/>
                <w:color w:val="auto"/>
              </w:rPr>
            </w:pPr>
            <w:r>
              <w:rPr>
                <w:rFonts w:ascii="Arial" w:cs="Arial" w:eastAsia="Arial" w:hAnsi="Arial"/>
                <w:sz w:val="16"/>
                <w:szCs w:val="16"/>
                <w:b w:val="1"/>
                <w:bCs w:val="1"/>
                <w:color w:val="auto"/>
                <w:w w:val="93"/>
              </w:rPr>
              <w:t>Oklahoma City, Oklahoma</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40" w:type="dxa"/>
            <w:vAlign w:val="bottom"/>
          </w:tcPr>
          <w:p>
            <w:pPr>
              <w:jc w:val="right"/>
              <w:ind w:right="2526"/>
              <w:spacing w:after="0"/>
              <w:rPr>
                <w:sz w:val="20"/>
                <w:szCs w:val="20"/>
                <w:color w:val="auto"/>
              </w:rPr>
            </w:pPr>
            <w:r>
              <w:rPr>
                <w:rFonts w:ascii="Arial" w:cs="Arial" w:eastAsia="Arial" w:hAnsi="Arial"/>
                <w:sz w:val="16"/>
                <w:szCs w:val="16"/>
                <w:b w:val="1"/>
                <w:bCs w:val="1"/>
                <w:color w:val="auto"/>
              </w:rPr>
              <w:t>73116</w:t>
            </w:r>
          </w:p>
        </w:tc>
      </w:tr>
      <w:tr>
        <w:trPr>
          <w:trHeight w:val="164"/>
        </w:trPr>
        <w:tc>
          <w:tcPr>
            <w:tcW w:w="20" w:type="dxa"/>
            <w:vAlign w:val="bottom"/>
          </w:tcPr>
          <w:p>
            <w:pPr>
              <w:spacing w:after="0"/>
              <w:rPr>
                <w:sz w:val="14"/>
                <w:szCs w:val="14"/>
                <w:color w:val="auto"/>
              </w:rPr>
            </w:pPr>
          </w:p>
        </w:tc>
        <w:tc>
          <w:tcPr>
            <w:tcW w:w="4460" w:type="dxa"/>
            <w:vAlign w:val="bottom"/>
            <w:gridSpan w:val="2"/>
          </w:tcPr>
          <w:p>
            <w:pPr>
              <w:jc w:val="center"/>
              <w:ind w:left="104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40" w:type="dxa"/>
            <w:vAlign w:val="bottom"/>
          </w:tcPr>
          <w:p>
            <w:pPr>
              <w:ind w:left="160"/>
              <w:spacing w:after="0"/>
              <w:rPr>
                <w:sz w:val="20"/>
                <w:szCs w:val="20"/>
                <w:color w:val="auto"/>
              </w:rPr>
            </w:pPr>
            <w:r>
              <w:rPr>
                <w:rFonts w:ascii="Arial" w:cs="Arial" w:eastAsia="Arial" w:hAnsi="Arial"/>
                <w:sz w:val="13"/>
                <w:szCs w:val="13"/>
                <w:b w:val="1"/>
                <w:bCs w:val="1"/>
                <w:color w:val="auto"/>
              </w:rPr>
              <w:t>(Zip Code)</w:t>
            </w:r>
          </w:p>
        </w:tc>
      </w:tr>
      <w:tr>
        <w:trPr>
          <w:trHeight w:val="240"/>
        </w:trPr>
        <w:tc>
          <w:tcPr>
            <w:tcW w:w="20" w:type="dxa"/>
            <w:vAlign w:val="bottom"/>
          </w:tcPr>
          <w:p>
            <w:pPr>
              <w:spacing w:after="0"/>
              <w:rPr>
                <w:sz w:val="20"/>
                <w:szCs w:val="20"/>
                <w:color w:val="auto"/>
              </w:rPr>
            </w:pPr>
          </w:p>
        </w:tc>
        <w:tc>
          <w:tcPr>
            <w:tcW w:w="8160" w:type="dxa"/>
            <w:vAlign w:val="bottom"/>
            <w:gridSpan w:val="6"/>
          </w:tcPr>
          <w:p>
            <w:pPr>
              <w:ind w:left="3280"/>
              <w:spacing w:after="0"/>
              <w:rPr>
                <w:sz w:val="20"/>
                <w:szCs w:val="20"/>
                <w:color w:val="auto"/>
              </w:rPr>
            </w:pPr>
            <w:r>
              <w:rPr>
                <w:rFonts w:ascii="Arial" w:cs="Arial" w:eastAsia="Arial" w:hAnsi="Arial"/>
                <w:sz w:val="16"/>
                <w:szCs w:val="16"/>
                <w:b w:val="1"/>
                <w:bCs w:val="1"/>
                <w:color w:val="auto"/>
                <w:w w:val="92"/>
              </w:rPr>
              <w:t>Registrant's Telephone Number, Including Area Code: (405) 235-4546</w:t>
            </w:r>
          </w:p>
        </w:tc>
        <w:tc>
          <w:tcPr>
            <w:tcW w:w="3240" w:type="dxa"/>
            <w:vAlign w:val="bottom"/>
          </w:tcPr>
          <w:p>
            <w:pPr>
              <w:spacing w:after="0"/>
              <w:rPr>
                <w:sz w:val="20"/>
                <w:szCs w:val="20"/>
                <w:color w:val="auto"/>
              </w:rPr>
            </w:pPr>
          </w:p>
        </w:tc>
      </w:tr>
      <w:tr>
        <w:trPr>
          <w:trHeight w:val="241"/>
        </w:trPr>
        <w:tc>
          <w:tcPr>
            <w:tcW w:w="448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2"/>
          </w:tcPr>
          <w:p>
            <w:pPr>
              <w:jc w:val="center"/>
              <w:ind w:right="108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$.10</w:t>
            </w:r>
          </w:p>
        </w:tc>
        <w:tc>
          <w:tcPr>
            <w:tcW w:w="120" w:type="dxa"/>
            <w:vAlign w:val="bottom"/>
          </w:tcPr>
          <w:p>
            <w:pPr>
              <w:spacing w:after="0"/>
              <w:rPr>
                <w:sz w:val="18"/>
                <w:szCs w:val="18"/>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LXU</w:t>
            </w:r>
          </w:p>
        </w:tc>
        <w:tc>
          <w:tcPr>
            <w:tcW w:w="3960" w:type="dxa"/>
            <w:vAlign w:val="bottom"/>
            <w:gridSpan w:val="2"/>
          </w:tcPr>
          <w:p>
            <w:pPr>
              <w:jc w:val="center"/>
              <w:ind w:right="1086"/>
              <w:spacing w:after="0"/>
              <w:rPr>
                <w:sz w:val="20"/>
                <w:szCs w:val="20"/>
                <w:color w:val="auto"/>
              </w:rPr>
            </w:pPr>
            <w:r>
              <w:rPr>
                <w:rFonts w:ascii="Arial" w:cs="Arial" w:eastAsia="Arial" w:hAnsi="Arial"/>
                <w:sz w:val="16"/>
                <w:szCs w:val="16"/>
                <w:b w:val="1"/>
                <w:bCs w:val="1"/>
                <w:color w:val="auto"/>
                <w:w w:val="91"/>
              </w:rPr>
              <w:t>New York Stock Exchange</w:t>
            </w:r>
          </w:p>
        </w:tc>
      </w:tr>
      <w:tr>
        <w:trPr>
          <w:trHeight w:val="288"/>
        </w:trPr>
        <w:tc>
          <w:tcPr>
            <w:tcW w:w="4480" w:type="dxa"/>
            <w:vAlign w:val="bottom"/>
            <w:gridSpan w:val="3"/>
          </w:tcPr>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28"/>
        </w:trPr>
        <w:tc>
          <w:tcPr>
            <w:tcW w:w="7460" w:type="dxa"/>
            <w:vAlign w:val="bottom"/>
            <w:gridSpan w:val="6"/>
          </w:tcPr>
          <w:p>
            <w:pPr>
              <w:spacing w:after="0" w:line="173" w:lineRule="exact"/>
              <w:rPr>
                <w:sz w:val="20"/>
                <w:szCs w:val="20"/>
                <w:color w:val="auto"/>
              </w:rPr>
            </w:pPr>
            <w:r>
              <w:rPr>
                <w:rFonts w:ascii="Arial" w:cs="Arial" w:eastAsia="Arial" w:hAnsi="Arial"/>
                <w:sz w:val="15"/>
                <w:szCs w:val="15"/>
                <w:color w:val="auto"/>
                <w:w w:val="93"/>
              </w:rPr>
              <w:t xml:space="preserve">Indicate by check mark if the Registrant is a well-known seasoned issuer, as defined in Rule 405 of the Securities Act. </w:t>
            </w:r>
            <w:r>
              <w:rPr>
                <w:rFonts w:ascii="MS PGothic" w:cs="MS PGothic" w:eastAsia="MS PGothic" w:hAnsi="MS PGothic"/>
                <w:sz w:val="14"/>
                <w:szCs w:val="14"/>
                <w:color w:val="auto"/>
                <w:w w:val="93"/>
              </w:rPr>
              <w:t>☐</w:t>
            </w:r>
          </w:p>
        </w:tc>
        <w:tc>
          <w:tcPr>
            <w:tcW w:w="720" w:type="dxa"/>
            <w:vAlign w:val="bottom"/>
          </w:tcPr>
          <w:p>
            <w:pPr>
              <w:jc w:val="center"/>
              <w:spacing w:after="0" w:line="173" w:lineRule="exact"/>
              <w:rPr>
                <w:sz w:val="20"/>
                <w:szCs w:val="20"/>
                <w:color w:val="auto"/>
              </w:rPr>
            </w:pPr>
            <w:r>
              <w:rPr>
                <w:rFonts w:ascii="Arial" w:cs="Arial" w:eastAsia="Arial" w:hAnsi="Arial"/>
                <w:sz w:val="15"/>
                <w:szCs w:val="15"/>
                <w:color w:val="auto"/>
                <w:w w:val="99"/>
              </w:rPr>
              <w:t xml:space="preserve">Yes </w:t>
            </w:r>
            <w:r>
              <w:rPr>
                <w:rFonts w:ascii="MS PGothic" w:cs="MS PGothic" w:eastAsia="MS PGothic" w:hAnsi="MS PGothic"/>
                <w:sz w:val="14"/>
                <w:szCs w:val="14"/>
                <w:color w:val="auto"/>
                <w:w w:val="99"/>
              </w:rPr>
              <w:t>☒</w:t>
            </w:r>
          </w:p>
        </w:tc>
        <w:tc>
          <w:tcPr>
            <w:tcW w:w="3240" w:type="dxa"/>
            <w:vAlign w:val="bottom"/>
          </w:tcPr>
          <w:p>
            <w:pPr>
              <w:ind w:left="20"/>
              <w:spacing w:after="0"/>
              <w:rPr>
                <w:sz w:val="20"/>
                <w:szCs w:val="20"/>
                <w:color w:val="auto"/>
              </w:rPr>
            </w:pPr>
            <w:r>
              <w:rPr>
                <w:rFonts w:ascii="Arial" w:cs="Arial" w:eastAsia="Arial" w:hAnsi="Arial"/>
                <w:sz w:val="15"/>
                <w:szCs w:val="15"/>
                <w:color w:val="auto"/>
              </w:rPr>
              <w:t>No</w:t>
            </w:r>
          </w:p>
        </w:tc>
      </w:tr>
      <w:tr>
        <w:trPr>
          <w:trHeight w:val="230"/>
        </w:trPr>
        <w:tc>
          <w:tcPr>
            <w:tcW w:w="7460" w:type="dxa"/>
            <w:vAlign w:val="bottom"/>
            <w:gridSpan w:val="6"/>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Section 15(d) of the Act.</w:t>
            </w:r>
          </w:p>
        </w:tc>
        <w:tc>
          <w:tcPr>
            <w:tcW w:w="720" w:type="dxa"/>
            <w:vAlign w:val="bottom"/>
          </w:tcPr>
          <w:p>
            <w:pPr>
              <w:jc w:val="center"/>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Yes </w:t>
            </w:r>
            <w:r>
              <w:rPr>
                <w:rFonts w:ascii="MS PGothic" w:cs="MS PGothic" w:eastAsia="MS PGothic" w:hAnsi="MS PGothic"/>
                <w:sz w:val="14"/>
                <w:szCs w:val="14"/>
                <w:color w:val="auto"/>
              </w:rPr>
              <w:t>☒</w:t>
            </w:r>
          </w:p>
        </w:tc>
        <w:tc>
          <w:tcPr>
            <w:tcW w:w="3240" w:type="dxa"/>
            <w:vAlign w:val="bottom"/>
          </w:tcPr>
          <w:p>
            <w:pPr>
              <w:ind w:left="140"/>
              <w:spacing w:after="0"/>
              <w:rPr>
                <w:sz w:val="20"/>
                <w:szCs w:val="20"/>
                <w:color w:val="auto"/>
              </w:rPr>
            </w:pPr>
            <w:r>
              <w:rPr>
                <w:rFonts w:ascii="Arial" w:cs="Arial" w:eastAsia="Arial" w:hAnsi="Arial"/>
                <w:sz w:val="15"/>
                <w:szCs w:val="15"/>
                <w:color w:val="auto"/>
              </w:rPr>
              <w:t>No</w:t>
            </w:r>
          </w:p>
        </w:tc>
      </w:tr>
    </w:tbl>
    <w:p>
      <w:pPr>
        <w:spacing w:after="0" w:line="23"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4"/>
          <w:szCs w:val="14"/>
          <w:color w:val="auto"/>
        </w:rPr>
        <w:t xml:space="preserve"> Yes </w:t>
      </w:r>
      <w:r>
        <w:rPr>
          <w:rFonts w:ascii="MS PGothic" w:cs="MS PGothic" w:eastAsia="MS PGothic" w:hAnsi="MS PGothic"/>
          <w:sz w:val="13"/>
          <w:szCs w:val="13"/>
          <w:color w:val="auto"/>
        </w:rPr>
        <w:t>☐</w:t>
      </w:r>
      <w:r>
        <w:rPr>
          <w:rFonts w:ascii="Arial" w:cs="Arial" w:eastAsia="Arial" w:hAnsi="Arial"/>
          <w:sz w:val="14"/>
          <w:szCs w:val="14"/>
          <w:color w:val="auto"/>
        </w:rPr>
        <w:t xml:space="preserve"> No</w:t>
      </w:r>
    </w:p>
    <w:p>
      <w:pPr>
        <w:spacing w:after="0" w:line="24" w:lineRule="exact"/>
        <w:rPr>
          <w:sz w:val="24"/>
          <w:szCs w:val="24"/>
          <w:color w:val="auto"/>
        </w:rPr>
      </w:pPr>
    </w:p>
    <w:p>
      <w:pPr>
        <w:jc w:val="both"/>
        <w:ind w:right="20"/>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4"/>
          <w:szCs w:val="14"/>
          <w:color w:val="auto"/>
        </w:rPr>
        <w:t>☒</w:t>
      </w:r>
      <w:r>
        <w:rPr>
          <w:rFonts w:ascii="Arial" w:cs="Arial" w:eastAsia="Arial" w:hAnsi="Arial"/>
          <w:sz w:val="15"/>
          <w:szCs w:val="15"/>
          <w:color w:val="auto"/>
        </w:rPr>
        <w:t xml:space="preserve"> Yes </w:t>
      </w:r>
      <w:r>
        <w:rPr>
          <w:rFonts w:ascii="MS PGothic" w:cs="MS PGothic" w:eastAsia="MS PGothic" w:hAnsi="MS PGothic"/>
          <w:sz w:val="14"/>
          <w:szCs w:val="14"/>
          <w:color w:val="auto"/>
        </w:rPr>
        <w:t>☐</w:t>
      </w:r>
      <w:r>
        <w:rPr>
          <w:rFonts w:ascii="Arial" w:cs="Arial" w:eastAsia="Arial" w:hAnsi="Arial"/>
          <w:sz w:val="15"/>
          <w:szCs w:val="15"/>
          <w:color w:val="auto"/>
        </w:rPr>
        <w:t xml:space="preserve"> No</w:t>
      </w:r>
    </w:p>
    <w:p>
      <w:pPr>
        <w:spacing w:after="0" w:line="24" w:lineRule="exact"/>
        <w:rPr>
          <w:sz w:val="24"/>
          <w:szCs w:val="24"/>
          <w:color w:val="auto"/>
        </w:rPr>
      </w:pPr>
    </w:p>
    <w:p>
      <w:pPr>
        <w:jc w:val="both"/>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8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60"/>
              <w:spacing w:after="0"/>
              <w:rPr>
                <w:sz w:val="20"/>
                <w:szCs w:val="20"/>
                <w:color w:val="auto"/>
              </w:rPr>
            </w:pPr>
            <w:r>
              <w:rPr>
                <w:rFonts w:ascii="Arial" w:cs="Arial" w:eastAsia="Arial" w:hAnsi="Arial"/>
                <w:sz w:val="15"/>
                <w:szCs w:val="15"/>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8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60"/>
              <w:spacing w:after="0"/>
              <w:rPr>
                <w:sz w:val="20"/>
                <w:szCs w:val="20"/>
                <w:color w:val="auto"/>
              </w:rPr>
            </w:pPr>
            <w:r>
              <w:rPr>
                <w:rFonts w:ascii="Arial" w:cs="Arial" w:eastAsia="Arial" w:hAnsi="Arial"/>
                <w:sz w:val="15"/>
                <w:szCs w:val="15"/>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8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180" w:type="dxa"/>
            <w:vAlign w:val="bottom"/>
          </w:tcPr>
          <w:p>
            <w:pPr>
              <w:ind w:left="3160"/>
              <w:spacing w:after="0"/>
              <w:rPr>
                <w:sz w:val="20"/>
                <w:szCs w:val="20"/>
                <w:color w:val="auto"/>
              </w:rPr>
            </w:pPr>
            <w:r>
              <w:rPr>
                <w:rFonts w:ascii="Arial" w:cs="Arial" w:eastAsia="Arial" w:hAnsi="Arial"/>
                <w:sz w:val="15"/>
                <w:szCs w:val="15"/>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 w:lineRule="exact"/>
        <w:rPr>
          <w:sz w:val="24"/>
          <w:szCs w:val="24"/>
          <w:color w:val="auto"/>
        </w:rPr>
      </w:pPr>
    </w:p>
    <w:p>
      <w:pPr>
        <w:jc w:val="both"/>
        <w:ind w:right="8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6700" w:val="left"/>
          <w:tab w:leader="none" w:pos="73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5"/>
          <w:szCs w:val="15"/>
          <w:color w:val="auto"/>
        </w:rPr>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p>
    <w:p>
      <w:pPr>
        <w:spacing w:after="0" w:line="76" w:lineRule="exact"/>
        <w:rPr>
          <w:sz w:val="24"/>
          <w:szCs w:val="24"/>
          <w:color w:val="auto"/>
        </w:rPr>
      </w:pPr>
    </w:p>
    <w:p>
      <w:pPr>
        <w:jc w:val="both"/>
        <w:spacing w:after="0" w:line="228" w:lineRule="auto"/>
        <w:rPr>
          <w:sz w:val="20"/>
          <w:szCs w:val="20"/>
          <w:color w:val="auto"/>
        </w:rPr>
      </w:pPr>
      <w:r>
        <w:rPr>
          <w:rFonts w:ascii="Arial" w:cs="Arial" w:eastAsia="Arial" w:hAnsi="Arial"/>
          <w:sz w:val="15"/>
          <w:szCs w:val="15"/>
          <w:color w:val="auto"/>
        </w:rPr>
        <w:t>The aggregate market value of the Registrant’s voting common equity held by non-affiliates of the Registrant, computed by reference to the price at which the voting common stock was last sold as of June 30, 2019, was approximately $80 million. As a result, the Registrant is an accelerated filer as of December 31, 2019. For purposes of this computation, shares of the Registrant’s common stock beneficially owned by each executive officer and director of the Registrant and LSB Funding LLC were deemed to be owned by affiliates of the Registrant as of June 30, 2019. Such determination should not be deemed an admission that such executive officers, directors or entity of our common stock are, in fact, affiliates of the Registrant or affiliates as of the date of this Form 10-K</w:t>
      </w:r>
      <w:r>
        <w:rPr>
          <w:rFonts w:ascii="Arial" w:cs="Arial" w:eastAsia="Arial" w:hAnsi="Arial"/>
          <w:sz w:val="14"/>
          <w:szCs w:val="14"/>
          <w:color w:val="auto"/>
        </w:rPr>
        <w: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As of February 14, 2020, the Registrant had 29,335,920 shares of common stock outstanding.</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DOCUMENTS INCORPORATED BY REFERENCE</w:t>
      </w:r>
    </w:p>
    <w:p>
      <w:pPr>
        <w:spacing w:after="0" w:line="15" w:lineRule="exact"/>
        <w:rPr>
          <w:sz w:val="24"/>
          <w:szCs w:val="24"/>
          <w:color w:val="auto"/>
        </w:rPr>
      </w:pPr>
    </w:p>
    <w:p>
      <w:pPr>
        <w:jc w:val="both"/>
        <w:spacing w:after="0" w:line="239" w:lineRule="auto"/>
        <w:rPr>
          <w:sz w:val="20"/>
          <w:szCs w:val="20"/>
          <w:color w:val="auto"/>
        </w:rPr>
      </w:pPr>
      <w:r>
        <w:rPr>
          <w:rFonts w:ascii="Arial" w:cs="Arial" w:eastAsia="Arial" w:hAnsi="Arial"/>
          <w:sz w:val="15"/>
          <w:szCs w:val="15"/>
          <w:color w:val="auto"/>
        </w:rPr>
        <w:t>Portions of the Registrant’s proxy statement for its annual meeting of stockholders will be filed with the Securities and Exchange Commission within 120 days after the end of its 2019 fiscal year,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restart"/>
          </w:tcPr>
          <w:p>
            <w:pPr>
              <w:jc w:val="center"/>
              <w:ind w:right="438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24"/>
                <w:szCs w:val="24"/>
                <w:color w:val="auto"/>
              </w:rPr>
            </w:pPr>
          </w:p>
        </w:tc>
        <w:tc>
          <w:tcPr>
            <w:tcW w:w="4380" w:type="dxa"/>
            <w:vAlign w:val="bottom"/>
            <w:gridSpan w:val="8"/>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8260" w:type="dxa"/>
            <w:vAlign w:val="bottom"/>
            <w:gridSpan w:val="20"/>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Unresolved Staff Comments</w:t>
              </w:r>
            </w:hyperlink>
          </w:p>
        </w:tc>
        <w:tc>
          <w:tcPr>
            <w:tcW w:w="7120" w:type="dxa"/>
            <w:vAlign w:val="bottom"/>
            <w:gridSpan w:val="16"/>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8440" w:type="dxa"/>
            <w:vAlign w:val="bottom"/>
            <w:gridSpan w:val="21"/>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PART II</w:t>
              </w:r>
            </w:hyperlink>
          </w:p>
        </w:tc>
        <w:tc>
          <w:tcPr>
            <w:tcW w:w="43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7"/>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2740" w:type="dxa"/>
            <w:vAlign w:val="bottom"/>
            <w:gridSpan w:val="3"/>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5"/>
          </w:tcPr>
          <w:p>
            <w:pPr>
              <w:spacing w:after="0"/>
              <w:rPr>
                <w:sz w:val="24"/>
                <w:szCs w:val="24"/>
                <w:color w:val="auto"/>
              </w:rPr>
            </w:pPr>
          </w:p>
        </w:tc>
        <w:tc>
          <w:tcPr>
            <w:tcW w:w="4820" w:type="dxa"/>
            <w:vAlign w:val="bottom"/>
            <w:gridSpan w:val="9"/>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5"/>
          </w:tcPr>
          <w:p>
            <w:pPr>
              <w:spacing w:after="0"/>
              <w:rPr>
                <w:sz w:val="24"/>
                <w:szCs w:val="24"/>
                <w:color w:val="auto"/>
              </w:rPr>
            </w:pPr>
          </w:p>
        </w:tc>
        <w:tc>
          <w:tcPr>
            <w:tcW w:w="2700" w:type="dxa"/>
            <w:vAlign w:val="bottom"/>
            <w:gridSpan w:val="2"/>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9B.</w:t>
            </w:r>
          </w:p>
        </w:tc>
        <w:tc>
          <w:tcPr>
            <w:tcW w:w="918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gridSpan w:val="12"/>
          </w:tcPr>
          <w:p>
            <w:pPr>
              <w:jc w:val="center"/>
              <w:ind w:right="4320"/>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PART III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bottom w:val="single" w:sz="8" w:color="0000EE"/>
            </w:tcBorders>
            <w:gridSpan w:val="9"/>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(Items 10, 11, 12, 13, and 14)</w:t>
              </w:r>
            </w:hyperlink>
          </w:p>
        </w:tc>
        <w:tc>
          <w:tcPr>
            <w:tcW w:w="3580" w:type="dxa"/>
            <w:vAlign w:val="bottom"/>
            <w:gridSpan w:val="4"/>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52"/>
        </w:trPr>
        <w:tc>
          <w:tcPr>
            <w:tcW w:w="146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w w:val="99"/>
              </w:rPr>
              <w:t>The information required by Part III, shall be incorporated by reference from our definitive proxy statement to be filed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w w:val="99"/>
              </w:rPr>
              <w:t>pursuant to Regulation 14A which involves the election of directors that we expect to be filed with the Securities 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rPr>
              <w:t>Exchange Commission not later than 120 days after the end of its 2019 fiscal year covered by this report.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PART IV</w:t>
              </w:r>
            </w:hyperlink>
          </w:p>
        </w:tc>
        <w:tc>
          <w:tcPr>
            <w:tcW w:w="430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 and Financial Statement Schedules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69"/>
        </w:trPr>
        <w:tc>
          <w:tcPr>
            <w:tcW w:w="1460" w:type="dxa"/>
            <w:vAlign w:val="bottom"/>
          </w:tcPr>
          <w:p>
            <w:pPr>
              <w:spacing w:after="0"/>
              <w:rPr>
                <w:sz w:val="24"/>
                <w:szCs w:val="24"/>
                <w:color w:val="auto"/>
              </w:rPr>
            </w:pPr>
          </w:p>
        </w:tc>
        <w:tc>
          <w:tcPr>
            <w:tcW w:w="3160" w:type="dxa"/>
            <w:vAlign w:val="bottom"/>
            <w:tcBorders>
              <w:top w:val="single" w:sz="8" w:color="0000EE"/>
            </w:tcBorders>
            <w:gridSpan w:val="8"/>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1"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7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was formed in 1968 as an Oklahoma corporation and became a Delaware corporation in 1977. We manufacture and market chemical products for the agricultural, industrial and mining markets. We own and operate facilities in El Dorado, Arkansas (the “El Dorado Facility”), Cherokee, Alabama (the “Cherokee Facility”), and Pryor, Oklahoma (the “Pryor Facility”), and we operate a facility for Covestro AG (“Covestro”) in Baytown, Texas (the “Baytown Facility”). Our products are sold through distributors and directly to end customers throughout the United States.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manufactures products for three principal markets: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ammonia, fertilizer grade ammonium nitrate (“AN” and “HDAN”) and urea ammonia nitrate (“UAN”) for agricultural applications;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purity and commercial grade ammonia, high purity AN, sulfuric acids, concentrated, blended and regular nitric acid, mixed nitrating acids, carbon dioxide, and diesel exhaust fluid (“DEF”) for industrial applications;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grade AN (“LDAN”) and AN solutions for mining applications.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products we manufacture at our facilities are primarily derived from natural gas (a raw material feedstock).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highlights representative products and applications in each of our end markets.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80" w:type="dxa"/>
            <w:vAlign w:val="bottom"/>
            <w:tcBorders>
              <w:right w:val="single" w:sz="8" w:color="auto"/>
            </w:tcBorders>
          </w:tcPr>
          <w:p>
            <w:pPr>
              <w:spacing w:after="0"/>
              <w:rPr>
                <w:sz w:val="20"/>
                <w:szCs w:val="20"/>
                <w:color w:val="auto"/>
              </w:rPr>
            </w:pPr>
          </w:p>
        </w:tc>
        <w:tc>
          <w:tcPr>
            <w:tcW w:w="266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End Market</w:t>
            </w:r>
          </w:p>
        </w:tc>
        <w:tc>
          <w:tcPr>
            <w:tcW w:w="240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Products</w:t>
            </w:r>
          </w:p>
        </w:tc>
        <w:tc>
          <w:tcPr>
            <w:tcW w:w="306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Applications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vMerge w:val="restart"/>
            <w:shd w:val="clear" w:color="auto" w:fill="CFF0FC"/>
          </w:tcPr>
          <w:p>
            <w:pPr>
              <w:ind w:left="80"/>
              <w:spacing w:after="0"/>
              <w:rPr>
                <w:sz w:val="20"/>
                <w:szCs w:val="20"/>
                <w:color w:val="auto"/>
              </w:rPr>
            </w:pPr>
            <w:r>
              <w:rPr>
                <w:rFonts w:ascii="Arial" w:cs="Arial" w:eastAsia="Arial" w:hAnsi="Arial"/>
                <w:sz w:val="18"/>
                <w:szCs w:val="18"/>
                <w:color w:val="auto"/>
              </w:rPr>
              <w:t>Agricultural</w:t>
            </w:r>
          </w:p>
        </w:tc>
        <w:tc>
          <w:tcPr>
            <w:tcW w:w="2400" w:type="dxa"/>
            <w:vAlign w:val="bottom"/>
            <w:tcBorders>
              <w:right w:val="single" w:sz="8" w:color="auto"/>
            </w:tcBorders>
            <w:shd w:val="clear" w:color="auto" w:fill="CFF0FC"/>
          </w:tcPr>
          <w:p>
            <w:pPr>
              <w:spacing w:after="0"/>
              <w:rPr>
                <w:sz w:val="17"/>
                <w:szCs w:val="17"/>
                <w:color w:val="auto"/>
              </w:rPr>
            </w:pPr>
          </w:p>
        </w:tc>
        <w:tc>
          <w:tcPr>
            <w:tcW w:w="3060" w:type="dxa"/>
            <w:vAlign w:val="bottom"/>
            <w:tcBorders>
              <w:right w:val="single" w:sz="8" w:color="auto"/>
            </w:tcBorders>
            <w:shd w:val="clear" w:color="auto" w:fill="CFF0FC"/>
          </w:tcPr>
          <w:p>
            <w:pPr>
              <w:ind w:left="100"/>
              <w:spacing w:after="0" w:line="201" w:lineRule="exact"/>
              <w:rPr>
                <w:sz w:val="20"/>
                <w:szCs w:val="20"/>
                <w:color w:val="auto"/>
              </w:rPr>
            </w:pPr>
            <w:r>
              <w:rPr>
                <w:rFonts w:ascii="Arial" w:cs="Arial" w:eastAsia="Arial" w:hAnsi="Arial"/>
                <w:sz w:val="18"/>
                <w:szCs w:val="18"/>
                <w:color w:val="auto"/>
                <w:w w:val="98"/>
              </w:rPr>
              <w:t>Fertilizer and fertilizer blends for corn</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shd w:val="clear" w:color="auto" w:fill="CFF0FC"/>
          </w:tcPr>
          <w:p>
            <w:pPr>
              <w:spacing w:after="0"/>
              <w:rPr>
                <w:sz w:val="14"/>
                <w:szCs w:val="14"/>
                <w:color w:val="auto"/>
              </w:rPr>
            </w:pPr>
          </w:p>
        </w:tc>
        <w:tc>
          <w:tcPr>
            <w:tcW w:w="240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UAN, HDAN and ammonia</w:t>
            </w:r>
          </w:p>
        </w:tc>
        <w:tc>
          <w:tcPr>
            <w:tcW w:w="306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w w:val="97"/>
              </w:rPr>
              <w:t>and other crops; NPK fertilizer blends</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shd w:val="clear" w:color="auto" w:fill="CFF0FC"/>
          </w:tcPr>
          <w:p>
            <w:pPr>
              <w:spacing w:after="0"/>
              <w:rPr>
                <w:sz w:val="5"/>
                <w:szCs w:val="5"/>
                <w:color w:val="auto"/>
              </w:rPr>
            </w:pPr>
          </w:p>
        </w:tc>
        <w:tc>
          <w:tcPr>
            <w:tcW w:w="2400" w:type="dxa"/>
            <w:vAlign w:val="bottom"/>
            <w:tcBorders>
              <w:right w:val="single" w:sz="8" w:color="auto"/>
            </w:tcBorders>
            <w:vMerge w:val="continue"/>
            <w:shd w:val="clear" w:color="auto" w:fill="CFF0FC"/>
          </w:tcPr>
          <w:p>
            <w:pPr>
              <w:spacing w:after="0"/>
              <w:rPr>
                <w:sz w:val="5"/>
                <w:szCs w:val="5"/>
                <w:color w:val="auto"/>
              </w:rPr>
            </w:pPr>
          </w:p>
        </w:tc>
        <w:tc>
          <w:tcPr>
            <w:tcW w:w="3060" w:type="dxa"/>
            <w:vAlign w:val="bottom"/>
            <w:tcBorders>
              <w:right w:val="single" w:sz="8" w:color="auto"/>
            </w:tcBorders>
            <w:vMerge w:val="continue"/>
            <w:shd w:val="clear" w:color="auto" w:fill="CFF0FC"/>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shd w:val="clear" w:color="auto" w:fill="CFF0FC"/>
          </w:tcPr>
          <w:p>
            <w:pPr>
              <w:spacing w:after="0"/>
              <w:rPr>
                <w:sz w:val="13"/>
                <w:szCs w:val="13"/>
                <w:color w:val="auto"/>
              </w:rPr>
            </w:pPr>
          </w:p>
        </w:tc>
        <w:tc>
          <w:tcPr>
            <w:tcW w:w="2400" w:type="dxa"/>
            <w:vAlign w:val="bottom"/>
            <w:tcBorders>
              <w:bottom w:val="single" w:sz="8" w:color="auto"/>
              <w:right w:val="single" w:sz="8" w:color="auto"/>
            </w:tcBorders>
            <w:shd w:val="clear" w:color="auto" w:fill="CFF0FC"/>
          </w:tcPr>
          <w:p>
            <w:pPr>
              <w:spacing w:after="0"/>
              <w:rPr>
                <w:sz w:val="13"/>
                <w:szCs w:val="13"/>
                <w:color w:val="auto"/>
              </w:rPr>
            </w:pPr>
          </w:p>
        </w:tc>
        <w:tc>
          <w:tcPr>
            <w:tcW w:w="3060" w:type="dxa"/>
            <w:vAlign w:val="bottom"/>
            <w:tcBorders>
              <w:bottom w:val="single" w:sz="8" w:color="auto"/>
              <w:right w:val="single" w:sz="8" w:color="auto"/>
            </w:tcBorders>
            <w:shd w:val="clear" w:color="auto" w:fill="CFF0FC"/>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68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Semi-conductor and polyurethane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intermediates, ordnance; Pulp and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Nitric acid, metallurgical and</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paper, alum, water treatment, metals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commercial grade ammonia,</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and vanadium processing; Power plant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sulfuric acid, diesel exhaust</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emissions abatement, water treatment,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fluid and other urea solutions,</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refrigerants, metals processing; Exhaust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Industrial Acids and Other</w:t>
            </w: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Specialty E-2 ammonium</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stream additive, horticulture /</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2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nitrate and CO2</w:t>
            </w:r>
          </w:p>
        </w:tc>
        <w:tc>
          <w:tcPr>
            <w:tcW w:w="3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6"/>
              </w:rPr>
              <w:t>greenhouse applications; refrigeration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3060" w:type="dxa"/>
            <w:vAlign w:val="bottom"/>
            <w:tcBorders>
              <w:right w:val="single" w:sz="8" w:color="auto"/>
            </w:tcBorders>
            <w:vMerge w:val="continue"/>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80" w:type="dxa"/>
            <w:vAlign w:val="bottom"/>
            <w:tcBorders>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8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shd w:val="clear" w:color="auto" w:fill="CFF0FC"/>
          </w:tcPr>
          <w:p>
            <w:pPr>
              <w:spacing w:after="0"/>
              <w:rPr>
                <w:sz w:val="16"/>
                <w:szCs w:val="16"/>
                <w:color w:val="auto"/>
              </w:rPr>
            </w:pPr>
          </w:p>
        </w:tc>
        <w:tc>
          <w:tcPr>
            <w:tcW w:w="2400" w:type="dxa"/>
            <w:vAlign w:val="bottom"/>
            <w:tcBorders>
              <w:right w:val="single" w:sz="8" w:color="auto"/>
            </w:tcBorders>
            <w:shd w:val="clear" w:color="auto" w:fill="CFF0FC"/>
          </w:tcPr>
          <w:p>
            <w:pPr>
              <w:spacing w:after="0"/>
              <w:rPr>
                <w:sz w:val="16"/>
                <w:szCs w:val="16"/>
                <w:color w:val="auto"/>
              </w:rPr>
            </w:pPr>
          </w:p>
        </w:tc>
        <w:tc>
          <w:tcPr>
            <w:tcW w:w="3060" w:type="dxa"/>
            <w:vAlign w:val="bottom"/>
            <w:tcBorders>
              <w:right w:val="single" w:sz="8" w:color="auto"/>
            </w:tcBorders>
            <w:shd w:val="clear" w:color="auto" w:fill="CFF0FC"/>
          </w:tcPr>
          <w:p>
            <w:pPr>
              <w:ind w:left="100"/>
              <w:spacing w:after="0" w:line="195" w:lineRule="exact"/>
              <w:rPr>
                <w:sz w:val="20"/>
                <w:szCs w:val="20"/>
                <w:color w:val="auto"/>
              </w:rPr>
            </w:pPr>
            <w:r>
              <w:rPr>
                <w:rFonts w:ascii="Arial" w:cs="Arial" w:eastAsia="Arial" w:hAnsi="Arial"/>
                <w:sz w:val="18"/>
                <w:szCs w:val="18"/>
                <w:color w:val="auto"/>
                <w:w w:val="95"/>
              </w:rPr>
              <w:t>Ammonium nitrate fuel oil (ANFO) and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shd w:val="clear" w:color="auto" w:fill="CFF0FC"/>
          </w:tcPr>
          <w:p>
            <w:pPr>
              <w:spacing w:after="0"/>
              <w:rPr>
                <w:sz w:val="18"/>
                <w:szCs w:val="18"/>
                <w:color w:val="auto"/>
              </w:rPr>
            </w:pPr>
          </w:p>
        </w:tc>
        <w:tc>
          <w:tcPr>
            <w:tcW w:w="2400" w:type="dxa"/>
            <w:vAlign w:val="bottom"/>
            <w:tcBorders>
              <w:right w:val="single" w:sz="8" w:color="auto"/>
            </w:tcBorders>
            <w:shd w:val="clear" w:color="auto" w:fill="CFF0FC"/>
          </w:tcPr>
          <w:p>
            <w:pPr>
              <w:spacing w:after="0"/>
              <w:rPr>
                <w:sz w:val="18"/>
                <w:szCs w:val="18"/>
                <w:color w:val="auto"/>
              </w:rPr>
            </w:pPr>
          </w:p>
        </w:tc>
        <w:tc>
          <w:tcPr>
            <w:tcW w:w="30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specialty emulsions for mining</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shd w:val="clear" w:color="auto" w:fill="CFF0FC"/>
          </w:tcPr>
          <w:p>
            <w:pPr>
              <w:ind w:left="80"/>
              <w:spacing w:after="0"/>
              <w:rPr>
                <w:sz w:val="20"/>
                <w:szCs w:val="20"/>
                <w:color w:val="auto"/>
              </w:rPr>
            </w:pPr>
            <w:r>
              <w:rPr>
                <w:rFonts w:ascii="Arial" w:cs="Arial" w:eastAsia="Arial" w:hAnsi="Arial"/>
                <w:sz w:val="18"/>
                <w:szCs w:val="18"/>
                <w:color w:val="auto"/>
              </w:rPr>
              <w:t>Mining</w:t>
            </w:r>
          </w:p>
        </w:tc>
        <w:tc>
          <w:tcPr>
            <w:tcW w:w="24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LDAN, AN solution and</w:t>
            </w:r>
          </w:p>
        </w:tc>
        <w:tc>
          <w:tcPr>
            <w:tcW w:w="30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6"/>
              </w:rPr>
              <w:t>applications, surface mining, quarries,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shd w:val="clear" w:color="auto" w:fill="CFF0FC"/>
          </w:tcPr>
          <w:p>
            <w:pPr>
              <w:spacing w:after="0"/>
              <w:rPr>
                <w:sz w:val="14"/>
                <w:szCs w:val="14"/>
                <w:color w:val="auto"/>
              </w:rPr>
            </w:pPr>
          </w:p>
        </w:tc>
        <w:tc>
          <w:tcPr>
            <w:tcW w:w="240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HDAN</w:t>
            </w:r>
          </w:p>
        </w:tc>
        <w:tc>
          <w:tcPr>
            <w:tcW w:w="306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and construction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shd w:val="clear" w:color="auto" w:fill="CFF0FC"/>
          </w:tcPr>
          <w:p>
            <w:pPr>
              <w:spacing w:after="0"/>
              <w:rPr>
                <w:sz w:val="5"/>
                <w:szCs w:val="5"/>
                <w:color w:val="auto"/>
              </w:rPr>
            </w:pPr>
          </w:p>
        </w:tc>
        <w:tc>
          <w:tcPr>
            <w:tcW w:w="2400" w:type="dxa"/>
            <w:vAlign w:val="bottom"/>
            <w:tcBorders>
              <w:right w:val="single" w:sz="8" w:color="auto"/>
            </w:tcBorders>
            <w:vMerge w:val="continue"/>
            <w:shd w:val="clear" w:color="auto" w:fill="CFF0FC"/>
          </w:tcPr>
          <w:p>
            <w:pPr>
              <w:spacing w:after="0"/>
              <w:rPr>
                <w:sz w:val="5"/>
                <w:szCs w:val="5"/>
                <w:color w:val="auto"/>
              </w:rPr>
            </w:pPr>
          </w:p>
        </w:tc>
        <w:tc>
          <w:tcPr>
            <w:tcW w:w="3060" w:type="dxa"/>
            <w:vAlign w:val="bottom"/>
            <w:tcBorders>
              <w:right w:val="single" w:sz="8" w:color="auto"/>
            </w:tcBorders>
            <w:vMerge w:val="continue"/>
            <w:shd w:val="clear" w:color="auto" w:fill="CFF0FC"/>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80" w:type="dxa"/>
            <w:vAlign w:val="bottom"/>
            <w:tcBorders>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shd w:val="clear" w:color="auto" w:fill="CFF0FC"/>
          </w:tcPr>
          <w:p>
            <w:pPr>
              <w:spacing w:after="0"/>
              <w:rPr>
                <w:sz w:val="12"/>
                <w:szCs w:val="12"/>
                <w:color w:val="auto"/>
              </w:rPr>
            </w:pPr>
          </w:p>
        </w:tc>
        <w:tc>
          <w:tcPr>
            <w:tcW w:w="2400" w:type="dxa"/>
            <w:vAlign w:val="bottom"/>
            <w:tcBorders>
              <w:bottom w:val="single" w:sz="8" w:color="auto"/>
              <w:right w:val="single" w:sz="8" w:color="auto"/>
            </w:tcBorders>
            <w:shd w:val="clear" w:color="auto" w:fill="CFF0FC"/>
          </w:tcPr>
          <w:p>
            <w:pPr>
              <w:spacing w:after="0"/>
              <w:rPr>
                <w:sz w:val="12"/>
                <w:szCs w:val="12"/>
                <w:color w:val="auto"/>
              </w:rPr>
            </w:pPr>
          </w:p>
        </w:tc>
        <w:tc>
          <w:tcPr>
            <w:tcW w:w="3060" w:type="dxa"/>
            <w:vAlign w:val="bottom"/>
            <w:tcBorders>
              <w:bottom w:val="single" w:sz="8" w:color="auto"/>
              <w:right w:val="single" w:sz="8" w:color="auto"/>
            </w:tcBorders>
            <w:shd w:val="clear" w:color="auto" w:fill="CFF0FC"/>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0" w:type="dxa"/>
            <w:vAlign w:val="bottom"/>
          </w:tcPr>
          <w:p>
            <w:pPr>
              <w:ind w:left="1320"/>
              <w:spacing w:after="0"/>
              <w:rPr>
                <w:sz w:val="20"/>
                <w:szCs w:val="20"/>
                <w:color w:val="auto"/>
              </w:rPr>
            </w:pPr>
            <w:r>
              <w:rPr>
                <w:rFonts w:ascii="Arial" w:cs="Arial" w:eastAsia="Arial" w:hAnsi="Arial"/>
                <w:sz w:val="18"/>
                <w:szCs w:val="18"/>
                <w:color w:val="auto"/>
              </w:rPr>
              <w:t>3</w:t>
            </w:r>
          </w:p>
        </w:tc>
        <w:tc>
          <w:tcPr>
            <w:tcW w:w="3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summarizes net sales information relating to our products: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consolidated net sales: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our net sales, operating results and total assets for the past three fiscal years, see the Consolidated Financial Statements included in this report.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feedstock and/or the changes in demand for our products.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strategy of developing industrial and mining customers helps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continually pursue profitable growth and margin enhancement. Our strategy calls for continued emphasis on the agricultural sector, while remaining committed to further developing industrial customers who assume the volatility risk associated with the raw material costs and mitigate the effects of seasonality in the agricultural sector.</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also includes evaluating acquisitions of strategic assets or companies, mergers with other companies and investment in additional production capacity where we believe those acquisitions, mergers or expansion of production capacity will enhance the value of the Company and provide appropriate returns.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Focus on Becoming a “Best in Class” Chemical plant operator with respect to safe, reliable operations that produce the highest quality product.</w:t>
      </w:r>
    </w:p>
    <w:p>
      <w:pPr>
        <w:spacing w:after="0" w:line="62"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implemented and are currently managing enhanced safety programs at our facilities that focus on improving our safety culture that will reduce risks and continuously improve our safety performance.</w:t>
      </w:r>
    </w:p>
    <w:p>
      <w:pPr>
        <w:spacing w:after="0" w:line="73" w:lineRule="exact"/>
        <w:rPr>
          <w:rFonts w:ascii="Arial" w:cs="Arial" w:eastAsia="Arial" w:hAnsi="Arial"/>
          <w:sz w:val="18"/>
          <w:szCs w:val="18"/>
          <w:color w:val="auto"/>
        </w:rPr>
      </w:pPr>
    </w:p>
    <w:p>
      <w:pPr>
        <w:ind w:left="1540" w:hanging="506"/>
        <w:spacing w:after="0" w:line="308" w:lineRule="auto"/>
        <w:tabs>
          <w:tab w:leader="none" w:pos="15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Additionally, over the last several years, our focus has been on upgrading our existing maintenance management system through technology enhancements and work processes to improve our predictive and preventative maintenance programs at our facilities.</w:t>
      </w:r>
    </w:p>
    <w:p>
      <w:pPr>
        <w:spacing w:after="0" w:line="38" w:lineRule="exact"/>
        <w:rPr>
          <w:rFonts w:ascii="Arial" w:cs="Arial" w:eastAsia="Arial" w:hAnsi="Arial"/>
          <w:sz w:val="17"/>
          <w:szCs w:val="17"/>
          <w:color w:val="auto"/>
        </w:rPr>
      </w:pPr>
    </w:p>
    <w:p>
      <w:pPr>
        <w:jc w:val="both"/>
        <w:ind w:left="1540" w:hanging="506"/>
        <w:spacing w:after="0" w:line="259"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have several initiatives underway that we believe will improve the overall reliability of our plants and allow us to produce more products for sale while lowering our cost of production. Those initiatives are focused on building internal expertise to improve oversight of external contractors, operating behavior and procedure enhancements including operator training, leadership training, shift change enhancements and operating and maintenance procedures.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both"/>
        <w:ind w:left="1040" w:hanging="519"/>
        <w:spacing w:after="0" w:line="276"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the Broadening of the Distribution of our Products. </w:t>
      </w:r>
      <w:r>
        <w:rPr>
          <w:rFonts w:ascii="Arial" w:cs="Arial" w:eastAsia="Arial" w:hAnsi="Arial"/>
          <w:sz w:val="17"/>
          <w:szCs w:val="17"/>
          <w:color w:val="auto"/>
        </w:rPr>
        <w:t>To further leverage our plants’ current production capacity, we are continuing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the distribution of our industrial and mining products by partnering with customers to take product into different markets within the U.S., as well as markets outside the U.S. Additionally, during 2019, we developed a pipeline of margin enhancement projects including product loading and unloading improvements, tank storage and capital to facilitate guest plant opportunities which, we expect will result in improved margins on the sales of our products. We expect to complete these projects over the next 12 to 18 months.</w:t>
      </w:r>
    </w:p>
    <w:p>
      <w:pPr>
        <w:spacing w:after="0" w:line="64"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We are actively seeking ways to improve our capital structure and reduce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cost of capital. We believe that our improved operating performance will be a benefit in achieving those efforts.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Strategically Located Chemical Assets and Long-Standing Customer Relationships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benefits from highly advantageous locations with logistical and distribution benefits. We have access to the ammonia pipeline from the U.S. Gulf at our El Dorado Facility, which provides low cost transportation to distribution points. The El Dorado Facility also has rail access that is freight logical to our industrial and agricultural customers and cost advantaged when selling a number of our products West of the Mississippi River. Our Cherokee Facility is located East of the Mississippi River, allowing it to reach customers that are not freight logical for others. Our Cherokee Facility sits adjacent to the Tennessee River, providing barge receipt and shipping access, in addition to truck and rail delivery access. Our Pryor Facility is located in the heart of the Southern Plains with close proximity to the Port of Catoosa along with strategic rail and truck delivery access.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Advantaged Raw Material Cost Position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produce ammonia at our El Dorado, Cherokee and Pryor Facilities, which allows us to take advantage of the spread between producing and purchasing ammonia at those facilities. Additionally, our Pryor Facility has a natural gas cost advantage as its cost of gas has historically been lower than our El Dorado and Cherokee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Diversified Sources of Revenue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serves a broad range of end markets, which we believe diminishes the cyclicality of our financial performance. Our business serves the agricultural, industrial and mining markets. The flexible nature of our production process and storage capability allows us the ability to shift our product mix based on end market demand.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of Multiple Facilities and High Production Capacity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operate our business through several facilities. Operating multiple facilities diversifies the risk and impact of operational issues that may occur at a single plant, which gives us a strategic advantage over competitors that operate their company through a single facility. Additionally, our competitive production capacity of our combined plants allows us to decrease manufacturing costs, helping us to achieve enhanced margins.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Market Conditions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discussed in more detail under “Key Industry Factors” of “Management’s Discussion and Analysis of Financial Condition and Results of Operations” (“MD&amp;A”) contained in Item 7 of this report, the </w:t>
      </w:r>
      <w:r>
        <w:rPr>
          <w:rFonts w:ascii="Arial" w:cs="Arial" w:eastAsia="Arial" w:hAnsi="Arial"/>
          <w:sz w:val="16"/>
          <w:szCs w:val="16"/>
          <w:color w:val="2E2E2E"/>
        </w:rPr>
        <w:t>price at which our agricultural products are ultimately sold depends on numerous factors, including the</w:t>
      </w:r>
      <w:r>
        <w:rPr>
          <w:rFonts w:ascii="Arial" w:cs="Arial" w:eastAsia="Arial" w:hAnsi="Arial"/>
          <w:sz w:val="16"/>
          <w:szCs w:val="16"/>
          <w:color w:val="auto"/>
        </w:rPr>
        <w:t xml:space="preserve"> </w:t>
      </w:r>
      <w:r>
        <w:rPr>
          <w:rFonts w:ascii="Arial" w:cs="Arial" w:eastAsia="Arial" w:hAnsi="Arial"/>
          <w:sz w:val="16"/>
          <w:szCs w:val="16"/>
          <w:color w:val="2E2E2E"/>
        </w:rPr>
        <w:t>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 farmers’ perspective, the demand for fertilizer is affected by the aggregate crop planting decisions and fertilizer application rate decisions of individual farmers which are impacted by factors such as financial resources, soil conditions and weather patterns.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industrial markets, our sales volumes are typically driven by changes in general economic conditions, energy prices, metals market prices and our contractual arrangements with certain large customers. In our mining markets, our sales volumes are typically driven by changes in the overall North American consumption levels of mining products that can be impacted by weather. Additionally, recent reduction in coal mining activities is increasing competition within the other sectors of this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Following the expansions, global nitrogen fertilizer supply outpaced global nitrogen fertilizer demand causing oversupply in the global and North American markets. In addition, the new domestic supply of ammonia and other fertilizer products changed the physical flow of ammonia in North America placing pressure on nitrogen fertilizer sales pricing as the new capacity was absorbed by the market. More recently, ammonia pricing has been under pressure as a result of inordinately inclement weather in 2019, which led to limited fertilizer application and resultant elevated ammonia inventory levels in the domestic distribution channel. Additionally, UAN prices have pulled back in part, to European anti-dumping duties that were imposed on imports from certain countries, including the U.S which has caused imports of UAN into the U.S. to increase and exports from the U.S. to decrease increasing UAN supply in the U.S.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a challenging 2019 for U.S. corn farmers, it is expected that final harvested acres and yields for the 2019 harvest year will be lower than expected. These factors have already impacted the price of corn, which has risen to its highest level since 2014. A likely decline in the stock-to-use ratio for corn should lead to an increase in planted acres in the spring 2020 planting season. Assuming normal weather conditions, industry reports currently estimate a 5% increase in corn acres to be planted during 2020 compared to 2019.</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Therefore, for 2020, we expect overall stronger demand for our products some what tempered by continued pricing pressures on these products.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combined with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our market position in these areas by emphasizing high quality products, customer service and technical advice. During the past few years, we have been successful in expanding outside our traditional markets by delivering to distributors on the Tennessee and Ohio rivers by barge, and by delivering to certain Western States by rail.</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have an agreement with a third-party purchaser, Coffeyville Resources Nitrogen Fertilizers, LLC, (“CVR”), to market and sell a portion of our UAN. Demand for sales under this agreement is based on the expected needs of the purchaser’s customers. The agreement provides the exclusive right (but not the obligation) to purchase, at market prices, substantially all of the UAN produced at our Pryor Facility. The term of the agreement runs through May 2020, with automatic one-year extensions, subject to a 180-day advance notice of termination from CVR or a 90-day advance notice from us.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most of our agricultural products at the current spot market price in effect at the time of shipment, although we periodically enter into forward sales commitments for some of these products. Sales of our industrial and mining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Acids and Other Chemical Products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 In addition, one of our subsidiaries, El Dorado Chemical Company (“EDC”) and Koch Fertilizer LLC (“Koch Fertilizer”) are parties to an ammonia purchase and sale agreement, under which Koch Fertilizer agreed to purchase, with minimum purchase requirements, a portion of the ammonia that is in excess of EDC’s internal needs. We began selling ammonia under this agreement during June 2016. The term of the agreement runs until June 2022, with annual renewal options thereafter.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We operate the Baytown Facility on behalf of Covestro and we believe it is one of the largest and most technologically advanced nitric acid manufacturing units in the U.S. We operate and maintain this facility pursuant to a long-term contract (the “Covestro Agreement”). The term of this agreement runs until June 2021 with options for renewal.</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industrial business competes based upon service, price and location of production and distribution sites, product quality and performance and provides inventory management as part of the value-added services offered to certain customers. See our discussion above concerning broadening the distribution of our nitric acid products under “Key Operating Initiatives for 2020”.</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Mining Products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produce and sell LDAN, HDAN and AN solution to the mining industry, those products are primarily used as AN fuel oil and specialty emulsions for usage in the quarry and the construction industries, for metals mining, and to a lesser extent, for coal mining. We have signed long-term contracts with certain customers that provide for the annual sale of LDAN under various natural-gas-based pricing arrangements. Also, during 2018, a current customer located an emulsion explosives plant at our El Dorado Facility. We have been selling product to that facility since the fourth quarter of 2018. See our discussion above concerning broadening the distribution of our mining products under “Key Operating Initiatives for 2020”.</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products we manufacture at our facilities are primarily derived from natural gas. This raw material feedstock is a commodity and subject to price fluctuations. Natural gas is the primary raw material for producing ammonia, UAN, nitric acid and acid blends and other products at our El Dorado, Cherokee and Pryor Facilities. For 2019, we purchased approximately 27.4 million MMBtus of natural gas.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chemical facilities’ natural gas feedstock requirements are generally purchased at spot market price. Periodically, we enter into volume purchase commitments and/or futures/forward contracts to lock in the cost of certain of the expected natural gas requirements primarily to match quantities needed to produce product that has been sold forward. At December 31, 2019, we had volume purchase commitments with fixed costs for natural gas of approximately 7.0 million MMBtus, representing approximately 23% or our annual usage, at an average cost of $2.23 per MMBtu. These contracts extend through December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relating to the outlook for our business under “Key Industry Factors”.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extensive federal, state and local environmental laws, rules and regulations as discussed under “Environmental, Health and Safety Matters" of this Item 1 and various risk factors under Item 1A.</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a highly competitive market with many other larger chemical companies, such as CF Industries Holdings, Inc., Chemtrade Logistics Inc., Cornerstone Chemical, EuroChem, Inc., OCI Partners NV, Dyno Nobel, a subsidiary of Incitec Pivot Limited, The Gavilon Group, Helm AG, Koch Industries, Norfalco, Nutrien (formerly known as Agrium and Potash Corporation of Saskatchewan), Praxair, Inc., Quad Chemical Corporation, Trammo Inc.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employed 593 persons, 162 of whom are represented by unions under agreements, including agreements being negotiated, that expire in July 2021 through November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Health and Safety Matters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 Environmental and Health Laws and are reasonably expected to do so in the future. We will also be obligated to manage certain discharge water outlets and monitor groundwater contaminants at our chemical facilities should we discontinue the operations of a facility.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available free of charge through our Internet website (</w:t>
      </w:r>
      <w:r>
        <w:rPr>
          <w:rFonts w:ascii="Arial" w:cs="Arial" w:eastAsia="Arial" w:hAnsi="Arial"/>
          <w:sz w:val="18"/>
          <w:szCs w:val="18"/>
          <w:u w:val="single" w:color="auto"/>
          <w:color w:val="auto"/>
        </w:rPr>
        <w:t>www.lsbindustries.com</w:t>
      </w:r>
      <w:r>
        <w:rPr>
          <w:rFonts w:ascii="Arial" w:cs="Arial" w:eastAsia="Arial" w:hAnsi="Arial"/>
          <w:sz w:val="18"/>
          <w:szCs w:val="18"/>
          <w:color w:val="auto"/>
        </w:rPr>
        <w:t>) or by calling Investor Relations (212) 836-9607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directors, officers, and beneficial owners of more than 10% of our common stock to file with the SEC reports of holdings and changes in beneficial ownership of our stock. Based solely on a review of copies of the Forms 3, 4 and 5 furnished to us with respect to 2019, or written representations that no Form 5 was required to be filed, we believe that during 2019 all our directors and officers and beneficial owners of more than 10% of our common stock timely filed their required Forms 3, 4, or 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to service our debt and may be required to take other actions to satisfy the obligations under our debt agreements or to redeem our preferred stock, which may not be successful.</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make scheduled payments on our debt obligations and our ability to satisfy the redemption obligations for the Series E cumulative redeemable Class C preferred stock (“Series E Redeemable Preferred”)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$435 million principal amount of our Senior Secured Notes (the “Senior Secured Notes”), or the outstanding amount of the Working Capital Revolver Loan or to pay the cumulative dividends and redemption payment on the Series E Redeemable Preferred should the holder choose to redeem it on or after October 25, 2023, that applicable optional redemption date with respect thereto.</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cash flows and capital resources are insufficient to fund our debt, dividend or preferred stock redemption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or redeemable equity. These alternative measures may not be successful, may not be completed on economically attractive terms, or may not be adequate for us to meet our debt or preferred stock redemption obligations when due. Additionally, our debt agreements and the operating agreements associated with our Series E Redeemable Preferred limit the use of the proceeds from many dispositions of assets or operations. As a result, we may not be permitted to use the proceeds from these dispositions to satisfy our debt or preferred stock redemption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spacing w:after="0" w:line="282" w:lineRule="auto"/>
        <w:rPr>
          <w:sz w:val="20"/>
          <w:szCs w:val="20"/>
          <w:color w:val="auto"/>
        </w:rPr>
      </w:pPr>
      <w:r>
        <w:rPr>
          <w:rFonts w:ascii="Arial" w:cs="Arial" w:eastAsia="Arial" w:hAnsi="Arial"/>
          <w:sz w:val="18"/>
          <w:szCs w:val="18"/>
          <w:b w:val="1"/>
          <w:bCs w:val="1"/>
          <w:color w:val="auto"/>
        </w:rPr>
        <w:t>Our substantial level of indebtedness, including dividend requirements relating to our preferred stock, could limit our financial and operating activities, and adversely affect our ability to incur additional debt to fund future needs.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a substantial amount of indebtedness, as well as dividend and redemption requirements relating to our preferred stock. As a result, this level could, among other things:</w:t>
      </w:r>
    </w:p>
    <w:p>
      <w:pPr>
        <w:spacing w:after="0" w:line="62" w:lineRule="exact"/>
        <w:rPr>
          <w:sz w:val="20"/>
          <w:szCs w:val="20"/>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the payment of principal, interest and dividends, thereby reducing the funds available for operations and future business opportunities;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affect our ability to obtain financing in the future and increase the cost of such financing.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operating results, financial condition, and liquidity.</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debt agreements and our preferred stock contain covenants and restrictions that could restrict or limit our financial and business operations.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debt agreements and our preferred stock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These covenants and other restrictions limit our ability to, among other things:</w:t>
      </w:r>
    </w:p>
    <w:p>
      <w:pPr>
        <w:spacing w:after="0" w:line="73"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make other restricted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 make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Working Capital Revolver Loan also contains certain affirmative covenants and requires the borrowers to comply with a fixed charge coverage ratio (as defined in the Working Capital Revolver Loan) if their excess availability (as defined in the Working Capital Revolver Loan) falls below a certain level.</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In addition, certain failures to make payments when due on, or the acceleration of, significant indebtedness constitutes a default under some of our debt instruments, including the indenture governing the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agreements relating to our debt, including the Senior Secured Notes Indenture and the credit agreement governing our Working Capital Revolver Loan, limit but do not prohibit our ability to incur additional debt, including additional secured debt. Notwithstanding the fact that the Senior Secured Notes Indenture and the credit agreement governing our Working Capital Revolver Loan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Borrowings under our Working Capital Revolver Loan bear interest at a variable rate, which subjects us to interest rate risk and could cause our debt service obligations to increase.</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our borrowings under our Working Capital Revolver Loan are at variable rates of interest and expose us to interest rate risk. If interest rates increase, our debt service obligations on this variable rate indebtedness would increase even though the amount borrowed remained the same. Although we may enter into interest rate swaps to reduce interest rate volatility, we cannot provide assurances that we will be able to do so or that such swaps will be effective.</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Despite continuing investment to upgrade and replace equipment on an ongoing basis, the age of our chemical manufacturing facilities increases the risk for unplanned downtime, which may be significant.</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operating results, liquidity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dividends on our outstanding common stock in many years.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 Although our Board of Directors (the “Board”) has not made a decision whether or not to pay dividends on our common stock in 2020, it is unlikely we will pay dividends on our common stock until we have repaid or refinanced our debt and our preferred stock. In addition, there are certain limitations contained in our loan and securities purchase agreements that may limit our ability to pay dividends on our outstanding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jc w:val="both"/>
        <w:spacing w:after="0" w:line="313" w:lineRule="auto"/>
        <w:rPr>
          <w:sz w:val="20"/>
          <w:szCs w:val="20"/>
          <w:color w:val="auto"/>
        </w:rPr>
      </w:pPr>
      <w:r>
        <w:rPr>
          <w:rFonts w:ascii="Arial" w:cs="Arial" w:eastAsia="Arial" w:hAnsi="Arial"/>
          <w:sz w:val="17"/>
          <w:szCs w:val="17"/>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Future sales of substantial amounts of our common stock, preferred stock or equity-related securities in the public market, or the issuance of a substantial amount of our common stock as the result of the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and voting power of our existing common stockholders.</w:t>
      </w:r>
    </w:p>
    <w:p>
      <w:pPr>
        <w:spacing w:after="0" w:line="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Deterioration of global market and economic conditions could have a material adverse effect on our business, financial condition, results of operations and cash flow.</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can adversely affect our business.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and the production and handling of our products involve significant risks and hazards.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can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leads from our equipment. Similar events may occur in the future. As a result, such events could have a material adverse effect on our results of operations and financial condition.</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major factor underlying the current high level of demand for our nitrogen-based fertilizer products is the production of ethanol. A decrease in ethanol production, an increase in ethanol imports or a shift away from corn as a principal raw material used to produce ethanol could have a material adverse effect on our results of operations, financial condition and ability to make cash distributions.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Furthermore, most ethanol is currently produced from corn and other raw grains, such as milo or sorghum, especially in the Midwest. The current trend in ethanol production research is to develop an efficient method of producing ethanol from cellulose-based biomass, such as agricultural waste, forest residue, municipal solid waste and energy crops (plants grown for use to make biofuels or directly exploited for their energy content). If an efficient method of producing ethanol from cellulose-based biomass is developed, the demand for corn may decrease significantly, which could reduce demand for nitrogen fertilizer products and have a material adverse effect on the prices we receive on sales of our ammonia products and our results of operations, financial condition and ability to make cash distributions.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be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could adversely affect our operating results, liquidity, financial condition and capital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is dependent upon a limited number of customers.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ten customers accounted for approximately 47% of our consolidated net sales. The loss of, or a material reduction in purchase levels by, one or more of these customers could have a material adverse effect on our business and our results of operations, financial condition and liquidity if we are unable to replace a customer with other sales on substantially similar terms.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our customers from time-to-time,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 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financial condition, liquidity and results of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of natural gas in North America and worldwide has been volatile in recent years and has declined on average due in part to the development of significant natural gas reserves, including shale gas, and the rapid improvement in shale gas extraction techniques, such as hydraulic fracturing and horizontal drilling.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involving derivatives and the risk that our hedging activities might not be effective.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utilize natural gas derivatives to hedge our financial exposure to the price volatility of natural gas, the principal raw material used in the production of nitrogen-based products. We may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 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adequate insurance.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jc w:val="both"/>
        <w:spacing w:after="0" w:line="302" w:lineRule="auto"/>
        <w:rPr>
          <w:sz w:val="20"/>
          <w:szCs w:val="20"/>
          <w:color w:val="auto"/>
        </w:rPr>
      </w:pPr>
      <w:r>
        <w:rPr>
          <w:rFonts w:ascii="Arial" w:cs="Arial" w:eastAsia="Arial" w:hAnsi="Arial"/>
          <w:sz w:val="16"/>
          <w:szCs w:val="16"/>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9 to the Consolidated Financial Statements included in this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performance has been and will continue to be dependent upon the efforts of our principal executive officers. We cannot ensure that our principal executive officers will continue to be available. Although we have employment agreements with certain of our principal executive officers, including Mark T. Behrman and Cheryl A. Maguire, we do not have employment agreements with all of our key personnel.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collective bargaining agreements with certain employees.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Approximately 27%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spacing w:after="0" w:line="59"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Terrorist attacks and other acts of violence or war, and natural disasters (such as hurricanes, pandemic health crises, etc.), have negatively affected and could negatively affect U.S. and foreign companies, the financial markets, the industries where we operate, our operations and our profitability.</w:t>
      </w:r>
    </w:p>
    <w:p>
      <w:pPr>
        <w:spacing w:after="0" w:line="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Terrorist attacks in the U.S and elsewhere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assets and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 risks could adversely affect our business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increase our dependence on information technologies to conduct our operations, the risks associated with cyber security also increase. We rely on our enterprise resource planning software (“ERP”) and other information systems, among other things, to manage our manufacturing, supply chain, accounting and financial functions. This risk not only applies to us, but also to third parties on whose systems we place significant reliance for the conduct of our business.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results of operations, liquidity and financial condition.</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transportation and distribution activities rely on third party providers, which subject us to risks and uncertainties beyond our control that may adversely affect our operations.</w:t>
      </w:r>
    </w:p>
    <w:p>
      <w:pPr>
        <w:spacing w:after="0" w:line="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technological innovation could affect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reliant on a limited number of key facilities.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nitrogen production is concentrated in four separate complexes. The suspension of operations at any of these complexes could adversely affect our ability to produce our products and fulfill our commitments and could have a material adverse effect on our business, financial condition, results of operations and cash flows. Moreover, our facilities may be subject to failure of equipment that may be difficult to replace and could result in operational disruptions.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 of imported agricultural products.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Russia and Ukraine both have substantial capacity to produce and export fertilizers. Producers in these countries also benefit from below-market prices for natural gas, due to government regulation and other factors. We have seen imports into the U.S. from those countries increase over the last twelve months.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U.S. Environmental Protection Agency (“EPA”) finalized revisions to its Risk Management Program (“RMP”).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will be required beginning in 2021. The EPA temporarily delayed the rule’s effective date however, the delay was subsequently vacated with an immediate effective date. On December 3, 2018, the EPA published a final rule that incorporates amendments to the RMP under 40 CFR Part 68. However, on November 21, 2019, EPA finalized its Risk Management Program Reconsideration Rule which rescinded third-party auditing, incident investigation and root cause analysis, and the public sharing of specific chemical and process information. The passage of the Reconsideration Rule has reduced the potential negative effect on the profitability of our AN business compared to the January 2017 RMP amendments. The Occupational Safety and Health Administration (“OSHA”)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our stockholders control a significant amount of our voting stock, and their interests could conflict with interests of other stockholders.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Funding LLC (“LSB Funding”), our largest voting shareholder, owned 4,069,324 shares of common stock and one share of Series F redeemable Class C preferred stock (the “Series F Redeemable Preferred”), which has voting rights equal to 456,225 shares of common stock, which together represents approximately 15.2% of the voting power of our common stock and the Series F Redeemable Preferred as of December 31, 2019.</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Jack E. Golsen (“J. Golsen”), Steven J. Golsen (“S. Golsen”), Barry H. Golsen (“B. Golsen”), Linda Golsen Rappaport (“L. Rappaport”), Golsen Family LLC, an Oklahoma limited liability company (“Family LLC”), SBL LLC, an Oklahoma limited liability company (“SBL LLC”), and Golsen Petroleum Corp., an Oklahoma corporation (“GPC”, and together with Messrs. J. Golsen, S. Golsen and B. Golsen, Ms. L. Rappaport, Family LLC, SBL LLC, each a “Golsen Holder” and, collectively, the “Golsen Holders”) owned as of December 31, 2019, an aggregate of 2,185,517 shares of our common stock and 1,020,000 shares of our voting preferred stock (1,000,000 of which shares have 0.875 votes per share, or 875,000 votes), which together vote as a class and represent approximately 10.2%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a Board Representation and Standstill Agreement entered into in connection with LSB Funding’s purchase of preferred stock in December 2015, as amended in October 2017 and 2018, LSB Funding has the right to designate two directors on our Board, and the Golsen Holders have the right to appoint two directors on our Board, subject to reduction in each case in certain circumstances. This is in addition to their ability to vote generally in the election of directors. As a result, each of LSB Funding and the Golsen Holders have significant influence over the election of directors to our Board.</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interests of LSB Funding and the Golsen Holders may conflict with interests of other stockholders (as well as with each other). As a result of the voting power and board designation rights of LSB Funding and the Golsen Holders, the ability of other stockholders to influence our management and policies could be limited.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authorized and unissued (including shares held in treasury) 45,726,356 shares of common stock and 4,090,231 shares of preferred stock as of December 31, 2019. These unissued shares could be used by our management to make it more difficult, and thereby discourage an attempt to acquire control of us.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third-party tender offer, proxy contest, or other attempts to acquire control of us.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62" w:lineRule="exact"/>
        <w:rPr>
          <w:sz w:val="20"/>
          <w:szCs w:val="20"/>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such time the Board of the corporation approved the business combination that results in the stockholder becoming an invested stockholder;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two-thirds of the stockholders, other than the acquirer, vote to approve the business combination after approval thereof by the Board; or</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8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described in “Risk Factors” contained in this report.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Arkansas Department of Environmental Quality.</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Ammonium nitrate.</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Asset retirement obligation.</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Accounting Standard Update.</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B. Golsen</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Barry H. Golsen.</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 consent administrative order.</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CEO</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Chevron Environmental Management Company.</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party with whom our subsidiary, EDN, has entered the Covestro Agreement.</w:t>
            </w:r>
          </w:p>
        </w:tc>
      </w:tr>
      <w:tr>
        <w:trPr>
          <w:trHeight w:val="283"/>
        </w:trPr>
        <w:tc>
          <w:tcPr>
            <w:tcW w:w="2720" w:type="dxa"/>
            <w:vAlign w:val="bottom"/>
          </w:tcPr>
          <w:p>
            <w:pPr>
              <w:spacing w:after="0"/>
              <w:rPr>
                <w:sz w:val="20"/>
                <w:szCs w:val="20"/>
                <w:color w:val="auto"/>
              </w:rPr>
            </w:pPr>
            <w:r>
              <w:rPr>
                <w:rFonts w:ascii="Arial" w:cs="Arial" w:eastAsia="Arial" w:hAnsi="Arial"/>
                <w:sz w:val="18"/>
                <w:szCs w:val="18"/>
                <w:b w:val="1"/>
                <w:bCs w:val="1"/>
                <w:color w:val="auto"/>
              </w:rPr>
              <w:t>Covestro Agreement</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 long-term contract that (a) allows us to pass-through most of the costs of producing the nitric acid that</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0"/>
              </w:rPr>
              <w:t>Covestro purchases, including the cost of ammonia; (b) to receive management fees for managing the operations</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7"/>
              </w:rPr>
              <w:t>and marketing nitric acid at the Baytown Facility and; (c) to receive a portion of any carbon credits that are</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sold. The term of this agreement runs until June 2021 with options for renewal.</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Coffeyville Resources Nitrogen Fertilizers, LLC.</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DD&amp;A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Depreciation, depletion and amortization.</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DEF</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Diesel Exhaust Fluid.</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DHS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Department of Homeland Security.</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Ammonia L.L.C.</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Chemical Company.</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Nitrogen L.L.C.</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w w:val="99"/>
              </w:rPr>
              <w:t>Environmental and Health Laws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ERP</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Enterprise Resource Planning Software.</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Environmental Protection Agency.</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Family LLC</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Golsen Family LLC, an Oklahoma limited liability company.</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Financial Accounting Standards Board.</w:t>
            </w:r>
          </w:p>
        </w:tc>
      </w:tr>
      <w:tr>
        <w:trPr>
          <w:trHeight w:val="297"/>
        </w:trPr>
        <w:tc>
          <w:tcPr>
            <w:tcW w:w="272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513"/>
        </w:trPr>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21</w:t>
            </w:r>
          </w:p>
        </w:tc>
      </w:tr>
      <w:tr>
        <w:trPr>
          <w:trHeight w:val="115"/>
        </w:trPr>
        <w:tc>
          <w:tcPr>
            <w:tcW w:w="2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U.S. Generally Accepted Accounting Principles.</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w w:val="98"/>
              </w:rPr>
              <w:t>-   Jack E. Golsen (“J. Golsen”), Steven J. Golsen (“S. Golsen”), Barry H. Golsen (“B. Golsen”), Linda Golsen</w:t>
            </w:r>
          </w:p>
        </w:tc>
      </w:tr>
      <w:tr>
        <w:trPr>
          <w:trHeight w:val="216"/>
        </w:trPr>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5"/>
              </w:rPr>
              <w:t>Rappaport (“L. Rappaport”), Golsen Family LLC, an Oklahoma limited liability company (“Family LLC”), SBL</w:t>
            </w:r>
          </w:p>
        </w:tc>
      </w:tr>
      <w:tr>
        <w:trPr>
          <w:trHeight w:val="216"/>
        </w:trPr>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LLC, an Oklahoma limited liability company (“SBL LLC”), and Golsen Petroleum Corp., an Oklahoma</w:t>
            </w:r>
          </w:p>
        </w:tc>
      </w:tr>
      <w:tr>
        <w:trPr>
          <w:trHeight w:val="216"/>
        </w:trPr>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4"/>
              </w:rPr>
              <w:t>corporation (“GPC,” and together with Messrs. J. Golsen, S. Golsen and B. Golsen, Ms. L. Rappaport, Family</w:t>
            </w:r>
          </w:p>
        </w:tc>
      </w:tr>
      <w:tr>
        <w:trPr>
          <w:trHeight w:val="230"/>
        </w:trPr>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LLC, SBL LLC, each a “Golsen Holder” and, collectively, the “Golsen Holders”).</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GPC</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Golsen Petroleum Corp., an Oklahoma corporation.</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Interim Loan</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w w:val="94"/>
              </w:rPr>
              <w:t>-   A loan agreement between EDC and a lender with up to $7.5 million of available borrowing for the construction</w:t>
            </w:r>
          </w:p>
        </w:tc>
      </w:tr>
      <w:tr>
        <w:trPr>
          <w:trHeight w:val="230"/>
        </w:trPr>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of certain equipment.</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Interim Loan Period</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w w:val="96"/>
              </w:rPr>
              <w:t>-   The time period covered by the Interim Loan for certain equipment construction between EDC and a lender.</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IRS</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U.S. Internal Revenue Service.</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J. Golsen</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Jack E. Golsen.</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The Kansas Department of Health and Environment.</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Koch Fertilizer</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Koch Fertilizer L.L.C.</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Leidos Constructors L.L.C.</w:t>
            </w:r>
          </w:p>
        </w:tc>
      </w:t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w w:val="91"/>
              </w:rPr>
              <w:t>-   The Series E Redeemable Preferred liquidation preference of $1,000 per share plus accrued and unpaid dividends</w:t>
            </w:r>
          </w:p>
        </w:tc>
      </w:tr>
      <w:tr>
        <w:trPr>
          <w:trHeight w:val="230"/>
        </w:trPr>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plus the participation rights value.</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Industries, Inc.</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Funding L.L.C.</w:t>
            </w:r>
          </w:p>
        </w:tc>
      </w:t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w w:val="93"/>
              </w:rPr>
              <w:t>-   Management’s Discussion and Analysis of Financial Condition and Results of Operations found in Item 7 of this</w:t>
            </w:r>
          </w:p>
        </w:tc>
      </w:tr>
      <w:tr>
        <w:trPr>
          <w:trHeight w:val="230"/>
        </w:trPr>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report.</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NOL</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Net Operating Loss.</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The notes issued on June 21, 2019 with an interest rate of 9.625%, which mature in May 2023.</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A note in the accompanying notes to the consolidated financial statements.</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The notes issued on April 28, 2018 with an interest rate of 9.625%, which mature in May 2023.</w:t>
            </w:r>
          </w:p>
        </w:tc>
      </w:tr>
      <w:tr>
        <w:trPr>
          <w:trHeight w:val="351"/>
        </w:trPr>
        <w:tc>
          <w:tcPr>
            <w:tcW w:w="23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National Pollutant Discharge Elimination.</w:t>
            </w:r>
          </w:p>
        </w:tc>
      </w:tr>
      <w:tr>
        <w:trPr>
          <w:trHeight w:val="266"/>
        </w:trPr>
        <w:tc>
          <w:tcPr>
            <w:tcW w:w="2360" w:type="dxa"/>
            <w:vAlign w:val="bottom"/>
          </w:tcPr>
          <w:p>
            <w:pPr>
              <w:spacing w:after="0"/>
              <w:rPr>
                <w:sz w:val="20"/>
                <w:szCs w:val="20"/>
                <w:color w:val="auto"/>
              </w:rPr>
            </w:pPr>
            <w:r>
              <w:rPr>
                <w:rFonts w:ascii="Arial" w:cs="Arial" w:eastAsia="Arial" w:hAnsi="Arial"/>
                <w:sz w:val="18"/>
                <w:szCs w:val="18"/>
                <w:b w:val="1"/>
                <w:bCs w:val="1"/>
                <w:color w:val="auto"/>
              </w:rPr>
              <w:t>NPK</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Compound fertilizer products which are a solid granular fertilizer product for which the nutrient content is a</w:t>
            </w:r>
          </w:p>
        </w:tc>
      </w:tr>
      <w:tr>
        <w:trPr>
          <w:trHeight w:val="216"/>
        </w:trPr>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7"/>
                <w:szCs w:val="17"/>
                <w:color w:val="auto"/>
              </w:rPr>
              <w:t>combination of nitrogen, phosphorus, and potassium.</w:t>
            </w:r>
          </w:p>
        </w:tc>
      </w:tr>
      <w:tr>
        <w:trPr>
          <w:trHeight w:val="301"/>
        </w:trPr>
        <w:tc>
          <w:tcPr>
            <w:tcW w:w="23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The Oklahoma Department of Environmental Quality.</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OSHA</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Occupational Safety and Health Administration.</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PBRS</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Performance-based restricted stock.</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Pryor Chemical Company.</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Plant, property and equipment.</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Funding L.L.C.</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Retirement Date</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Date of retirement of Jack E. Golsen as Executive Chairman of the Board, December 31, 2017.</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RFS</w:t>
            </w:r>
          </w:p>
        </w:tc>
        <w:tc>
          <w:tcPr>
            <w:tcW w:w="9080" w:type="dxa"/>
            <w:vAlign w:val="bottom"/>
            <w:gridSpan w:val="2"/>
          </w:tcPr>
          <w:p>
            <w:pPr>
              <w:ind w:left="560"/>
              <w:spacing w:after="0"/>
              <w:rPr>
                <w:sz w:val="20"/>
                <w:szCs w:val="20"/>
                <w:color w:val="auto"/>
              </w:rPr>
            </w:pPr>
            <w:r>
              <w:rPr>
                <w:rFonts w:ascii="Arial" w:cs="Arial" w:eastAsia="Arial" w:hAnsi="Arial"/>
                <w:sz w:val="18"/>
                <w:szCs w:val="18"/>
                <w:color w:val="auto"/>
              </w:rPr>
              <w:t>-   Federal renewable fuel standards.</w:t>
            </w:r>
          </w:p>
        </w:tc>
      </w:tr>
      <w:tr>
        <w:trPr>
          <w:trHeight w:val="297"/>
        </w:trPr>
        <w:tc>
          <w:tcPr>
            <w:tcW w:w="2360" w:type="dxa"/>
            <w:vAlign w:val="bottom"/>
          </w:tcPr>
          <w:p>
            <w:pPr>
              <w:spacing w:after="0"/>
              <w:rPr>
                <w:sz w:val="20"/>
                <w:szCs w:val="20"/>
                <w:color w:val="auto"/>
              </w:rPr>
            </w:pPr>
            <w:r>
              <w:rPr>
                <w:rFonts w:ascii="Arial" w:cs="Arial" w:eastAsia="Arial" w:hAnsi="Arial"/>
                <w:sz w:val="18"/>
                <w:szCs w:val="18"/>
                <w:b w:val="1"/>
                <w:bCs w:val="1"/>
                <w:color w:val="auto"/>
              </w:rPr>
              <w:t>RMP</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Risk Management Program.</w:t>
            </w:r>
          </w:p>
        </w:tc>
      </w:tr>
      <w:tr>
        <w:trPr>
          <w:trHeight w:val="513"/>
        </w:trPr>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22</w:t>
            </w:r>
          </w:p>
        </w:tc>
      </w:tr>
      <w:tr>
        <w:trPr>
          <w:trHeight w:val="115"/>
        </w:trPr>
        <w:tc>
          <w:tcPr>
            <w:tcW w:w="2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Restricted stock unit.</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SBL LLC</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SBL LLC, an Oklahoma limited liability company.</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 Golsen</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Steven J. Golsen.</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U.S. Securities and Exchange Commission.</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2019</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2021</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EDC and a lender which matures in March 2021.</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2023</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Senior Secured Notes due on May 1, 2023 with a stated interest rate of 9.625%.</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83"/>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w w:val="93"/>
              </w:rPr>
              <w:t>-   The 14% Series E Redeemable Preferred stock with participating rights and liquidating distributions based on a</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w w:val="98"/>
              </w:rPr>
              <w:t>certain number of shares of our common stock, including the amended terms discussed in Note 10 to the</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Consolidated Financial Statements.</w:t>
            </w:r>
          </w:p>
        </w:tc>
      </w:tr>
      <w:tr>
        <w:trPr>
          <w:trHeight w:val="283"/>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w w:val="91"/>
              </w:rPr>
              <w:t>-   The Series F Redeemable Preferred stock with one share to vote as a single class on all matters with our common</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w w:val="93"/>
              </w:rPr>
              <w:t>stock equal to 456,225 shares of our common stock, including the amended terms discussed in Note 10 to the</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Consolidated Financial Statements.</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Selling, general and administrative expense.</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Tax Cut Act</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Tax Cuts and Jobs Act of 2017.</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Transition Agreement</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An agreement between Jack Golsen and LSB, dated June 30, 2017.</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TSR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Total shareholder return.</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A planned major maintenance activity.</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Urea ammonia nitrate.</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United States.</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USDA</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United States Department of Agriculture.</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West Fertilizer Company.</w:t>
            </w:r>
          </w:p>
        </w:tc>
      </w:tr>
      <w:tr>
        <w:trPr>
          <w:trHeight w:val="279"/>
        </w:trPr>
        <w:tc>
          <w:tcPr>
            <w:tcW w:w="280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30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2005 Agreement</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A death benefit agreement with Jack E. Golsen.</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2008 Plan</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2008 Incentive Stock Plan.</w:t>
            </w:r>
          </w:p>
        </w:tc>
      </w:tr>
      <w:tr>
        <w:trPr>
          <w:trHeight w:val="297"/>
        </w:trPr>
        <w:tc>
          <w:tcPr>
            <w:tcW w:w="2800" w:type="dxa"/>
            <w:vAlign w:val="bottom"/>
          </w:tcPr>
          <w:p>
            <w:pPr>
              <w:spacing w:after="0"/>
              <w:rPr>
                <w:sz w:val="20"/>
                <w:szCs w:val="20"/>
                <w:color w:val="auto"/>
              </w:rPr>
            </w:pPr>
            <w:r>
              <w:rPr>
                <w:rFonts w:ascii="Arial" w:cs="Arial" w:eastAsia="Arial" w:hAnsi="Arial"/>
                <w:sz w:val="18"/>
                <w:szCs w:val="18"/>
                <w:b w:val="1"/>
                <w:bCs w:val="1"/>
                <w:color w:val="auto"/>
              </w:rPr>
              <w:t>2016 Plan</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rPr>
              <w:t>-   The 2016 Long Term Incentive Plan.</w:t>
            </w:r>
          </w:p>
        </w:tc>
      </w:tr>
      <w:tr>
        <w:trPr>
          <w:trHeight w:val="283"/>
        </w:trPr>
        <w:tc>
          <w:tcPr>
            <w:tcW w:w="2800" w:type="dxa"/>
            <w:vAlign w:val="bottom"/>
          </w:tcPr>
          <w:p>
            <w:pPr>
              <w:spacing w:after="0"/>
              <w:rPr>
                <w:sz w:val="20"/>
                <w:szCs w:val="20"/>
                <w:color w:val="auto"/>
              </w:rPr>
            </w:pPr>
            <w:r>
              <w:rPr>
                <w:rFonts w:ascii="Arial" w:cs="Arial" w:eastAsia="Arial" w:hAnsi="Arial"/>
                <w:sz w:val="18"/>
                <w:szCs w:val="18"/>
                <w:b w:val="1"/>
                <w:bCs w:val="1"/>
                <w:color w:val="auto"/>
              </w:rPr>
              <w:t>2018 Crop</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w w:val="96"/>
              </w:rPr>
              <w:t>-   Corn crop marketing year (September 1 - August 31), which began in 2017 and ended in 2018 and primarily</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relates to corn planted and harvested in 2017.</w:t>
            </w:r>
          </w:p>
        </w:tc>
      </w:tr>
      <w:tr>
        <w:trPr>
          <w:trHeight w:val="283"/>
        </w:trPr>
        <w:tc>
          <w:tcPr>
            <w:tcW w:w="2800" w:type="dxa"/>
            <w:vAlign w:val="bottom"/>
          </w:tcPr>
          <w:p>
            <w:pPr>
              <w:spacing w:after="0"/>
              <w:rPr>
                <w:sz w:val="20"/>
                <w:szCs w:val="20"/>
                <w:color w:val="auto"/>
              </w:rPr>
            </w:pPr>
            <w:r>
              <w:rPr>
                <w:rFonts w:ascii="Arial" w:cs="Arial" w:eastAsia="Arial" w:hAnsi="Arial"/>
                <w:sz w:val="18"/>
                <w:szCs w:val="18"/>
                <w:b w:val="1"/>
                <w:bCs w:val="1"/>
                <w:color w:val="auto"/>
              </w:rPr>
              <w:t>2019 Crop</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w w:val="96"/>
              </w:rPr>
              <w:t>-   Corn crop marketing year (September 1 - August 31), which began in 2018 and ended in 2019 and primarily</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relates to corn planted and harvested in 2018.</w:t>
            </w:r>
          </w:p>
        </w:tc>
      </w:tr>
      <w:tr>
        <w:trPr>
          <w:trHeight w:val="283"/>
        </w:trPr>
        <w:tc>
          <w:tcPr>
            <w:tcW w:w="2800" w:type="dxa"/>
            <w:vAlign w:val="bottom"/>
          </w:tcPr>
          <w:p>
            <w:pPr>
              <w:spacing w:after="0"/>
              <w:rPr>
                <w:sz w:val="20"/>
                <w:szCs w:val="20"/>
                <w:color w:val="auto"/>
              </w:rPr>
            </w:pPr>
            <w:r>
              <w:rPr>
                <w:rFonts w:ascii="Arial" w:cs="Arial" w:eastAsia="Arial" w:hAnsi="Arial"/>
                <w:sz w:val="18"/>
                <w:szCs w:val="18"/>
                <w:b w:val="1"/>
                <w:bCs w:val="1"/>
                <w:color w:val="auto"/>
              </w:rPr>
              <w:t>2020 Crop</w:t>
            </w:r>
          </w:p>
        </w:tc>
        <w:tc>
          <w:tcPr>
            <w:tcW w:w="8620" w:type="dxa"/>
            <w:vAlign w:val="bottom"/>
            <w:gridSpan w:val="2"/>
          </w:tcPr>
          <w:p>
            <w:pPr>
              <w:ind w:left="120"/>
              <w:spacing w:after="0"/>
              <w:rPr>
                <w:sz w:val="20"/>
                <w:szCs w:val="20"/>
                <w:color w:val="auto"/>
              </w:rPr>
            </w:pPr>
            <w:r>
              <w:rPr>
                <w:rFonts w:ascii="Arial" w:cs="Arial" w:eastAsia="Arial" w:hAnsi="Arial"/>
                <w:sz w:val="18"/>
                <w:szCs w:val="18"/>
                <w:color w:val="auto"/>
                <w:w w:val="95"/>
              </w:rPr>
              <w:t>-   Corn crop marketing year (September 1 - August 31), which began in 2019 and will end in 2020 and primarily</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relates to corn planted and harvested in 2019.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significant properties for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El Dorado</w:t>
            </w:r>
          </w:p>
        </w:tc>
        <w:tc>
          <w:tcPr>
            <w:tcW w:w="2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Cherokee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Baytown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Chemical</w:t>
            </w:r>
          </w:p>
        </w:tc>
        <w:tc>
          <w:tcPr>
            <w:tcW w:w="0" w:type="dxa"/>
            <w:vAlign w:val="bottom"/>
          </w:tcPr>
          <w:p>
            <w:pPr>
              <w:spacing w:after="0"/>
              <w:rPr>
                <w:sz w:val="1"/>
                <w:szCs w:val="1"/>
                <w:color w:val="auto"/>
              </w:rPr>
            </w:pPr>
          </w:p>
        </w:tc>
      </w:tr>
      <w:tr>
        <w:trPr>
          <w:trHeight w:val="149"/>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Facility</w:t>
            </w:r>
          </w:p>
        </w:tc>
        <w:tc>
          <w:tcPr>
            <w:tcW w:w="1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Pryor Facility</w:t>
            </w: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Facility</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Facility</w:t>
            </w:r>
          </w:p>
        </w:tc>
        <w:tc>
          <w:tcPr>
            <w:tcW w:w="1240" w:type="dxa"/>
            <w:vAlign w:val="bottom"/>
            <w:gridSpan w:val="2"/>
            <w:vMerge w:val="continue"/>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Location</w:t>
            </w:r>
          </w:p>
        </w:tc>
        <w:tc>
          <w:tcPr>
            <w:tcW w:w="1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El Dorado, AR</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Cherokee, AL</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Pryor, OK</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Baytown, TX</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b w:val="1"/>
                <w:bCs w:val="1"/>
                <w:color w:val="auto"/>
              </w:rPr>
              <w:t>Plant Area (acres)</w:t>
            </w:r>
          </w:p>
        </w:tc>
        <w:tc>
          <w:tcPr>
            <w:tcW w:w="2260" w:type="dxa"/>
            <w:vAlign w:val="bottom"/>
            <w:gridSpan w:val="2"/>
          </w:tcPr>
          <w:p>
            <w:pPr>
              <w:jc w:val="right"/>
              <w:ind w:right="257"/>
              <w:spacing w:after="0"/>
              <w:rPr>
                <w:sz w:val="20"/>
                <w:szCs w:val="20"/>
                <w:color w:val="auto"/>
              </w:rPr>
            </w:pPr>
            <w:r>
              <w:rPr>
                <w:rFonts w:ascii="Arial" w:cs="Arial" w:eastAsia="Arial" w:hAnsi="Arial"/>
                <w:sz w:val="18"/>
                <w:szCs w:val="18"/>
                <w:color w:val="auto"/>
              </w:rPr>
              <w:t>150</w:t>
            </w:r>
          </w:p>
        </w:tc>
        <w:tc>
          <w:tcPr>
            <w:tcW w:w="1260" w:type="dxa"/>
            <w:vAlign w:val="bottom"/>
            <w:gridSpan w:val="2"/>
          </w:tcPr>
          <w:p>
            <w:pPr>
              <w:jc w:val="right"/>
              <w:ind w:right="257"/>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Site Area (acres)</w:t>
            </w:r>
          </w:p>
        </w:tc>
        <w:tc>
          <w:tcPr>
            <w:tcW w:w="2260" w:type="dxa"/>
            <w:vAlign w:val="bottom"/>
            <w:gridSpan w:val="2"/>
            <w:shd w:val="clear" w:color="auto" w:fill="CFF0FC"/>
          </w:tcPr>
          <w:p>
            <w:pPr>
              <w:jc w:val="right"/>
              <w:ind w:right="197"/>
              <w:spacing w:after="0"/>
              <w:rPr>
                <w:sz w:val="20"/>
                <w:szCs w:val="20"/>
                <w:color w:val="auto"/>
              </w:rPr>
            </w:pPr>
            <w:r>
              <w:rPr>
                <w:rFonts w:ascii="Arial" w:cs="Arial" w:eastAsia="Arial" w:hAnsi="Arial"/>
                <w:sz w:val="18"/>
                <w:szCs w:val="18"/>
                <w:color w:val="auto"/>
              </w:rPr>
              <w:t>1,400</w:t>
            </w: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3"/>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Covestro site</w:t>
            </w: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Site Status</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Operating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Agreement</w:t>
            </w:r>
          </w:p>
        </w:tc>
        <w:tc>
          <w:tcPr>
            <w:tcW w:w="11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5"/>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Ammonia Production Capacity (tons)</w:t>
            </w:r>
          </w:p>
        </w:tc>
        <w:tc>
          <w:tcPr>
            <w:tcW w:w="1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Not</w:t>
            </w: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468,000 (B)</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2"/>
              </w:rPr>
              <w:t>188,000 (C)</w:t>
            </w: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2"/>
              </w:rPr>
              <w:t>201,000 (D)</w:t>
            </w: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6"/>
              </w:rPr>
              <w:t>Applicable</w:t>
            </w: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line="258"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distribute our agricultural products through 10 wholesale and retail distribution centers, with 9 of the centers located in Texas (8 of which we own and 1 of which we lease); and 1 center located in Missouri (owned).</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ammonia production capacity is based on optimal 1,350 tons per day of production but excludes 18 Turnaround days during 2019.</w:t>
      </w:r>
    </w:p>
    <w:p>
      <w:pPr>
        <w:spacing w:after="0" w:line="9"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ammonia production capacity is based on 515 tons per day of production for the year. The Cherokee Facility did not perform a Turnaround during 2019.</w:t>
      </w: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ammonia production capacity is based on 675 tons per day of production for the year but excludes 67 Turnaround days during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2019, our facilities produced approximately 742,000 tons of ammonia.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Legal Matters under Note 9 to the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18, 2020, we had approximately 388 record holders of our common stock. This number does not include investors whose ownership is recorded in the name of their brokerage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Discussions relating to our equity compensation plans under Item 12 of Part III are incorporated by reference to our definitive proxy statement which we intend to file with the SEC on or before April 29,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unregistered sales of equity securities in 2019 that have not been previously reported in a Quarterly Report on Form 10-Q or Current Report on Form 8-K.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6. SELECTED FINANCIAL DATA (1)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1"/>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gridSpan w:val="5"/>
          </w:tcPr>
          <w:p>
            <w:pPr>
              <w:jc w:val="center"/>
              <w:ind w:right="151"/>
              <w:spacing w:after="0" w:line="155" w:lineRule="exact"/>
              <w:rPr>
                <w:sz w:val="20"/>
                <w:szCs w:val="20"/>
                <w:color w:val="auto"/>
              </w:rPr>
            </w:pPr>
            <w:r>
              <w:rPr>
                <w:rFonts w:ascii="Arial" w:cs="Arial" w:eastAsia="Arial" w:hAnsi="Arial"/>
                <w:sz w:val="14"/>
                <w:szCs w:val="14"/>
                <w:color w:val="auto"/>
                <w:w w:val="91"/>
              </w:rPr>
              <w:t>(In Thousands, Except Per Share Data)</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Statement of Operations Data in Dollars: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Net sales (2)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365,070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378,160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427,504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374,585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437,695</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(90,223)</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(71,166)</w:t>
            </w: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46,389</w:t>
            </w:r>
          </w:p>
        </w:tc>
        <w:tc>
          <w:tcPr>
            <w:tcW w:w="20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43,064</w:t>
            </w:r>
          </w:p>
        </w:tc>
        <w:tc>
          <w:tcPr>
            <w:tcW w:w="20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37,267</w:t>
            </w:r>
          </w:p>
        </w:tc>
        <w:tc>
          <w:tcPr>
            <w:tcW w:w="22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30,945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Provisions (benefit) for income taxes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1,740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(40,759)</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(41,956)</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(32,520)</w:t>
            </w: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Loss from continuing operations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(63,417)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(72,226)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(30,293)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(88,133)</w:t>
            </w: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(46,146)</w:t>
            </w: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 net of taxes (3)</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200,301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(63,417)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(72,226)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(29,217)</w:t>
            </w:r>
          </w:p>
        </w:tc>
        <w:tc>
          <w:tcPr>
            <w:tcW w:w="22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112,168</w:t>
            </w: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(34,765)</w:t>
            </w: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income attributable to common stockholders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64,760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(38,038)</w:t>
            </w: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Income (loss) per common share attributable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common stockholders: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Loss from continuing operations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30"/>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Loss from continuing operations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30"/>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Balance Sheet Data in Dollars: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89"/>
              </w:rPr>
              <w:t>1,088,489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w w:val="89"/>
              </w:rPr>
              <w:t>1,148,333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2"/>
              </w:rPr>
              <w:t>1,189,182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w w:val="87"/>
              </w:rPr>
              <w:t>1,270,420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1,361,827</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including current portion, net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459,044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425,199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409,399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420,220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520,422</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Redeemable preferred stocks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234,893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202,169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174,959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145,029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177,272</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247,327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342,197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438,196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492,513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421,580</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Selected Other Data in Dollars: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per common share</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left="520" w:hanging="512"/>
        <w:spacing w:after="0" w:line="256"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selected consolidated financial data were derived from our audited consolidated financial statements and should be read in conjunction with, and are qualified by reference, to the MD&amp;A contained in Item 7 of Part II of this report. The financial information presented may not be indicative of our future performance.</w:t>
      </w: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adoption of ASC 606, net sales for the years 2015 – 2017 have not been adjusted under the modified retrospective method.</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of our discontinued operations in Note 17 to the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MD&amp;A should be read in conjunction with a review of the other Items included in this Form 10-K and our December 31, 2019 consolidated financial statements included elsewhere in this report. A reference to a “Note” relates to a note in the accompanying notes to the consolidated financial statements. Certain statements contained in this MD&amp;A may be deemed to be forward-looking statements. See “Special Note Regarding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Continued Focus on Becoming a “Best in Class” Chemical plant operator with respect to safe, reliable operations that produce the highest quality product.</w:t>
      </w:r>
    </w:p>
    <w:p>
      <w:pPr>
        <w:spacing w:after="0" w:line="62"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implemented and are currently managing enhanced safety programs at our facilities that focus on improving our safety culture that will reduce risks and continuously improve our safety performance.</w:t>
      </w:r>
    </w:p>
    <w:p>
      <w:pPr>
        <w:spacing w:after="0" w:line="73" w:lineRule="exact"/>
        <w:rPr>
          <w:rFonts w:ascii="Arial" w:cs="Arial" w:eastAsia="Arial" w:hAnsi="Arial"/>
          <w:sz w:val="18"/>
          <w:szCs w:val="18"/>
          <w:color w:val="auto"/>
        </w:rPr>
      </w:pPr>
    </w:p>
    <w:p>
      <w:pPr>
        <w:ind w:left="1540" w:hanging="506"/>
        <w:spacing w:after="0" w:line="308" w:lineRule="auto"/>
        <w:tabs>
          <w:tab w:leader="none" w:pos="15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Additionally, over the last several years, our focus has been on upgrading our existing maintenance management system through technology enhancements and work processes to improve our predictive and preventative maintenance programs at our facilities.</w:t>
      </w:r>
    </w:p>
    <w:p>
      <w:pPr>
        <w:spacing w:after="0" w:line="38" w:lineRule="exact"/>
        <w:rPr>
          <w:rFonts w:ascii="Arial" w:cs="Arial" w:eastAsia="Arial" w:hAnsi="Arial"/>
          <w:sz w:val="17"/>
          <w:szCs w:val="17"/>
          <w:color w:val="auto"/>
        </w:rPr>
      </w:pPr>
    </w:p>
    <w:p>
      <w:pPr>
        <w:jc w:val="both"/>
        <w:ind w:left="1540" w:hanging="506"/>
        <w:spacing w:after="0" w:line="259"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have several initiatives underway that we believe will improve the overall reliability of our plants and allow us to produce more products for sale while lowering our cost of production. Those initiatives are focused on building internal expertise to improve oversight of external contractors, operating behavior and procedure enhancements including operator training, leadership training, shift change enhancements and operating and maintenance procedures.</w:t>
      </w:r>
    </w:p>
    <w:p>
      <w:pPr>
        <w:spacing w:after="0" w:line="78" w:lineRule="exact"/>
        <w:rPr>
          <w:rFonts w:ascii="Arial" w:cs="Arial" w:eastAsia="Arial" w:hAnsi="Arial"/>
          <w:sz w:val="18"/>
          <w:szCs w:val="18"/>
          <w:color w:val="auto"/>
        </w:rPr>
      </w:pPr>
    </w:p>
    <w:p>
      <w:pPr>
        <w:jc w:val="both"/>
        <w:ind w:left="1040" w:hanging="519"/>
        <w:spacing w:after="0" w:line="276"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Continue Broadening of the Distribution of our Products. </w:t>
      </w:r>
      <w:r>
        <w:rPr>
          <w:rFonts w:ascii="Arial" w:cs="Arial" w:eastAsia="Arial" w:hAnsi="Arial"/>
          <w:sz w:val="17"/>
          <w:szCs w:val="17"/>
          <w:color w:val="auto"/>
        </w:rPr>
        <w:t>To further leverage our plants current production capacity, we are continuing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the distribution of our industrial and mining products by partnering with customers to take product into different markets within the U.S. as well as markets outside the U.S. Additionally, during 2019, we developed a pipeline of margin enhancement projects including product loading and unloading improvements, tank storage and capital to facilitate guest plant opportunities which, we expect will result in improved margins on the sales of our products. We expect to complete these projects over the next 12 to 18 months.</w:t>
      </w:r>
    </w:p>
    <w:p>
      <w:pPr>
        <w:spacing w:after="0" w:line="64"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We are actively seeking ways to improve our capital structure and reduce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cost of capital. We believe that our improved operating performance will be a benefit in achieving those efforts.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 - 2019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Transaction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7, in June 2019, we completed the issuance and sale of $35 million of the New Notes. The New Notes were issued at a price equal to 102.125% of their face value. We expect to use the net proceeds from the New Notes to fund approximately $20 million in anticipated capital expenditures over a 12 to 18-month period that are intended to enhance our margins as discussed above under “Key Operating Initiatives for 2020”. The remaining net proceeds have been used for general corporate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Completion of Turnarounds at our El Dorado and Pryor Facilities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August 2019, we completed an 18-day Turnaround on our ammonia plant at our El Dorado Facility. Additionally, during November 2019, the ammonia plant at our El Dorado Facility was taken out of service for 16 days in order to make adjustments that improved the ammonia plant reliability and production volume. Also, during November 2019, we completed a 28-day Turnaround on our sulfuric acid plant at our El Dorado Facility, which included the installation of a new sulfuric acid converter which will increase reliability and production volume. During November 2019, we completed an extensive 67-day Turnaround at our Pryor Facility including the installation of a new, larger urea reactor. The next Turnarounds for these facilities are scheduled in 2021 for our Pryor Facility and 2022 for our El Dorado Facility. See additional discussion below under “Items Affecting Comparability of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Amended Ammonia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October 2019, the ammonia purchase and sale agreement between El Dorado Chemical Company (“EDC”) and Koch Fertilizer LLC (“Koch Fertilizer”) was amended, pursuant to which Koch Fertilizer agrees to purchase, with minimum purchase requirements, a portion of the ammonia that (a) will be produced at the El Dorado Facility and (b) that is in excess of EDC’s needs. As amended, the term of the agreement expires in June 2022 but automatically continues for additional one-year terms unless terminated by either party by delivering a notice of termination at least nine months prior to the end of term in effect.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Held for Sale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November 2019, in conjunction with management’s review of our long-range strategy, development of the 2020 budget and the completion of the 2019 Turnarounds, certain long-lived assets were identified for sale and a plan to sell such assets was finalized by management. Based on information obtained from various potential buyers and vendors to dissemble the assets, the carrying amount of these assets held for sale was written down to a de minimis amount and the corresponding non-cash charge of $9.7 million was recognized and included in other expense. Costs to disassemble these assets, in conjunction with disposals, will be recognized as incurred. We expect the sales of these assets, which will be sold primarily for scrap value, to be completed within one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Sales of our agricultural products were approximately 52% of our total net sales for 2019. The </w:t>
      </w:r>
      <w:r>
        <w:rPr>
          <w:rFonts w:ascii="Arial" w:cs="Arial" w:eastAsia="Arial" w:hAnsi="Arial"/>
          <w:sz w:val="17"/>
          <w:szCs w:val="17"/>
          <w:color w:val="2E2E2E"/>
        </w:rPr>
        <w:t>price at which our agricultural products are ultimately sold</w:t>
      </w:r>
      <w:r>
        <w:rPr>
          <w:rFonts w:ascii="Arial" w:cs="Arial" w:eastAsia="Arial" w:hAnsi="Arial"/>
          <w:sz w:val="17"/>
          <w:szCs w:val="17"/>
          <w:color w:val="auto"/>
        </w:rPr>
        <w:t xml:space="preserve"> </w:t>
      </w:r>
      <w:r>
        <w:rPr>
          <w:rFonts w:ascii="Arial" w:cs="Arial" w:eastAsia="Arial" w:hAnsi="Arial"/>
          <w:sz w:val="17"/>
          <w:szCs w:val="17"/>
          <w:color w:val="2E2E2E"/>
        </w:rPr>
        <w:t>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The USDA estimates corn production for the 2020 Crop at approximately 13.7 billion bushels, down 5 percent from the 2019 Crop. The average yield in the U.S. was estimated at 168.0 bushels per acre, 8.4 bushels below the 2019 Crop yield of 176.4 bushels per acre. The following February estimates are associated with the corn market: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2019 Crop</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2018 Crop</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(2019 Harvest)</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(2018 Harvest)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(2017 Harvest)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Percentage</w:t>
            </w:r>
          </w:p>
        </w:tc>
      </w:tr>
      <w:tr>
        <w:trPr>
          <w:trHeight w:val="171"/>
        </w:trPr>
        <w:tc>
          <w:tcPr>
            <w:tcW w:w="39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January Report (1)</w:t>
            </w:r>
          </w:p>
        </w:tc>
        <w:tc>
          <w:tcPr>
            <w:tcW w:w="2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Report (1)</w:t>
            </w:r>
          </w:p>
        </w:tc>
        <w:tc>
          <w:tcPr>
            <w:tcW w:w="2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 (2)</w:t>
            </w:r>
          </w:p>
        </w:tc>
        <w:tc>
          <w:tcPr>
            <w:tcW w:w="22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Report (1)</w:t>
            </w:r>
          </w:p>
        </w:tc>
        <w:tc>
          <w:tcPr>
            <w:tcW w:w="2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 (3)</w:t>
            </w:r>
          </w:p>
        </w:tc>
        <w:tc>
          <w:tcPr>
            <w:tcW w:w="220" w:type="dxa"/>
            <w:vAlign w:val="bottom"/>
            <w:tcBorders>
              <w:bottom w:val="single" w:sz="8" w:color="CFF0FC"/>
            </w:tcBorders>
          </w:tcPr>
          <w:p>
            <w:pPr>
              <w:spacing w:after="0"/>
              <w:rPr>
                <w:sz w:val="14"/>
                <w:szCs w:val="14"/>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176.4</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520" w:type="dxa"/>
            <w:vAlign w:val="bottom"/>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13,692</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14,340</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500" w:type="dxa"/>
            <w:vAlign w:val="bottom"/>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1520" w:type="dxa"/>
            <w:vAlign w:val="bottom"/>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jc w:val="both"/>
        <w:ind w:left="520" w:hanging="512"/>
        <w:spacing w:after="0" w:line="25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obtained from WASDE reports dated February 11, 2020 (February Report) for the 2019/2020 (“2020 Crop”), 2018/2019 (“2019 Crop”) and 2017/2018 (“2018 Crop”) corn marketing years. The marketing year is the twelve-month period during which a crop normally is marketed. For example, the marketing year for a corn crop is from September 1 of the current year to August 31 of the next year. The marketing year begins at the harvest and continues until just before harvest of the following year.</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percentage change between the 2020 Crop amounts compared to the 2019 Crop amounts.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percentage change between the 2020 Crop amounts compared to the 2018 Crop amounts.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jc w:val="both"/>
        <w:ind w:right="20"/>
        <w:spacing w:after="0" w:line="270"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Following the expansions, global nitrogen fertilizer supply outpaced global nitrogen fertilizer demand causing oversupply in the global and North American markets. In addition, the new domestic supply of ammonia and other fertilizer products changed the physical flow of ammonia in North America placing pressure on nitrogen fertilizer selling prices as the new capacity was absorbed by the market. More recently, ammonia pricing has been under pressure as a result of inordinately inclement weather in late 2018 and 2019, which led to limited fertilizer application and resultant elevated ammonia inventory levels in the domestic distribution channel. Additionally, UAN prices have pulled back in part, to European anti-dumping duties that were imposed on imports from certain countries, including the U.S which has caused imports of UAN into the U.S. to increase and exports from the U.S. to decrease increasing UAN supply in the U.S.</w:t>
      </w:r>
    </w:p>
    <w:p>
      <w:pPr>
        <w:spacing w:after="0" w:line="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After a challenging 2019 for U.S. corn farmers, it is expected that final harvested acres and yields for the 2019 harvest year will be lower than expected. These factors have already impacted the price of corn, which has risen to its highest level since 2014. A likely decline in the stock-to-use ratio for corn should lead to an increase in planted acres in the spring 2020 planting season. Assuming normal weather conditions, industry reports currently estimate a 5% increase in corn acres to be planted during 2020 compared to 2019.</w:t>
      </w:r>
    </w:p>
    <w:p>
      <w:pPr>
        <w:spacing w:after="0" w:line="79" w:lineRule="exact"/>
        <w:rPr>
          <w:sz w:val="20"/>
          <w:szCs w:val="20"/>
          <w:color w:val="auto"/>
        </w:rPr>
      </w:pPr>
    </w:p>
    <w:p>
      <w:pPr>
        <w:ind w:right="1120"/>
        <w:spacing w:after="0" w:line="375" w:lineRule="auto"/>
        <w:rPr>
          <w:sz w:val="20"/>
          <w:szCs w:val="20"/>
          <w:color w:val="auto"/>
        </w:rPr>
      </w:pPr>
      <w:r>
        <w:rPr>
          <w:rFonts w:ascii="Arial" w:cs="Arial" w:eastAsia="Arial" w:hAnsi="Arial"/>
          <w:sz w:val="18"/>
          <w:szCs w:val="18"/>
          <w:color w:val="auto"/>
        </w:rPr>
        <w:t xml:space="preserve">Therefore, for 2020, we expect overall stronger demand for our products somewhat tempered by continued pricing pressures on these products. </w:t>
      </w:r>
      <w:r>
        <w:rPr>
          <w:rFonts w:ascii="Arial" w:cs="Arial" w:eastAsia="Arial" w:hAnsi="Arial"/>
          <w:sz w:val="18"/>
          <w:szCs w:val="18"/>
          <w:u w:val="single" w:color="auto"/>
          <w:color w:val="auto"/>
        </w:rPr>
        <w:t>Industrial</w:t>
      </w:r>
    </w:p>
    <w:p>
      <w:pPr>
        <w:spacing w:after="0" w:line="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Sales of our industrial products were approximately 38% of our total net sales for 2019. Our industrial products sales volumes are dependent upon general economic conditions primarily in the housing, automotive, and paper industries. According to the American Chemistry Council, the U.S. economic indicators point to modest growth in 2020 in the U.S market we serve and export weakness due to the softening global economy and trade tensions. Our sales prices generally vary with the market price of ammonia or natural gas, as applicable, in our pricing arrangements with customers.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2E2E2E"/>
        </w:rPr>
        <w:t xml:space="preserve">Sales of our mining products were </w:t>
      </w:r>
      <w:r>
        <w:rPr>
          <w:rFonts w:ascii="Arial" w:cs="Arial" w:eastAsia="Arial" w:hAnsi="Arial"/>
          <w:sz w:val="17"/>
          <w:szCs w:val="17"/>
          <w:color w:val="000000"/>
        </w:rPr>
        <w:t>approximately 10% of our total net sales for 2019. Our mining products are LDAN and AN solution, which are primary</w:t>
      </w:r>
      <w:r>
        <w:rPr>
          <w:rFonts w:ascii="Arial" w:cs="Arial" w:eastAsia="Arial" w:hAnsi="Arial"/>
          <w:sz w:val="17"/>
          <w:szCs w:val="17"/>
          <w:color w:val="2E2E2E"/>
        </w:rPr>
        <w:t xml:space="preserve"> </w:t>
      </w:r>
      <w:r>
        <w:rPr>
          <w:rFonts w:ascii="Arial" w:cs="Arial" w:eastAsia="Arial" w:hAnsi="Arial"/>
          <w:sz w:val="17"/>
          <w:szCs w:val="17"/>
          <w:color w:val="000000"/>
        </w:rPr>
        <w:t>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Additionally, recent reduction in coal mining activities is increasing competition within the other sectors of this market. While we believe our plants are well located to support the more stable quarry and construction industries and the metals mining industries, our 2019 mining sales volumes were affected by overall lower customer demand in our mining markets.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580"/>
              <w:spacing w:after="0"/>
              <w:rPr>
                <w:sz w:val="20"/>
                <w:szCs w:val="20"/>
                <w:color w:val="auto"/>
              </w:rPr>
            </w:pPr>
            <w:r>
              <w:rPr>
                <w:rFonts w:ascii="Arial" w:cs="Arial" w:eastAsia="Arial" w:hAnsi="Arial"/>
                <w:sz w:val="18"/>
                <w:szCs w:val="18"/>
                <w:color w:val="auto"/>
              </w:rPr>
              <w:t>Natural gas average cost per MMBtu</w:t>
            </w:r>
          </w:p>
        </w:tc>
        <w:tc>
          <w:tcPr>
            <w:tcW w:w="4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40" w:type="dxa"/>
            <w:vAlign w:val="bottom"/>
            <w:vMerge w:val="restart"/>
          </w:tcPr>
          <w:p>
            <w:pPr>
              <w:jc w:val="right"/>
              <w:ind w:right="1779"/>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Additionally, the Magellan ammonia pipeline, which had an annual capacity to transport approximately 900,000 tons per year, most of which was produced in Oklahoma and Texas and delivered via the pipeline in the Midwest, is in the process of being permanently shut down. Pipeline closure began at the southern end of the pipeline in September of 2019 and is expected to continue on the northern end of the pipeline in early 2020. Without the pipeline in place for ammonia transport, producers will have to rely on other transportation venues, primarily by truck but will also include rail and barge transport of ammonia. Higher transportation costs may impact our margins if we are not able to pass through these costs. As a result, we continue to evaluate supply chain efficiencies to reduce or counter the impact of higher logistics costs.</w:t>
      </w:r>
    </w:p>
    <w:p>
      <w:pPr>
        <w:spacing w:after="0" w:line="57" w:lineRule="exact"/>
        <w:rPr>
          <w:sz w:val="20"/>
          <w:szCs w:val="20"/>
          <w:color w:val="auto"/>
        </w:rPr>
      </w:pPr>
    </w:p>
    <w:p>
      <w:pPr>
        <w:jc w:val="right"/>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Pryor Facility completed an extensive Turnaround during 2019. The Pryor Facility will continue on a two-year Turnaround cycle with the next Turnaround planned for the third quarter of 2021. At that time, we will seek to move to a three-year Turnaround cycle.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El Dorado Facility completed a partial Turnaround during 2018. The remaining portion of this Turnaround was completed during 2019. The El Dorado Facility has moved to a three-year Turnaround cycle with the next Turnaround planned in the third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Cherokee Facility is currently on a three-year Turnaround cycle with the next Turnaround to be performed in the third quarter of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for 2019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net sales for 2019 were $365.1 million compared to $378.2 million for 2018. Our consolidated operating loss was $39.1 million compared to $23.0 million for 2018. The items affecting our operating results are discussed below and under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ammonia is the basic product as used to produce all upgraded products. The on-stream rates noted below exclude Turnaround days, when applicable.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average overall on-stream rate of our ammonia plants was 91% for 2019 compared to 89% for 2018. For 2020, we are targeting an average overall on-stream rate of 94%.</w:t>
      </w:r>
    </w:p>
    <w:p>
      <w:pPr>
        <w:spacing w:after="0" w:line="6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believe that our focus on improving on-stream rates as discussed in key operating initiatives will continue to improve our overall on-stream rate for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Turnaround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we incurred Turnaround costs totaling approximately $13.2 million associated with a 67-day Turnaround performed on our plants at our Pryor Facility and a total of 46 days associated with Turnaround activity performed on our plants at our El Dorado Facility which consisted of an 18-day Turnaround on the ammonia plant and a 28-day Turnaround on the sulfuric acid plant.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incurred Turnaround costs totaling approximately $9.8 million associated with a 35-day Turnaround performed on our plants at our Cherokee Facility and a total of 12 days associated with Turnaround activity at our El Dorado Facility.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2019, we experienced improved selling prices for our agricultural products compared to 2018. Average selling prices for our UAN, ammonia, and HDAN increased 14%, 2% and 1%, respectively compared to 2018 average selling prices. During the back half of 2019 selling prices began to decline reflecting a lowering in the Southern Plains benchmark price for ammonia resulting from elevated inventory levels from the inordinately inclement weather throughout the Midwest over the past year and the closure of the Magellan ammonia pipeline. In addition, UAN selling prices also deteriorated in the second half of 2019, as import volumes increased while export volumes declined due, in part, to European anti-dumping duties.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2019 average industrial selling prices for our ammonia decreased compared to the same period of 2018 as a result of the aforementioned elevated ammonia inventory levels. The 2019 average Tampa Ammonia price declined approximately 21% as compared to the same period in 2018, which led to a decrease in industrial selling prices as many of our industrial contracts are indexed to the Tampa Ammonia benchmark price.</w:t>
      </w:r>
    </w:p>
    <w:p>
      <w:pPr>
        <w:spacing w:after="0" w:line="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our outlook for 2020, we expect that agricultural and industrial pricing will continue to be impacted by the aforementioned factors, impacting the agricultural market coupled with excess ammonia inventories weighing on the industrial market, as was the case in the second half of 2019.</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Fees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2019 and 2018, legal fees were approximately $12.8 million and $8.3 million, respectively. The change primarily relates to fees incurred as we pursue our claims against Leidos to recover damages and losses associated with the construction of the ammonia plant and other assets at our El Dorado Facility as discussed in footnote B of Note 9. We expect to continue to incur legal fees associated with this matter through March 2020, the scheduled date of the trial.</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and 2018, depreciation expense was $68.3 million and $70.3 million, respectively. For 2018, approximately $2.0 million relates to accelerated depreciation at the El Dorado Facility due to the boiler tube failures caused by a power outage.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Charge Associated with Assets Held for Sale (2019 only)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above under “Business Developments – 2019”, we recognized a non-cash charge of $9.7 million associated with assets held for sale, which amount is included in other expense.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2019 and 2018, interest expense was $46.4 million and $43.1 million, respectively. The change primarily relates to our Senior Secured Notes as discussed in Note 7.</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2019, the benefit for income taxes was $20.9 million compared to a provision of $1.7 million for 2018. The resulting benefit rate for 2019 was 24.8% compared to an effective tax rate of 2.5% for 2018, which includes the impact from tax reform adjustments. The increase in the benefit rate is primarily due to changes to the state deferred tax assets and liabilities resulting from state tax law changes enacted during 2019 and due to federal and state indefinite lived carryforward benefits that can be realized through the reversal of deferred tax liabilities. The 2018 effective tax rate was impacted by adjustments made to our valuation allowances including a reversal of approximately $2.3 million of state valuation allowance related to tax law changes.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Loss on Extinguishment of Debt (2018 only)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result of the financing transactions relating to the Senior Secured Notes and repurchase of the senior secured notes due 2019, we incurred a loss on extinguishment of debt of $6.0 million in 2018.</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Severance Benefits and Accelerated Stock-based Compensation (2018 only)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incurred $5.3 million associated with certain severance benefits and accelerated stock-based compensation relating to Daniel D. Greenwell, our former Chief Executive Officer (“CEO”), electing not to renew his employment agreement in December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Recovery from a Settlement with a Vendor (2018 only)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2018, we and a vendor mediated a settlement relating primarily to a business interruption claim caused by defective work performed by the vendor at our Pryor Facility. As a result of the settlement, the vendor paid us $4.0 million. As part of the settlement, we paid the vendor $0.5 million to settle $1.1 million of invoices that were held in our accounts payable. As a result, we recognized a recovery from this settlement totaling $4.6 million of which $4.4 million was classified as a reduction to cost of sales (primarily relating to our business interruption claim) and the remaining balance of $0.2 million as a reduction to PP&amp;E.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Results of Operations should be read in conjunction with our consolidated financial statements for the years ended December 31, 2019 and 2018 and accompanying notes and the discussions under “Overview” and “Liquidity and Capital Resources” included in this MD&amp;A. You should carefully review and consider the information in the MD&amp;A of our 2018 Form 10-K, filed with the SEC on February 26, 2019, for an understanding of our results of operations and liquidity discussions and analysis comparing 2018 to 2017.</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120" w:lineRule="exact"/>
        <w:rPr>
          <w:sz w:val="20"/>
          <w:szCs w:val="20"/>
          <w:color w:val="auto"/>
        </w:rPr>
      </w:pPr>
    </w:p>
    <w:p>
      <w:pPr>
        <w:ind w:left="2760"/>
        <w:spacing w:after="0"/>
        <w:rPr>
          <w:sz w:val="20"/>
          <w:szCs w:val="20"/>
          <w:color w:val="auto"/>
        </w:rPr>
      </w:pPr>
      <w:r>
        <w:rPr>
          <w:rFonts w:ascii="Arial" w:cs="Arial" w:eastAsia="Arial" w:hAnsi="Arial"/>
          <w:sz w:val="18"/>
          <w:szCs w:val="18"/>
          <w:b w:val="1"/>
          <w:bCs w:val="1"/>
          <w:u w:val="single" w:color="auto"/>
          <w:color w:val="auto"/>
        </w:rPr>
        <w:t>Year Ended December 31, 2019 Compared to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4"/>
          </w:tcPr>
          <w:p>
            <w:pPr>
              <w:jc w:val="right"/>
              <w:ind w:right="520"/>
              <w:spacing w:after="0" w:line="155" w:lineRule="exact"/>
              <w:rPr>
                <w:sz w:val="20"/>
                <w:szCs w:val="20"/>
                <w:color w:val="auto"/>
              </w:rPr>
            </w:pPr>
            <w:r>
              <w:rPr>
                <w:rFonts w:ascii="Arial" w:cs="Arial" w:eastAsia="Arial" w:hAnsi="Arial"/>
                <w:sz w:val="14"/>
                <w:szCs w:val="14"/>
                <w:color w:val="auto"/>
                <w:w w:val="94"/>
              </w:rPr>
              <w:t>(Dollars In Thousands)</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Agricultural products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187,641</w:t>
            </w:r>
          </w:p>
        </w:tc>
        <w:tc>
          <w:tcPr>
            <w:tcW w:w="160" w:type="dxa"/>
            <w:vAlign w:val="bottom"/>
          </w:tcPr>
          <w:p>
            <w:pPr>
              <w:spacing w:after="0"/>
              <w:rPr>
                <w:sz w:val="19"/>
                <w:szCs w:val="19"/>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187,164</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Industrial and mining products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177,429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190,996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(13,567)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365,070</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378,160</w:t>
            </w:r>
          </w:p>
        </w:tc>
        <w:tc>
          <w:tcPr>
            <w:tcW w:w="3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36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28,453</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74,381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(16,376)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86,458</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95,787</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(9,329)</w:t>
            </w:r>
          </w:p>
        </w:tc>
        <w:tc>
          <w:tcPr>
            <w:tcW w:w="3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(68,263)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(70,184)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Turnaround expense</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(13,210)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(9,768)</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(3,442)</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15,835</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(6,639)</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11,855</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(23,025)</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(16,066)</w:t>
            </w:r>
          </w:p>
        </w:tc>
        <w:tc>
          <w:tcPr>
            <w:tcW w:w="3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46,389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43,064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3,325</w:t>
            </w: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(5,951)</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(20,924)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(22,664)</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(63,417)</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(72,226)</w:t>
            </w:r>
          </w:p>
        </w:tc>
        <w:tc>
          <w:tcPr>
            <w:tcW w:w="3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36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information:</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color w:val="auto"/>
              </w:rPr>
              <w:t>Property, plant and equipment expenditures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37,050</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3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depreciation, amortization and Turnaround expenses.</w:t>
      </w:r>
    </w:p>
    <w:p>
      <w:pPr>
        <w:spacing w:after="0" w:line="22" w:lineRule="exact"/>
        <w:rPr>
          <w:rFonts w:ascii="Arial" w:cs="Arial" w:eastAsia="Arial" w:hAnsi="Arial"/>
          <w:sz w:val="16"/>
          <w:szCs w:val="16"/>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percentage of total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98"/>
              </w:rPr>
              <w:t>Industrial</w:t>
            </w:r>
          </w:p>
        </w:tc>
        <w:tc>
          <w:tcPr>
            <w:tcW w:w="3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8"/>
              </w:rPr>
              <w:t>Industrial</w:t>
            </w:r>
          </w:p>
        </w:tc>
        <w:tc>
          <w:tcPr>
            <w:tcW w:w="3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98"/>
              </w:rPr>
              <w:t>Industrial</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Agricultural</w:t>
            </w:r>
          </w:p>
        </w:tc>
        <w:tc>
          <w:tcPr>
            <w:tcW w:w="12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Agricultural</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Agricultural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Mining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Mining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Mining</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Products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187,641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177,429</w:t>
            </w:r>
          </w:p>
        </w:tc>
        <w:tc>
          <w:tcPr>
            <w:tcW w:w="3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187,164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190,996</w:t>
            </w:r>
          </w:p>
        </w:tc>
        <w:tc>
          <w:tcPr>
            <w:tcW w:w="3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28,453</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58,005</w:t>
            </w:r>
          </w:p>
        </w:tc>
        <w:tc>
          <w:tcPr>
            <w:tcW w:w="320" w:type="dxa"/>
            <w:vAlign w:val="bottom"/>
            <w:tcBorders>
              <w:bottom w:val="single" w:sz="8" w:color="CFF0FC"/>
              <w:right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21,406</w:t>
            </w:r>
          </w:p>
        </w:tc>
        <w:tc>
          <w:tcPr>
            <w:tcW w:w="3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74,381</w:t>
            </w:r>
          </w:p>
        </w:tc>
        <w:tc>
          <w:tcPr>
            <w:tcW w:w="320" w:type="dxa"/>
            <w:vAlign w:val="bottom"/>
            <w:tcBorders>
              <w:bottom w:val="single" w:sz="8" w:color="CFF0FC"/>
              <w:right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20"/>
                <w:szCs w:val="20"/>
                <w:color w:val="auto"/>
              </w:rPr>
            </w:pPr>
          </w:p>
        </w:tc>
        <w:tc>
          <w:tcPr>
            <w:tcW w:w="11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20"/>
                <w:szCs w:val="20"/>
                <w:color w:val="auto"/>
              </w:rPr>
            </w:pPr>
          </w:p>
        </w:tc>
        <w:tc>
          <w:tcPr>
            <w:tcW w:w="11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20" w:hanging="512"/>
        <w:spacing w:after="0" w:line="266"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depreciation, amortization and Turnaround expenses. See reconciliation included in the financial information table above.</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Product (tons sold)</w:t>
            </w:r>
          </w:p>
        </w:tc>
        <w:tc>
          <w:tcPr>
            <w:tcW w:w="41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Change</w:t>
            </w:r>
          </w:p>
        </w:tc>
        <w:tc>
          <w:tcPr>
            <w:tcW w:w="1360" w:type="dxa"/>
            <w:vAlign w:val="bottom"/>
            <w:gridSpan w:val="3"/>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5320" w:type="dxa"/>
            <w:vAlign w:val="bottom"/>
            <w:tcBorders>
              <w:top w:val="single" w:sz="8" w:color="CFF0FC"/>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359,905</w:t>
            </w: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400,054</w:t>
            </w: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(40,149)</w:t>
            </w: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277,820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284,433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(6,613)</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320" w:type="dxa"/>
            <w:vAlign w:val="bottom"/>
            <w:tcBorders>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83,924</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82,586</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3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(3,767)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right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741,304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790,495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417"/>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Gross Average Selling Prices (price per ton)</w:t>
            </w:r>
          </w:p>
        </w:tc>
        <w:tc>
          <w:tcPr>
            <w:tcW w:w="320" w:type="dxa"/>
            <w:vAlign w:val="bottom"/>
          </w:tcPr>
          <w:p>
            <w:pPr>
              <w:spacing w:after="0"/>
              <w:rPr>
                <w:sz w:val="13"/>
                <w:szCs w:val="13"/>
                <w:color w:val="auto"/>
              </w:rPr>
            </w:pPr>
          </w:p>
        </w:tc>
        <w:tc>
          <w:tcPr>
            <w:tcW w:w="108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Change</w:t>
            </w:r>
          </w:p>
        </w:tc>
        <w:tc>
          <w:tcPr>
            <w:tcW w:w="1360" w:type="dxa"/>
            <w:vAlign w:val="bottom"/>
            <w:gridSpan w:val="3"/>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680" w:type="dxa"/>
            <w:vAlign w:val="bottom"/>
            <w:tcBorders>
              <w:top w:val="single" w:sz="8" w:color="auto"/>
            </w:tcBorders>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2640" w:type="dxa"/>
            <w:vAlign w:val="bottom"/>
            <w:tcBorders>
              <w:right w:val="single" w:sz="8" w:color="CFF0FC"/>
            </w:tcBorders>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80" w:type="dxa"/>
            <w:vAlign w:val="bottom"/>
            <w:gridSpan w:val="2"/>
            <w:vMerge w:val="continue"/>
            <w:shd w:val="clear" w:color="auto" w:fill="CFF0FC"/>
          </w:tcPr>
          <w:p>
            <w:pPr>
              <w:spacing w:after="0"/>
              <w:rPr>
                <w:sz w:val="18"/>
                <w:szCs w:val="18"/>
                <w:color w:val="auto"/>
              </w:rPr>
            </w:pPr>
          </w:p>
        </w:tc>
        <w:tc>
          <w:tcPr>
            <w:tcW w:w="2640" w:type="dxa"/>
            <w:vAlign w:val="bottom"/>
            <w:tcBorders>
              <w:right w:val="single" w:sz="8" w:color="CFF0FC"/>
            </w:tcBorders>
            <w:vMerge w:val="continue"/>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320" w:type="dxa"/>
            <w:vAlign w:val="bottom"/>
            <w:tcBorders>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FF0FC"/>
            </w:tcBorders>
            <w:shd w:val="clear" w:color="auto" w:fill="CFF0FC"/>
          </w:tcPr>
          <w:p>
            <w:pPr>
              <w:spacing w:after="0"/>
              <w:rPr>
                <w:sz w:val="19"/>
                <w:szCs w:val="19"/>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58"/>
        </w:trPr>
        <w:tc>
          <w:tcPr>
            <w:tcW w:w="45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Product (tons sold)</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332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332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275,253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36,733</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ind w:left="240"/>
              <w:spacing w:after="0"/>
              <w:rPr>
                <w:sz w:val="20"/>
                <w:szCs w:val="20"/>
                <w:color w:val="auto"/>
              </w:rPr>
            </w:pPr>
            <w:r>
              <w:rPr>
                <w:rFonts w:ascii="Arial" w:cs="Arial" w:eastAsia="Arial" w:hAnsi="Arial"/>
                <w:sz w:val="18"/>
                <w:szCs w:val="18"/>
                <w:color w:val="auto"/>
              </w:rPr>
              <w:t>Nitric Acid</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99,544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(11,431)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409,904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381,605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28,299</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Tampa Ammonia Benchmark (price per metric ton)</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8620" w:type="dxa"/>
            <w:vAlign w:val="bottom"/>
            <w:gridSpan w:val="10"/>
          </w:tcPr>
          <w:p>
            <w:pPr>
              <w:spacing w:after="0"/>
              <w:rPr>
                <w:sz w:val="20"/>
                <w:szCs w:val="20"/>
                <w:color w:val="auto"/>
              </w:rPr>
            </w:pPr>
            <w:r>
              <w:rPr>
                <w:rFonts w:ascii="Arial" w:cs="Arial" w:eastAsia="Arial" w:hAnsi="Arial"/>
                <w:sz w:val="18"/>
                <w:szCs w:val="18"/>
                <w:color w:val="auto"/>
                <w:w w:val="94"/>
              </w:rPr>
              <w:t>With respect to sales of mining products, the following tables indicate key operating metrics of our major products: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58"/>
        </w:trPr>
        <w:tc>
          <w:tcPr>
            <w:tcW w:w="45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Product (tons sold)</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FF0FC"/>
            </w:tcBorders>
            <w:shd w:val="clear" w:color="auto" w:fill="000000"/>
          </w:tcPr>
          <w:p>
            <w:pPr>
              <w:spacing w:after="0" w:line="20" w:lineRule="exact"/>
              <w:rPr>
                <w:sz w:val="1"/>
                <w:szCs w:val="1"/>
                <w:color w:val="auto"/>
              </w:rPr>
            </w:pPr>
          </w:p>
        </w:tc>
        <w:tc>
          <w:tcPr>
            <w:tcW w:w="332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151,935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(11,373)</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10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Agricultural products sales were slightly higher primarily from improved selling prices for all of our agricultural products in conjunction with improved sales volumes for ammonia. This improvement was partially offset by lower sales volumes of UAN and HDAN resulting from unfavorable weather conditions in the markets we serve compared to 2018, as well as an extensive 67-day turnaround at our Pryor Facility which was completed in November of 2019.</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industrial chemical products sales decreased primarily from lower selling prices due to lower Tampa ammonia benchmark pricing along with lower sales volumes for nitric acid due to certain spot sales made to a customer during 2018 to meet their demand caused by a disruption of their plant operations. This decline was partially offset by improved sales volumes for ammonia from improved on-stream rates during 2019 allowing for the sale of more product. The average Tampa ammonia pricing was approximately $65 per ton lower compared to 2018 as discussed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jc w:val="both"/>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of overall lower sales volume and selling prices for our mining products. This decline is primarily driven by lower customer demand as the overall coal market conditions remain suppressed in conjunction with competitive pressures in our marketing region.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in the tables above, we recognized a gross profit $5.0 million for 2019 compared to $15.8 million for 2018, or a decrease of approximately $10.8 million. Overall, our gross profit percentage decreased to 1.4% for 2019 compared to 4.2% for 2018.</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agricultural products adjusted gross profit percentage increased to 15% for 2019 from 11% for 2018 due primarily to increased selling prices for all of our agricultural products along with improved production and sales volumes for ammonia, partially offset by lower UAN and HDAN sales volumes as discussed above.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Industrial and mining products adjusted gross profit percentage declined for 2019 to 33% from 39% for 2018 primarily driven by lower overall Tampa ammonia pricing, which averaged approximately $248 per metric ton during 2019 compared to approximately $313 per metric ton for 2018 driven by a poor weather negatively impacting the 2018 fall and the 2019 spring and fall application seasons in the U.S. agricultural markets, combined with weather impacting the movement of ammonia from the Gulf region, which caused a build-up of ammonia inventory across the distribution channel, resulting in downward pressure on Tampa ammonia benchmark pricing and Gulf ammonia in general.</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negative effect on gross profit from sales activity discussed above was partially offset by approximately $9.9 million in lower natural gas costs per MMBtu, approximately $1.9 million decline in depreciation expense, and improved cost absorption from higher overall plant on-stream rates partially offset by approximately $3.4 million increase in turnaround costs and approximately $1.0 million of higher freight costs incurred to move product for storage as a result of the delay in the spring application season.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Also, as discussed above under “Items Affecting Comparability of Results-Recovery from a Settlement with a Vendor”, our 2018 gross profit included a recovery from a settlement with a vendor of $4.4 million classified as a reduction to cost of sales (primarily relating to our business interruption claim).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SG&amp;A expenses were $34.2 million for 2019, a decrease of $6.6 million compared to 2018, of which $5.3 million was associated with severance benefits and accelerated stock-based compensation recognized in 2018 relating to our former CEO electing not to renew his employment agreement in December 2018. Excluding this impact, SG&amp;A expenses decreased $1.3 million primarily driven by a $5.0 million reduction in compensation-related costs and $0.9 million reduction in insurance and other miscellaneous items partially offset by a $4.6 million increase in professional fees, including legal fees associated with the legal matter discussed above under “Items Affecting Comparability of Results-Legal”.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for 2019 was $9.9 million primarily relating to a non-cash charge associated with assets held for sale discussed above under “Business Developments-2019.” Other income for 2018 was $2.0 million primarily relating to the sales of certain non-core assets (primarily consisting of real estate).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for 2019 was $46.4 million compared to $43.1 million for 2018. The net increase relates primarily to interest expense associated with the Notes issued in April 2018 and the New Notes issued in June 2019 partially offset by $0.9 million of debt modification fees incurred in 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incurred a loss on extinguishment of debt of approximately $6.0 million relating to the repurchase of the senior secured notes that were scheduled to mature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benefit for income taxes for 2019 was $20.9 million compared to a provision of $1.7 million for 2018. The resulting benefit rate for 2019 was 24.8% compared to an effective tax rate of 2.5% for 2018 including the impact of tax reform adjustments. The increase in the benefit rate is primarily due to changes to the state deferred tax assets and liabilities resulting from state tax law changes enacted during 2019 and due to federal and state indefinite lived carryforward benefits that can be realized through the reversal of deferred tax liabilities. The 2018 effective tax rate was impacted by adjustments made to our valuation allowances during 2018 including a reversal of approximately $2.3 million of state valuation allowance related to tax law changes. Also, see discussion in Note 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continuing cash flow activities for 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580"/>
              <w:spacing w:after="0" w:line="155" w:lineRule="exact"/>
              <w:rPr>
                <w:sz w:val="20"/>
                <w:szCs w:val="20"/>
                <w:color w:val="auto"/>
              </w:rPr>
            </w:pPr>
            <w:r>
              <w:rPr>
                <w:rFonts w:ascii="Arial" w:cs="Arial" w:eastAsia="Arial" w:hAnsi="Arial"/>
                <w:sz w:val="14"/>
                <w:szCs w:val="14"/>
                <w:color w:val="auto"/>
                <w:w w:val="97"/>
              </w:rPr>
              <w:t>(In Thousands)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17,622</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(35,925)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(25,740)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30,569</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$2.1 million for 2019 compared to $17.6 million for 2018, a decrease of $15.5 million.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net cash provided is the result of a net loss of $63.4 million plus adjustments of $69.6 million for depreciation and amortization of PP&amp;E, non-cash charge of $9.7 million associated assets held for sale, and other adjustments of $5.7 million less an adjustment of $20.9 million for deferred taxes and net cash provided of approximately $1.4 million primarily from our working capital.</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2018, net cash provided is the result of a net loss of $72.2 million plus adjustments of $70.3 million for depreciation, depletion and amortization of PP&amp;E, $8.4 million for stock-based compensation, $6.0 million for a loss on extinguishment of debt, $1.8 million for deferred taxes and other adjustments totaling approximately $2.8 million and net cash provided of approximately $0.5 million primarily from our working capital including an increase in inventories and accounts payables and a decrease in accrued interest.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investing activities was $35.9 million for 2019 compared to $25.7 million for 2018, a change of $10.2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2019, net cash used relates primarily to expenditures for PP&amp;E.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2018, net cash used is the result of $37.1 million on expenditures for PP&amp;E partially offset by $6.7 million from net proceeds from the sale of PP&amp;E, $2.7 million representing the remaining proceeds from an indemnity escrow account associated with the sale of our former Climate Control business in 2016 and approximately $2.0 million relating to a recovery from a property insurance claim and other investing activities.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$30.6 million for 2019 compared to $0.5 million for 2018, a change of approximately $30.0 million.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net cash provided primarily consists of net proceeds of $35.1 million from the New Notes, net proceeds of $7.5 million, net of payments, from other long-term debt and insurance premium short-term financing partially offset by net payments of $10 million on the Working Capital Revolver Loan, and payments of $2.0 million for other financing activities.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2018, net cash provided consists of net proceeds of $390.5 million from the Notes, $10.9 million from insurance premium short-term financing, and $10.0 million from our Working Capital Revolver Loan partially offset by $375 million repayment of the senior secured notes due 2019, payments of $20.0 million on other long-term debt and short-term financing, payments of $11.0 million for debt related costs, payments of $2.8 million of fees associated with the modification of terms of our Series E Redeemable Preferred and approximately $2.1 million of other financing activities.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105"/>
              <w:spacing w:after="0" w:line="155" w:lineRule="exact"/>
              <w:rPr>
                <w:sz w:val="20"/>
                <w:szCs w:val="20"/>
                <w:color w:val="auto"/>
              </w:rPr>
            </w:pPr>
            <w:r>
              <w:rPr>
                <w:rFonts w:ascii="Arial" w:cs="Arial" w:eastAsia="Arial" w:hAnsi="Arial"/>
                <w:sz w:val="14"/>
                <w:szCs w:val="14"/>
                <w:color w:val="auto"/>
              </w:rPr>
              <w:t>(In Millions)</w:t>
            </w: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Revolving credit facility and long-term debt:</w:t>
            </w: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Secured Financing </w:t>
            </w:r>
            <w:r>
              <w:rPr>
                <w:rFonts w:ascii="Arial" w:cs="Arial" w:eastAsia="Arial" w:hAnsi="Arial"/>
                <w:sz w:val="14"/>
                <w:szCs w:val="14"/>
                <w:color w:val="auto"/>
              </w:rPr>
              <w:t>(1)</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Secured Loan Agreement</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459.0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(2)</w:t>
            </w:r>
          </w:p>
        </w:tc>
        <w:tc>
          <w:tcPr>
            <w:tcW w:w="2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gridSpan w:val="2"/>
            <w:vMerge w:val="continue"/>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247.3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the proceeds from the Secured Financing due in 2023 was used to pay off the secured financing due in 2019.</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Liquidation preference of $242.8 million as of December 31, 2019.</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$75 million. As of December 31, 2019, our Working Capital Revolver Loan was undrawn and had approximately $42.1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capital expenditures to be approximately $25 million to $30 million for 2020, which includes approximately $5 million to $10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discussed below under “Loan Agreements,” the Working Capital Revolver Loan requires, among other things, that we meet certain financial covenants.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Working Capital Revolver Loan does not include financial covenant requirements unless a defined covenant trigger event has occurred and is continuing.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no trigger event had occurred.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Senior Secured Notes due 2023 </w:t>
      </w:r>
      <w:r>
        <w:rPr>
          <w:rFonts w:ascii="Arial" w:cs="Arial" w:eastAsia="Arial" w:hAnsi="Arial"/>
          <w:sz w:val="17"/>
          <w:szCs w:val="17"/>
          <w:color w:val="auto"/>
        </w:rPr>
        <w:t>- LSB has $435 million aggregate principal amount of the 9.625% Senior Secured Notes currently outstanding,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$35 million associated with the New Notes as discussed in footnote (B) of Note 7. Interest is to be paid semiannually on May 1st and November 1st, maturing May 1, 2023. As a result of the financing transactions, our interest expense has increased as compared to 2018.</w:t>
      </w:r>
    </w:p>
    <w:p>
      <w:pPr>
        <w:spacing w:after="0" w:line="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in March 2021. This promissory note bears interest at the annual rate</w:t>
      </w:r>
      <w:r>
        <w:rPr>
          <w:rFonts w:ascii="Arial" w:cs="Arial" w:eastAsia="Arial" w:hAnsi="Arial"/>
          <w:sz w:val="18"/>
          <w:szCs w:val="18"/>
          <w:b w:val="1"/>
          <w:bCs w:val="1"/>
          <w:color w:val="auto"/>
        </w:rPr>
        <w:t xml:space="preserve"> </w:t>
      </w:r>
      <w:r>
        <w:rPr>
          <w:rFonts w:ascii="Arial" w:cs="Arial" w:eastAsia="Arial" w:hAnsi="Arial"/>
          <w:sz w:val="18"/>
          <w:szCs w:val="18"/>
          <w:color w:val="auto"/>
        </w:rPr>
        <w:t>of 5.25%. Principal and interest are payable in monthly installments.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2023 </w:t>
      </w:r>
      <w:r>
        <w:rPr>
          <w:rFonts w:ascii="Arial" w:cs="Arial" w:eastAsia="Arial" w:hAnsi="Arial"/>
          <w:sz w:val="18"/>
          <w:szCs w:val="18"/>
          <w:color w:val="auto"/>
        </w:rPr>
        <w:t>- EDA is party to a secured promissory note due in May 2023. Principal and interest are payable in equal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with a final balloon payment of approximately $6.1 million. This promissory note bears interest at a rate that is based on the monthly LIBOR rate plus a base rate for a current total rate of 6.03%.</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Secured Loan Agreement </w:t>
      </w:r>
      <w:r>
        <w:rPr>
          <w:rFonts w:ascii="Arial" w:cs="Arial" w:eastAsia="Arial" w:hAnsi="Arial"/>
          <w:sz w:val="17"/>
          <w:szCs w:val="17"/>
          <w:color w:val="auto"/>
        </w:rPr>
        <w:t>- EDC entered into a $15 million secured financing arrangement with an affiliate of LSB Funding L.L.C. (“LSB Funding”) in May</w:t>
      </w:r>
      <w:r>
        <w:rPr>
          <w:rFonts w:ascii="Arial" w:cs="Arial" w:eastAsia="Arial" w:hAnsi="Arial"/>
          <w:sz w:val="17"/>
          <w:szCs w:val="17"/>
          <w:b w:val="1"/>
          <w:bCs w:val="1"/>
          <w:color w:val="auto"/>
        </w:rPr>
        <w:t xml:space="preserve"> </w:t>
      </w:r>
      <w:r>
        <w:rPr>
          <w:rFonts w:ascii="Arial" w:cs="Arial" w:eastAsia="Arial" w:hAnsi="Arial"/>
          <w:sz w:val="17"/>
          <w:szCs w:val="17"/>
          <w:color w:val="auto"/>
        </w:rPr>
        <w:t>2019 with a current interest rate of 8.76%. Beginning in June 2019, principal and interest are payable in 48 equal monthly installments with a final balloon payment of approximately $3 million due on June 1, 2023. This financing arrangement is secured by the cogeneration facility equipment and is guaranteed by LSB. During 2019, EDC entered into a secured loan agreement with an affiliate of LSB Funding. Under the terms of the agreement, EDC has up to $7.5 million of available borrowings (the “Interim Loan”) during the construction of a new sulfuric acid converter (the “Interim Loan Period), subject to certain conditions. During the Interim Loan Period, interest only is payable in monthly installments. The Interim Loan will be replaced by a term loan in 2020. Principal and interest will be payable in 60 equal monthly installments under the term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December 31, 2019, the Working Capital Revolver Loan was undrawn and the net credit available for borrowings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Working Capital Revolver Loan was approximately $42.1 million, based on our eligible collateral, less outstanding standby letters of credit as of that date. Also see discussion above under “Compliance with Long-Term Debt Covenants.</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w:t>
      </w:r>
      <w:r>
        <w:rPr>
          <w:rFonts w:ascii="Arial" w:cs="Arial" w:eastAsia="Arial" w:hAnsi="Arial"/>
          <w:sz w:val="18"/>
          <w:szCs w:val="18"/>
          <w:color w:val="auto"/>
        </w:rPr>
        <w:t>– At December 31, 2019,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$242.8 million.</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 in Note 10.</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Expenditures – 2019</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capital expenditures relating to PP&amp;E were $36.1 million, which expenditures include approximately $2.0 million associated with maintaining compliance with environmental laws, regulations and guidelines. Approximately $5.2 million related to the new sulfuric acid converter, which was financed, and the remaining capital expenditures were primarily funded with cash.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annual capital expenditures for 2020.</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specific federal and state environmental compliance laws, regulations and guidelines. As a result, we incurred expenses of $4.9 million in 2019 in connection with environmental projects. For 2020, we expect to incur expenses ranging from $4.5 million to $5.0 million in connection with additional environmental projects. However, it is possible that the actual costs could be significantly different than our estimates.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10.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$118.87 per share for the current aggregate semi-annual dividend of $16.6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December 31, 2019, the amount of accumulated dividends on the Series E Redeemable Preferred was approximately $103.0 million.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As of December 31, 2019, the amount of accumulated dividends on the Series D Preferred and Series B Preferred totaled approximately $1.3 million. All shares of the Series D Preferred and Series B Preferred are owned by the Golsen Holders. There are no optional or mandatory redemption rights with respect to the Series B Preferred or Series D Preferred.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2019, we have agreed to indemnify the sureties for payments, up to $10 million, made by them in respect of such bonds. All of these insurance bonds are expected to expire or be renewed in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aggregate contractual obligations are summarized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Payments Due in the Year Ending 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ind w:right="111"/>
              <w:spacing w:after="0" w:line="155"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color w:val="auto"/>
                <w:w w:val="93"/>
              </w:rPr>
              <w:t>(In Thousands)</w:t>
            </w: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Senior Secured Notes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435,000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435,000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471,305</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447,491</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 on long-term debt (1)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152,889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Series E redeemable preferred stock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139,768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3"/>
              </w:rPr>
              <w:t>Dividends earned - Series E redeemable preferred stock</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276,783</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276,783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Firm purchase commitments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Natural gas pipeline commitment (4)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contractual obligations included in</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noncurrent accrued and other liabilities (5)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1,128,979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110,422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893,921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estimated interest payments relating to variable interest rate debt are based on interest rates at December 31, 2019.</w:t>
      </w:r>
    </w:p>
    <w:p>
      <w:pPr>
        <w:spacing w:after="0" w:line="23"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E redeemable preferred stock (including dividends) are assumed to be redeemed and paid on the earliest possible redemption date by the holder (October 25, 2023) and that dividends are accrued until that date.</w:t>
      </w: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include only the estimated committed amounts (high end of range) at December 31, 2019.</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9" w:lineRule="exact"/>
        <w:rPr>
          <w:rFonts w:ascii="Arial" w:cs="Arial" w:eastAsia="Arial" w:hAnsi="Arial"/>
          <w:sz w:val="18"/>
          <w:szCs w:val="18"/>
          <w:color w:val="auto"/>
        </w:rPr>
      </w:pPr>
    </w:p>
    <w:p>
      <w:pPr>
        <w:jc w:val="both"/>
        <w:ind w:left="380" w:hanging="372"/>
        <w:spacing w:after="0" w:line="25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cash flows relating to executive and death benefits are based on estimates at December 31, 2019. The participation rights value associated with embedded derivative of our Series E redeemable preferred stock is based on the value of our common stock at December 31, 2019 and is based on the earliest possible redemption date by the holder, October 25, 2023.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1 and 2 for recently adopted and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2019, could change in the near term. The more critical areas of financial reporting affected by management's judgment, estimates and assumptions include the following:</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are involved in various legal matters that require management to make estimates and assumptions, including costs relating to the lawsuit styled </w:t>
      </w:r>
      <w:r>
        <w:rPr>
          <w:rFonts w:ascii="Arial" w:cs="Arial" w:eastAsia="Arial" w:hAnsi="Arial"/>
          <w:sz w:val="18"/>
          <w:szCs w:val="18"/>
          <w:i w:val="1"/>
          <w:iCs w:val="1"/>
          <w:color w:val="auto"/>
        </w:rPr>
        <w:t>City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West, Texas v CF Industries, Inc., et al, </w:t>
      </w:r>
      <w:r>
        <w:rPr>
          <w:rFonts w:ascii="Arial" w:cs="Arial" w:eastAsia="Arial" w:hAnsi="Arial"/>
          <w:sz w:val="18"/>
          <w:szCs w:val="18"/>
          <w:color w:val="auto"/>
        </w:rPr>
        <w:t>discussed under “Other Pending, Threatened or Settled Litigation” of Note 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the actual costs could be significantly different than our estimates.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 As discussed under “Environmental, Health and Safety Matters” in Item 1 of this report, we are subject to specific federal and</w:t>
      </w:r>
      <w:r>
        <w:rPr>
          <w:rFonts w:ascii="Arial" w:cs="Arial" w:eastAsia="Arial" w:hAnsi="Arial"/>
          <w:sz w:val="17"/>
          <w:szCs w:val="17"/>
          <w:b w:val="1"/>
          <w:bCs w:val="1"/>
          <w:color w:val="auto"/>
        </w:rPr>
        <w:t xml:space="preserve"> </w:t>
      </w:r>
      <w:r>
        <w:rPr>
          <w:rFonts w:ascii="Arial" w:cs="Arial" w:eastAsia="Arial" w:hAnsi="Arial"/>
          <w:sz w:val="17"/>
          <w:szCs w:val="17"/>
          <w:color w:val="auto"/>
        </w:rPr>
        <w:t>state regulatory compliance laws and guidelines.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our current inability to develop a meaningful and reliable estimate (or range of estimate) as to the costs relating to a corrective action study work plan approved by the Kansas Department of Health and Environment (“KDHE”) discussed under footnote 3 – Other Environmental Matters of Note 9. At December 31, 2019 and 2018, liabilities totaling $0.2 million for both periods have been accrued relating to these issues as discussed. This liability is included in current accrued and other liabilities and is based on current estimates that may be revised in the near term. At the time that cost estimates for any corrective action are received, we will adjust our accrual accordingly. It is reasonably possible that the adjustment to the accrual and the actual costs could be significantly different than our current estimates.</w:t>
      </w:r>
    </w:p>
    <w:p>
      <w:pPr>
        <w:spacing w:after="0" w:line="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Charge Associated with Assets Held for Sale </w:t>
      </w:r>
      <w:r>
        <w:rPr>
          <w:rFonts w:ascii="Arial" w:cs="Arial" w:eastAsia="Arial" w:hAnsi="Arial"/>
          <w:sz w:val="16"/>
          <w:szCs w:val="16"/>
          <w:color w:val="auto"/>
        </w:rPr>
        <w:t>– As discussed in Note 1, assets held for sale are generally reported at the lower of the carrying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assets or fair values less costs to sell. During 2019, in conjunction with management’s review of our long-range strategy, development of the 2020 budget and the completion of the 2019 Turnarounds, certain non-core long-lived assets were identified and authorized to be sold. As a result, these assets were classified as assets held for sale. Because the estimated costs to sell these assets (primarily to dismantle) exceeds the estimated fair values, the carrying amount of these assets were written down to a de minimis amount and a non-cash charge of approximately $9.7 million was recognized and classified as other expense. We expect these assets to be sold in 2020. At December 31, 2018, we had no long-lived assets classified as held for sale.</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 – </w:t>
      </w:r>
      <w:r>
        <w:rPr>
          <w:rFonts w:ascii="Arial" w:cs="Arial" w:eastAsia="Arial" w:hAnsi="Arial"/>
          <w:sz w:val="17"/>
          <w:szCs w:val="17"/>
          <w:color w:val="auto"/>
        </w:rPr>
        <w:t>As discussed under “Income Taxes” in Note 1 and in Note 8, income taxes are accounted for under the asset and liability method. Deferred tax</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At December 31, 2019 and 2018, our valuation allowance on deferred tax assets was $51.6 million and $45.6 million, respectively.</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Redeemable Preferred Stocks – </w:t>
      </w:r>
      <w:r>
        <w:rPr>
          <w:rFonts w:ascii="Arial" w:cs="Arial" w:eastAsia="Arial" w:hAnsi="Arial"/>
          <w:sz w:val="17"/>
          <w:szCs w:val="17"/>
          <w:color w:val="auto"/>
        </w:rPr>
        <w:t>In December 2015, we issued the Series E and F Redeemable Preferred. The redeemable preferred stocks are redeemable</w:t>
      </w:r>
      <w:r>
        <w:rPr>
          <w:rFonts w:ascii="Arial" w:cs="Arial" w:eastAsia="Arial" w:hAnsi="Arial"/>
          <w:sz w:val="17"/>
          <w:szCs w:val="17"/>
          <w:b w:val="1"/>
          <w:bCs w:val="1"/>
          <w:color w:val="auto"/>
        </w:rPr>
        <w:t xml:space="preserve"> </w:t>
      </w:r>
      <w:r>
        <w:rPr>
          <w:rFonts w:ascii="Arial" w:cs="Arial" w:eastAsia="Arial" w:hAnsi="Arial"/>
          <w:sz w:val="17"/>
          <w:szCs w:val="17"/>
          <w:color w:val="auto"/>
        </w:rPr>
        <w:t>outside of our control and are classified as temporary/mezzanine equity on our consolidated balance sheet. In addition, certain embedded features (the “embedded derivative”) included in the Series E Redeemable Preferred required bifurcation and are classified as derivative liabilities.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 xml:space="preserve">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w:t>
      </w:r>
      <w:r>
        <w:rPr>
          <w:rFonts w:ascii="Arial" w:cs="Arial" w:eastAsia="Arial" w:hAnsi="Arial"/>
          <w:sz w:val="17"/>
          <w:szCs w:val="17"/>
          <w:color w:val="2E2E2E"/>
        </w:rPr>
        <w:t>October 25, 2023</w:t>
      </w:r>
      <w:r>
        <w:rPr>
          <w:rFonts w:ascii="Arial" w:cs="Arial" w:eastAsia="Arial" w:hAnsi="Arial"/>
          <w:sz w:val="17"/>
          <w:szCs w:val="17"/>
          <w:color w:val="auto"/>
        </w:rPr>
        <w:t>, the earliest possible redemption date by the holder. Approximately $33 million of accretion (including the amount for earned dividends) was recorded to retained earnings in 2019. At December 31, 2019, the carrying value of these redeemable preferred stocks was $234.9 million.</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embedded derivative, changes in fair value are recorded in our statement of operations. At December 31, 2019 and 2018, we estimated that the embedded contingent redemption features have fair value since we estimate that it is probable that a portion of the shares of this preferred stock would be redeemed prior to October 25, 2023.</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the fair value of the embedded derivative was $1.1 million and $1.6 million, respectively, primarily relating to the participation rights based on the equivalent of 303,646 shares of our common stock at $4.20 and $5.52 per share, respectively. No valuation input adjustments were considered necessary relating to nonperformance risk for the embedded derivative based on our current forecast. The valuation is classified as Level 3.</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58" w:lineRule="exact"/>
        <w:rPr>
          <w:sz w:val="20"/>
          <w:szCs w:val="20"/>
          <w:color w:val="auto"/>
        </w:rPr>
      </w:pPr>
    </w:p>
    <w:p>
      <w:pPr>
        <w:ind w:right="4080"/>
        <w:spacing w:after="0" w:line="378" w:lineRule="auto"/>
        <w:rPr>
          <w:sz w:val="20"/>
          <w:szCs w:val="20"/>
          <w:color w:val="auto"/>
        </w:rPr>
      </w:pPr>
      <w:r>
        <w:rPr>
          <w:rFonts w:ascii="Arial" w:cs="Arial" w:eastAsia="Arial" w:hAnsi="Arial"/>
          <w:sz w:val="18"/>
          <w:szCs w:val="18"/>
          <w:b w:val="1"/>
          <w:bCs w:val="1"/>
          <w:u w:val="single" w:color="auto"/>
          <w:color w:val="auto"/>
        </w:rPr>
        <w:t>ITEM 7A. QUANTITATIVE AND QUALITATIVE DISCLOSURES ABOUT MARKET RISK General</w:t>
      </w: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affected by changes in market prices of natural gas, changes in market interest rates and changes in market currency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December 31, 2019, we had no embedded losses associated with sales commitments with firm sales prices.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and sales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2019, we did not have any natural gas derivatives not meeting the definition of a normal purchase and sale.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December 31, 2019, we had no outstanding borrowings on this credit facility. We are also exposed to interest rate risk on variable rate borrowings for certain commercial loans in the amount of approximately $17.9 million. We currently do not hedge our interest rate risk associated with these variable interest loans.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principal amounts and related weighted-average interest rates by maturity date for our interest rate sensitive debt agreements as of December 31,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w w:val="90"/>
              </w:rPr>
              <w:t>Years ending December 31,</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4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900" w:type="dxa"/>
            <w:vAlign w:val="bottom"/>
          </w:tcPr>
          <w:p>
            <w:pPr>
              <w:jc w:val="center"/>
              <w:ind w:right="354"/>
              <w:spacing w:after="0" w:line="155" w:lineRule="exact"/>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3"/>
                <w:szCs w:val="13"/>
                <w:color w:val="auto"/>
              </w:rPr>
            </w:pPr>
          </w:p>
        </w:tc>
        <w:tc>
          <w:tcPr>
            <w:tcW w:w="82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62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center"/>
              <w:ind w:left="538"/>
              <w:spacing w:after="0" w:line="155" w:lineRule="exact"/>
              <w:rPr>
                <w:sz w:val="20"/>
                <w:szCs w:val="20"/>
                <w:color w:val="auto"/>
              </w:rPr>
            </w:pPr>
            <w:r>
              <w:rPr>
                <w:rFonts w:ascii="Arial" w:cs="Arial" w:eastAsia="Arial" w:hAnsi="Arial"/>
                <w:sz w:val="14"/>
                <w:szCs w:val="14"/>
                <w:color w:val="auto"/>
                <w:w w:val="94"/>
              </w:rPr>
              <w:t>(Dollars In Thousands)</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Expected maturities of long-term debt (1):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Variable interest rate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3,122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8"/>
              <w:spacing w:after="0"/>
              <w:rPr>
                <w:sz w:val="20"/>
                <w:szCs w:val="20"/>
                <w:color w:val="auto"/>
              </w:rPr>
            </w:pPr>
            <w:r>
              <w:rPr>
                <w:rFonts w:ascii="Arial" w:cs="Arial" w:eastAsia="Arial" w:hAnsi="Arial"/>
                <w:sz w:val="18"/>
                <w:szCs w:val="18"/>
                <w:color w:val="auto"/>
              </w:rPr>
              <w:t>3,335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3,458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8,010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Fixed interest rate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6,325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8"/>
              <w:spacing w:after="0"/>
              <w:rPr>
                <w:sz w:val="20"/>
                <w:szCs w:val="20"/>
                <w:color w:val="auto"/>
              </w:rPr>
            </w:pPr>
            <w:r>
              <w:rPr>
                <w:rFonts w:ascii="Arial" w:cs="Arial" w:eastAsia="Arial" w:hAnsi="Arial"/>
                <w:sz w:val="18"/>
                <w:szCs w:val="18"/>
                <w:color w:val="auto"/>
              </w:rPr>
              <w:t>4,263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3,311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w w:val="89"/>
              </w:rPr>
              <w:t>439,481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453,380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2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variable and fixed interest rate debt balances and weighted-average interest rate are based on the aggregate amount of debt outstanding as of December 31, 2019.</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and 2018, we did not have any financial instruments with fair values significantly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2019 that have materially affected, or are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assessed the effectiveness of our internal control over financial reporting as of December 31, 2019. In making this assessment, it used the criteria set forth by the Committee of Sponsoring Organizations of the Treadway Commission in Internal Control - Integrated Framework (2013 Framework). Based on our assessment, we believe that, as of December 31, 2019, our internal control over financial reporting is effective based on those criteria.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the following page.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LSB Industries, Inc.’s internal control over financial reporting as of December 31, 2019, based on criteria established in Internal Control— 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2019, based on the COSO criteria.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and our report dated February 25, 2020 expressed an unqualified opinion thereon.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April 29, 2020.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PART IV</w:t>
            </w:r>
          </w:p>
        </w:tc>
        <w:tc>
          <w:tcPr>
            <w:tcW w:w="47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10860" w:type="dxa"/>
            <w:vAlign w:val="bottom"/>
            <w:gridSpan w:val="1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2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(a) (1) Financial Statements</w:t>
            </w:r>
          </w:p>
        </w:tc>
        <w:tc>
          <w:tcPr>
            <w:tcW w:w="3360" w:type="dxa"/>
            <w:vAlign w:val="bottom"/>
            <w:tcBorders>
              <w:top w:val="single" w:sz="8" w:color="auto"/>
            </w:tcBorders>
            <w:gridSpan w:val="7"/>
          </w:tcPr>
          <w:p>
            <w:pPr>
              <w:spacing w:after="0"/>
              <w:rPr>
                <w:sz w:val="24"/>
                <w:szCs w:val="24"/>
                <w:color w:val="auto"/>
              </w:rPr>
            </w:pPr>
          </w:p>
        </w:tc>
        <w:tc>
          <w:tcPr>
            <w:tcW w:w="5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91"/>
        </w:trPr>
        <w:tc>
          <w:tcPr>
            <w:tcW w:w="10860" w:type="dxa"/>
            <w:vAlign w:val="bottom"/>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at December 31, 2019 and 2018</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Operations for each of the three years in the period ended December 31, 2019</w:t>
              </w:r>
            </w:hyperlink>
          </w:p>
        </w:tc>
        <w:tc>
          <w:tcPr>
            <w:tcW w:w="32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318"/>
        </w:trPr>
        <w:tc>
          <w:tcPr>
            <w:tcW w:w="8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Stockholders' Equity for each of the three years in the period ended December 31, 2019</w:t>
              </w:r>
            </w:hyperlink>
          </w:p>
        </w:tc>
        <w:tc>
          <w:tcPr>
            <w:tcW w:w="25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 for each of the three years in the period ended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18"/>
        </w:trPr>
        <w:tc>
          <w:tcPr>
            <w:tcW w:w="3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4520" w:type="dxa"/>
            <w:vAlign w:val="bottom"/>
            <w:tcBorders>
              <w:top w:val="single" w:sz="8" w:color="0000EE"/>
            </w:tcBorders>
            <w:gridSpan w:val="7"/>
          </w:tcPr>
          <w:p>
            <w:pPr>
              <w:spacing w:after="0"/>
              <w:rPr>
                <w:sz w:val="24"/>
                <w:szCs w:val="24"/>
                <w:color w:val="auto"/>
              </w:rPr>
            </w:pPr>
          </w:p>
        </w:tc>
        <w:tc>
          <w:tcPr>
            <w:tcW w:w="3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318"/>
        </w:trPr>
        <w:tc>
          <w:tcPr>
            <w:tcW w:w="2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Quarterly Financial Data (Unaudited)</w:t>
              </w:r>
            </w:hyperlink>
          </w:p>
        </w:tc>
        <w:tc>
          <w:tcPr>
            <w:tcW w:w="814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F-35</w:t>
            </w:r>
          </w:p>
        </w:tc>
      </w:tr>
      <w:tr>
        <w:trPr>
          <w:trHeight w:val="682"/>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(a) (2) Financial Statement Schedule</w:t>
            </w:r>
          </w:p>
        </w:tc>
        <w:tc>
          <w:tcPr>
            <w:tcW w:w="80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Arial" w:cs="Arial" w:eastAsia="Arial" w:hAnsi="Arial"/>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2"/>
        </w:trPr>
        <w:tc>
          <w:tcPr>
            <w:tcW w:w="10860" w:type="dxa"/>
            <w:vAlign w:val="bottom"/>
            <w:gridSpan w:val="1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II - Valuation and Qualifying Accounts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F-37</w:t>
            </w:r>
          </w:p>
        </w:tc>
      </w:tr>
      <w:tr>
        <w:trPr>
          <w:trHeight w:val="20"/>
        </w:trPr>
        <w:tc>
          <w:tcPr>
            <w:tcW w:w="2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auto"/>
        </w:rPr>
        <w:t>(a)(3) Exhibits</w:t>
      </w:r>
    </w:p>
    <w:p>
      <w:pPr>
        <w:sectPr>
          <w:pgSz w:w="11900" w:h="16838" w:orient="portrait"/>
          <w:cols w:equalWidth="0" w:num="1">
            <w:col w:w="11440"/>
          </w:cols>
          <w:pgMar w:left="240" w:top="337" w:right="219" w:bottom="1440" w:gutter="0" w:footer="0" w:header="0"/>
        </w:sect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8318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3(i).1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3(ii).1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4"/>
                <w:szCs w:val="14"/>
                <w:color w:val="auto"/>
              </w:rPr>
            </w:pPr>
          </w:p>
        </w:tc>
        <w:tc>
          <w:tcPr>
            <w:tcW w:w="42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Incorporated by Reference to the Following</w:t>
            </w:r>
          </w:p>
        </w:tc>
      </w:tr>
      <w:tr>
        <w:trPr>
          <w:trHeight w:val="291"/>
        </w:trPr>
        <w:tc>
          <w:tcPr>
            <w:tcW w:w="5620" w:type="dxa"/>
            <w:vAlign w:val="bottom"/>
            <w:tcBorders>
              <w:bottom w:val="single" w:sz="8" w:color="0000EE"/>
            </w:tcBorders>
            <w:gridSpan w:val="3"/>
          </w:tcPr>
          <w:p>
            <w:pPr>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Restated Certificate of Incorporation of LSB Industries, Inc., dated January</w:t>
              </w:r>
            </w:hyperlink>
          </w:p>
        </w:tc>
        <w:tc>
          <w:tcPr>
            <w:tcW w:w="120" w:type="dxa"/>
            <w:vAlign w:val="bottom"/>
            <w:gridSpan w:val="2"/>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21, 1977, as amended August 27, 1987</w:t>
              </w:r>
            </w:hyperlink>
          </w:p>
        </w:tc>
        <w:tc>
          <w:tcPr>
            <w:tcW w:w="2920" w:type="dxa"/>
            <w:vAlign w:val="bottom"/>
            <w:gridSpan w:val="3"/>
          </w:tcPr>
          <w:p>
            <w:pPr>
              <w:spacing w:after="0"/>
              <w:rPr>
                <w:sz w:val="17"/>
                <w:szCs w:val="17"/>
                <w:color w:val="auto"/>
              </w:rPr>
            </w:pPr>
          </w:p>
        </w:tc>
        <w:tc>
          <w:tcPr>
            <w:tcW w:w="426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r>
      <w:tr>
        <w:trPr>
          <w:trHeight w:val="318"/>
        </w:trPr>
        <w:tc>
          <w:tcPr>
            <w:tcW w:w="5620" w:type="dxa"/>
            <w:vAlign w:val="bottom"/>
            <w:tcBorders>
              <w:bottom w:val="single" w:sz="8" w:color="0000EE"/>
            </w:tcBorders>
            <w:gridSpan w:val="3"/>
          </w:tcPr>
          <w:p>
            <w:pPr>
              <w:spacing w:after="0"/>
              <w:rPr>
                <w:rFonts w:ascii="Arial" w:cs="Arial" w:eastAsia="Arial" w:hAnsi="Arial"/>
                <w:sz w:val="18"/>
                <w:szCs w:val="18"/>
                <w:color w:val="0000EE"/>
                <w:w w:val="97"/>
              </w:rPr>
            </w:pPr>
            <w:hyperlink r:id="rId66">
              <w:r>
                <w:rPr>
                  <w:rFonts w:ascii="Arial" w:cs="Arial" w:eastAsia="Arial" w:hAnsi="Arial"/>
                  <w:sz w:val="18"/>
                  <w:szCs w:val="18"/>
                  <w:color w:val="0000EE"/>
                  <w:w w:val="97"/>
                </w:rPr>
                <w:t>Amended and Restated Bylaws of LSB Industries, Inc. dated August 20,</w:t>
              </w:r>
            </w:hyperlink>
          </w:p>
        </w:tc>
        <w:tc>
          <w:tcPr>
            <w:tcW w:w="120" w:type="dxa"/>
            <w:vAlign w:val="bottom"/>
            <w:gridSpan w:val="2"/>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Exhibit  3(ii).1  to  the  Company’s  Form  8-K  filed</w:t>
            </w:r>
          </w:p>
        </w:tc>
      </w:tr>
      <w:tr>
        <w:trPr>
          <w:trHeight w:val="196"/>
        </w:trPr>
        <w:tc>
          <w:tcPr>
            <w:tcW w:w="56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2009, as amended February 18, 2010, January 17, 2014, February 4, 2014</w:t>
              </w:r>
            </w:hyperlink>
          </w:p>
        </w:tc>
        <w:tc>
          <w:tcPr>
            <w:tcW w:w="120" w:type="dxa"/>
            <w:vAlign w:val="bottom"/>
            <w:gridSpan w:val="2"/>
          </w:tcPr>
          <w:p>
            <w:pPr>
              <w:spacing w:after="0"/>
              <w:rPr>
                <w:sz w:val="17"/>
                <w:szCs w:val="17"/>
                <w:color w:val="auto"/>
              </w:rPr>
            </w:pPr>
          </w:p>
        </w:tc>
        <w:tc>
          <w:tcPr>
            <w:tcW w:w="4260" w:type="dxa"/>
            <w:vAlign w:val="bottom"/>
          </w:tcPr>
          <w:p>
            <w:pPr>
              <w:spacing w:after="0" w:line="196" w:lineRule="exact"/>
              <w:rPr>
                <w:sz w:val="20"/>
                <w:szCs w:val="20"/>
                <w:color w:val="auto"/>
              </w:rPr>
            </w:pPr>
            <w:r>
              <w:rPr>
                <w:rFonts w:ascii="Arial" w:cs="Arial" w:eastAsia="Arial" w:hAnsi="Arial"/>
                <w:sz w:val="18"/>
                <w:szCs w:val="18"/>
                <w:color w:val="auto"/>
              </w:rPr>
              <w:t>August 27, 2014</w:t>
            </w:r>
          </w:p>
        </w:tc>
      </w:tr>
      <w:tr>
        <w:trPr>
          <w:trHeight w:val="196"/>
        </w:trPr>
        <w:tc>
          <w:tcPr>
            <w:tcW w:w="5740" w:type="dxa"/>
            <w:vAlign w:val="bottom"/>
            <w:gridSpan w:val="5"/>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and August 21, 2014</w:t>
              </w:r>
            </w:hyperlink>
          </w:p>
        </w:tc>
        <w:tc>
          <w:tcPr>
            <w:tcW w:w="4260" w:type="dxa"/>
            <w:vAlign w:val="bottom"/>
          </w:tcPr>
          <w:p>
            <w:pPr>
              <w:spacing w:after="0"/>
              <w:rPr>
                <w:sz w:val="17"/>
                <w:szCs w:val="17"/>
                <w:color w:val="auto"/>
              </w:rPr>
            </w:pPr>
          </w:p>
        </w:tc>
      </w:tr>
      <w:tr>
        <w:trPr>
          <w:trHeight w:val="20"/>
        </w:trPr>
        <w:tc>
          <w:tcPr>
            <w:tcW w:w="15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1060" w:space="360"/>
            <w:col w:w="1002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rPr>
              <w:t>3(ii).2</w:t>
            </w:r>
          </w:p>
        </w:tc>
        <w:tc>
          <w:tcPr>
            <w:tcW w:w="5620" w:type="dxa"/>
            <w:vAlign w:val="bottom"/>
            <w:tcBorders>
              <w:bottom w:val="single" w:sz="8" w:color="0000EE"/>
            </w:tcBorders>
            <w:gridSpan w:val="14"/>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Fifth Amendment to the Amended and Restated Bylaws of LSB Industries,</w:t>
              </w:r>
            </w:hyperlink>
          </w:p>
        </w:tc>
        <w:tc>
          <w:tcPr>
            <w:tcW w:w="60" w:type="dxa"/>
            <w:vAlign w:val="bottom"/>
            <w:gridSpan w:val="3"/>
          </w:tcPr>
          <w:p>
            <w:pPr>
              <w:spacing w:after="0"/>
              <w:rPr>
                <w:sz w:val="17"/>
                <w:szCs w:val="17"/>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3(ii) to the Company’s Form 8-K filed April 30,</w:t>
            </w:r>
          </w:p>
        </w:tc>
      </w:tr>
      <w:tr>
        <w:trPr>
          <w:trHeight w:val="196"/>
        </w:trPr>
        <w:tc>
          <w:tcPr>
            <w:tcW w:w="14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Inc., dated as of April 26, 2015</w:t>
              </w:r>
            </w:hyperlink>
          </w:p>
        </w:tc>
        <w:tc>
          <w:tcPr>
            <w:tcW w:w="3420" w:type="dxa"/>
            <w:vAlign w:val="bottom"/>
            <w:gridSpan w:val="14"/>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318"/>
        </w:trPr>
        <w:tc>
          <w:tcPr>
            <w:tcW w:w="1420" w:type="dxa"/>
            <w:vAlign w:val="bottom"/>
          </w:tcPr>
          <w:p>
            <w:pPr>
              <w:spacing w:after="0"/>
              <w:rPr>
                <w:sz w:val="20"/>
                <w:szCs w:val="20"/>
                <w:color w:val="auto"/>
              </w:rPr>
            </w:pPr>
            <w:r>
              <w:rPr>
                <w:rFonts w:ascii="Arial" w:cs="Arial" w:eastAsia="Arial" w:hAnsi="Arial"/>
                <w:sz w:val="18"/>
                <w:szCs w:val="18"/>
                <w:color w:val="auto"/>
              </w:rPr>
              <w:t>3(ii).3</w:t>
            </w:r>
          </w:p>
        </w:tc>
        <w:tc>
          <w:tcPr>
            <w:tcW w:w="5640" w:type="dxa"/>
            <w:vAlign w:val="bottom"/>
            <w:tcBorders>
              <w:bottom w:val="single" w:sz="8" w:color="0000EE"/>
            </w:tcBorders>
            <w:gridSpan w:val="15"/>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Sixth Amendment to the Amended and Restated Bylaws of LSB Industries,</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3(ii)  to  the  Company’s  Form  8-K  filed</w:t>
            </w:r>
          </w:p>
        </w:tc>
      </w:tr>
      <w:tr>
        <w:trPr>
          <w:trHeight w:val="196"/>
        </w:trPr>
        <w:tc>
          <w:tcPr>
            <w:tcW w:w="1420" w:type="dxa"/>
            <w:vAlign w:val="bottom"/>
          </w:tcPr>
          <w:p>
            <w:pPr>
              <w:spacing w:after="0"/>
              <w:rPr>
                <w:sz w:val="17"/>
                <w:szCs w:val="17"/>
                <w:color w:val="auto"/>
              </w:rPr>
            </w:pPr>
          </w:p>
        </w:tc>
        <w:tc>
          <w:tcPr>
            <w:tcW w:w="5680" w:type="dxa"/>
            <w:vAlign w:val="bottom"/>
            <w:gridSpan w:val="1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Inc., dated as of December 2, 2015</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spacing w:after="0"/>
              <w:rPr>
                <w:sz w:val="20"/>
                <w:szCs w:val="20"/>
                <w:color w:val="auto"/>
              </w:rPr>
            </w:pPr>
            <w:r>
              <w:rPr>
                <w:rFonts w:ascii="Arial" w:cs="Arial" w:eastAsia="Arial" w:hAnsi="Arial"/>
                <w:sz w:val="18"/>
                <w:szCs w:val="18"/>
                <w:color w:val="auto"/>
              </w:rPr>
              <w:t>3(ii).4</w:t>
            </w:r>
          </w:p>
        </w:tc>
        <w:tc>
          <w:tcPr>
            <w:tcW w:w="5680" w:type="dxa"/>
            <w:vAlign w:val="bottom"/>
            <w:gridSpan w:val="17"/>
          </w:tcPr>
          <w:p>
            <w:pPr>
              <w:spacing w:after="0"/>
              <w:rPr>
                <w:rFonts w:ascii="Arial" w:cs="Arial" w:eastAsia="Arial" w:hAnsi="Arial"/>
                <w:sz w:val="18"/>
                <w:szCs w:val="18"/>
                <w:color w:val="0000EE"/>
                <w:w w:val="97"/>
              </w:rPr>
            </w:pPr>
            <w:hyperlink r:id="rId69">
              <w:r>
                <w:rPr>
                  <w:rFonts w:ascii="Arial" w:cs="Arial" w:eastAsia="Arial" w:hAnsi="Arial"/>
                  <w:sz w:val="18"/>
                  <w:szCs w:val="18"/>
                  <w:color w:val="0000EE"/>
                  <w:w w:val="97"/>
                </w:rPr>
                <w:t>Seventh  Amendment  to  the  Amended  and  Restated  Bylaws  of  LSB</w:t>
              </w:r>
            </w:hyperlink>
          </w:p>
        </w:tc>
        <w:tc>
          <w:tcPr>
            <w:tcW w:w="4340" w:type="dxa"/>
            <w:vAlign w:val="bottom"/>
          </w:tcPr>
          <w:p>
            <w:pPr>
              <w:ind w:left="60"/>
              <w:spacing w:after="0"/>
              <w:rPr>
                <w:sz w:val="20"/>
                <w:szCs w:val="20"/>
                <w:color w:val="auto"/>
              </w:rPr>
            </w:pPr>
            <w:r>
              <w:rPr>
                <w:rFonts w:ascii="Arial" w:cs="Arial" w:eastAsia="Arial" w:hAnsi="Arial"/>
                <w:sz w:val="18"/>
                <w:szCs w:val="18"/>
                <w:color w:val="auto"/>
              </w:rPr>
              <w:t>Exhibit  3(ii)  to  the  Company’s  Form  8-K  filed</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Industries, Inc., dated as of December 22, 2015</w:t>
              </w:r>
            </w:hyperlink>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29, 2015</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44"/>
        </w:trPr>
        <w:tc>
          <w:tcPr>
            <w:tcW w:w="1420" w:type="dxa"/>
            <w:vAlign w:val="bottom"/>
          </w:tcPr>
          <w:p>
            <w:pPr>
              <w:ind w:left="180"/>
              <w:spacing w:after="0"/>
              <w:rPr>
                <w:sz w:val="20"/>
                <w:szCs w:val="20"/>
                <w:color w:val="auto"/>
              </w:rPr>
            </w:pPr>
            <w:r>
              <w:rPr>
                <w:rFonts w:ascii="Arial" w:cs="Arial" w:eastAsia="Arial" w:hAnsi="Arial"/>
                <w:sz w:val="18"/>
                <w:szCs w:val="18"/>
                <w:color w:val="auto"/>
              </w:rPr>
              <w:t>4.1(P)</w:t>
            </w:r>
          </w:p>
        </w:tc>
        <w:tc>
          <w:tcPr>
            <w:tcW w:w="5680" w:type="dxa"/>
            <w:vAlign w:val="bottom"/>
            <w:gridSpan w:val="17"/>
          </w:tcPr>
          <w:p>
            <w:pPr>
              <w:spacing w:after="0"/>
              <w:rPr>
                <w:sz w:val="20"/>
                <w:szCs w:val="20"/>
                <w:color w:val="auto"/>
              </w:rPr>
            </w:pPr>
            <w:r>
              <w:rPr>
                <w:rFonts w:ascii="Arial" w:cs="Arial" w:eastAsia="Arial" w:hAnsi="Arial"/>
                <w:sz w:val="18"/>
                <w:szCs w:val="18"/>
                <w:color w:val="auto"/>
              </w:rPr>
              <w:t>Specimen Certificate for the Company’s Series B Preferred Stock</w:t>
            </w:r>
          </w:p>
        </w:tc>
        <w:tc>
          <w:tcPr>
            <w:tcW w:w="4340" w:type="dxa"/>
            <w:vAlign w:val="bottom"/>
          </w:tcPr>
          <w:p>
            <w:pPr>
              <w:ind w:left="60"/>
              <w:spacing w:after="0"/>
              <w:rPr>
                <w:sz w:val="20"/>
                <w:szCs w:val="20"/>
                <w:color w:val="auto"/>
              </w:rPr>
            </w:pPr>
            <w:r>
              <w:rPr>
                <w:rFonts w:ascii="Arial" w:cs="Arial" w:eastAsia="Arial" w:hAnsi="Arial"/>
                <w:sz w:val="18"/>
                <w:szCs w:val="18"/>
                <w:color w:val="auto"/>
                <w:w w:val="94"/>
              </w:rPr>
              <w:t>Exhibit 4.27 to the Company’s Registration Statement on</w:t>
            </w:r>
          </w:p>
        </w:tc>
      </w:tr>
      <w:tr>
        <w:trPr>
          <w:trHeight w:val="230"/>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Form S-3 No. 33-9848</w:t>
            </w:r>
          </w:p>
        </w:tc>
      </w:tr>
      <w:tr>
        <w:trPr>
          <w:trHeight w:val="297"/>
        </w:trPr>
        <w:tc>
          <w:tcPr>
            <w:tcW w:w="1420" w:type="dxa"/>
            <w:vAlign w:val="bottom"/>
          </w:tcPr>
          <w:p>
            <w:pPr>
              <w:ind w:left="180"/>
              <w:spacing w:after="0"/>
              <w:rPr>
                <w:sz w:val="20"/>
                <w:szCs w:val="20"/>
                <w:color w:val="auto"/>
              </w:rPr>
            </w:pPr>
            <w:r>
              <w:rPr>
                <w:rFonts w:ascii="Arial" w:cs="Arial" w:eastAsia="Arial" w:hAnsi="Arial"/>
                <w:sz w:val="18"/>
                <w:szCs w:val="18"/>
                <w:color w:val="auto"/>
              </w:rPr>
              <w:t>4.2</w:t>
            </w:r>
          </w:p>
        </w:tc>
        <w:tc>
          <w:tcPr>
            <w:tcW w:w="5640" w:type="dxa"/>
            <w:vAlign w:val="bottom"/>
            <w:tcBorders>
              <w:bottom w:val="single" w:sz="8" w:color="0000EE"/>
            </w:tcBorders>
            <w:gridSpan w:val="15"/>
          </w:tcPr>
          <w:p>
            <w:pPr>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Specimen  Certificate  for  the  Company’s  Series  D  6%  Cumulative,</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8"/>
              </w:rPr>
              <w:t>Exhibit 4.3 to the Company’s Form 10-K filed March 3,</w:t>
            </w:r>
          </w:p>
        </w:tc>
      </w:tr>
      <w:tr>
        <w:trPr>
          <w:trHeight w:val="196"/>
        </w:trPr>
        <w:tc>
          <w:tcPr>
            <w:tcW w:w="1420" w:type="dxa"/>
            <w:vAlign w:val="bottom"/>
          </w:tcPr>
          <w:p>
            <w:pPr>
              <w:spacing w:after="0"/>
              <w:rPr>
                <w:sz w:val="17"/>
                <w:szCs w:val="17"/>
                <w:color w:val="auto"/>
              </w:rPr>
            </w:pPr>
          </w:p>
        </w:tc>
        <w:tc>
          <w:tcPr>
            <w:tcW w:w="5680" w:type="dxa"/>
            <w:vAlign w:val="bottom"/>
            <w:gridSpan w:val="17"/>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Convertible Class C Preferred Stock</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2011</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4.3</w:t>
            </w:r>
          </w:p>
        </w:tc>
        <w:tc>
          <w:tcPr>
            <w:tcW w:w="5680" w:type="dxa"/>
            <w:vAlign w:val="bottom"/>
            <w:gridSpan w:val="17"/>
          </w:tcPr>
          <w:p>
            <w:pPr>
              <w:spacing w:after="0"/>
              <w:rPr>
                <w:rFonts w:ascii="Arial" w:cs="Arial" w:eastAsia="Arial" w:hAnsi="Arial"/>
                <w:sz w:val="18"/>
                <w:szCs w:val="18"/>
                <w:color w:val="0000EE"/>
              </w:rPr>
            </w:pPr>
            <w:hyperlink r:id="rId71">
              <w:r>
                <w:rPr>
                  <w:rFonts w:ascii="Arial" w:cs="Arial" w:eastAsia="Arial" w:hAnsi="Arial"/>
                  <w:sz w:val="18"/>
                  <w:szCs w:val="18"/>
                  <w:color w:val="0000EE"/>
                </w:rPr>
                <w:t>Specimen Certificate for the Company’s Common Stock</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6"/>
              </w:rPr>
              <w:t>Exhibit 4.3 to the Company’s Registration Statement on</w:t>
            </w:r>
          </w:p>
        </w:tc>
      </w:tr>
      <w:tr>
        <w:trPr>
          <w:trHeight w:val="237"/>
        </w:trPr>
        <w:tc>
          <w:tcPr>
            <w:tcW w:w="1420" w:type="dxa"/>
            <w:vAlign w:val="bottom"/>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Form S-3 ASR filed November 16, 2012</w:t>
            </w:r>
          </w:p>
        </w:tc>
      </w:tr>
      <w:tr>
        <w:trPr>
          <w:trHeight w:val="297"/>
        </w:trPr>
        <w:tc>
          <w:tcPr>
            <w:tcW w:w="1420" w:type="dxa"/>
            <w:vAlign w:val="bottom"/>
          </w:tcPr>
          <w:p>
            <w:pPr>
              <w:ind w:left="180"/>
              <w:spacing w:after="0"/>
              <w:rPr>
                <w:sz w:val="20"/>
                <w:szCs w:val="20"/>
                <w:color w:val="auto"/>
              </w:rPr>
            </w:pPr>
            <w:r>
              <w:rPr>
                <w:rFonts w:ascii="Arial" w:cs="Arial" w:eastAsia="Arial" w:hAnsi="Arial"/>
                <w:sz w:val="18"/>
                <w:szCs w:val="18"/>
                <w:color w:val="auto"/>
              </w:rPr>
              <w:t>4.4</w:t>
            </w:r>
          </w:p>
        </w:tc>
        <w:tc>
          <w:tcPr>
            <w:tcW w:w="5640" w:type="dxa"/>
            <w:vAlign w:val="bottom"/>
            <w:tcBorders>
              <w:bottom w:val="single" w:sz="8" w:color="0000EE"/>
            </w:tcBorders>
            <w:gridSpan w:val="15"/>
          </w:tcPr>
          <w:p>
            <w:pPr>
              <w:spacing w:after="0"/>
              <w:rPr>
                <w:rFonts w:ascii="Arial" w:cs="Arial" w:eastAsia="Arial" w:hAnsi="Arial"/>
                <w:sz w:val="18"/>
                <w:szCs w:val="18"/>
                <w:color w:val="0000EE"/>
                <w:w w:val="98"/>
              </w:rPr>
            </w:pPr>
            <w:hyperlink r:id="rId72">
              <w:r>
                <w:rPr>
                  <w:rFonts w:ascii="Arial" w:cs="Arial" w:eastAsia="Arial" w:hAnsi="Arial"/>
                  <w:sz w:val="18"/>
                  <w:szCs w:val="18"/>
                  <w:color w:val="0000EE"/>
                  <w:w w:val="98"/>
                </w:rPr>
                <w:t>Certificate of Designations of Series E Cumulative Redeemable Class C</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4.1 to the Company’s Form 8-K filed December 8,</w:t>
            </w:r>
          </w:p>
        </w:tc>
      </w:tr>
      <w:tr>
        <w:trPr>
          <w:trHeight w:val="196"/>
        </w:trPr>
        <w:tc>
          <w:tcPr>
            <w:tcW w:w="142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Preferred Stock of LSB Industries, Inc., dated as of December 4, 2015</w:t>
              </w:r>
            </w:hyperlink>
          </w:p>
        </w:tc>
        <w:tc>
          <w:tcPr>
            <w:tcW w:w="620" w:type="dxa"/>
            <w:vAlign w:val="bottom"/>
            <w:gridSpan w:val="5"/>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4.5</w:t>
            </w:r>
          </w:p>
        </w:tc>
        <w:tc>
          <w:tcPr>
            <w:tcW w:w="5640" w:type="dxa"/>
            <w:vAlign w:val="bottom"/>
            <w:tcBorders>
              <w:bottom w:val="single" w:sz="8" w:color="0000EE"/>
            </w:tcBorders>
            <w:gridSpan w:val="15"/>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Certificate of Designations of Series E-1 Cumulative Redeemable Class C</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4.1 to the Company’s Form 8-K filed October 19,</w:t>
            </w:r>
          </w:p>
        </w:tc>
      </w:tr>
      <w:tr>
        <w:trPr>
          <w:trHeight w:val="196"/>
        </w:trPr>
        <w:tc>
          <w:tcPr>
            <w:tcW w:w="1420" w:type="dxa"/>
            <w:vAlign w:val="bottom"/>
          </w:tcPr>
          <w:p>
            <w:pPr>
              <w:spacing w:after="0"/>
              <w:rPr>
                <w:sz w:val="17"/>
                <w:szCs w:val="17"/>
                <w:color w:val="auto"/>
              </w:rPr>
            </w:pPr>
          </w:p>
        </w:tc>
        <w:tc>
          <w:tcPr>
            <w:tcW w:w="5680" w:type="dxa"/>
            <w:vAlign w:val="bottom"/>
            <w:gridSpan w:val="17"/>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Preferred Stock of LSB Industries, Inc., dated as of October 18, 2018</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4.6</w:t>
            </w:r>
          </w:p>
        </w:tc>
        <w:tc>
          <w:tcPr>
            <w:tcW w:w="5620" w:type="dxa"/>
            <w:vAlign w:val="bottom"/>
            <w:tcBorders>
              <w:bottom w:val="single" w:sz="8" w:color="0000EE"/>
            </w:tcBorders>
            <w:gridSpan w:val="14"/>
          </w:tcPr>
          <w:p>
            <w:pPr>
              <w:spacing w:after="0"/>
              <w:rPr>
                <w:rFonts w:ascii="Arial" w:cs="Arial" w:eastAsia="Arial" w:hAnsi="Arial"/>
                <w:sz w:val="18"/>
                <w:szCs w:val="18"/>
                <w:color w:val="0000EE"/>
                <w:w w:val="99"/>
              </w:rPr>
            </w:pPr>
            <w:hyperlink r:id="rId74">
              <w:r>
                <w:rPr>
                  <w:rFonts w:ascii="Arial" w:cs="Arial" w:eastAsia="Arial" w:hAnsi="Arial"/>
                  <w:sz w:val="18"/>
                  <w:szCs w:val="18"/>
                  <w:color w:val="0000EE"/>
                  <w:w w:val="99"/>
                </w:rPr>
                <w:t>Certificate of Correction to Certificate of Designations of the Series E-1</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4.1 to the Company’s Form 8-K filed November 2,</w:t>
            </w:r>
          </w:p>
        </w:tc>
      </w:tr>
      <w:tr>
        <w:trPr>
          <w:trHeight w:val="196"/>
        </w:trPr>
        <w:tc>
          <w:tcPr>
            <w:tcW w:w="1420" w:type="dxa"/>
            <w:vAlign w:val="bottom"/>
          </w:tcPr>
          <w:p>
            <w:pPr>
              <w:spacing w:after="0"/>
              <w:rPr>
                <w:sz w:val="17"/>
                <w:szCs w:val="17"/>
                <w:color w:val="auto"/>
              </w:rPr>
            </w:pPr>
          </w:p>
        </w:tc>
        <w:tc>
          <w:tcPr>
            <w:tcW w:w="52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Cumulative Redeemable Class C Preferred Stock of LSB Industries, Inc.</w:t>
              </w:r>
            </w:hyperlink>
          </w:p>
        </w:tc>
        <w:tc>
          <w:tcPr>
            <w:tcW w:w="440" w:type="dxa"/>
            <w:vAlign w:val="bottom"/>
            <w:gridSpan w:val="4"/>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4.7</w:t>
            </w:r>
          </w:p>
        </w:tc>
        <w:tc>
          <w:tcPr>
            <w:tcW w:w="5680" w:type="dxa"/>
            <w:vAlign w:val="bottom"/>
            <w:gridSpan w:val="17"/>
          </w:tcPr>
          <w:p>
            <w:pPr>
              <w:spacing w:after="0"/>
              <w:rPr>
                <w:rFonts w:ascii="Arial" w:cs="Arial" w:eastAsia="Arial" w:hAnsi="Arial"/>
                <w:sz w:val="18"/>
                <w:szCs w:val="18"/>
                <w:color w:val="0000EE"/>
                <w:w w:val="98"/>
              </w:rPr>
            </w:pPr>
            <w:hyperlink r:id="rId75">
              <w:r>
                <w:rPr>
                  <w:rFonts w:ascii="Arial" w:cs="Arial" w:eastAsia="Arial" w:hAnsi="Arial"/>
                  <w:sz w:val="18"/>
                  <w:szCs w:val="18"/>
                  <w:color w:val="0000EE"/>
                  <w:w w:val="98"/>
                </w:rPr>
                <w:t>Certificate of Designations of Series F Cumulative Redeemable Class C</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4.2 to the Company’s Form 8-K filed December 8,</w:t>
            </w:r>
          </w:p>
        </w:tc>
      </w:tr>
      <w:tr>
        <w:trPr>
          <w:trHeight w:val="196"/>
        </w:trPr>
        <w:tc>
          <w:tcPr>
            <w:tcW w:w="142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Preferred Stock of LSB Industries, Inc., dated as of December 4, 2015</w:t>
              </w:r>
            </w:hyperlink>
          </w:p>
        </w:tc>
        <w:tc>
          <w:tcPr>
            <w:tcW w:w="56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4.8</w:t>
            </w:r>
          </w:p>
        </w:tc>
        <w:tc>
          <w:tcPr>
            <w:tcW w:w="5680" w:type="dxa"/>
            <w:vAlign w:val="bottom"/>
            <w:gridSpan w:val="17"/>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Certificate of Designations of Series F-1 Redeemable Class C Preferred Stock</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4.2 to the Company’s Form 8-K filed October 19,</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of LSB Industries, Inc., dated as of October 18, 2018</w:t>
              </w:r>
            </w:hyperlink>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4.9</w:t>
            </w:r>
          </w:p>
        </w:tc>
        <w:tc>
          <w:tcPr>
            <w:tcW w:w="5680" w:type="dxa"/>
            <w:vAlign w:val="bottom"/>
            <w:gridSpan w:val="17"/>
          </w:tcPr>
          <w:p>
            <w:pPr>
              <w:spacing w:after="0"/>
              <w:rPr>
                <w:rFonts w:ascii="Arial" w:cs="Arial" w:eastAsia="Arial" w:hAnsi="Arial"/>
                <w:sz w:val="18"/>
                <w:szCs w:val="18"/>
                <w:color w:val="0000EE"/>
                <w:w w:val="96"/>
              </w:rPr>
            </w:pPr>
            <w:hyperlink r:id="rId77">
              <w:r>
                <w:rPr>
                  <w:rFonts w:ascii="Arial" w:cs="Arial" w:eastAsia="Arial" w:hAnsi="Arial"/>
                  <w:sz w:val="18"/>
                  <w:szCs w:val="18"/>
                  <w:color w:val="0000EE"/>
                  <w:w w:val="96"/>
                </w:rPr>
                <w:t>Renewed Rights Agreement, dated as of December 2, 2008, between the</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4.1 to the Company’s Form 8-K filed December 5,</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Company and UMB Bank, n.a.</w:t>
              </w:r>
            </w:hyperlink>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2008</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4.10</w:t>
            </w:r>
          </w:p>
        </w:tc>
        <w:tc>
          <w:tcPr>
            <w:tcW w:w="5680" w:type="dxa"/>
            <w:vAlign w:val="bottom"/>
            <w:gridSpan w:val="17"/>
          </w:tcPr>
          <w:p>
            <w:pP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Amendment to Renewed Rights Agreement, dated December 3, 2008, between</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4.3 to the Company’s Form 8-K filed December 5,</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LSB Industries, Inc. and UMB Bank, n.a.</w:t>
              </w:r>
            </w:hyperlink>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2008</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4.11</w:t>
            </w:r>
          </w:p>
        </w:tc>
        <w:tc>
          <w:tcPr>
            <w:tcW w:w="5620" w:type="dxa"/>
            <w:vAlign w:val="bottom"/>
            <w:tcBorders>
              <w:bottom w:val="single" w:sz="8" w:color="0000EE"/>
            </w:tcBorders>
            <w:gridSpan w:val="14"/>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Amendment to Renewed Rights Agreement, dated as of December 4, 2015,</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4.3 to the Company’s Form 8-K filed December 8,</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by and between LSB Industries, Inc. and UMB Bank, n.a., dated as of</w:t>
              </w:r>
            </w:hyperlink>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142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December 4, 2015</w:t>
              </w:r>
            </w:hyperlink>
          </w:p>
        </w:tc>
        <w:tc>
          <w:tcPr>
            <w:tcW w:w="4340" w:type="dxa"/>
            <w:vAlign w:val="bottom"/>
            <w:gridSpan w:val="16"/>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4.12</w:t>
            </w:r>
          </w:p>
        </w:tc>
        <w:tc>
          <w:tcPr>
            <w:tcW w:w="5680" w:type="dxa"/>
            <w:vAlign w:val="bottom"/>
            <w:gridSpan w:val="17"/>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Indenture, dated August 7, 2013, among LSB Industries, Inc., the guarantors</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7"/>
              </w:rPr>
              <w:t>Exhibit 4.1 to the Company’s Form 8-K filed August 14,</w:t>
            </w:r>
          </w:p>
        </w:tc>
      </w:tr>
      <w:tr>
        <w:trPr>
          <w:trHeight w:val="196"/>
        </w:trPr>
        <w:tc>
          <w:tcPr>
            <w:tcW w:w="1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named therein and UMB Bank, n.a., as trustee</w:t>
              </w:r>
            </w:hyperlink>
          </w:p>
        </w:tc>
        <w:tc>
          <w:tcPr>
            <w:tcW w:w="222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2013</w:t>
            </w: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4.13</w:t>
            </w:r>
          </w:p>
        </w:tc>
        <w:tc>
          <w:tcPr>
            <w:tcW w:w="5640" w:type="dxa"/>
            <w:vAlign w:val="bottom"/>
            <w:tcBorders>
              <w:bottom w:val="single" w:sz="8" w:color="0000EE"/>
            </w:tcBorders>
            <w:gridSpan w:val="15"/>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First Supplemental Indenture, dated as of September 7, 2016, by and among</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7"/>
              </w:rPr>
              <w:t>Exhibit 4.1 to the Company’s Form 8-K filed October 4,</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LSB Industries, Inc., the guarantors party thereto and UMB Bank, n.a., as</w:t>
              </w:r>
            </w:hyperlink>
          </w:p>
        </w:tc>
        <w:tc>
          <w:tcPr>
            <w:tcW w:w="6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1420" w:type="dxa"/>
            <w:vAlign w:val="bottom"/>
          </w:tcPr>
          <w:p>
            <w:pPr>
              <w:spacing w:after="0"/>
              <w:rPr>
                <w:sz w:val="17"/>
                <w:szCs w:val="17"/>
                <w:color w:val="auto"/>
              </w:rPr>
            </w:pPr>
          </w:p>
        </w:tc>
        <w:tc>
          <w:tcPr>
            <w:tcW w:w="5680" w:type="dxa"/>
            <w:vAlign w:val="bottom"/>
            <w:gridSpan w:val="17"/>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trustee and notes collateral agent</w:t>
              </w:r>
            </w:hyperlink>
          </w:p>
        </w:tc>
        <w:tc>
          <w:tcPr>
            <w:tcW w:w="4340" w:type="dxa"/>
            <w:vAlign w:val="bottom"/>
          </w:tcPr>
          <w:p>
            <w:pPr>
              <w:spacing w:after="0"/>
              <w:rPr>
                <w:sz w:val="17"/>
                <w:szCs w:val="17"/>
                <w:color w:val="auto"/>
              </w:rPr>
            </w:pPr>
          </w:p>
        </w:tc>
      </w:tr>
      <w:tr>
        <w:trPr>
          <w:trHeight w:val="453"/>
        </w:trPr>
        <w:tc>
          <w:tcPr>
            <w:tcW w:w="1420" w:type="dxa"/>
            <w:vAlign w:val="bottom"/>
          </w:tcPr>
          <w:p>
            <w:pPr>
              <w:spacing w:after="0"/>
              <w:rPr>
                <w:sz w:val="24"/>
                <w:szCs w:val="24"/>
                <w:color w:val="auto"/>
              </w:rPr>
            </w:pPr>
          </w:p>
        </w:tc>
        <w:tc>
          <w:tcPr>
            <w:tcW w:w="2360" w:type="dxa"/>
            <w:vAlign w:val="bottom"/>
            <w:tcBorders>
              <w:top w:val="single" w:sz="8" w:color="0000EE"/>
            </w:tcBorders>
            <w:gridSpan w:val="4"/>
          </w:tcPr>
          <w:p>
            <w:pPr>
              <w:spacing w:after="0"/>
              <w:rPr>
                <w:sz w:val="24"/>
                <w:szCs w:val="24"/>
                <w:color w:val="auto"/>
              </w:rPr>
            </w:pPr>
          </w:p>
        </w:tc>
        <w:tc>
          <w:tcPr>
            <w:tcW w:w="2620" w:type="dxa"/>
            <w:vAlign w:val="bottom"/>
            <w:gridSpan w:val="7"/>
          </w:tcPr>
          <w:p>
            <w:pPr>
              <w:jc w:val="right"/>
              <w:ind w:right="60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46" w:name="page47"/>
    <w:bookmarkEnd w:id="46"/>
    <w:p>
      <w:pPr>
        <w:ind w:left="60"/>
        <w:spacing w:after="0"/>
        <w:tabs>
          <w:tab w:leader="none" w:pos="3820" w:val="left"/>
          <w:tab w:leader="none" w:pos="79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sectPr>
      </w:pPr>
    </w:p>
    <w:tbl>
      <w:tblPr>
        <w:tblLayout w:type="fixed"/>
        <w:tblInd w:w="0" w:type="dxa"/>
        <w:tblCellMar>
          <w:top w:w="0" w:type="dxa"/>
          <w:left w:w="0" w:type="dxa"/>
          <w:bottom w:w="0" w:type="dxa"/>
          <w:right w:w="0" w:type="dxa"/>
        </w:tblCellMar>
      </w:tblPr>
      <w:tr>
        <w:trPr>
          <w:trHeight w:val="187"/>
        </w:trPr>
        <w:tc>
          <w:tcPr>
            <w:tcW w:w="1420" w:type="dxa"/>
            <w:vAlign w:val="bottom"/>
          </w:tcPr>
          <w:p>
            <w:pPr>
              <w:ind w:left="180"/>
              <w:spacing w:after="0" w:line="187" w:lineRule="exact"/>
              <w:rPr>
                <w:sz w:val="20"/>
                <w:szCs w:val="20"/>
                <w:color w:val="auto"/>
              </w:rPr>
            </w:pPr>
            <w:r>
              <w:rPr>
                <w:rFonts w:ascii="Arial" w:cs="Arial" w:eastAsia="Arial" w:hAnsi="Arial"/>
                <w:sz w:val="18"/>
                <w:szCs w:val="18"/>
                <w:color w:val="auto"/>
              </w:rPr>
              <w:t>4.14</w:t>
            </w:r>
          </w:p>
        </w:tc>
        <w:tc>
          <w:tcPr>
            <w:tcW w:w="5620" w:type="dxa"/>
            <w:vAlign w:val="bottom"/>
            <w:tcBorders>
              <w:bottom w:val="single" w:sz="8" w:color="0000EE"/>
            </w:tcBorders>
            <w:gridSpan w:val="21"/>
          </w:tcPr>
          <w:p>
            <w:pPr>
              <w:spacing w:after="0" w:line="187"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Intercreditor Agreement, dated August 7, 2013, by and among Wells Fargo</w:t>
              </w:r>
            </w:hyperlink>
          </w:p>
        </w:tc>
        <w:tc>
          <w:tcPr>
            <w:tcW w:w="4400" w:type="dxa"/>
            <w:vAlign w:val="bottom"/>
          </w:tcPr>
          <w:p>
            <w:pPr>
              <w:ind w:left="120"/>
              <w:spacing w:after="0" w:line="187" w:lineRule="exact"/>
              <w:rPr>
                <w:sz w:val="20"/>
                <w:szCs w:val="20"/>
                <w:color w:val="auto"/>
              </w:rPr>
            </w:pPr>
            <w:r>
              <w:rPr>
                <w:rFonts w:ascii="Arial" w:cs="Arial" w:eastAsia="Arial" w:hAnsi="Arial"/>
                <w:sz w:val="18"/>
                <w:szCs w:val="18"/>
                <w:color w:val="auto"/>
                <w:w w:val="95"/>
              </w:rPr>
              <w:t>Exhibit 99.1 to the Company’s Form 8-K filed August 14,</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Capital Finance, Inc., as agent and UMB Bank, n.a., as collateral agent, and</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2013</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acknowledged and agreed to by LSB Industries, Inc. and the other grantors</w:t>
              </w:r>
            </w:hyperlink>
          </w:p>
        </w:tc>
        <w:tc>
          <w:tcPr>
            <w:tcW w:w="4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named therein</w:t>
              </w:r>
            </w:hyperlink>
          </w:p>
        </w:tc>
        <w:tc>
          <w:tcPr>
            <w:tcW w:w="4580" w:type="dxa"/>
            <w:vAlign w:val="bottom"/>
            <w:gridSpan w:val="17"/>
          </w:tcPr>
          <w:p>
            <w:pPr>
              <w:spacing w:after="0"/>
              <w:rPr>
                <w:sz w:val="17"/>
                <w:szCs w:val="17"/>
                <w:color w:val="auto"/>
              </w:rPr>
            </w:pPr>
          </w:p>
        </w:tc>
        <w:tc>
          <w:tcPr>
            <w:tcW w:w="4400" w:type="dxa"/>
            <w:vAlign w:val="bottom"/>
          </w:tcPr>
          <w:p>
            <w:pPr>
              <w:spacing w:after="0"/>
              <w:rPr>
                <w:sz w:val="17"/>
                <w:szCs w:val="17"/>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4.15</w:t>
            </w:r>
          </w:p>
        </w:tc>
        <w:tc>
          <w:tcPr>
            <w:tcW w:w="5620" w:type="dxa"/>
            <w:vAlign w:val="bottom"/>
            <w:tcBorders>
              <w:bottom w:val="single" w:sz="8" w:color="0000EE"/>
            </w:tcBorders>
            <w:gridSpan w:val="21"/>
          </w:tcPr>
          <w:p>
            <w:pPr>
              <w:spacing w:after="0"/>
              <w:rPr>
                <w:rFonts w:ascii="Arial" w:cs="Arial" w:eastAsia="Arial" w:hAnsi="Arial"/>
                <w:sz w:val="18"/>
                <w:szCs w:val="18"/>
                <w:color w:val="0000EE"/>
              </w:rPr>
            </w:pPr>
            <w:hyperlink r:id="rId86">
              <w:r>
                <w:rPr>
                  <w:rFonts w:ascii="Arial" w:cs="Arial" w:eastAsia="Arial" w:hAnsi="Arial"/>
                  <w:sz w:val="18"/>
                  <w:szCs w:val="18"/>
                  <w:color w:val="0000EE"/>
                </w:rPr>
                <w:t>Indenture, dated as of April 25, 2018, among LSB Industries, Inc., the</w:t>
              </w:r>
            </w:hyperlink>
          </w:p>
        </w:tc>
        <w:tc>
          <w:tcPr>
            <w:tcW w:w="4400" w:type="dxa"/>
            <w:vAlign w:val="bottom"/>
          </w:tcPr>
          <w:p>
            <w:pPr>
              <w:ind w:left="120"/>
              <w:spacing w:after="0"/>
              <w:rPr>
                <w:sz w:val="20"/>
                <w:szCs w:val="20"/>
                <w:color w:val="auto"/>
              </w:rPr>
            </w:pPr>
            <w:r>
              <w:rPr>
                <w:rFonts w:ascii="Arial" w:cs="Arial" w:eastAsia="Arial" w:hAnsi="Arial"/>
                <w:sz w:val="18"/>
                <w:szCs w:val="18"/>
                <w:color w:val="auto"/>
              </w:rPr>
              <w:t>Exhibit 4.1 to the Company’s Form 8-K filed April 25,</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subsidiary  guarantors  party  thereto  and  Wilmington  Trust,  National</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Association, as trustee and collateral agent.</w:t>
              </w:r>
            </w:hyperlink>
          </w:p>
        </w:tc>
        <w:tc>
          <w:tcPr>
            <w:tcW w:w="4400" w:type="dxa"/>
            <w:vAlign w:val="bottom"/>
          </w:tcPr>
          <w:p>
            <w:pPr>
              <w:spacing w:after="0"/>
              <w:rPr>
                <w:sz w:val="17"/>
                <w:szCs w:val="17"/>
                <w:color w:val="auto"/>
              </w:rPr>
            </w:pPr>
          </w:p>
        </w:tc>
      </w:tr>
      <w:tr>
        <w:trPr>
          <w:trHeight w:val="344"/>
        </w:trPr>
        <w:tc>
          <w:tcPr>
            <w:tcW w:w="1420" w:type="dxa"/>
            <w:vAlign w:val="bottom"/>
          </w:tcPr>
          <w:p>
            <w:pPr>
              <w:ind w:left="180"/>
              <w:spacing w:after="0"/>
              <w:rPr>
                <w:sz w:val="20"/>
                <w:szCs w:val="20"/>
                <w:color w:val="auto"/>
              </w:rPr>
            </w:pPr>
            <w:r>
              <w:rPr>
                <w:rFonts w:ascii="Arial" w:cs="Arial" w:eastAsia="Arial" w:hAnsi="Arial"/>
                <w:sz w:val="18"/>
                <w:szCs w:val="18"/>
                <w:color w:val="auto"/>
              </w:rPr>
              <w:t>4.16</w:t>
            </w: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Exhibit 4.2 to the Company’s Form 8-K filed April 25,</w:t>
            </w:r>
          </w:p>
        </w:tc>
      </w:tr>
      <w:tr>
        <w:trPr>
          <w:trHeight w:val="190"/>
        </w:trPr>
        <w:tc>
          <w:tcPr>
            <w:tcW w:w="1420" w:type="dxa"/>
            <w:vAlign w:val="bottom"/>
          </w:tcPr>
          <w:p>
            <w:pPr>
              <w:spacing w:after="0"/>
              <w:rPr>
                <w:sz w:val="16"/>
                <w:szCs w:val="16"/>
                <w:color w:val="auto"/>
              </w:rPr>
            </w:pPr>
          </w:p>
        </w:tc>
        <w:tc>
          <w:tcPr>
            <w:tcW w:w="5620" w:type="dxa"/>
            <w:vAlign w:val="bottom"/>
            <w:gridSpan w:val="21"/>
          </w:tcPr>
          <w:p>
            <w:pPr>
              <w:spacing w:after="0" w:line="190" w:lineRule="exact"/>
              <w:rPr>
                <w:rFonts w:ascii="Arial" w:cs="Arial" w:eastAsia="Arial" w:hAnsi="Arial"/>
                <w:sz w:val="18"/>
                <w:szCs w:val="18"/>
                <w:color w:val="0000EE"/>
                <w:w w:val="95"/>
              </w:rPr>
            </w:pPr>
            <w:hyperlink r:id="rId86">
              <w:r>
                <w:rPr>
                  <w:rFonts w:ascii="Arial" w:cs="Arial" w:eastAsia="Arial" w:hAnsi="Arial"/>
                  <w:sz w:val="18"/>
                  <w:szCs w:val="18"/>
                  <w:color w:val="0000EE"/>
                  <w:w w:val="95"/>
                </w:rPr>
                <w:t>Form of 9.625% Senior Secured Notes due 2023 (included in Exhibit 4.1).</w:t>
              </w:r>
            </w:hyperlink>
          </w:p>
        </w:tc>
        <w:tc>
          <w:tcPr>
            <w:tcW w:w="4400" w:type="dxa"/>
            <w:vAlign w:val="bottom"/>
          </w:tcPr>
          <w:p>
            <w:pPr>
              <w:ind w:left="120"/>
              <w:spacing w:after="0" w:line="190" w:lineRule="exact"/>
              <w:rPr>
                <w:sz w:val="20"/>
                <w:szCs w:val="20"/>
                <w:color w:val="auto"/>
              </w:rPr>
            </w:pPr>
            <w:r>
              <w:rPr>
                <w:rFonts w:ascii="Arial" w:cs="Arial" w:eastAsia="Arial" w:hAnsi="Arial"/>
                <w:sz w:val="18"/>
                <w:szCs w:val="18"/>
                <w:color w:val="auto"/>
              </w:rPr>
              <w:t>2018</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80"/>
              <w:spacing w:after="0"/>
              <w:rPr>
                <w:sz w:val="20"/>
                <w:szCs w:val="20"/>
                <w:color w:val="auto"/>
              </w:rPr>
            </w:pPr>
            <w:r>
              <w:rPr>
                <w:rFonts w:ascii="Arial" w:cs="Arial" w:eastAsia="Arial" w:hAnsi="Arial"/>
                <w:sz w:val="18"/>
                <w:szCs w:val="18"/>
                <w:color w:val="auto"/>
              </w:rPr>
              <w:t>4.17(a)</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4"/>
              </w:rPr>
            </w:pPr>
            <w:hyperlink w:anchor="page92">
              <w:r>
                <w:rPr>
                  <w:rFonts w:ascii="Arial" w:cs="Arial" w:eastAsia="Arial" w:hAnsi="Arial"/>
                  <w:sz w:val="18"/>
                  <w:szCs w:val="18"/>
                  <w:color w:val="0000EE"/>
                  <w:w w:val="94"/>
                </w:rPr>
                <w:t>Description of Registrant’s Securities Registered Pursuant to Section 12 of</w:t>
              </w:r>
            </w:hyperlink>
          </w:p>
        </w:tc>
        <w:tc>
          <w:tcPr>
            <w:tcW w:w="440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the Securities Exchange Act of 1934</w:t>
              </w:r>
            </w:hyperlink>
          </w:p>
        </w:tc>
        <w:tc>
          <w:tcPr>
            <w:tcW w:w="4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w:t>
            </w:r>
          </w:p>
        </w:tc>
        <w:tc>
          <w:tcPr>
            <w:tcW w:w="5620" w:type="dxa"/>
            <w:vAlign w:val="bottom"/>
            <w:gridSpan w:val="21"/>
          </w:tcPr>
          <w:p>
            <w:pPr>
              <w:spacing w:after="0"/>
              <w:rPr>
                <w:rFonts w:ascii="Arial" w:cs="Arial" w:eastAsia="Arial" w:hAnsi="Arial"/>
                <w:sz w:val="18"/>
                <w:szCs w:val="18"/>
                <w:color w:val="0000EE"/>
              </w:rPr>
            </w:pPr>
            <w:hyperlink r:id="rId87">
              <w:r>
                <w:rPr>
                  <w:rFonts w:ascii="Arial" w:cs="Arial" w:eastAsia="Arial" w:hAnsi="Arial"/>
                  <w:sz w:val="18"/>
                  <w:szCs w:val="18"/>
                  <w:color w:val="0000EE"/>
                </w:rPr>
                <w:t>Form of Death Benefit Plan Agreement, dated April 1, 1981</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4"/>
              </w:rPr>
              <w:t>Exhibit 10.2 to the Company’s Form 10-K filed March 31,</w:t>
            </w:r>
          </w:p>
        </w:tc>
      </w:tr>
      <w:tr>
        <w:trPr>
          <w:trHeight w:val="237"/>
        </w:trPr>
        <w:tc>
          <w:tcPr>
            <w:tcW w:w="14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2006</w:t>
            </w:r>
          </w:p>
        </w:tc>
      </w:tr>
      <w:tr>
        <w:trPr>
          <w:trHeight w:val="297"/>
        </w:trPr>
        <w:tc>
          <w:tcPr>
            <w:tcW w:w="1420" w:type="dxa"/>
            <w:vAlign w:val="bottom"/>
          </w:tcPr>
          <w:p>
            <w:pPr>
              <w:ind w:left="100"/>
              <w:spacing w:after="0"/>
              <w:rPr>
                <w:sz w:val="20"/>
                <w:szCs w:val="20"/>
                <w:color w:val="auto"/>
              </w:rPr>
            </w:pPr>
            <w:r>
              <w:rPr>
                <w:rFonts w:ascii="Arial" w:cs="Arial" w:eastAsia="Arial" w:hAnsi="Arial"/>
                <w:sz w:val="18"/>
                <w:szCs w:val="18"/>
                <w:color w:val="auto"/>
              </w:rPr>
              <w:t>10.2*</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LSB Industries, Inc. Outside Directors Stock Purchase Plan, dated May 24,</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3"/>
              </w:rPr>
              <w:t>Exhibit 99.2 to the Company’s Form 8-K filed October 23,</w:t>
            </w:r>
          </w:p>
        </w:tc>
      </w:tr>
      <w:tr>
        <w:trPr>
          <w:trHeight w:val="196"/>
        </w:trPr>
        <w:tc>
          <w:tcPr>
            <w:tcW w:w="142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1999</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2014</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10.3*</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LSB Industries, Inc. 2008 Incentive Stock Plan, effective June 5, 2008, as</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8"/>
              </w:rPr>
              <w:t>Exhibit 99.3 to the Company’s Form 8-K filed June 11,</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amended by First Amendment, effective June 5, 2014</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2014</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10.4*</w:t>
            </w:r>
          </w:p>
        </w:tc>
        <w:tc>
          <w:tcPr>
            <w:tcW w:w="3860" w:type="dxa"/>
            <w:vAlign w:val="bottom"/>
            <w:tcBorders>
              <w:top w:val="single" w:sz="8" w:color="0000EE"/>
            </w:tcBorders>
            <w:gridSpan w:val="16"/>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Restricted Stock Agreement</w:t>
              </w:r>
            </w:hyperlink>
          </w:p>
        </w:tc>
        <w:tc>
          <w:tcPr>
            <w:tcW w:w="1760" w:type="dxa"/>
            <w:vAlign w:val="bottom"/>
            <w:gridSpan w:val="5"/>
          </w:tcPr>
          <w:p>
            <w:pPr>
              <w:spacing w:after="0"/>
              <w:rPr>
                <w:sz w:val="24"/>
                <w:szCs w:val="24"/>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w w:val="95"/>
              </w:rPr>
              <w:t>Exhibit 10.3 to the Company’s Form 8-K filed January 8,</w:t>
            </w:r>
          </w:p>
        </w:tc>
      </w:tr>
      <w:tr>
        <w:trPr>
          <w:trHeight w:val="237"/>
        </w:trPr>
        <w:tc>
          <w:tcPr>
            <w:tcW w:w="14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2016</w:t>
            </w:r>
          </w:p>
        </w:tc>
      </w:tr>
      <w:tr>
        <w:trPr>
          <w:trHeight w:val="297"/>
        </w:trPr>
        <w:tc>
          <w:tcPr>
            <w:tcW w:w="1420" w:type="dxa"/>
            <w:vAlign w:val="bottom"/>
          </w:tcPr>
          <w:p>
            <w:pPr>
              <w:ind w:left="100"/>
              <w:spacing w:after="0"/>
              <w:rPr>
                <w:sz w:val="20"/>
                <w:szCs w:val="20"/>
                <w:color w:val="auto"/>
              </w:rPr>
            </w:pPr>
            <w:r>
              <w:rPr>
                <w:rFonts w:ascii="Arial" w:cs="Arial" w:eastAsia="Arial" w:hAnsi="Arial"/>
                <w:sz w:val="18"/>
                <w:szCs w:val="18"/>
                <w:color w:val="auto"/>
              </w:rPr>
              <w:t>10.5*</w:t>
            </w:r>
          </w:p>
        </w:tc>
        <w:tc>
          <w:tcPr>
            <w:tcW w:w="5620" w:type="dxa"/>
            <w:vAlign w:val="bottom"/>
            <w:gridSpan w:val="21"/>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Incentive Stock Option Agreement for 2008 Plan</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5"/>
              </w:rPr>
              <w:t>Exhibit 10.8 to the Company’s Form 10-K filed February</w:t>
            </w:r>
          </w:p>
        </w:tc>
      </w:tr>
      <w:tr>
        <w:trPr>
          <w:trHeight w:val="237"/>
        </w:trPr>
        <w:tc>
          <w:tcPr>
            <w:tcW w:w="14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29, 2016</w:t>
            </w:r>
          </w:p>
        </w:tc>
      </w:tr>
      <w:tr>
        <w:trPr>
          <w:trHeight w:val="297"/>
        </w:trPr>
        <w:tc>
          <w:tcPr>
            <w:tcW w:w="1420" w:type="dxa"/>
            <w:vAlign w:val="bottom"/>
          </w:tcPr>
          <w:p>
            <w:pPr>
              <w:ind w:left="100"/>
              <w:spacing w:after="0"/>
              <w:rPr>
                <w:sz w:val="20"/>
                <w:szCs w:val="20"/>
                <w:color w:val="auto"/>
              </w:rPr>
            </w:pPr>
            <w:r>
              <w:rPr>
                <w:rFonts w:ascii="Arial" w:cs="Arial" w:eastAsia="Arial" w:hAnsi="Arial"/>
                <w:sz w:val="18"/>
                <w:szCs w:val="18"/>
                <w:color w:val="auto"/>
              </w:rPr>
              <w:t>10.6*</w:t>
            </w:r>
          </w:p>
        </w:tc>
        <w:tc>
          <w:tcPr>
            <w:tcW w:w="5620" w:type="dxa"/>
            <w:vAlign w:val="bottom"/>
            <w:gridSpan w:val="21"/>
          </w:tcPr>
          <w:p>
            <w:pPr>
              <w:spacing w:after="0"/>
              <w:rPr>
                <w:rFonts w:ascii="Arial" w:cs="Arial" w:eastAsia="Arial" w:hAnsi="Arial"/>
                <w:sz w:val="18"/>
                <w:szCs w:val="18"/>
                <w:color w:val="0000EE"/>
              </w:rPr>
            </w:pPr>
            <w:hyperlink r:id="rId92">
              <w:r>
                <w:rPr>
                  <w:rFonts w:ascii="Arial" w:cs="Arial" w:eastAsia="Arial" w:hAnsi="Arial"/>
                  <w:sz w:val="18"/>
                  <w:szCs w:val="18"/>
                  <w:color w:val="0000EE"/>
                </w:rPr>
                <w:t>LSB Industries, Inc. 2016 Long Term Incentive Plan</w:t>
              </w:r>
            </w:hyperlink>
          </w:p>
        </w:tc>
        <w:tc>
          <w:tcPr>
            <w:tcW w:w="4400" w:type="dxa"/>
            <w:vAlign w:val="bottom"/>
          </w:tcPr>
          <w:p>
            <w:pPr>
              <w:ind w:left="120"/>
              <w:spacing w:after="0"/>
              <w:rPr>
                <w:sz w:val="20"/>
                <w:szCs w:val="20"/>
                <w:color w:val="auto"/>
              </w:rPr>
            </w:pPr>
            <w:r>
              <w:rPr>
                <w:rFonts w:ascii="Arial" w:cs="Arial" w:eastAsia="Arial" w:hAnsi="Arial"/>
                <w:sz w:val="18"/>
                <w:szCs w:val="18"/>
                <w:color w:val="auto"/>
              </w:rPr>
              <w:t>Exhibit 4.8 to the Company’s Form S-8 filed June 28,</w:t>
            </w:r>
          </w:p>
        </w:tc>
      </w:tr>
      <w:tr>
        <w:trPr>
          <w:trHeight w:val="237"/>
        </w:trPr>
        <w:tc>
          <w:tcPr>
            <w:tcW w:w="14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2016</w:t>
            </w:r>
          </w:p>
        </w:tc>
      </w:tr>
      <w:tr>
        <w:trPr>
          <w:trHeight w:val="297"/>
        </w:trPr>
        <w:tc>
          <w:tcPr>
            <w:tcW w:w="1420" w:type="dxa"/>
            <w:vAlign w:val="bottom"/>
          </w:tcPr>
          <w:p>
            <w:pPr>
              <w:ind w:left="100"/>
              <w:spacing w:after="0"/>
              <w:rPr>
                <w:sz w:val="20"/>
                <w:szCs w:val="20"/>
                <w:color w:val="auto"/>
              </w:rPr>
            </w:pPr>
            <w:r>
              <w:rPr>
                <w:rFonts w:ascii="Arial" w:cs="Arial" w:eastAsia="Arial" w:hAnsi="Arial"/>
                <w:sz w:val="18"/>
                <w:szCs w:val="18"/>
                <w:color w:val="auto"/>
              </w:rPr>
              <w:t>10.7*</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Form of LSB Industries, Inc. 2016 Long Term Incentive Plan Stock Option</w:t>
              </w:r>
            </w:hyperlink>
          </w:p>
        </w:tc>
        <w:tc>
          <w:tcPr>
            <w:tcW w:w="4400" w:type="dxa"/>
            <w:vAlign w:val="bottom"/>
          </w:tcPr>
          <w:p>
            <w:pPr>
              <w:ind w:left="120"/>
              <w:spacing w:after="0"/>
              <w:rPr>
                <w:sz w:val="20"/>
                <w:szCs w:val="20"/>
                <w:color w:val="auto"/>
              </w:rPr>
            </w:pPr>
            <w:r>
              <w:rPr>
                <w:rFonts w:ascii="Arial" w:cs="Arial" w:eastAsia="Arial" w:hAnsi="Arial"/>
                <w:sz w:val="18"/>
                <w:szCs w:val="18"/>
                <w:color w:val="auto"/>
              </w:rPr>
              <w:t>Exhibit 4.9 to the Company’s Form S-8 filed June 28,</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Agreement</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2016</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10.8*</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9"/>
              </w:rPr>
            </w:pPr>
            <w:hyperlink r:id="rId94">
              <w:r>
                <w:rPr>
                  <w:rFonts w:ascii="Arial" w:cs="Arial" w:eastAsia="Arial" w:hAnsi="Arial"/>
                  <w:sz w:val="18"/>
                  <w:szCs w:val="18"/>
                  <w:color w:val="0000EE"/>
                  <w:w w:val="99"/>
                </w:rPr>
                <w:t>Form of LSB Industries, Inc. 2016 Long Term Incentive Plan Restricted</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8"/>
              </w:rPr>
              <w:t>Exhibit 4.10 to the Company’s Form S-8 filed June 28,</w:t>
            </w:r>
          </w:p>
        </w:tc>
      </w:tr>
      <w:tr>
        <w:trPr>
          <w:trHeight w:val="196"/>
        </w:trPr>
        <w:tc>
          <w:tcPr>
            <w:tcW w:w="1420" w:type="dxa"/>
            <w:vAlign w:val="bottom"/>
          </w:tcPr>
          <w:p>
            <w:pPr>
              <w:spacing w:after="0"/>
              <w:rPr>
                <w:sz w:val="17"/>
                <w:szCs w:val="17"/>
                <w:color w:val="auto"/>
              </w:rPr>
            </w:pPr>
          </w:p>
        </w:tc>
        <w:tc>
          <w:tcPr>
            <w:tcW w:w="29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Stock Unit Agreement (Director Award)</w:t>
              </w:r>
            </w:hyperlink>
          </w:p>
        </w:tc>
        <w:tc>
          <w:tcPr>
            <w:tcW w:w="2700" w:type="dxa"/>
            <w:vAlign w:val="bottom"/>
            <w:gridSpan w:val="11"/>
          </w:tcPr>
          <w:p>
            <w:pPr>
              <w:spacing w:after="0"/>
              <w:rPr>
                <w:sz w:val="17"/>
                <w:szCs w:val="17"/>
                <w:color w:val="auto"/>
              </w:rPr>
            </w:pPr>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2016</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10.9*</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9"/>
              </w:rPr>
            </w:pPr>
            <w:hyperlink r:id="rId95">
              <w:r>
                <w:rPr>
                  <w:rFonts w:ascii="Arial" w:cs="Arial" w:eastAsia="Arial" w:hAnsi="Arial"/>
                  <w:sz w:val="18"/>
                  <w:szCs w:val="18"/>
                  <w:color w:val="0000EE"/>
                  <w:w w:val="99"/>
                </w:rPr>
                <w:t>Form of LSB Industries, Inc. 2016 Long Term Incentive Plan Restricted</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8"/>
              </w:rPr>
              <w:t>Exhibit 4.11 to the Company’s Form S-8 filed June 28,</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Stock Agreement</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2016</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10.10*</w:t>
            </w:r>
          </w:p>
        </w:tc>
        <w:tc>
          <w:tcPr>
            <w:tcW w:w="5620" w:type="dxa"/>
            <w:vAlign w:val="bottom"/>
            <w:gridSpan w:val="21"/>
          </w:tcPr>
          <w:p>
            <w:pPr>
              <w:spacing w:after="0"/>
              <w:rPr>
                <w:rFonts w:ascii="Arial" w:cs="Arial" w:eastAsia="Arial" w:hAnsi="Arial"/>
                <w:sz w:val="18"/>
                <w:szCs w:val="18"/>
                <w:color w:val="0000EE"/>
                <w:w w:val="97"/>
              </w:rPr>
            </w:pPr>
            <w:hyperlink r:id="rId96">
              <w:r>
                <w:rPr>
                  <w:rFonts w:ascii="Arial" w:cs="Arial" w:eastAsia="Arial" w:hAnsi="Arial"/>
                  <w:sz w:val="18"/>
                  <w:szCs w:val="18"/>
                  <w:color w:val="0000EE"/>
                  <w:w w:val="97"/>
                </w:rPr>
                <w:t>Form of Time-Based Restricted Stock Agreement of LSB Industries, Inc.</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5"/>
              </w:rPr>
              <w:t>Exhibit 10.4 to the Company’s Form 8-K filed January 3,</w:t>
            </w:r>
          </w:p>
        </w:tc>
      </w:tr>
      <w:tr>
        <w:trPr>
          <w:trHeight w:val="237"/>
        </w:trPr>
        <w:tc>
          <w:tcPr>
            <w:tcW w:w="14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2019</w:t>
            </w:r>
          </w:p>
        </w:tc>
      </w:tr>
      <w:tr>
        <w:trPr>
          <w:trHeight w:val="297"/>
        </w:trPr>
        <w:tc>
          <w:tcPr>
            <w:tcW w:w="1420" w:type="dxa"/>
            <w:vAlign w:val="bottom"/>
          </w:tcPr>
          <w:p>
            <w:pPr>
              <w:ind w:left="100"/>
              <w:spacing w:after="0"/>
              <w:rPr>
                <w:sz w:val="20"/>
                <w:szCs w:val="20"/>
                <w:color w:val="auto"/>
              </w:rPr>
            </w:pPr>
            <w:r>
              <w:rPr>
                <w:rFonts w:ascii="Arial" w:cs="Arial" w:eastAsia="Arial" w:hAnsi="Arial"/>
                <w:sz w:val="18"/>
                <w:szCs w:val="18"/>
                <w:color w:val="auto"/>
              </w:rPr>
              <w:t>10.11*</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Form of Performance-Based Restricted Stock Agreement of LSB Industries,</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5"/>
              </w:rPr>
              <w:t>Exhibit 10.5 to the Company’s Form 8-K filed January 3,</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Inc.</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2019</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10.12*</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Notice Period Extension Regarding Employment Agreement by and between</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3"/>
              </w:rPr>
              <w:t>Exhibit 10.12 to the Company’s Form 10-K filed February</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LSB Industries, Inc. and Mark Behrman</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26, 2019</w:t>
            </w:r>
          </w:p>
        </w:tc>
      </w:tr>
      <w:tr>
        <w:trPr>
          <w:trHeight w:val="20"/>
        </w:trPr>
        <w:tc>
          <w:tcPr>
            <w:tcW w:w="142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10.13*</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Notice Period Extension Regarding Employment Agreement by and between</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7"/>
              </w:rPr>
              <w:t>Exhibit 10.4 to the Company’s Form 10-Q filed October</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LSB Industries, Inc. and Mark Behrman</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24, 2018</w:t>
            </w:r>
          </w:p>
        </w:tc>
      </w:tr>
      <w:tr>
        <w:trPr>
          <w:trHeight w:val="20"/>
        </w:trPr>
        <w:tc>
          <w:tcPr>
            <w:tcW w:w="142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10.14*</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Employment Agreement, dated December 30, 2018, between LSB Industries,</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5"/>
              </w:rPr>
              <w:t>Exhibit 10.1 to the Company’s Form 8-K filed January 3,</w:t>
            </w:r>
          </w:p>
        </w:tc>
      </w:tr>
      <w:tr>
        <w:trPr>
          <w:trHeight w:val="196"/>
        </w:trPr>
        <w:tc>
          <w:tcPr>
            <w:tcW w:w="1420" w:type="dxa"/>
            <w:vAlign w:val="bottom"/>
          </w:tcPr>
          <w:p>
            <w:pPr>
              <w:spacing w:after="0"/>
              <w:rPr>
                <w:sz w:val="17"/>
                <w:szCs w:val="17"/>
                <w:color w:val="auto"/>
              </w:rPr>
            </w:pPr>
          </w:p>
        </w:tc>
        <w:tc>
          <w:tcPr>
            <w:tcW w:w="1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Inc. and Mark T. Behrman</w:t>
              </w:r>
            </w:hyperlink>
          </w:p>
        </w:tc>
        <w:tc>
          <w:tcPr>
            <w:tcW w:w="3700" w:type="dxa"/>
            <w:vAlign w:val="bottom"/>
            <w:gridSpan w:val="15"/>
          </w:tcPr>
          <w:p>
            <w:pPr>
              <w:spacing w:after="0"/>
              <w:rPr>
                <w:sz w:val="17"/>
                <w:szCs w:val="17"/>
                <w:color w:val="auto"/>
              </w:rPr>
            </w:pPr>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2019</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10.15*</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Restricted Stock Agreement by and between LSB Industries, Inc. and Mark</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3"/>
              </w:rPr>
              <w:t>Exhibit 10.17 to the Company’s Form 10-K filed February</w:t>
            </w:r>
          </w:p>
        </w:tc>
      </w:tr>
      <w:tr>
        <w:trPr>
          <w:trHeight w:val="196"/>
        </w:trPr>
        <w:tc>
          <w:tcPr>
            <w:tcW w:w="1420" w:type="dxa"/>
            <w:vAlign w:val="bottom"/>
          </w:tcPr>
          <w:p>
            <w:pPr>
              <w:spacing w:after="0"/>
              <w:rPr>
                <w:sz w:val="17"/>
                <w:szCs w:val="17"/>
                <w:color w:val="auto"/>
              </w:rPr>
            </w:pPr>
          </w:p>
        </w:tc>
        <w:tc>
          <w:tcPr>
            <w:tcW w:w="3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Behrman, dated as of December 31, 2015</w:t>
              </w:r>
            </w:hyperlink>
          </w:p>
        </w:tc>
        <w:tc>
          <w:tcPr>
            <w:tcW w:w="2620" w:type="dxa"/>
            <w:vAlign w:val="bottom"/>
            <w:gridSpan w:val="10"/>
          </w:tcPr>
          <w:p>
            <w:pPr>
              <w:spacing w:after="0"/>
              <w:rPr>
                <w:sz w:val="17"/>
                <w:szCs w:val="17"/>
                <w:color w:val="auto"/>
              </w:rPr>
            </w:pPr>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29, 2016</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10.16*</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Employment Agreement by and between LSB Industries, Inc. and Daniel D.</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6"/>
              </w:rPr>
              <w:t>Exhibit 10.1 to the Company’s Form 8-K/A filed January</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Greenwell, dated as of December 31, 2015</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7, 2016</w:t>
            </w:r>
          </w:p>
        </w:tc>
      </w:tr>
      <w:tr>
        <w:trPr>
          <w:trHeight w:val="20"/>
        </w:trPr>
        <w:tc>
          <w:tcPr>
            <w:tcW w:w="1420" w:type="dxa"/>
            <w:vAlign w:val="bottom"/>
          </w:tcPr>
          <w:p>
            <w:pPr>
              <w:spacing w:after="0" w:line="20" w:lineRule="exact"/>
              <w:rPr>
                <w:sz w:val="1"/>
                <w:szCs w:val="1"/>
                <w:color w:val="auto"/>
              </w:rPr>
            </w:pPr>
          </w:p>
        </w:tc>
        <w:tc>
          <w:tcPr>
            <w:tcW w:w="3080" w:type="dxa"/>
            <w:vAlign w:val="bottom"/>
            <w:gridSpan w:val="1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10.17*</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Notice Period Extension Regarding Employment Agreement by and between</w:t>
              </w:r>
            </w:hyperlink>
          </w:p>
        </w:tc>
        <w:tc>
          <w:tcPr>
            <w:tcW w:w="4400" w:type="dxa"/>
            <w:vAlign w:val="bottom"/>
          </w:tcPr>
          <w:p>
            <w:pPr>
              <w:ind w:left="120"/>
              <w:spacing w:after="0"/>
              <w:rPr>
                <w:sz w:val="20"/>
                <w:szCs w:val="20"/>
                <w:color w:val="auto"/>
              </w:rPr>
            </w:pPr>
            <w:r>
              <w:rPr>
                <w:rFonts w:ascii="Arial" w:cs="Arial" w:eastAsia="Arial" w:hAnsi="Arial"/>
                <w:sz w:val="18"/>
                <w:szCs w:val="18"/>
                <w:color w:val="auto"/>
                <w:w w:val="97"/>
              </w:rPr>
              <w:t>Exhibit 10.3 to the Company’s Form 10-Q filed October</w:t>
            </w:r>
          </w:p>
        </w:tc>
      </w:tr>
      <w:tr>
        <w:trPr>
          <w:trHeight w:val="196"/>
        </w:trPr>
        <w:tc>
          <w:tcPr>
            <w:tcW w:w="1420" w:type="dxa"/>
            <w:vAlign w:val="bottom"/>
          </w:tcPr>
          <w:p>
            <w:pPr>
              <w:spacing w:after="0"/>
              <w:rPr>
                <w:sz w:val="17"/>
                <w:szCs w:val="17"/>
                <w:color w:val="auto"/>
              </w:rPr>
            </w:pPr>
          </w:p>
        </w:tc>
        <w:tc>
          <w:tcPr>
            <w:tcW w:w="5620" w:type="dxa"/>
            <w:vAlign w:val="bottom"/>
            <w:gridSpan w:val="2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LSB Industries, Inc. and Daniel D. Greenwell</w:t>
              </w:r>
            </w:hyperlink>
          </w:p>
        </w:tc>
        <w:tc>
          <w:tcPr>
            <w:tcW w:w="4400" w:type="dxa"/>
            <w:vAlign w:val="bottom"/>
          </w:tcPr>
          <w:p>
            <w:pPr>
              <w:ind w:left="120"/>
              <w:spacing w:after="0" w:line="196" w:lineRule="exact"/>
              <w:rPr>
                <w:sz w:val="20"/>
                <w:szCs w:val="20"/>
                <w:color w:val="auto"/>
              </w:rPr>
            </w:pPr>
            <w:r>
              <w:rPr>
                <w:rFonts w:ascii="Arial" w:cs="Arial" w:eastAsia="Arial" w:hAnsi="Arial"/>
                <w:sz w:val="18"/>
                <w:szCs w:val="18"/>
                <w:color w:val="auto"/>
              </w:rPr>
              <w:t>24, 2018</w:t>
            </w:r>
          </w:p>
        </w:tc>
      </w:tr>
      <w:tr>
        <w:trPr>
          <w:trHeight w:val="574"/>
        </w:trPr>
        <w:tc>
          <w:tcPr>
            <w:tcW w:w="1420" w:type="dxa"/>
            <w:vAlign w:val="bottom"/>
          </w:tcPr>
          <w:p>
            <w:pPr>
              <w:spacing w:after="0"/>
              <w:rPr>
                <w:sz w:val="24"/>
                <w:szCs w:val="24"/>
                <w:color w:val="auto"/>
              </w:rPr>
            </w:pPr>
          </w:p>
        </w:tc>
        <w:tc>
          <w:tcPr>
            <w:tcW w:w="3300" w:type="dxa"/>
            <w:vAlign w:val="bottom"/>
            <w:tcBorders>
              <w:top w:val="single" w:sz="8" w:color="0000EE"/>
            </w:tcBorders>
            <w:gridSpan w:val="14"/>
          </w:tcPr>
          <w:p>
            <w:pPr>
              <w:spacing w:after="0"/>
              <w:rPr>
                <w:sz w:val="24"/>
                <w:szCs w:val="24"/>
                <w:color w:val="auto"/>
              </w:rPr>
            </w:pPr>
          </w:p>
        </w:tc>
        <w:tc>
          <w:tcPr>
            <w:tcW w:w="1980" w:type="dxa"/>
            <w:vAlign w:val="bottom"/>
            <w:gridSpan w:val="5"/>
          </w:tcPr>
          <w:p>
            <w:pPr>
              <w:jc w:val="right"/>
              <w:ind w:right="90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type w:val="continuous"/>
        </w:sectPr>
      </w:pPr>
    </w:p>
    <w:bookmarkStart w:id="47" w:name="page48"/>
    <w:bookmarkEnd w:id="47"/>
    <w:p>
      <w:pPr>
        <w:ind w:left="60"/>
        <w:spacing w:after="0"/>
        <w:tabs>
          <w:tab w:leader="none" w:pos="3820" w:val="left"/>
          <w:tab w:leader="none" w:pos="79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sectPr>
      </w:pPr>
    </w:p>
    <w:tbl>
      <w:tblPr>
        <w:tblLayout w:type="fixed"/>
        <w:tblInd w:w="0" w:type="dxa"/>
        <w:tblCellMar>
          <w:top w:w="0" w:type="dxa"/>
          <w:left w:w="0" w:type="dxa"/>
          <w:bottom w:w="0" w:type="dxa"/>
          <w:right w:w="0" w:type="dxa"/>
        </w:tblCellMar>
      </w:tblPr>
      <w:tr>
        <w:trPr>
          <w:trHeight w:val="187"/>
        </w:trPr>
        <w:tc>
          <w:tcPr>
            <w:tcW w:w="1420" w:type="dxa"/>
            <w:vAlign w:val="bottom"/>
          </w:tcPr>
          <w:p>
            <w:pPr>
              <w:ind w:left="100"/>
              <w:spacing w:after="0" w:line="187" w:lineRule="exact"/>
              <w:rPr>
                <w:sz w:val="20"/>
                <w:szCs w:val="20"/>
                <w:color w:val="auto"/>
              </w:rPr>
            </w:pPr>
            <w:r>
              <w:rPr>
                <w:rFonts w:ascii="Arial" w:cs="Arial" w:eastAsia="Arial" w:hAnsi="Arial"/>
                <w:sz w:val="18"/>
                <w:szCs w:val="18"/>
                <w:color w:val="auto"/>
              </w:rPr>
              <w:t>10.18*</w:t>
            </w:r>
          </w:p>
        </w:tc>
        <w:tc>
          <w:tcPr>
            <w:tcW w:w="5680" w:type="dxa"/>
            <w:vAlign w:val="bottom"/>
            <w:gridSpan w:val="18"/>
          </w:tcPr>
          <w:p>
            <w:pPr>
              <w:spacing w:after="0" w:line="187"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Notice Period Extension Regarding Employment Agreement by and between</w:t>
              </w:r>
            </w:hyperlink>
          </w:p>
        </w:tc>
        <w:tc>
          <w:tcPr>
            <w:tcW w:w="4340" w:type="dxa"/>
            <w:vAlign w:val="bottom"/>
          </w:tcPr>
          <w:p>
            <w:pPr>
              <w:ind w:left="60"/>
              <w:spacing w:after="0" w:line="187" w:lineRule="exact"/>
              <w:rPr>
                <w:sz w:val="20"/>
                <w:szCs w:val="20"/>
                <w:color w:val="auto"/>
              </w:rPr>
            </w:pPr>
            <w:r>
              <w:rPr>
                <w:rFonts w:ascii="Arial" w:cs="Arial" w:eastAsia="Arial" w:hAnsi="Arial"/>
                <w:sz w:val="18"/>
                <w:szCs w:val="18"/>
                <w:color w:val="auto"/>
                <w:w w:val="93"/>
              </w:rPr>
              <w:t>Exhibit 10.18 to the Company’s Form 10-K filed February</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LSB Industries, Inc. and Daniel D. Greenwell</w:t>
              </w:r>
            </w:hyperlink>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26, 2019</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1420" w:type="dxa"/>
            <w:vAlign w:val="bottom"/>
          </w:tcPr>
          <w:p>
            <w:pPr>
              <w:ind w:left="100"/>
              <w:spacing w:after="0" w:line="196" w:lineRule="exact"/>
              <w:rPr>
                <w:sz w:val="20"/>
                <w:szCs w:val="20"/>
                <w:color w:val="auto"/>
              </w:rPr>
            </w:pPr>
            <w:r>
              <w:rPr>
                <w:rFonts w:ascii="Arial" w:cs="Arial" w:eastAsia="Arial" w:hAnsi="Arial"/>
                <w:sz w:val="18"/>
                <w:szCs w:val="18"/>
                <w:color w:val="auto"/>
              </w:rPr>
              <w:t>10.19*</w:t>
            </w: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General Release Agreement by and between LSB Industries, Inc. and Daniel</w:t>
              </w:r>
            </w:hyperlink>
          </w:p>
        </w:tc>
        <w:tc>
          <w:tcPr>
            <w:tcW w:w="6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w w:val="93"/>
              </w:rPr>
              <w:t>Exhibit 10.19 to the Company’s Form 10-K filed February</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D. Greenwell, dated as of January 14, 2019</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26, 2019</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10.20*</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Restricted Stock Agreement by and between LSB Industries, Inc. and Daniel</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10.2  to  the  Company’s  Form  8-K/A  filed</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D. Greenwell, dated as of December 31, 2015</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January 7, 2016</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10.21*</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Employment Agreement by and between LSB Industries, Inc. and Michael</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10.25 to the Company’s Form 10-K filed February</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Foster, dated as of January 5, 2016</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29, 2016</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10.22*</w:t>
            </w:r>
          </w:p>
        </w:tc>
        <w:tc>
          <w:tcPr>
            <w:tcW w:w="5680" w:type="dxa"/>
            <w:vAlign w:val="bottom"/>
            <w:gridSpan w:val="18"/>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Notice Period Extension Regarding Employment Agreement by and between</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7"/>
              </w:rPr>
              <w:t>Exhibit 10.5 to the Company’s Form 10-Q filed October</w:t>
            </w:r>
          </w:p>
        </w:tc>
      </w:tr>
      <w:tr>
        <w:trPr>
          <w:trHeight w:val="196"/>
        </w:trPr>
        <w:tc>
          <w:tcPr>
            <w:tcW w:w="142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LSB Industries, Inc. and Michael J. Foster</w:t>
              </w:r>
            </w:hyperlink>
          </w:p>
        </w:tc>
        <w:tc>
          <w:tcPr>
            <w:tcW w:w="2500" w:type="dxa"/>
            <w:vAlign w:val="bottom"/>
            <w:tcBorders>
              <w:top w:val="single" w:sz="8" w:color="0000EE"/>
            </w:tcBorders>
            <w:gridSpan w:val="9"/>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24, 2018</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10.23*</w:t>
            </w:r>
          </w:p>
        </w:tc>
        <w:tc>
          <w:tcPr>
            <w:tcW w:w="5680" w:type="dxa"/>
            <w:vAlign w:val="bottom"/>
            <w:gridSpan w:val="18"/>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Notice Period Extension Regarding Employment Agreement by and between</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10.23 to the Company’s Form 10-K filed February</w:t>
            </w:r>
          </w:p>
        </w:tc>
      </w:tr>
      <w:tr>
        <w:trPr>
          <w:trHeight w:val="196"/>
        </w:trPr>
        <w:tc>
          <w:tcPr>
            <w:tcW w:w="142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LSB Industries, Inc. and Michael J. Foster</w:t>
              </w:r>
            </w:hyperlink>
          </w:p>
        </w:tc>
        <w:tc>
          <w:tcPr>
            <w:tcW w:w="2500" w:type="dxa"/>
            <w:vAlign w:val="bottom"/>
            <w:tcBorders>
              <w:top w:val="single" w:sz="8" w:color="0000EE"/>
            </w:tcBorders>
            <w:gridSpan w:val="9"/>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26, 2019</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10.24*</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Employment Agreement, dated December 30, 2018, between LSB Industries,</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10.3 to the Company’s Form 8-K filed January 3,</w:t>
            </w:r>
          </w:p>
        </w:tc>
      </w:tr>
      <w:tr>
        <w:trPr>
          <w:trHeight w:val="196"/>
        </w:trPr>
        <w:tc>
          <w:tcPr>
            <w:tcW w:w="142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Inc. and Michael J. Foster</w:t>
              </w:r>
            </w:hyperlink>
          </w:p>
        </w:tc>
        <w:tc>
          <w:tcPr>
            <w:tcW w:w="3800" w:type="dxa"/>
            <w:vAlign w:val="bottom"/>
            <w:gridSpan w:val="16"/>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2019</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10.25*</w:t>
            </w:r>
          </w:p>
        </w:tc>
        <w:tc>
          <w:tcPr>
            <w:tcW w:w="5620" w:type="dxa"/>
            <w:vAlign w:val="bottom"/>
            <w:tcBorders>
              <w:bottom w:val="single" w:sz="8" w:color="0000EE"/>
            </w:tcBorders>
            <w:gridSpan w:val="15"/>
          </w:tcPr>
          <w:p>
            <w:pPr>
              <w:spacing w:after="0"/>
              <w:rPr>
                <w:rFonts w:ascii="Arial" w:cs="Arial" w:eastAsia="Arial" w:hAnsi="Arial"/>
                <w:sz w:val="18"/>
                <w:szCs w:val="18"/>
                <w:color w:val="0000EE"/>
              </w:rPr>
            </w:pPr>
            <w:hyperlink r:id="rId114">
              <w:r>
                <w:rPr>
                  <w:rFonts w:ascii="Arial" w:cs="Arial" w:eastAsia="Arial" w:hAnsi="Arial"/>
                  <w:sz w:val="18"/>
                  <w:szCs w:val="18"/>
                  <w:color w:val="0000EE"/>
                </w:rPr>
                <w:t>Restricted Stock Agreement by and between LSB Industries, Inc. and</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10.26 to the Company’s Form 10-K filed February</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Michael Foster, dated as of January 5, 2016</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29, 2016</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10.26*</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Separation and Release Agreement by and between LSB Industries, Inc. and</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196"/>
        </w:trPr>
        <w:tc>
          <w:tcPr>
            <w:tcW w:w="1420" w:type="dxa"/>
            <w:vAlign w:val="bottom"/>
          </w:tcPr>
          <w:p>
            <w:pPr>
              <w:spacing w:after="0"/>
              <w:rPr>
                <w:sz w:val="17"/>
                <w:szCs w:val="17"/>
                <w:color w:val="auto"/>
              </w:rPr>
            </w:pPr>
          </w:p>
        </w:tc>
        <w:tc>
          <w:tcPr>
            <w:tcW w:w="3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Tony M. Shelby, dated as of February 22, 2016</w:t>
              </w:r>
            </w:hyperlink>
          </w:p>
        </w:tc>
        <w:tc>
          <w:tcPr>
            <w:tcW w:w="2280" w:type="dxa"/>
            <w:vAlign w:val="bottom"/>
            <w:gridSpan w:val="6"/>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February 25, 2016</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10.27*</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9"/>
              </w:rPr>
            </w:pPr>
            <w:hyperlink r:id="rId116">
              <w:r>
                <w:rPr>
                  <w:rFonts w:ascii="Arial" w:cs="Arial" w:eastAsia="Arial" w:hAnsi="Arial"/>
                  <w:sz w:val="18"/>
                  <w:szCs w:val="18"/>
                  <w:color w:val="0000EE"/>
                  <w:w w:val="99"/>
                </w:rPr>
                <w:t>Employment Agreement by and between LSB Industries, Inc. and John</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8-K filed August 2,</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Diesch, executed as of July 21, 2016</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10.28*</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9"/>
              </w:rPr>
            </w:pPr>
            <w:hyperlink r:id="rId117">
              <w:r>
                <w:rPr>
                  <w:rFonts w:ascii="Arial" w:cs="Arial" w:eastAsia="Arial" w:hAnsi="Arial"/>
                  <w:sz w:val="18"/>
                  <w:szCs w:val="18"/>
                  <w:color w:val="0000EE"/>
                  <w:w w:val="99"/>
                </w:rPr>
                <w:t>Employment Agreement by and between LSB Industries, Inc. and John</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8"/>
              </w:rPr>
              <w:t>Exhibit 10.1 to the Company’s Form 8-K filed February</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Diesch, executed as of February 8, 2019</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11, 2019</w:t>
            </w: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10.29*</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Employment Agreement, dated December 30, 2018, between LSB Industries,</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10.2 to the Company’s Form 8-K filed January 3,</w:t>
            </w:r>
          </w:p>
        </w:tc>
      </w:tr>
      <w:tr>
        <w:trPr>
          <w:trHeight w:val="196"/>
        </w:trPr>
        <w:tc>
          <w:tcPr>
            <w:tcW w:w="142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Inc. and Cheryl Maguire</w:t>
              </w:r>
            </w:hyperlink>
          </w:p>
        </w:tc>
        <w:tc>
          <w:tcPr>
            <w:tcW w:w="3900" w:type="dxa"/>
            <w:vAlign w:val="bottom"/>
            <w:gridSpan w:val="17"/>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2019</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10.30*(a)</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96">
              <w:r>
                <w:rPr>
                  <w:rFonts w:ascii="Arial" w:cs="Arial" w:eastAsia="Arial" w:hAnsi="Arial"/>
                  <w:sz w:val="18"/>
                  <w:szCs w:val="18"/>
                  <w:color w:val="0000EE"/>
                  <w:w w:val="94"/>
                </w:rPr>
                <w:t>Employment Agreement, dated December 20, 2019 and to be effective not</w:t>
              </w:r>
            </w:hyperlink>
          </w:p>
        </w:tc>
        <w:tc>
          <w:tcPr>
            <w:tcW w:w="60" w:type="dxa"/>
            <w:vAlign w:val="bottom"/>
            <w:gridSpan w:val="3"/>
          </w:tcPr>
          <w:p>
            <w:pPr>
              <w:spacing w:after="0"/>
              <w:rPr>
                <w:sz w:val="24"/>
                <w:szCs w:val="24"/>
                <w:color w:val="auto"/>
              </w:rPr>
            </w:pPr>
          </w:p>
        </w:tc>
        <w:tc>
          <w:tcPr>
            <w:tcW w:w="43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later than February 3, 2020, between LSB Industries, Inc. and John Burns</w:t>
              </w:r>
            </w:hyperlink>
          </w:p>
        </w:tc>
        <w:tc>
          <w:tcPr>
            <w:tcW w:w="4340" w:type="dxa"/>
            <w:vAlign w:val="bottom"/>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10.31*</w:t>
            </w:r>
          </w:p>
        </w:tc>
        <w:tc>
          <w:tcPr>
            <w:tcW w:w="5300" w:type="dxa"/>
            <w:vAlign w:val="bottom"/>
            <w:tcBorders>
              <w:top w:val="single" w:sz="8" w:color="0000EE"/>
            </w:tcBorders>
            <w:gridSpan w:val="14"/>
          </w:tcPr>
          <w:p>
            <w:pPr>
              <w:spacing w:after="0"/>
              <w:rPr>
                <w:rFonts w:ascii="Arial" w:cs="Arial" w:eastAsia="Arial" w:hAnsi="Arial"/>
                <w:sz w:val="18"/>
                <w:szCs w:val="18"/>
                <w:color w:val="0000EE"/>
              </w:rPr>
            </w:pPr>
            <w:hyperlink r:id="rId119">
              <w:r>
                <w:rPr>
                  <w:rFonts w:ascii="Arial" w:cs="Arial" w:eastAsia="Arial" w:hAnsi="Arial"/>
                  <w:sz w:val="18"/>
                  <w:szCs w:val="18"/>
                  <w:color w:val="0000EE"/>
                </w:rPr>
                <w:t>Form of Retention Bonus Agreement</w:t>
              </w:r>
            </w:hyperlink>
          </w:p>
        </w:tc>
        <w:tc>
          <w:tcPr>
            <w:tcW w:w="380" w:type="dxa"/>
            <w:vAlign w:val="bottom"/>
            <w:gridSpan w:val="4"/>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10.28 to the Company’s Form 10-K filed February</w:t>
            </w:r>
          </w:p>
        </w:tc>
      </w:tr>
      <w:tr>
        <w:trPr>
          <w:trHeight w:val="237"/>
        </w:trPr>
        <w:tc>
          <w:tcPr>
            <w:tcW w:w="1420" w:type="dxa"/>
            <w:vAlign w:val="bottom"/>
          </w:tcPr>
          <w:p>
            <w:pPr>
              <w:spacing w:after="0"/>
              <w:rPr>
                <w:sz w:val="20"/>
                <w:szCs w:val="20"/>
                <w:color w:val="auto"/>
              </w:rPr>
            </w:pPr>
          </w:p>
        </w:tc>
        <w:tc>
          <w:tcPr>
            <w:tcW w:w="17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29, 2016</w:t>
            </w:r>
          </w:p>
        </w:tc>
      </w:tr>
      <w:tr>
        <w:trPr>
          <w:trHeight w:val="297"/>
        </w:trPr>
        <w:tc>
          <w:tcPr>
            <w:tcW w:w="1420" w:type="dxa"/>
            <w:vAlign w:val="bottom"/>
          </w:tcPr>
          <w:p>
            <w:pPr>
              <w:ind w:left="100"/>
              <w:spacing w:after="0"/>
              <w:rPr>
                <w:sz w:val="20"/>
                <w:szCs w:val="20"/>
                <w:color w:val="auto"/>
              </w:rPr>
            </w:pPr>
            <w:r>
              <w:rPr>
                <w:rFonts w:ascii="Arial" w:cs="Arial" w:eastAsia="Arial" w:hAnsi="Arial"/>
                <w:sz w:val="18"/>
                <w:szCs w:val="18"/>
                <w:color w:val="auto"/>
              </w:rPr>
              <w:t>10.32</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Indemnification Agreement, dated October 14, 2015, by and between the</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10.1 to the Company’s Form 8-K filed October 19,</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Company and Jack E. Golsen, together with a schedule identifying other</w:t>
              </w:r>
            </w:hyperlink>
          </w:p>
        </w:tc>
        <w:tc>
          <w:tcPr>
            <w:tcW w:w="6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substantially identical agreements between the Company and each of the</w:t>
              </w:r>
            </w:hyperlink>
          </w:p>
        </w:tc>
        <w:tc>
          <w:tcPr>
            <w:tcW w:w="60" w:type="dxa"/>
            <w:vAlign w:val="bottom"/>
            <w:gridSpan w:val="3"/>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other directors identified on the schedule</w:t>
              </w:r>
            </w:hyperlink>
          </w:p>
        </w:tc>
        <w:tc>
          <w:tcPr>
            <w:tcW w:w="2720" w:type="dxa"/>
            <w:vAlign w:val="bottom"/>
            <w:gridSpan w:val="11"/>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10.33</w:t>
            </w:r>
          </w:p>
        </w:tc>
        <w:tc>
          <w:tcPr>
            <w:tcW w:w="5680" w:type="dxa"/>
            <w:vAlign w:val="bottom"/>
            <w:gridSpan w:val="18"/>
          </w:tcPr>
          <w:p>
            <w:pPr>
              <w:spacing w:after="0"/>
              <w:rPr>
                <w:rFonts w:ascii="Arial" w:cs="Arial" w:eastAsia="Arial" w:hAnsi="Arial"/>
                <w:sz w:val="18"/>
                <w:szCs w:val="18"/>
                <w:color w:val="0000EE"/>
                <w:w w:val="98"/>
              </w:rPr>
            </w:pPr>
            <w:hyperlink r:id="rId121">
              <w:r>
                <w:rPr>
                  <w:rFonts w:ascii="Arial" w:cs="Arial" w:eastAsia="Arial" w:hAnsi="Arial"/>
                  <w:sz w:val="18"/>
                  <w:szCs w:val="18"/>
                  <w:color w:val="0000EE"/>
                  <w:w w:val="98"/>
                </w:rPr>
                <w:t>Indemnification Agreement, dated October 14, 2015 by and between the</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10.2 to the Company’s Form 8-K filed October 19,</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Company and David M. Shear, together with a schedule identifying other</w:t>
              </w:r>
            </w:hyperlink>
          </w:p>
        </w:tc>
        <w:tc>
          <w:tcPr>
            <w:tcW w:w="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substantially identical agreements between the Company and each of its</w:t>
              </w:r>
            </w:hyperlink>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executive officers identified on the schedule</w:t>
              </w:r>
            </w:hyperlink>
          </w:p>
        </w:tc>
        <w:tc>
          <w:tcPr>
            <w:tcW w:w="6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10.34</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Indemnification Agreement, dated as of December 4, 2015, by and between</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10.5 to the Company’s Form 8-K filed December</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LSB  Industries,  Inc.  and  Jonathan  S.  Bobb,  together  with  a  schedule</w:t>
              </w:r>
            </w:hyperlink>
          </w:p>
        </w:tc>
        <w:tc>
          <w:tcPr>
            <w:tcW w:w="6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8, 2015</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identifying other substantially identical agreements between the Company</w:t>
              </w:r>
            </w:hyperlink>
          </w:p>
        </w:tc>
        <w:tc>
          <w:tcPr>
            <w:tcW w:w="60" w:type="dxa"/>
            <w:vAlign w:val="bottom"/>
            <w:gridSpan w:val="3"/>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and each of the other directors identified on the schedule</w:t>
              </w:r>
            </w:hyperlink>
          </w:p>
        </w:tc>
        <w:tc>
          <w:tcPr>
            <w:tcW w:w="4340" w:type="dxa"/>
            <w:vAlign w:val="bottom"/>
          </w:tcPr>
          <w:p>
            <w:pPr>
              <w:spacing w:after="0"/>
              <w:rPr>
                <w:sz w:val="17"/>
                <w:szCs w:val="17"/>
                <w:color w:val="auto"/>
              </w:rPr>
            </w:pPr>
          </w:p>
        </w:tc>
      </w:tr>
      <w:tr>
        <w:trPr>
          <w:trHeight w:val="453"/>
        </w:trPr>
        <w:tc>
          <w:tcPr>
            <w:tcW w:w="1420" w:type="dxa"/>
            <w:vAlign w:val="bottom"/>
          </w:tcPr>
          <w:p>
            <w:pPr>
              <w:spacing w:after="0"/>
              <w:rPr>
                <w:sz w:val="24"/>
                <w:szCs w:val="24"/>
                <w:color w:val="auto"/>
              </w:rPr>
            </w:pPr>
          </w:p>
        </w:tc>
        <w:tc>
          <w:tcPr>
            <w:tcW w:w="4080" w:type="dxa"/>
            <w:vAlign w:val="bottom"/>
            <w:tcBorders>
              <w:top w:val="single" w:sz="8" w:color="0000EE"/>
            </w:tcBorders>
            <w:gridSpan w:val="13"/>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type w:val="continuous"/>
        </w:sectPr>
      </w:pPr>
    </w:p>
    <w:bookmarkStart w:id="48" w:name="page49"/>
    <w:bookmarkEnd w:id="48"/>
    <w:p>
      <w:pPr>
        <w:spacing w:after="0"/>
        <w:tabs>
          <w:tab w:leader="none" w:pos="3760" w:val="left"/>
          <w:tab w:leader="none" w:pos="786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-78105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373" w:right="239" w:bottom="1440" w:gutter="0" w:footer="0" w:header="0"/>
        </w:sectPr>
      </w:pPr>
    </w:p>
    <w:tbl>
      <w:tblPr>
        <w:tblLayout w:type="fixed"/>
        <w:tblInd w:w="40" w:type="dxa"/>
        <w:tblCellMar>
          <w:top w:w="0" w:type="dxa"/>
          <w:left w:w="0" w:type="dxa"/>
          <w:bottom w:w="0" w:type="dxa"/>
          <w:right w:w="0" w:type="dxa"/>
        </w:tblCellMar>
      </w:tblPr>
      <w:tr>
        <w:trPr>
          <w:trHeight w:val="187"/>
        </w:trPr>
        <w:tc>
          <w:tcPr>
            <w:tcW w:w="1320" w:type="dxa"/>
            <w:vAlign w:val="bottom"/>
          </w:tcPr>
          <w:p>
            <w:pPr>
              <w:jc w:val="right"/>
              <w:ind w:right="830"/>
              <w:spacing w:after="0" w:line="187" w:lineRule="exact"/>
              <w:rPr>
                <w:sz w:val="20"/>
                <w:szCs w:val="20"/>
                <w:color w:val="auto"/>
              </w:rPr>
            </w:pPr>
            <w:r>
              <w:rPr>
                <w:rFonts w:ascii="Arial" w:cs="Arial" w:eastAsia="Arial" w:hAnsi="Arial"/>
                <w:sz w:val="18"/>
                <w:szCs w:val="18"/>
                <w:color w:val="auto"/>
                <w:w w:val="84"/>
              </w:rPr>
              <w:t>10.35</w:t>
            </w:r>
          </w:p>
        </w:tc>
        <w:tc>
          <w:tcPr>
            <w:tcW w:w="5620" w:type="dxa"/>
            <w:vAlign w:val="bottom"/>
            <w:tcBorders>
              <w:bottom w:val="single" w:sz="8" w:color="0000EE"/>
            </w:tcBorders>
            <w:gridSpan w:val="4"/>
          </w:tcPr>
          <w:p>
            <w:pPr>
              <w:spacing w:after="0" w:line="187"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Nitric Acid Supply, Operating and Maintenance Agreement, dated October</w:t>
              </w:r>
            </w:hyperlink>
          </w:p>
        </w:tc>
        <w:tc>
          <w:tcPr>
            <w:tcW w:w="20" w:type="dxa"/>
            <w:vAlign w:val="bottom"/>
          </w:tcPr>
          <w:p>
            <w:pPr>
              <w:spacing w:after="0"/>
              <w:rPr>
                <w:sz w:val="16"/>
                <w:szCs w:val="16"/>
                <w:color w:val="auto"/>
              </w:rPr>
            </w:pPr>
          </w:p>
        </w:tc>
        <w:tc>
          <w:tcPr>
            <w:tcW w:w="4360" w:type="dxa"/>
            <w:vAlign w:val="bottom"/>
          </w:tcPr>
          <w:p>
            <w:pPr>
              <w:ind w:left="100"/>
              <w:spacing w:after="0" w:line="187" w:lineRule="exact"/>
              <w:rPr>
                <w:sz w:val="20"/>
                <w:szCs w:val="20"/>
                <w:color w:val="auto"/>
              </w:rPr>
            </w:pPr>
            <w:r>
              <w:rPr>
                <w:rFonts w:ascii="Arial" w:cs="Arial" w:eastAsia="Arial" w:hAnsi="Arial"/>
                <w:sz w:val="18"/>
                <w:szCs w:val="18"/>
                <w:color w:val="auto"/>
                <w:w w:val="92"/>
              </w:rPr>
              <w:t>Exhibit 10.1 to the Company’s Form 10-Q filed November</w:t>
            </w:r>
          </w:p>
        </w:tc>
      </w:tr>
      <w:tr>
        <w:trPr>
          <w:trHeight w:val="196"/>
        </w:trPr>
        <w:tc>
          <w:tcPr>
            <w:tcW w:w="132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23, 2008, by and among El Dorado Nitrogen, L.P., El Dorado Chemical</w:t>
              </w:r>
            </w:hyperlink>
          </w:p>
        </w:tc>
        <w:tc>
          <w:tcPr>
            <w:tcW w:w="20" w:type="dxa"/>
            <w:vAlign w:val="bottom"/>
          </w:tcPr>
          <w:p>
            <w:pPr>
              <w:spacing w:after="0"/>
              <w:rPr>
                <w:sz w:val="17"/>
                <w:szCs w:val="17"/>
                <w:color w:val="auto"/>
              </w:rPr>
            </w:pPr>
          </w:p>
        </w:tc>
        <w:tc>
          <w:tcPr>
            <w:tcW w:w="4360" w:type="dxa"/>
            <w:vAlign w:val="bottom"/>
          </w:tcPr>
          <w:p>
            <w:pPr>
              <w:ind w:left="100"/>
              <w:spacing w:after="0" w:line="196" w:lineRule="exact"/>
              <w:rPr>
                <w:sz w:val="20"/>
                <w:szCs w:val="20"/>
                <w:color w:val="auto"/>
              </w:rPr>
            </w:pPr>
            <w:r>
              <w:rPr>
                <w:rFonts w:ascii="Arial" w:cs="Arial" w:eastAsia="Arial" w:hAnsi="Arial"/>
                <w:sz w:val="18"/>
                <w:szCs w:val="18"/>
                <w:color w:val="auto"/>
              </w:rPr>
              <w:t>6, 2008</w:t>
            </w:r>
          </w:p>
        </w:tc>
      </w:tr>
      <w:tr>
        <w:trPr>
          <w:trHeight w:val="196"/>
        </w:trPr>
        <w:tc>
          <w:tcPr>
            <w:tcW w:w="1320" w:type="dxa"/>
            <w:vAlign w:val="bottom"/>
          </w:tcPr>
          <w:p>
            <w:pPr>
              <w:spacing w:after="0"/>
              <w:rPr>
                <w:sz w:val="17"/>
                <w:szCs w:val="17"/>
                <w:color w:val="auto"/>
              </w:rPr>
            </w:pPr>
          </w:p>
        </w:tc>
        <w:tc>
          <w:tcPr>
            <w:tcW w:w="5640" w:type="dxa"/>
            <w:vAlign w:val="bottom"/>
            <w:gridSpan w:val="5"/>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Company and Bayer MaterialScience LLC</w:t>
              </w:r>
            </w:hyperlink>
          </w:p>
        </w:tc>
        <w:tc>
          <w:tcPr>
            <w:tcW w:w="4360" w:type="dxa"/>
            <w:vAlign w:val="bottom"/>
          </w:tcPr>
          <w:p>
            <w:pPr>
              <w:spacing w:after="0"/>
              <w:rPr>
                <w:sz w:val="17"/>
                <w:szCs w:val="17"/>
                <w:color w:val="auto"/>
              </w:rPr>
            </w:pPr>
          </w:p>
        </w:tc>
      </w:tr>
      <w:tr>
        <w:trPr>
          <w:trHeight w:val="249"/>
        </w:trPr>
        <w:tc>
          <w:tcPr>
            <w:tcW w:w="1320" w:type="dxa"/>
            <w:vAlign w:val="bottom"/>
          </w:tcPr>
          <w:p>
            <w:pPr>
              <w:spacing w:after="0"/>
              <w:rPr>
                <w:sz w:val="21"/>
                <w:szCs w:val="21"/>
                <w:color w:val="auto"/>
              </w:rPr>
            </w:pPr>
          </w:p>
        </w:tc>
        <w:tc>
          <w:tcPr>
            <w:tcW w:w="24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CERTAIN  INFORMATION  WITHIN  THIS  EXHIBIT</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9"/>
              </w:rPr>
              <w:t>HAS BEEN OMITTED AS IT IS THE SUBJECT OF A</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COMMISSION   ORDER   CF   #30125,   DATED</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OCTOBER 4, 2013, GRANTING REQUEST BY THE</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COMPANY FOR CONFIDENTIAL TREATMENT BY</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THE SECURITIES AND EXCHANGE COMMISSION</w:t>
            </w:r>
          </w:p>
        </w:tc>
      </w:tr>
      <w:tr>
        <w:trPr>
          <w:trHeight w:val="230"/>
        </w:trPr>
        <w:tc>
          <w:tcPr>
            <w:tcW w:w="1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UNDER THE FREEDOM OF INFORMATION ACT.</w:t>
            </w:r>
          </w:p>
        </w:tc>
      </w:tr>
      <w:tr>
        <w:trPr>
          <w:trHeight w:val="297"/>
        </w:trPr>
        <w:tc>
          <w:tcPr>
            <w:tcW w:w="1320" w:type="dxa"/>
            <w:vAlign w:val="bottom"/>
          </w:tcPr>
          <w:p>
            <w:pPr>
              <w:jc w:val="right"/>
              <w:ind w:right="830"/>
              <w:spacing w:after="0"/>
              <w:rPr>
                <w:sz w:val="20"/>
                <w:szCs w:val="20"/>
                <w:color w:val="auto"/>
              </w:rPr>
            </w:pPr>
            <w:r>
              <w:rPr>
                <w:rFonts w:ascii="Arial" w:cs="Arial" w:eastAsia="Arial" w:hAnsi="Arial"/>
                <w:sz w:val="18"/>
                <w:szCs w:val="18"/>
                <w:color w:val="auto"/>
                <w:w w:val="84"/>
              </w:rPr>
              <w:t>10.36</w:t>
            </w:r>
          </w:p>
        </w:tc>
        <w:tc>
          <w:tcPr>
            <w:tcW w:w="5620" w:type="dxa"/>
            <w:vAlign w:val="bottom"/>
            <w:tcBorders>
              <w:bottom w:val="single" w:sz="8" w:color="0000EE"/>
            </w:tcBorders>
            <w:gridSpan w:val="4"/>
          </w:tcPr>
          <w:p>
            <w:pPr>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Second Amendment to the Nitric Acid Supply, Operating and Maintenance</w:t>
              </w:r>
            </w:hyperlink>
          </w:p>
        </w:tc>
        <w:tc>
          <w:tcPr>
            <w:tcW w:w="20" w:type="dxa"/>
            <w:vAlign w:val="bottom"/>
          </w:tcPr>
          <w:p>
            <w:pPr>
              <w:spacing w:after="0"/>
              <w:rPr>
                <w:sz w:val="24"/>
                <w:szCs w:val="24"/>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4"/>
              </w:rPr>
              <w:t>Exhibit 10.2 to the Company’s Form 10-Q filed August 6,</w:t>
            </w:r>
          </w:p>
        </w:tc>
      </w:tr>
      <w:tr>
        <w:trPr>
          <w:trHeight w:val="196"/>
        </w:trPr>
        <w:tc>
          <w:tcPr>
            <w:tcW w:w="13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Agreement, dated June 16, 2010, by and among El Dorado Nitrogen, L.P., El</w:t>
              </w:r>
            </w:hyperlink>
          </w:p>
        </w:tc>
        <w:tc>
          <w:tcPr>
            <w:tcW w:w="4360" w:type="dxa"/>
            <w:vAlign w:val="bottom"/>
          </w:tcPr>
          <w:p>
            <w:pPr>
              <w:ind w:left="100"/>
              <w:spacing w:after="0" w:line="196" w:lineRule="exact"/>
              <w:rPr>
                <w:sz w:val="20"/>
                <w:szCs w:val="20"/>
                <w:color w:val="auto"/>
              </w:rPr>
            </w:pPr>
            <w:r>
              <w:rPr>
                <w:rFonts w:ascii="Arial" w:cs="Arial" w:eastAsia="Arial" w:hAnsi="Arial"/>
                <w:sz w:val="18"/>
                <w:szCs w:val="18"/>
                <w:color w:val="auto"/>
              </w:rPr>
              <w:t>2010</w:t>
            </w:r>
          </w:p>
        </w:tc>
      </w:tr>
      <w:tr>
        <w:trPr>
          <w:trHeight w:val="196"/>
        </w:trPr>
        <w:tc>
          <w:tcPr>
            <w:tcW w:w="1320" w:type="dxa"/>
            <w:vAlign w:val="bottom"/>
          </w:tcPr>
          <w:p>
            <w:pPr>
              <w:spacing w:after="0"/>
              <w:rPr>
                <w:sz w:val="17"/>
                <w:szCs w:val="17"/>
                <w:color w:val="auto"/>
              </w:rPr>
            </w:pPr>
          </w:p>
        </w:tc>
        <w:tc>
          <w:tcPr>
            <w:tcW w:w="5640" w:type="dxa"/>
            <w:vAlign w:val="bottom"/>
            <w:gridSpan w:val="5"/>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Dorado Chemical Company and Bayer MaterialScience LLC</w:t>
              </w:r>
            </w:hyperlink>
          </w:p>
        </w:tc>
        <w:tc>
          <w:tcPr>
            <w:tcW w:w="4360" w:type="dxa"/>
            <w:vAlign w:val="bottom"/>
          </w:tcPr>
          <w:p>
            <w:pPr>
              <w:spacing w:after="0"/>
              <w:rPr>
                <w:sz w:val="17"/>
                <w:szCs w:val="17"/>
                <w:color w:val="auto"/>
              </w:rPr>
            </w:pPr>
          </w:p>
        </w:tc>
      </w:tr>
      <w:tr>
        <w:trPr>
          <w:trHeight w:val="249"/>
        </w:trPr>
        <w:tc>
          <w:tcPr>
            <w:tcW w:w="1320" w:type="dxa"/>
            <w:vAlign w:val="bottom"/>
          </w:tcPr>
          <w:p>
            <w:pPr>
              <w:spacing w:after="0"/>
              <w:rPr>
                <w:sz w:val="21"/>
                <w:szCs w:val="21"/>
                <w:color w:val="auto"/>
              </w:rPr>
            </w:pPr>
          </w:p>
        </w:tc>
        <w:tc>
          <w:tcPr>
            <w:tcW w:w="24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32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CERTAIN  INFORMATION  WITHIN  THIS  EXHIBIT</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9"/>
              </w:rPr>
              <w:t>HAS BEEN OMITTED AS IT IS THE SUBJECT OF A</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COMMISSION   ORDER   CF   #30124,   DATED</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OCTOBER 4, 2013, GRANTING REQUEST BY THE</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COMPANY FOR CONFIDENTIAL TREATMENT BY</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THE SECURITIES AND EXCHANGE COMMISSION</w:t>
            </w:r>
          </w:p>
        </w:tc>
      </w:tr>
      <w:tr>
        <w:trPr>
          <w:trHeight w:val="230"/>
        </w:trPr>
        <w:tc>
          <w:tcPr>
            <w:tcW w:w="1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UNDER THE FREEDOM OF INFORMATION ACT.</w:t>
            </w:r>
          </w:p>
        </w:tc>
      </w:tr>
      <w:tr>
        <w:trPr>
          <w:trHeight w:val="297"/>
        </w:trPr>
        <w:tc>
          <w:tcPr>
            <w:tcW w:w="1320" w:type="dxa"/>
            <w:vAlign w:val="bottom"/>
          </w:tcPr>
          <w:p>
            <w:pPr>
              <w:jc w:val="right"/>
              <w:ind w:right="830"/>
              <w:spacing w:after="0"/>
              <w:rPr>
                <w:sz w:val="20"/>
                <w:szCs w:val="20"/>
                <w:color w:val="auto"/>
              </w:rPr>
            </w:pPr>
            <w:r>
              <w:rPr>
                <w:rFonts w:ascii="Arial" w:cs="Arial" w:eastAsia="Arial" w:hAnsi="Arial"/>
                <w:sz w:val="18"/>
                <w:szCs w:val="18"/>
                <w:color w:val="auto"/>
                <w:w w:val="84"/>
              </w:rPr>
              <w:t>10.37</w:t>
            </w:r>
          </w:p>
        </w:tc>
        <w:tc>
          <w:tcPr>
            <w:tcW w:w="5640" w:type="dxa"/>
            <w:vAlign w:val="bottom"/>
            <w:tcBorders>
              <w:bottom w:val="single" w:sz="8" w:color="0000EE"/>
            </w:tcBorders>
            <w:gridSpan w:val="5"/>
          </w:tcPr>
          <w:p>
            <w:pPr>
              <w:spacing w:after="0"/>
              <w:rPr>
                <w:rFonts w:ascii="Arial" w:cs="Arial" w:eastAsia="Arial" w:hAnsi="Arial"/>
                <w:sz w:val="18"/>
                <w:szCs w:val="18"/>
                <w:color w:val="0000EE"/>
                <w:w w:val="98"/>
              </w:rPr>
            </w:pPr>
            <w:hyperlink r:id="rId128">
              <w:r>
                <w:rPr>
                  <w:rFonts w:ascii="Arial" w:cs="Arial" w:eastAsia="Arial" w:hAnsi="Arial"/>
                  <w:sz w:val="18"/>
                  <w:szCs w:val="18"/>
                  <w:color w:val="0000EE"/>
                  <w:w w:val="98"/>
                </w:rPr>
                <w:t>Third Amendment to the Nitric Acid Supply, Operating and Maintenance</w:t>
              </w:r>
            </w:hyperlink>
          </w:p>
        </w:tc>
        <w:tc>
          <w:tcPr>
            <w:tcW w:w="4360" w:type="dxa"/>
            <w:vAlign w:val="bottom"/>
          </w:tcPr>
          <w:p>
            <w:pPr>
              <w:ind w:left="100"/>
              <w:spacing w:after="0"/>
              <w:rPr>
                <w:sz w:val="20"/>
                <w:szCs w:val="20"/>
                <w:color w:val="auto"/>
              </w:rPr>
            </w:pPr>
            <w:r>
              <w:rPr>
                <w:rFonts w:ascii="Arial" w:cs="Arial" w:eastAsia="Arial" w:hAnsi="Arial"/>
                <w:sz w:val="18"/>
                <w:szCs w:val="18"/>
                <w:color w:val="auto"/>
                <w:w w:val="94"/>
              </w:rPr>
              <w:t>Exhibit 10.3 to the Company’s Form 10-Q filed August 9,</w:t>
            </w:r>
          </w:p>
        </w:tc>
      </w:tr>
      <w:tr>
        <w:trPr>
          <w:trHeight w:val="196"/>
        </w:trPr>
        <w:tc>
          <w:tcPr>
            <w:tcW w:w="13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Agreement, dated June 25, 2013, by and among El Dorado Nitrogen, L.P., El</w:t>
              </w:r>
            </w:hyperlink>
          </w:p>
        </w:tc>
        <w:tc>
          <w:tcPr>
            <w:tcW w:w="4360" w:type="dxa"/>
            <w:vAlign w:val="bottom"/>
          </w:tcPr>
          <w:p>
            <w:pPr>
              <w:ind w:left="100"/>
              <w:spacing w:after="0" w:line="196" w:lineRule="exact"/>
              <w:rPr>
                <w:sz w:val="20"/>
                <w:szCs w:val="20"/>
                <w:color w:val="auto"/>
              </w:rPr>
            </w:pPr>
            <w:r>
              <w:rPr>
                <w:rFonts w:ascii="Arial" w:cs="Arial" w:eastAsia="Arial" w:hAnsi="Arial"/>
                <w:sz w:val="18"/>
                <w:szCs w:val="18"/>
                <w:color w:val="auto"/>
              </w:rPr>
              <w:t>2013</w:t>
            </w:r>
          </w:p>
        </w:tc>
      </w:tr>
      <w:tr>
        <w:trPr>
          <w:trHeight w:val="196"/>
        </w:trPr>
        <w:tc>
          <w:tcPr>
            <w:tcW w:w="1320" w:type="dxa"/>
            <w:vAlign w:val="bottom"/>
          </w:tcPr>
          <w:p>
            <w:pPr>
              <w:spacing w:after="0"/>
              <w:rPr>
                <w:sz w:val="17"/>
                <w:szCs w:val="17"/>
                <w:color w:val="auto"/>
              </w:rPr>
            </w:pPr>
          </w:p>
        </w:tc>
        <w:tc>
          <w:tcPr>
            <w:tcW w:w="5640" w:type="dxa"/>
            <w:vAlign w:val="bottom"/>
            <w:gridSpan w:val="5"/>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Dorado Chemical Company and Bayer MaterialScience LLC</w:t>
              </w:r>
            </w:hyperlink>
          </w:p>
        </w:tc>
        <w:tc>
          <w:tcPr>
            <w:tcW w:w="4360" w:type="dxa"/>
            <w:vAlign w:val="bottom"/>
          </w:tcPr>
          <w:p>
            <w:pPr>
              <w:spacing w:after="0"/>
              <w:rPr>
                <w:sz w:val="17"/>
                <w:szCs w:val="17"/>
                <w:color w:val="auto"/>
              </w:rPr>
            </w:pPr>
          </w:p>
        </w:tc>
      </w:tr>
      <w:tr>
        <w:trPr>
          <w:trHeight w:val="249"/>
        </w:trPr>
        <w:tc>
          <w:tcPr>
            <w:tcW w:w="1320" w:type="dxa"/>
            <w:vAlign w:val="bottom"/>
          </w:tcPr>
          <w:p>
            <w:pPr>
              <w:spacing w:after="0"/>
              <w:rPr>
                <w:sz w:val="21"/>
                <w:szCs w:val="21"/>
                <w:color w:val="auto"/>
              </w:rPr>
            </w:pPr>
          </w:p>
        </w:tc>
        <w:tc>
          <w:tcPr>
            <w:tcW w:w="24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32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CERTAIN  INFORMATION  WITHIN  THIS  EXHIBIT</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HAS  BEEN  OMITTED  AS  IT  IS  SUBJECT  OF  A</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COMMISSION   ORDER   CF   #30123,   DATED</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OCTOBER 4, 2013, GRANTING REQUEST BY THE</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COMPANY FOR CONFIDENTIAL TREATMENT BY</w:t>
            </w:r>
          </w:p>
        </w:tc>
      </w:tr>
      <w:tr>
        <w:trPr>
          <w:trHeight w:val="216"/>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THE SECURITIES AND EXCHANGE COMMISSION</w:t>
            </w:r>
          </w:p>
        </w:tc>
      </w:tr>
      <w:tr>
        <w:trPr>
          <w:trHeight w:val="230"/>
        </w:trPr>
        <w:tc>
          <w:tcPr>
            <w:tcW w:w="1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UNDER THE FREEDOM OF INFORMATION ACT.</w:t>
            </w:r>
          </w:p>
        </w:tc>
      </w:tr>
      <w:tr>
        <w:trPr>
          <w:trHeight w:val="297"/>
        </w:trPr>
        <w:tc>
          <w:tcPr>
            <w:tcW w:w="1320" w:type="dxa"/>
            <w:vAlign w:val="bottom"/>
          </w:tcPr>
          <w:p>
            <w:pPr>
              <w:jc w:val="right"/>
              <w:ind w:right="830"/>
              <w:spacing w:after="0"/>
              <w:rPr>
                <w:sz w:val="20"/>
                <w:szCs w:val="20"/>
                <w:color w:val="auto"/>
              </w:rPr>
            </w:pPr>
            <w:r>
              <w:rPr>
                <w:rFonts w:ascii="Arial" w:cs="Arial" w:eastAsia="Arial" w:hAnsi="Arial"/>
                <w:sz w:val="18"/>
                <w:szCs w:val="18"/>
                <w:color w:val="auto"/>
                <w:w w:val="84"/>
              </w:rPr>
              <w:t>10.38</w:t>
            </w:r>
          </w:p>
        </w:tc>
        <w:tc>
          <w:tcPr>
            <w:tcW w:w="5620" w:type="dxa"/>
            <w:vAlign w:val="bottom"/>
            <w:tcBorders>
              <w:bottom w:val="single" w:sz="8" w:color="0000EE"/>
            </w:tcBorders>
            <w:gridSpan w:val="4"/>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Asset Purchase Agreement, dated as of December 6, 2002, by and among</w:t>
              </w:r>
            </w:hyperlink>
          </w:p>
        </w:tc>
        <w:tc>
          <w:tcPr>
            <w:tcW w:w="20" w:type="dxa"/>
            <w:vAlign w:val="bottom"/>
          </w:tcPr>
          <w:p>
            <w:pPr>
              <w:spacing w:after="0"/>
              <w:rPr>
                <w:sz w:val="24"/>
                <w:szCs w:val="24"/>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Exhibit  2.1  to  the  Company’s  Form  8-K  dated</w:t>
            </w:r>
          </w:p>
        </w:tc>
      </w:tr>
      <w:tr>
        <w:trPr>
          <w:trHeight w:val="196"/>
        </w:trPr>
        <w:tc>
          <w:tcPr>
            <w:tcW w:w="1320" w:type="dxa"/>
            <w:vAlign w:val="bottom"/>
          </w:tcPr>
          <w:p>
            <w:pPr>
              <w:spacing w:after="0"/>
              <w:rPr>
                <w:sz w:val="17"/>
                <w:szCs w:val="17"/>
                <w:color w:val="auto"/>
              </w:rPr>
            </w:pPr>
          </w:p>
        </w:tc>
        <w:tc>
          <w:tcPr>
            <w:tcW w:w="10000" w:type="dxa"/>
            <w:vAlign w:val="bottom"/>
            <w:gridSpan w:val="6"/>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 xml:space="preserve">Energetic Systems Inc. LLC, UTeC Corporation, LLC, SEC Investment Corp.  </w:t>
              </w:r>
            </w:hyperlink>
            <w:r>
              <w:rPr>
                <w:rFonts w:ascii="Arial" w:cs="Arial" w:eastAsia="Arial" w:hAnsi="Arial"/>
                <w:sz w:val="18"/>
                <w:szCs w:val="18"/>
                <w:color w:val="000000"/>
              </w:rPr>
              <w:t>December</w:t>
            </w:r>
            <w:r>
              <w:rPr>
                <w:rFonts w:ascii="Arial" w:cs="Arial" w:eastAsia="Arial" w:hAnsi="Arial"/>
                <w:sz w:val="18"/>
                <w:szCs w:val="18"/>
                <w:color w:val="0000EE"/>
              </w:rPr>
              <w:t xml:space="preserve"> </w:t>
            </w:r>
            <w:r>
              <w:rPr>
                <w:rFonts w:ascii="Arial" w:cs="Arial" w:eastAsia="Arial" w:hAnsi="Arial"/>
                <w:sz w:val="18"/>
                <w:szCs w:val="18"/>
                <w:color w:val="000000"/>
              </w:rPr>
              <w:t>27, 2002</w:t>
            </w:r>
          </w:p>
        </w:tc>
      </w:tr>
      <w:tr>
        <w:trPr>
          <w:trHeight w:val="196"/>
        </w:trPr>
        <w:tc>
          <w:tcPr>
            <w:tcW w:w="13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LLC, DetaCorp Inc. LLC, Energetic Properties, LLC, Slurry Explosive</w:t>
              </w:r>
            </w:hyperlink>
          </w:p>
        </w:tc>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Corporation, Universal Tech Corporation, El Dorado Chemical Company,</w:t>
              </w:r>
            </w:hyperlink>
          </w:p>
        </w:tc>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LSB  Chemical  Corp.,  LSB  Industries,  Inc.  and  Slurry  Explosive</w:t>
              </w:r>
            </w:hyperlink>
          </w:p>
        </w:tc>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640" w:type="dxa"/>
            <w:vAlign w:val="bottom"/>
            <w:gridSpan w:val="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Manufacturing Corporation, LLC</w:t>
              </w:r>
            </w:hyperlink>
          </w:p>
        </w:tc>
        <w:tc>
          <w:tcPr>
            <w:tcW w:w="43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18"/>
        </w:trPr>
        <w:tc>
          <w:tcPr>
            <w:tcW w:w="1320" w:type="dxa"/>
            <w:vAlign w:val="bottom"/>
          </w:tcPr>
          <w:p>
            <w:pPr>
              <w:jc w:val="right"/>
              <w:ind w:right="830"/>
              <w:spacing w:after="0"/>
              <w:rPr>
                <w:sz w:val="20"/>
                <w:szCs w:val="20"/>
                <w:color w:val="auto"/>
              </w:rPr>
            </w:pPr>
            <w:r>
              <w:rPr>
                <w:rFonts w:ascii="Arial" w:cs="Arial" w:eastAsia="Arial" w:hAnsi="Arial"/>
                <w:sz w:val="18"/>
                <w:szCs w:val="18"/>
                <w:color w:val="auto"/>
                <w:w w:val="84"/>
              </w:rPr>
              <w:t>10.39</w:t>
            </w:r>
          </w:p>
        </w:tc>
        <w:tc>
          <w:tcPr>
            <w:tcW w:w="5620" w:type="dxa"/>
            <w:vAlign w:val="bottom"/>
            <w:tcBorders>
              <w:bottom w:val="single" w:sz="8" w:color="0000EE"/>
            </w:tcBorders>
            <w:gridSpan w:val="4"/>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Exhibits and Disclosure Letters to the Asset Purchase Agreement, dated as of</w:t>
              </w:r>
            </w:hyperlink>
          </w:p>
        </w:tc>
        <w:tc>
          <w:tcPr>
            <w:tcW w:w="20" w:type="dxa"/>
            <w:vAlign w:val="bottom"/>
          </w:tcPr>
          <w:p>
            <w:pPr>
              <w:spacing w:after="0"/>
              <w:rPr>
                <w:sz w:val="24"/>
                <w:szCs w:val="24"/>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2"/>
              </w:rPr>
              <w:t>Exhibit 10.1b to the Company’s Form 10-Q filed August 6,</w:t>
            </w:r>
          </w:p>
        </w:tc>
      </w:tr>
      <w:tr>
        <w:trPr>
          <w:trHeight w:val="196"/>
        </w:trPr>
        <w:tc>
          <w:tcPr>
            <w:tcW w:w="132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December 6, 2002, by and among Energetic Systems Inc. LLC, UTeC</w:t>
              </w:r>
            </w:hyperlink>
          </w:p>
        </w:tc>
        <w:tc>
          <w:tcPr>
            <w:tcW w:w="20" w:type="dxa"/>
            <w:vAlign w:val="bottom"/>
          </w:tcPr>
          <w:p>
            <w:pPr>
              <w:spacing w:after="0"/>
              <w:rPr>
                <w:sz w:val="17"/>
                <w:szCs w:val="17"/>
                <w:color w:val="auto"/>
              </w:rPr>
            </w:pPr>
          </w:p>
        </w:tc>
        <w:tc>
          <w:tcPr>
            <w:tcW w:w="4360" w:type="dxa"/>
            <w:vAlign w:val="bottom"/>
          </w:tcPr>
          <w:p>
            <w:pPr>
              <w:ind w:left="100"/>
              <w:spacing w:after="0" w:line="196" w:lineRule="exact"/>
              <w:rPr>
                <w:sz w:val="20"/>
                <w:szCs w:val="20"/>
                <w:color w:val="auto"/>
              </w:rPr>
            </w:pPr>
            <w:r>
              <w:rPr>
                <w:rFonts w:ascii="Arial" w:cs="Arial" w:eastAsia="Arial" w:hAnsi="Arial"/>
                <w:sz w:val="18"/>
                <w:szCs w:val="18"/>
                <w:color w:val="auto"/>
              </w:rPr>
              <w:t>2010</w:t>
            </w:r>
          </w:p>
        </w:tc>
      </w:tr>
      <w:tr>
        <w:trPr>
          <w:trHeight w:val="196"/>
        </w:trPr>
        <w:tc>
          <w:tcPr>
            <w:tcW w:w="13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r:id="rId130">
              <w:r>
                <w:rPr>
                  <w:rFonts w:ascii="Arial" w:cs="Arial" w:eastAsia="Arial" w:hAnsi="Arial"/>
                  <w:sz w:val="18"/>
                  <w:szCs w:val="18"/>
                  <w:color w:val="0000EE"/>
                  <w:w w:val="98"/>
                </w:rPr>
                <w:t>Corporation,  LLC,  SEC  Investment  Corp.  LLC,  DetaCorp  Inc.  LLC,</w:t>
              </w:r>
            </w:hyperlink>
          </w:p>
        </w:tc>
        <w:tc>
          <w:tcPr>
            <w:tcW w:w="43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Energetic Properties, LLC, Slurry Explosive Corporation, Universal Tech</w:t>
              </w:r>
            </w:hyperlink>
          </w:p>
        </w:tc>
        <w:tc>
          <w:tcPr>
            <w:tcW w:w="4360" w:type="dxa"/>
            <w:vAlign w:val="bottom"/>
          </w:tcPr>
          <w:p>
            <w:pPr>
              <w:spacing w:after="0"/>
              <w:rPr>
                <w:sz w:val="17"/>
                <w:szCs w:val="17"/>
                <w:color w:val="auto"/>
              </w:rPr>
            </w:pPr>
          </w:p>
        </w:tc>
      </w:tr>
    </w:tbl>
    <w:p>
      <w:pPr>
        <w:spacing w:after="0" w:line="13" w:lineRule="exact"/>
        <w:rPr>
          <w:sz w:val="20"/>
          <w:szCs w:val="20"/>
          <w:color w:val="auto"/>
        </w:rPr>
      </w:pPr>
    </w:p>
    <w:p>
      <w:pPr>
        <w:ind w:left="1360"/>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Corporation, El Dorado Chemical Company, LSB Chemical Corp., LSB</w:t>
        </w:r>
      </w:hyperlink>
    </w:p>
    <w:p>
      <w:pPr>
        <w:spacing w:after="0" w:line="23" w:lineRule="exact"/>
        <w:rPr>
          <w:sz w:val="20"/>
          <w:szCs w:val="20"/>
          <w:color w:val="auto"/>
        </w:rPr>
      </w:pPr>
    </w:p>
    <w:p>
      <w:pPr>
        <w:ind w:left="1360"/>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Industries, Inc. and Slurry Explosive Manufacturing Corporation, LLC</w:t>
        </w:r>
      </w:hyperlink>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373" w:right="239" w:bottom="1440" w:gutter="0" w:footer="0" w:header="0"/>
          <w:type w:val="continuous"/>
        </w:sectPr>
      </w:pPr>
    </w:p>
    <w:bookmarkStart w:id="49" w:name="page50"/>
    <w:bookmarkEnd w:id="49"/>
    <w:p>
      <w:pPr>
        <w:ind w:left="60"/>
        <w:spacing w:after="0"/>
        <w:tabs>
          <w:tab w:leader="none" w:pos="3820" w:val="left"/>
          <w:tab w:leader="none" w:pos="79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sectPr>
      </w:pPr>
    </w:p>
    <w:tbl>
      <w:tblPr>
        <w:tblLayout w:type="fixed"/>
        <w:tblInd w:w="0" w:type="dxa"/>
        <w:tblCellMar>
          <w:top w:w="0" w:type="dxa"/>
          <w:left w:w="0" w:type="dxa"/>
          <w:bottom w:w="0" w:type="dxa"/>
          <w:right w:w="0" w:type="dxa"/>
        </w:tblCellMar>
      </w:tblPr>
      <w:tr>
        <w:trPr>
          <w:trHeight w:val="187"/>
        </w:trPr>
        <w:tc>
          <w:tcPr>
            <w:tcW w:w="1420" w:type="dxa"/>
            <w:vAlign w:val="bottom"/>
          </w:tcPr>
          <w:p>
            <w:pPr>
              <w:jc w:val="right"/>
              <w:ind w:right="830"/>
              <w:spacing w:after="0" w:line="187" w:lineRule="exact"/>
              <w:rPr>
                <w:sz w:val="20"/>
                <w:szCs w:val="20"/>
                <w:color w:val="auto"/>
              </w:rPr>
            </w:pPr>
            <w:r>
              <w:rPr>
                <w:rFonts w:ascii="Arial" w:cs="Arial" w:eastAsia="Arial" w:hAnsi="Arial"/>
                <w:sz w:val="18"/>
                <w:szCs w:val="18"/>
                <w:color w:val="auto"/>
              </w:rPr>
              <w:t>10.40</w:t>
            </w:r>
          </w:p>
        </w:tc>
        <w:tc>
          <w:tcPr>
            <w:tcW w:w="5660" w:type="dxa"/>
            <w:vAlign w:val="bottom"/>
            <w:tcBorders>
              <w:bottom w:val="single" w:sz="8" w:color="0000EE"/>
            </w:tcBorders>
            <w:gridSpan w:val="11"/>
          </w:tcPr>
          <w:p>
            <w:pPr>
              <w:spacing w:after="0" w:line="187"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Ammonia Purchase and Sale Agreement by and between El Dorado Chemical</w:t>
              </w:r>
            </w:hyperlink>
          </w:p>
        </w:tc>
        <w:tc>
          <w:tcPr>
            <w:tcW w:w="20" w:type="dxa"/>
            <w:vAlign w:val="bottom"/>
          </w:tcPr>
          <w:p>
            <w:pPr>
              <w:spacing w:after="0"/>
              <w:rPr>
                <w:sz w:val="16"/>
                <w:szCs w:val="16"/>
                <w:color w:val="auto"/>
              </w:rPr>
            </w:pPr>
          </w:p>
        </w:tc>
        <w:tc>
          <w:tcPr>
            <w:tcW w:w="4340" w:type="dxa"/>
            <w:vAlign w:val="bottom"/>
          </w:tcPr>
          <w:p>
            <w:pPr>
              <w:ind w:left="60"/>
              <w:spacing w:after="0" w:line="187" w:lineRule="exact"/>
              <w:rPr>
                <w:sz w:val="20"/>
                <w:szCs w:val="20"/>
                <w:color w:val="auto"/>
              </w:rPr>
            </w:pPr>
            <w:r>
              <w:rPr>
                <w:rFonts w:ascii="Arial" w:cs="Arial" w:eastAsia="Arial" w:hAnsi="Arial"/>
                <w:sz w:val="18"/>
                <w:szCs w:val="18"/>
                <w:color w:val="auto"/>
                <w:w w:val="93"/>
              </w:rPr>
              <w:t>Exhibit 10.49 to the Company’s Form 10-K filed February</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Company and Koch Fertilizer, LLC, dated as of November 2, 2015</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29, 2016</w:t>
            </w:r>
          </w:p>
        </w:tc>
        <w:tc>
          <w:tcPr>
            <w:tcW w:w="0" w:type="dxa"/>
            <w:vAlign w:val="bottom"/>
          </w:tcPr>
          <w:p>
            <w:pPr>
              <w:spacing w:after="0"/>
              <w:rPr>
                <w:sz w:val="1"/>
                <w:szCs w:val="1"/>
                <w:color w:val="auto"/>
              </w:rPr>
            </w:pPr>
          </w:p>
        </w:tc>
      </w:tr>
      <w:tr>
        <w:trPr>
          <w:trHeight w:val="438"/>
        </w:trPr>
        <w:tc>
          <w:tcPr>
            <w:tcW w:w="14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9"/>
              </w:rPr>
              <w:t>COMMISSION ORDER CF #33502, DATED APRIL 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2016, GRANTING REQUEST BY THE COMPANY FOR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9"/>
              </w:rPr>
              <w:t>CONFIDENTIAL TREATMENT BY THE SECURITIES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AND  EXCHANGE  COMMISSION  UNDER  THE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FREEDOM OF INFORMATION ACT.</w:t>
            </w:r>
          </w:p>
        </w:tc>
        <w:tc>
          <w:tcPr>
            <w:tcW w:w="0" w:type="dxa"/>
            <w:vAlign w:val="bottom"/>
          </w:tcPr>
          <w:p>
            <w:pPr>
              <w:spacing w:after="0"/>
              <w:rPr>
                <w:sz w:val="1"/>
                <w:szCs w:val="1"/>
                <w:color w:val="auto"/>
              </w:rPr>
            </w:pPr>
          </w:p>
        </w:tc>
      </w:tr>
      <w:tr>
        <w:trPr>
          <w:trHeight w:val="29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10.41</w:t>
            </w:r>
          </w:p>
        </w:tc>
        <w:tc>
          <w:tcPr>
            <w:tcW w:w="5580" w:type="dxa"/>
            <w:vAlign w:val="bottom"/>
            <w:tcBorders>
              <w:bottom w:val="single" w:sz="8" w:color="0000EE"/>
            </w:tcBorders>
            <w:gridSpan w:val="9"/>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Second Amendment to Ammonia Purchase and Sale Agreement Between</w:t>
              </w:r>
            </w:hyperlink>
          </w:p>
        </w:tc>
        <w:tc>
          <w:tcPr>
            <w:tcW w:w="10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10-Q filed October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Koch</w:t>
              </w:r>
            </w:hyperlink>
          </w:p>
        </w:tc>
        <w:tc>
          <w:tcPr>
            <w:tcW w:w="5160" w:type="dxa"/>
            <w:vAlign w:val="bottom"/>
            <w:tcBorders>
              <w:bottom w:val="single" w:sz="8" w:color="0000EE"/>
            </w:tcBorders>
            <w:gridSpan w:val="9"/>
          </w:tcPr>
          <w:p>
            <w:pPr>
              <w:jc w:val="right"/>
              <w:ind w:right="20"/>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Fertilizer, LLC  and El Dorado Chemical Company, dated as of</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29, 2019</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September 30, 2019</w:t>
              </w:r>
            </w:hyperlink>
          </w:p>
        </w:tc>
        <w:tc>
          <w:tcPr>
            <w:tcW w:w="4340" w:type="dxa"/>
            <w:vAlign w:val="bottom"/>
            <w:vMerge w:val="restart"/>
          </w:tcPr>
          <w:p>
            <w:pPr>
              <w:ind w:left="60"/>
              <w:spacing w:after="0"/>
              <w:rPr>
                <w:sz w:val="20"/>
                <w:szCs w:val="20"/>
                <w:color w:val="auto"/>
              </w:rPr>
            </w:pPr>
            <w:r>
              <w:rPr>
                <w:rFonts w:ascii="Arial" w:cs="Arial" w:eastAsia="Arial" w:hAnsi="Arial"/>
                <w:sz w:val="18"/>
                <w:szCs w:val="18"/>
                <w:color w:val="auto"/>
              </w:rPr>
              <w:t>CERTAIN CONFIDENTIAL INFORMATION WITHIN</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THIS EXHIBIT HAS BEEN OMITTED.</w:t>
            </w:r>
          </w:p>
        </w:tc>
        <w:tc>
          <w:tcPr>
            <w:tcW w:w="0" w:type="dxa"/>
            <w:vAlign w:val="bottom"/>
          </w:tcPr>
          <w:p>
            <w:pPr>
              <w:spacing w:after="0"/>
              <w:rPr>
                <w:sz w:val="1"/>
                <w:szCs w:val="1"/>
                <w:color w:val="auto"/>
              </w:rPr>
            </w:pPr>
          </w:p>
        </w:tc>
      </w:tr>
      <w:tr>
        <w:trPr>
          <w:trHeight w:val="29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10.42</w:t>
            </w:r>
          </w:p>
        </w:tc>
        <w:tc>
          <w:tcPr>
            <w:tcW w:w="5580" w:type="dxa"/>
            <w:vAlign w:val="bottom"/>
            <w:tcBorders>
              <w:bottom w:val="single" w:sz="8" w:color="0000EE"/>
            </w:tcBorders>
            <w:gridSpan w:val="9"/>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Urea Ammonium Nitrate Purchase and Sale Agreement dated as of March 3,</w:t>
              </w:r>
            </w:hyperlink>
          </w:p>
        </w:tc>
        <w:tc>
          <w:tcPr>
            <w:tcW w:w="10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4"/>
              </w:rPr>
              <w:t>Exhibit 10.1 to the Company’s Form 10-Q filed August 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8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2016 and effective as of June 1, 2016 between Coffeyville Resources</w:t>
              </w:r>
            </w:hyperlink>
          </w:p>
        </w:tc>
        <w:tc>
          <w:tcPr>
            <w:tcW w:w="10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Nitrogen Fertilizers, LLC and Pryor Chemical Company</w:t>
              </w:r>
            </w:hyperlink>
          </w:p>
        </w:tc>
        <w:tc>
          <w:tcPr>
            <w:tcW w:w="4340" w:type="dxa"/>
            <w:vAlign w:val="bottom"/>
            <w:vMerge w:val="restart"/>
          </w:tcPr>
          <w:p>
            <w:pPr>
              <w:ind w:left="6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7"/>
              </w:rPr>
              <w:t>COMMISSION ORDER CF #33783.  DATED AUGUST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8"/>
              </w:rPr>
              <w:t>30, 2016, GRANTING REQUEST BY THE COMPANY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10.43</w:t>
            </w:r>
          </w:p>
        </w:tc>
        <w:tc>
          <w:tcPr>
            <w:tcW w:w="480" w:type="dxa"/>
            <w:vAlign w:val="bottom"/>
          </w:tcPr>
          <w:p>
            <w:pPr>
              <w:spacing w:after="0"/>
              <w:rPr>
                <w:rFonts w:ascii="Arial" w:cs="Arial" w:eastAsia="Arial" w:hAnsi="Arial"/>
                <w:sz w:val="18"/>
                <w:szCs w:val="18"/>
                <w:color w:val="0000EE"/>
              </w:rPr>
            </w:pPr>
            <w:hyperlink r:id="rId136">
              <w:r>
                <w:rPr>
                  <w:rFonts w:ascii="Arial" w:cs="Arial" w:eastAsia="Arial" w:hAnsi="Arial"/>
                  <w:sz w:val="18"/>
                  <w:szCs w:val="18"/>
                  <w:color w:val="0000EE"/>
                </w:rPr>
                <w:t>Stock</w:t>
              </w:r>
            </w:hyperlink>
          </w:p>
        </w:tc>
        <w:tc>
          <w:tcPr>
            <w:tcW w:w="5200" w:type="dxa"/>
            <w:vAlign w:val="bottom"/>
            <w:gridSpan w:val="11"/>
          </w:tcPr>
          <w:p>
            <w:pPr>
              <w:jc w:val="right"/>
              <w:ind w:right="60"/>
              <w:spacing w:after="0"/>
              <w:rPr>
                <w:rFonts w:ascii="Arial" w:cs="Arial" w:eastAsia="Arial" w:hAnsi="Arial"/>
                <w:sz w:val="18"/>
                <w:szCs w:val="18"/>
                <w:color w:val="0000EE"/>
              </w:rPr>
            </w:pPr>
            <w:hyperlink r:id="rId136">
              <w:r>
                <w:rPr>
                  <w:rFonts w:ascii="Arial" w:cs="Arial" w:eastAsia="Arial" w:hAnsi="Arial"/>
                  <w:sz w:val="18"/>
                  <w:szCs w:val="18"/>
                  <w:color w:val="0000EE"/>
                </w:rPr>
                <w:t>Purchase  Agreement  by  and  among  Consolidated  Industries</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9"/>
              </w:rPr>
              <w:t>Exhibit 10.1 to the Company’s Form 8-K filed May 13,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5"/>
              </w:rPr>
            </w:pPr>
            <w:hyperlink r:id="rId136">
              <w:r>
                <w:rPr>
                  <w:rFonts w:ascii="Arial" w:cs="Arial" w:eastAsia="Arial" w:hAnsi="Arial"/>
                  <w:sz w:val="18"/>
                  <w:szCs w:val="18"/>
                  <w:color w:val="0000EE"/>
                  <w:w w:val="95"/>
                </w:rPr>
                <w:t>L.L.C.</w:t>
              </w:r>
            </w:hyperlink>
          </w:p>
        </w:tc>
        <w:tc>
          <w:tcPr>
            <w:tcW w:w="5160" w:type="dxa"/>
            <w:vAlign w:val="bottom"/>
            <w:tcBorders>
              <w:bottom w:val="single" w:sz="8" w:color="0000EE"/>
            </w:tcBorders>
            <w:gridSpan w:val="9"/>
          </w:tcPr>
          <w:p>
            <w:pPr>
              <w:jc w:val="right"/>
              <w:ind w:right="20"/>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The Climate Control Group, Inc., NIBE Energy Systems Inc. and,</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solely for purposes of Sections 6.8, 6.19 and 11.15 therein, LSB Industries,</w:t>
              </w:r>
            </w:hyperlink>
          </w:p>
        </w:tc>
        <w:tc>
          <w:tcPr>
            <w:tcW w:w="100" w:type="dxa"/>
            <w:vAlign w:val="bottom"/>
            <w:gridSpan w:val="3"/>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Inc., and solely for purposes of Section 11.16 therein, NIBE Indistrier AB</w:t>
              </w:r>
            </w:hyperlink>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(publ), dated as of May 11, 2016.</w:t>
              </w:r>
            </w:hyperlink>
          </w:p>
        </w:tc>
        <w:tc>
          <w:tcPr>
            <w:tcW w:w="100" w:type="dxa"/>
            <w:vAlign w:val="bottom"/>
            <w:gridSpan w:val="3"/>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10.44</w:t>
            </w:r>
          </w:p>
        </w:tc>
        <w:tc>
          <w:tcPr>
            <w:tcW w:w="5580" w:type="dxa"/>
            <w:vAlign w:val="bottom"/>
            <w:tcBorders>
              <w:bottom w:val="single" w:sz="8" w:color="0000EE"/>
            </w:tcBorders>
            <w:gridSpan w:val="9"/>
          </w:tcPr>
          <w:p>
            <w:pPr>
              <w:spacing w:after="0"/>
              <w:rPr>
                <w:rFonts w:ascii="Arial" w:cs="Arial" w:eastAsia="Arial" w:hAnsi="Arial"/>
                <w:sz w:val="18"/>
                <w:szCs w:val="18"/>
                <w:color w:val="0000EE"/>
                <w:w w:val="95"/>
              </w:rPr>
            </w:pPr>
            <w:hyperlink r:id="rId137">
              <w:r>
                <w:rPr>
                  <w:rFonts w:ascii="Arial" w:cs="Arial" w:eastAsia="Arial" w:hAnsi="Arial"/>
                  <w:sz w:val="18"/>
                  <w:szCs w:val="18"/>
                  <w:color w:val="0000EE"/>
                  <w:w w:val="95"/>
                </w:rPr>
                <w:t>Contract on the supply of Basic Engineering Package, Detail Engineering</w:t>
              </w:r>
            </w:hyperlink>
          </w:p>
        </w:tc>
        <w:tc>
          <w:tcPr>
            <w:tcW w:w="10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99.2  to  the  Company’s  Form  8-K  filed</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Package, Tagged Major Equipment and related Advisory Services, between</w:t>
              </w:r>
            </w:hyperlink>
          </w:p>
        </w:tc>
        <w:tc>
          <w:tcPr>
            <w:tcW w:w="10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6, 2012</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Weatherly Inc. and El Dorado Chemical Company, dated November 30, 2012</w:t>
              </w:r>
            </w:hyperlink>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10.45</w:t>
            </w:r>
          </w:p>
        </w:tc>
        <w:tc>
          <w:tcPr>
            <w:tcW w:w="5580" w:type="dxa"/>
            <w:vAlign w:val="bottom"/>
            <w:tcBorders>
              <w:bottom w:val="single" w:sz="8" w:color="0000EE"/>
            </w:tcBorders>
            <w:gridSpan w:val="9"/>
          </w:tcPr>
          <w:p>
            <w:pPr>
              <w:spacing w:after="0"/>
              <w:rPr>
                <w:rFonts w:ascii="Arial" w:cs="Arial" w:eastAsia="Arial" w:hAnsi="Arial"/>
                <w:sz w:val="18"/>
                <w:szCs w:val="18"/>
                <w:color w:val="0000EE"/>
                <w:w w:val="94"/>
              </w:rPr>
            </w:pPr>
            <w:hyperlink r:id="rId138">
              <w:r>
                <w:rPr>
                  <w:rFonts w:ascii="Arial" w:cs="Arial" w:eastAsia="Arial" w:hAnsi="Arial"/>
                  <w:sz w:val="18"/>
                  <w:szCs w:val="18"/>
                  <w:color w:val="0000EE"/>
                  <w:w w:val="94"/>
                </w:rPr>
                <w:t>Engineering, Procurement and Construction Agreement, dated August 12,</w:t>
              </w:r>
            </w:hyperlink>
          </w:p>
        </w:tc>
        <w:tc>
          <w:tcPr>
            <w:tcW w:w="10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10.1 to the Company’s Form 8-K filed August 15,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2013, between El Dorado Ammonia L.L.C. and SAIC Constructors, LLC</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10.46</w:t>
            </w:r>
          </w:p>
        </w:tc>
        <w:tc>
          <w:tcPr>
            <w:tcW w:w="5580" w:type="dxa"/>
            <w:vAlign w:val="bottom"/>
            <w:tcBorders>
              <w:bottom w:val="single" w:sz="8" w:color="0000EE"/>
            </w:tcBorders>
            <w:gridSpan w:val="9"/>
          </w:tcPr>
          <w:p>
            <w:pPr>
              <w:spacing w:after="0"/>
              <w:rPr>
                <w:rFonts w:ascii="Arial" w:cs="Arial" w:eastAsia="Arial" w:hAnsi="Arial"/>
                <w:sz w:val="18"/>
                <w:szCs w:val="18"/>
                <w:color w:val="0000EE"/>
                <w:w w:val="98"/>
              </w:rPr>
            </w:pPr>
            <w:hyperlink r:id="rId139">
              <w:r>
                <w:rPr>
                  <w:rFonts w:ascii="Arial" w:cs="Arial" w:eastAsia="Arial" w:hAnsi="Arial"/>
                  <w:sz w:val="18"/>
                  <w:szCs w:val="18"/>
                  <w:color w:val="0000EE"/>
                  <w:w w:val="98"/>
                </w:rPr>
                <w:t>Construction Agreement-DMW2, dated November 6, 2013, between El</w:t>
              </w:r>
            </w:hyperlink>
          </w:p>
        </w:tc>
        <w:tc>
          <w:tcPr>
            <w:tcW w:w="10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99.1  to  the  Company’s  Form  8-K  filed</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Dorado Chemical Company and SAIC Constructors, LLC</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November 12, 2013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10.47</w:t>
            </w:r>
          </w:p>
        </w:tc>
        <w:tc>
          <w:tcPr>
            <w:tcW w:w="5580" w:type="dxa"/>
            <w:vAlign w:val="bottom"/>
            <w:tcBorders>
              <w:bottom w:val="single" w:sz="8" w:color="0000EE"/>
            </w:tcBorders>
            <w:gridSpan w:val="9"/>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Construction Agreement – NACSAC, dated November 6, 2013, between El</w:t>
              </w:r>
            </w:hyperlink>
          </w:p>
        </w:tc>
        <w:tc>
          <w:tcPr>
            <w:tcW w:w="10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99.2 to the Company’s Form 8-K filed November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2"/>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Dorado Chemical Company and SAIC Constructors, LLC</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12, 2013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10.48</w:t>
            </w:r>
          </w:p>
        </w:tc>
        <w:tc>
          <w:tcPr>
            <w:tcW w:w="5680" w:type="dxa"/>
            <w:vAlign w:val="bottom"/>
            <w:gridSpan w:val="12"/>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Engineering, Procurement and Construction Agreement, dated December 31,</w:t>
              </w:r>
            </w:hyperlink>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99.1 to the Company’s Form 8-K filed January 7,</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8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2013, between El Dorado Chemical Company and SAIC Constructors, LLC</w:t>
              </w:r>
            </w:hyperlink>
          </w:p>
        </w:tc>
        <w:tc>
          <w:tcPr>
            <w:tcW w:w="10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669"/>
        </w:trPr>
        <w:tc>
          <w:tcPr>
            <w:tcW w:w="14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360" w:type="dxa"/>
            <w:vAlign w:val="bottom"/>
            <w:tcBorders>
              <w:top w:val="single" w:sz="8" w:color="0000EE"/>
            </w:tcBorders>
            <w:gridSpan w:val="5"/>
          </w:tcPr>
          <w:p>
            <w:pPr>
              <w:jc w:val="right"/>
              <w:ind w:right="460"/>
              <w:spacing w:after="0"/>
              <w:rPr>
                <w:sz w:val="20"/>
                <w:szCs w:val="20"/>
                <w:color w:val="auto"/>
              </w:rPr>
            </w:pPr>
            <w:r>
              <w:rPr>
                <w:rFonts w:ascii="Arial" w:cs="Arial" w:eastAsia="Arial" w:hAnsi="Arial"/>
                <w:sz w:val="18"/>
                <w:szCs w:val="18"/>
                <w:color w:val="auto"/>
              </w:rPr>
              <w:t>50</w:t>
            </w: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type w:val="continuous"/>
        </w:sectPr>
      </w:pPr>
    </w:p>
    <w:bookmarkStart w:id="50" w:name="page51"/>
    <w:bookmarkEnd w:id="50"/>
    <w:p>
      <w:pPr>
        <w:ind w:left="60"/>
        <w:spacing w:after="0"/>
        <w:tabs>
          <w:tab w:leader="none" w:pos="3820" w:val="left"/>
          <w:tab w:leader="none" w:pos="79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sectPr>
      </w:pPr>
    </w:p>
    <w:tbl>
      <w:tblPr>
        <w:tblLayout w:type="fixed"/>
        <w:tblInd w:w="0" w:type="dxa"/>
        <w:tblCellMar>
          <w:top w:w="0" w:type="dxa"/>
          <w:left w:w="0" w:type="dxa"/>
          <w:bottom w:w="0" w:type="dxa"/>
          <w:right w:w="0" w:type="dxa"/>
        </w:tblCellMar>
      </w:tblPr>
      <w:tr>
        <w:trPr>
          <w:trHeight w:val="187"/>
        </w:trPr>
        <w:tc>
          <w:tcPr>
            <w:tcW w:w="1420" w:type="dxa"/>
            <w:vAlign w:val="bottom"/>
          </w:tcPr>
          <w:p>
            <w:pPr>
              <w:jc w:val="right"/>
              <w:ind w:right="830"/>
              <w:spacing w:after="0" w:line="187" w:lineRule="exact"/>
              <w:rPr>
                <w:sz w:val="20"/>
                <w:szCs w:val="20"/>
                <w:color w:val="auto"/>
              </w:rPr>
            </w:pPr>
            <w:r>
              <w:rPr>
                <w:rFonts w:ascii="Arial" w:cs="Arial" w:eastAsia="Arial" w:hAnsi="Arial"/>
                <w:sz w:val="18"/>
                <w:szCs w:val="18"/>
                <w:color w:val="auto"/>
              </w:rPr>
              <w:t>10.49</w:t>
            </w:r>
          </w:p>
        </w:tc>
        <w:tc>
          <w:tcPr>
            <w:tcW w:w="5640" w:type="dxa"/>
            <w:vAlign w:val="bottom"/>
            <w:tcBorders>
              <w:bottom w:val="single" w:sz="8" w:color="0000EE"/>
            </w:tcBorders>
            <w:gridSpan w:val="12"/>
          </w:tcPr>
          <w:p>
            <w:pPr>
              <w:spacing w:after="0" w:line="187" w:lineRule="exact"/>
              <w:rPr>
                <w:rFonts w:ascii="Arial" w:cs="Arial" w:eastAsia="Arial" w:hAnsi="Arial"/>
                <w:sz w:val="18"/>
                <w:szCs w:val="18"/>
                <w:color w:val="0000EE"/>
                <w:w w:val="97"/>
              </w:rPr>
            </w:pPr>
            <w:hyperlink r:id="rId145">
              <w:r>
                <w:rPr>
                  <w:rFonts w:ascii="Arial" w:cs="Arial" w:eastAsia="Arial" w:hAnsi="Arial"/>
                  <w:sz w:val="18"/>
                  <w:szCs w:val="18"/>
                  <w:color w:val="0000EE"/>
                  <w:w w:val="97"/>
                </w:rPr>
                <w:t>Engineering, Procurement and Construction Contract, Amendment No. 1</w:t>
              </w:r>
            </w:hyperlink>
          </w:p>
        </w:tc>
        <w:tc>
          <w:tcPr>
            <w:tcW w:w="40" w:type="dxa"/>
            <w:vAlign w:val="bottom"/>
            <w:gridSpan w:val="2"/>
          </w:tcPr>
          <w:p>
            <w:pPr>
              <w:spacing w:after="0"/>
              <w:rPr>
                <w:sz w:val="16"/>
                <w:szCs w:val="16"/>
                <w:color w:val="auto"/>
              </w:rPr>
            </w:pPr>
          </w:p>
        </w:tc>
        <w:tc>
          <w:tcPr>
            <w:tcW w:w="4340" w:type="dxa"/>
            <w:vAlign w:val="bottom"/>
          </w:tcPr>
          <w:p>
            <w:pPr>
              <w:ind w:left="60"/>
              <w:spacing w:after="0" w:line="187" w:lineRule="exact"/>
              <w:rPr>
                <w:sz w:val="20"/>
                <w:szCs w:val="20"/>
                <w:color w:val="auto"/>
              </w:rPr>
            </w:pPr>
            <w:r>
              <w:rPr>
                <w:rFonts w:ascii="Arial" w:cs="Arial" w:eastAsia="Arial" w:hAnsi="Arial"/>
                <w:sz w:val="18"/>
                <w:szCs w:val="18"/>
                <w:color w:val="auto"/>
                <w:w w:val="93"/>
              </w:rPr>
              <w:t>Exhibit 10.1 to the Company’s Form 8-K filed October 26,</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dated October 20, 2015, by and between El Dorado Ammonia LLC and SAIC</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142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Constructors, LLC</w:t>
              </w:r>
            </w:hyperlink>
          </w:p>
        </w:tc>
        <w:tc>
          <w:tcPr>
            <w:tcW w:w="4320" w:type="dxa"/>
            <w:vAlign w:val="bottom"/>
            <w:gridSpan w:val="11"/>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10.50</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Settlement Agreement, dated April 26, 2015, by and among the Company</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9"/>
              </w:rPr>
              <w:t>Exhibit 99.1 to the Company’s Form 8-K filed April 30,</w:t>
            </w:r>
          </w:p>
        </w:tc>
      </w:tr>
      <w:tr>
        <w:trPr>
          <w:trHeight w:val="196"/>
        </w:trPr>
        <w:tc>
          <w:tcPr>
            <w:tcW w:w="1420" w:type="dxa"/>
            <w:vAlign w:val="bottom"/>
          </w:tcPr>
          <w:p>
            <w:pPr>
              <w:spacing w:after="0"/>
              <w:rPr>
                <w:sz w:val="17"/>
                <w:szCs w:val="17"/>
                <w:color w:val="auto"/>
              </w:rPr>
            </w:pPr>
          </w:p>
        </w:tc>
        <w:tc>
          <w:tcPr>
            <w:tcW w:w="4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and Starboard Value LP and its certain affiliates and associates</w:t>
              </w:r>
            </w:hyperlink>
          </w:p>
        </w:tc>
        <w:tc>
          <w:tcPr>
            <w:tcW w:w="1160" w:type="dxa"/>
            <w:vAlign w:val="bottom"/>
            <w:gridSpan w:val="5"/>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10.51</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Consent Decree, dated May 28, 2014, by and among, LSB Industries, Inc., El</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99.1 to the Company’s Form 8-K filed June 3,</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Dorado Chemical Co., Cherokee Nitrogen Co., Pryor Chemical Co., El</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2014</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Dorado  Nitrogen,  L.P.,  the  U.S.  Department  of  Justice,  the  U.S.</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Environmental   Protection   Agency,   the   Alabama   Department   of</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Environmental Management, and the Oklahoma Department of Environment</w:t>
              </w:r>
            </w:hyperlink>
          </w:p>
        </w:tc>
        <w:tc>
          <w:tcPr>
            <w:tcW w:w="60" w:type="dxa"/>
            <w:vAlign w:val="bottom"/>
            <w:gridSpan w:val="3"/>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4"/>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Quality</w:t>
              </w:r>
            </w:hyperlink>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10.52</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4"/>
              </w:rPr>
            </w:pPr>
            <w:hyperlink r:id="rId148">
              <w:r>
                <w:rPr>
                  <w:rFonts w:ascii="Arial" w:cs="Arial" w:eastAsia="Arial" w:hAnsi="Arial"/>
                  <w:sz w:val="18"/>
                  <w:szCs w:val="18"/>
                  <w:color w:val="0000EE"/>
                  <w:w w:val="94"/>
                </w:rPr>
                <w:t>Second  Amended  and  Restated  Loan  and  Security  Agreement,  dated</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4.9  to  the  Company’s  Form  10-K  filed</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December  31,  2013,  by  and  among  LSB  Industries,  Inc.,  each  of  its</w:t>
              </w:r>
            </w:hyperlink>
          </w:p>
        </w:tc>
        <w:tc>
          <w:tcPr>
            <w:tcW w:w="6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February 27, 2014</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subsidiaries that are signatories thereto, the lenders signatories thereto, and</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Wells Fargo Capital Finance, LLC</w:t>
              </w:r>
            </w:hyperlink>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10.53</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Amendment No. 1 to the Second Amended and Restated Loan and Security</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8"/>
              </w:rPr>
              <w:t>Exhibit 99.1 to the Company’s Form 8-K filed June 17,</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Agreement, dated as of June 11, 2015, by and among LSB Industries, Inc. its</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subsidiaries identified on the signature pages thereof, the lenders identified</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on the signature pages thereof and Wells Fargo Capital Finance, LLC, as the</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4"/>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arranger and administrative agent for the Lenders</w:t>
              </w:r>
            </w:hyperlink>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10.54</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Amendment No. 2 to the Second Amended and Restated Loan and Security</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10.3  to  the  Company’s  Form  8-K  filed</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Agreement, dated as of November 9, 2015, by and among LSB Industries,</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Inc., its subsidiaries identified on the signature pages thereof, the lenders</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identified on the signature pages thereof, and Wells Fargo Capital Finance,</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4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LLC, as the arranger and administrative agent for the Lenders</w:t>
              </w:r>
            </w:hyperlink>
          </w:p>
        </w:tc>
        <w:tc>
          <w:tcPr>
            <w:tcW w:w="1220" w:type="dxa"/>
            <w:vAlign w:val="bottom"/>
            <w:gridSpan w:val="6"/>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10.55</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7"/>
              </w:rPr>
            </w:pPr>
            <w:hyperlink r:id="rId151">
              <w:r>
                <w:rPr>
                  <w:rFonts w:ascii="Arial" w:cs="Arial" w:eastAsia="Arial" w:hAnsi="Arial"/>
                  <w:sz w:val="18"/>
                  <w:szCs w:val="18"/>
                  <w:color w:val="0000EE"/>
                  <w:w w:val="97"/>
                </w:rPr>
                <w:t>Third Amended and Restated Loan and Security Agreement, dated as of</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10.1 to the Company’s Form 8-K filed January 20,</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January 17, 2017, by and among LSB Industries, Inc., the subsidiaries of LSB</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Industries, Inc. party thereto, the lenders party thereto, and Wells Fargo</w:t>
              </w:r>
            </w:hyperlink>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5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Capital Finance, LLC, as the arranger and administrative agent.</w:t>
              </w:r>
            </w:hyperlink>
          </w:p>
        </w:tc>
        <w:tc>
          <w:tcPr>
            <w:tcW w:w="1100" w:type="dxa"/>
            <w:vAlign w:val="bottom"/>
            <w:gridSpan w:val="4"/>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10.56</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First  Amendment  to  Third  Amended  and  Restated  Loan  and  Security</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9"/>
              </w:rPr>
              <w:t>Exhibit 10.1 to the Company’s Form 8-K filed April 20,</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52">
              <w:r>
                <w:rPr>
                  <w:rFonts w:ascii="Arial" w:cs="Arial" w:eastAsia="Arial" w:hAnsi="Arial"/>
                  <w:sz w:val="18"/>
                  <w:szCs w:val="18"/>
                  <w:color w:val="0000EE"/>
                  <w:w w:val="95"/>
                </w:rPr>
                <w:t>Agreement, dated as of April 16, 2018, by and among Wells Fargo Capital</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152">
              <w:r>
                <w:rPr>
                  <w:rFonts w:ascii="Arial" w:cs="Arial" w:eastAsia="Arial" w:hAnsi="Arial"/>
                  <w:sz w:val="18"/>
                  <w:szCs w:val="18"/>
                  <w:color w:val="0000EE"/>
                  <w:w w:val="96"/>
                </w:rPr>
                <w:t>Finance, LLC, as the arranger and administrative agent, the lenders party</w:t>
              </w:r>
            </w:hyperlink>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52">
              <w:r>
                <w:rPr>
                  <w:rFonts w:ascii="Arial" w:cs="Arial" w:eastAsia="Arial" w:hAnsi="Arial"/>
                  <w:sz w:val="18"/>
                  <w:szCs w:val="18"/>
                  <w:color w:val="0000EE"/>
                  <w:w w:val="95"/>
                </w:rPr>
                <w:t>thereto, LSB Industries, Inc. and its subsidiaries identified on the signature</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pages thereto as borrowers and the Company’s subsidiaries identified on the</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signature pages thereto as guarantors.</w:t>
              </w:r>
            </w:hyperlink>
          </w:p>
        </w:tc>
        <w:tc>
          <w:tcPr>
            <w:tcW w:w="2960" w:type="dxa"/>
            <w:vAlign w:val="bottom"/>
            <w:gridSpan w:val="9"/>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10.57</w:t>
            </w:r>
          </w:p>
        </w:tc>
        <w:tc>
          <w:tcPr>
            <w:tcW w:w="5640" w:type="dxa"/>
            <w:vAlign w:val="bottom"/>
            <w:tcBorders>
              <w:bottom w:val="single" w:sz="8" w:color="0000EE"/>
            </w:tcBorders>
            <w:gridSpan w:val="12"/>
          </w:tcPr>
          <w:p>
            <w:pPr>
              <w:spacing w:after="0"/>
              <w:rPr>
                <w:rFonts w:ascii="Arial" w:cs="Arial" w:eastAsia="Arial" w:hAnsi="Arial"/>
                <w:sz w:val="18"/>
                <w:szCs w:val="18"/>
                <w:color w:val="0000EE"/>
                <w:w w:val="98"/>
              </w:rPr>
            </w:pPr>
            <w:hyperlink r:id="rId153">
              <w:r>
                <w:rPr>
                  <w:rFonts w:ascii="Arial" w:cs="Arial" w:eastAsia="Arial" w:hAnsi="Arial"/>
                  <w:sz w:val="18"/>
                  <w:szCs w:val="18"/>
                  <w:color w:val="0000EE"/>
                  <w:w w:val="98"/>
                </w:rPr>
                <w:t>Second Amendment to Third Amended and Restated Loan and Security</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4.1 to the Company’s Form 8-K filed February 28,</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53">
              <w:r>
                <w:rPr>
                  <w:rFonts w:ascii="Arial" w:cs="Arial" w:eastAsia="Arial" w:hAnsi="Arial"/>
                  <w:sz w:val="18"/>
                  <w:szCs w:val="18"/>
                  <w:color w:val="0000EE"/>
                  <w:w w:val="99"/>
                </w:rPr>
                <w:t>Agreement, dated as of February 26, 2019, by and among Wells Fargo</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2019</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Capital Finance, LLC, as the arranger and administrative agent, the lenders</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party thereto, LSB Industries, Inc. and its subsidiaries identified on the</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signature  pages  thereto  as  borrowers  and  the  Company’s  subsidiaries</w:t>
              </w:r>
            </w:hyperlink>
          </w:p>
        </w:tc>
        <w:tc>
          <w:tcPr>
            <w:tcW w:w="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9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identified on the signature pages thereto as guarantors.</w:t>
              </w:r>
            </w:hyperlink>
          </w:p>
        </w:tc>
        <w:tc>
          <w:tcPr>
            <w:tcW w:w="1740" w:type="dxa"/>
            <w:vAlign w:val="bottom"/>
            <w:gridSpan w:val="7"/>
          </w:tcPr>
          <w:p>
            <w:pPr>
              <w:spacing w:after="0"/>
              <w:rPr>
                <w:sz w:val="17"/>
                <w:szCs w:val="17"/>
                <w:color w:val="auto"/>
              </w:rPr>
            </w:pPr>
          </w:p>
        </w:tc>
        <w:tc>
          <w:tcPr>
            <w:tcW w:w="4340" w:type="dxa"/>
            <w:vAlign w:val="bottom"/>
          </w:tcPr>
          <w:p>
            <w:pPr>
              <w:spacing w:after="0"/>
              <w:rPr>
                <w:sz w:val="17"/>
                <w:szCs w:val="17"/>
                <w:color w:val="auto"/>
              </w:rPr>
            </w:pPr>
          </w:p>
        </w:tc>
      </w:tr>
      <w:tr>
        <w:trPr>
          <w:trHeight w:val="318"/>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10.58</w:t>
            </w:r>
          </w:p>
        </w:tc>
        <w:tc>
          <w:tcPr>
            <w:tcW w:w="10020" w:type="dxa"/>
            <w:vAlign w:val="bottom"/>
            <w:gridSpan w:val="15"/>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 xml:space="preserve">Security Agreement dated as of August 7, 2013, among LSB Industries, Inc. </w:t>
              </w:r>
            </w:hyperlink>
            <w:r>
              <w:rPr>
                <w:rFonts w:ascii="Arial" w:cs="Arial" w:eastAsia="Arial" w:hAnsi="Arial"/>
                <w:sz w:val="18"/>
                <w:szCs w:val="18"/>
                <w:color w:val="000000"/>
                <w:w w:val="94"/>
              </w:rPr>
              <w:t>Exhibit</w:t>
            </w:r>
            <w:r>
              <w:rPr>
                <w:rFonts w:ascii="Arial" w:cs="Arial" w:eastAsia="Arial" w:hAnsi="Arial"/>
                <w:sz w:val="18"/>
                <w:szCs w:val="18"/>
                <w:color w:val="0000EE"/>
                <w:w w:val="94"/>
              </w:rPr>
              <w:t xml:space="preserve"> </w:t>
            </w:r>
            <w:r>
              <w:rPr>
                <w:rFonts w:ascii="Arial" w:cs="Arial" w:eastAsia="Arial" w:hAnsi="Arial"/>
                <w:sz w:val="18"/>
                <w:szCs w:val="18"/>
                <w:color w:val="000000"/>
                <w:w w:val="94"/>
              </w:rPr>
              <w:t>10.72 to the Company’s Form 10-K filed February</w:t>
            </w:r>
          </w:p>
        </w:tc>
      </w:tr>
      <w:tr>
        <w:trPr>
          <w:trHeight w:val="196"/>
        </w:trPr>
        <w:tc>
          <w:tcPr>
            <w:tcW w:w="14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and the other grantors identified therein in favor of UMB Bank, N.A. as</w:t>
              </w:r>
            </w:hyperlink>
          </w:p>
        </w:tc>
        <w:tc>
          <w:tcPr>
            <w:tcW w:w="2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29, 2016</w:t>
            </w:r>
          </w:p>
        </w:tc>
      </w:tr>
      <w:tr>
        <w:trPr>
          <w:trHeight w:val="196"/>
        </w:trPr>
        <w:tc>
          <w:tcPr>
            <w:tcW w:w="1420" w:type="dxa"/>
            <w:vAlign w:val="bottom"/>
          </w:tcPr>
          <w:p>
            <w:pPr>
              <w:spacing w:after="0"/>
              <w:rPr>
                <w:sz w:val="17"/>
                <w:szCs w:val="17"/>
                <w:color w:val="auto"/>
              </w:rPr>
            </w:pPr>
          </w:p>
        </w:tc>
        <w:tc>
          <w:tcPr>
            <w:tcW w:w="5680" w:type="dxa"/>
            <w:vAlign w:val="bottom"/>
            <w:gridSpan w:val="1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Collateral Agent</w:t>
              </w:r>
            </w:hyperlink>
          </w:p>
        </w:tc>
        <w:tc>
          <w:tcPr>
            <w:tcW w:w="4340" w:type="dxa"/>
            <w:vAlign w:val="bottom"/>
          </w:tcPr>
          <w:p>
            <w:pPr>
              <w:spacing w:after="0"/>
              <w:rPr>
                <w:sz w:val="17"/>
                <w:szCs w:val="17"/>
                <w:color w:val="auto"/>
              </w:rPr>
            </w:pPr>
          </w:p>
        </w:tc>
      </w:tr>
      <w:tr>
        <w:trPr>
          <w:trHeight w:val="534"/>
        </w:trPr>
        <w:tc>
          <w:tcPr>
            <w:tcW w:w="1420" w:type="dxa"/>
            <w:vAlign w:val="bottom"/>
          </w:tcPr>
          <w:p>
            <w:pPr>
              <w:spacing w:after="0"/>
              <w:rPr>
                <w:sz w:val="24"/>
                <w:szCs w:val="24"/>
                <w:color w:val="auto"/>
              </w:rPr>
            </w:pPr>
          </w:p>
        </w:tc>
        <w:tc>
          <w:tcPr>
            <w:tcW w:w="1200" w:type="dxa"/>
            <w:vAlign w:val="bottom"/>
            <w:tcBorders>
              <w:top w:val="single" w:sz="8" w:color="0000EE"/>
            </w:tcBorders>
            <w:gridSpan w:val="2"/>
          </w:tcPr>
          <w:p>
            <w:pPr>
              <w:spacing w:after="0"/>
              <w:rPr>
                <w:sz w:val="24"/>
                <w:szCs w:val="24"/>
                <w:color w:val="auto"/>
              </w:rPr>
            </w:pPr>
          </w:p>
        </w:tc>
        <w:tc>
          <w:tcPr>
            <w:tcW w:w="3260" w:type="dxa"/>
            <w:vAlign w:val="bottom"/>
            <w:gridSpan w:val="6"/>
          </w:tcPr>
          <w:p>
            <w:pPr>
              <w:jc w:val="right"/>
              <w:ind w:right="8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type w:val="continuous"/>
        </w:sectPr>
      </w:pPr>
    </w:p>
    <w:bookmarkStart w:id="51" w:name="page52"/>
    <w:bookmarkEnd w:id="51"/>
    <w:p>
      <w:pPr>
        <w:ind w:left="60"/>
        <w:spacing w:after="0"/>
        <w:tabs>
          <w:tab w:leader="none" w:pos="3820" w:val="left"/>
          <w:tab w:leader="none" w:pos="79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sectPr>
      </w:pPr>
    </w:p>
    <w:tbl>
      <w:tblPr>
        <w:tblLayout w:type="fixed"/>
        <w:tblInd w:w="0" w:type="dxa"/>
        <w:tblCellMar>
          <w:top w:w="0" w:type="dxa"/>
          <w:left w:w="0" w:type="dxa"/>
          <w:bottom w:w="0" w:type="dxa"/>
          <w:right w:w="0" w:type="dxa"/>
        </w:tblCellMar>
      </w:tblPr>
      <w:tr>
        <w:trPr>
          <w:trHeight w:val="187"/>
        </w:trPr>
        <w:tc>
          <w:tcPr>
            <w:tcW w:w="1420" w:type="dxa"/>
            <w:vAlign w:val="bottom"/>
          </w:tcPr>
          <w:p>
            <w:pPr>
              <w:ind w:left="100"/>
              <w:spacing w:after="0" w:line="187" w:lineRule="exact"/>
              <w:rPr>
                <w:sz w:val="20"/>
                <w:szCs w:val="20"/>
                <w:color w:val="auto"/>
              </w:rPr>
            </w:pPr>
            <w:r>
              <w:rPr>
                <w:rFonts w:ascii="Arial" w:cs="Arial" w:eastAsia="Arial" w:hAnsi="Arial"/>
                <w:sz w:val="18"/>
                <w:szCs w:val="18"/>
                <w:color w:val="auto"/>
              </w:rPr>
              <w:t>10.59</w:t>
            </w:r>
          </w:p>
        </w:tc>
        <w:tc>
          <w:tcPr>
            <w:tcW w:w="5640" w:type="dxa"/>
            <w:vAlign w:val="bottom"/>
            <w:tcBorders>
              <w:bottom w:val="single" w:sz="8" w:color="0000EE"/>
            </w:tcBorders>
            <w:gridSpan w:val="16"/>
          </w:tcPr>
          <w:p>
            <w:pPr>
              <w:spacing w:after="0" w:line="187"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Supplement No. 1 to Security Agreement February 12, 2014 among LSB</w:t>
              </w:r>
            </w:hyperlink>
          </w:p>
        </w:tc>
        <w:tc>
          <w:tcPr>
            <w:tcW w:w="40" w:type="dxa"/>
            <w:vAlign w:val="bottom"/>
            <w:gridSpan w:val="2"/>
          </w:tcPr>
          <w:p>
            <w:pPr>
              <w:spacing w:after="0"/>
              <w:rPr>
                <w:sz w:val="16"/>
                <w:szCs w:val="16"/>
                <w:color w:val="auto"/>
              </w:rPr>
            </w:pPr>
          </w:p>
        </w:tc>
        <w:tc>
          <w:tcPr>
            <w:tcW w:w="4340" w:type="dxa"/>
            <w:vAlign w:val="bottom"/>
          </w:tcPr>
          <w:p>
            <w:pPr>
              <w:ind w:left="60"/>
              <w:spacing w:after="0" w:line="187" w:lineRule="exact"/>
              <w:rPr>
                <w:sz w:val="20"/>
                <w:szCs w:val="20"/>
                <w:color w:val="auto"/>
              </w:rPr>
            </w:pPr>
            <w:r>
              <w:rPr>
                <w:rFonts w:ascii="Arial" w:cs="Arial" w:eastAsia="Arial" w:hAnsi="Arial"/>
                <w:sz w:val="18"/>
                <w:szCs w:val="18"/>
                <w:color w:val="auto"/>
                <w:w w:val="93"/>
              </w:rPr>
              <w:t>Exhibit 10.73 to the Company’s Form 10-K filed February</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r:id="rId158">
              <w:r>
                <w:rPr>
                  <w:rFonts w:ascii="Arial" w:cs="Arial" w:eastAsia="Arial" w:hAnsi="Arial"/>
                  <w:sz w:val="18"/>
                  <w:szCs w:val="18"/>
                  <w:color w:val="0000EE"/>
                  <w:w w:val="99"/>
                </w:rPr>
                <w:t>Industries, Inc. and the other grantors identified therein in favor of UMB</w:t>
              </w:r>
            </w:hyperlink>
          </w:p>
        </w:tc>
        <w:tc>
          <w:tcPr>
            <w:tcW w:w="2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29, 2016</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Bank, N.A., as Collateral Agent</w:t>
              </w:r>
            </w:hyperlink>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1420" w:type="dxa"/>
            <w:vAlign w:val="bottom"/>
          </w:tcPr>
          <w:p>
            <w:pPr>
              <w:ind w:left="100"/>
              <w:spacing w:after="0" w:line="196" w:lineRule="exact"/>
              <w:rPr>
                <w:sz w:val="20"/>
                <w:szCs w:val="20"/>
                <w:color w:val="auto"/>
              </w:rPr>
            </w:pPr>
            <w:r>
              <w:rPr>
                <w:rFonts w:ascii="Arial" w:cs="Arial" w:eastAsia="Arial" w:hAnsi="Arial"/>
                <w:sz w:val="18"/>
                <w:szCs w:val="18"/>
                <w:color w:val="auto"/>
              </w:rPr>
              <w:t>10.60</w:t>
            </w:r>
          </w:p>
        </w:tc>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59">
              <w:r>
                <w:rPr>
                  <w:rFonts w:ascii="Arial" w:cs="Arial" w:eastAsia="Arial" w:hAnsi="Arial"/>
                  <w:sz w:val="18"/>
                  <w:szCs w:val="18"/>
                  <w:color w:val="0000EE"/>
                  <w:w w:val="96"/>
                </w:rPr>
                <w:t>Note Purchase Agreement, dated November 9, 2015, by and among LSB</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Exhibit  10.1  to  the  Company’s  Form  8-K  filed</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Industries, Inc., the guarantors party thereto and LSB Funding LLC</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10.61</w:t>
            </w:r>
          </w:p>
        </w:tc>
        <w:tc>
          <w:tcPr>
            <w:tcW w:w="4860" w:type="dxa"/>
            <w:vAlign w:val="bottom"/>
            <w:tcBorders>
              <w:top w:val="single" w:sz="8" w:color="0000EE"/>
            </w:tcBorders>
            <w:gridSpan w:val="13"/>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Promissory Note, dated November 9, 2015, by LSB Industries, Inc</w:t>
              </w:r>
            </w:hyperlink>
            <w:r>
              <w:rPr>
                <w:rFonts w:ascii="Arial" w:cs="Arial" w:eastAsia="Arial" w:hAnsi="Arial"/>
                <w:sz w:val="18"/>
                <w:szCs w:val="18"/>
                <w:color w:val="0000FF"/>
                <w:w w:val="91"/>
              </w:rPr>
              <w:t>.</w:t>
            </w:r>
          </w:p>
        </w:tc>
        <w:tc>
          <w:tcPr>
            <w:tcW w:w="820" w:type="dxa"/>
            <w:vAlign w:val="bottom"/>
            <w:gridSpan w:val="5"/>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10.2  to  the  Company’s  Form  8-K  filed</w:t>
            </w:r>
          </w:p>
        </w:tc>
      </w:tr>
      <w:tr>
        <w:trPr>
          <w:trHeight w:val="237"/>
        </w:trPr>
        <w:tc>
          <w:tcPr>
            <w:tcW w:w="14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November 16, 2015</w:t>
            </w:r>
          </w:p>
        </w:tc>
      </w:tr>
      <w:tr>
        <w:trPr>
          <w:trHeight w:val="257"/>
        </w:trPr>
        <w:tc>
          <w:tcPr>
            <w:tcW w:w="1420" w:type="dxa"/>
            <w:vAlign w:val="bottom"/>
          </w:tcPr>
          <w:p>
            <w:pPr>
              <w:ind w:left="100"/>
              <w:spacing w:after="0"/>
              <w:rPr>
                <w:sz w:val="20"/>
                <w:szCs w:val="20"/>
                <w:color w:val="auto"/>
              </w:rPr>
            </w:pPr>
            <w:r>
              <w:rPr>
                <w:rFonts w:ascii="Arial" w:cs="Arial" w:eastAsia="Arial" w:hAnsi="Arial"/>
                <w:sz w:val="18"/>
                <w:szCs w:val="18"/>
                <w:color w:val="auto"/>
              </w:rPr>
              <w:t>10.62</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Joinder Agreement to Intercreditor Agreement, dated November 9, 2015, by</w:t>
              </w:r>
            </w:hyperlink>
          </w:p>
        </w:tc>
        <w:tc>
          <w:tcPr>
            <w:tcW w:w="40" w:type="dxa"/>
            <w:vAlign w:val="bottom"/>
            <w:gridSpan w:val="2"/>
          </w:tcPr>
          <w:p>
            <w:pPr>
              <w:spacing w:after="0"/>
              <w:rPr>
                <w:sz w:val="22"/>
                <w:szCs w:val="22"/>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10.4  to  the  Company’s  Form  8-K  filed</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r:id="rId161">
              <w:r>
                <w:rPr>
                  <w:rFonts w:ascii="Arial" w:cs="Arial" w:eastAsia="Arial" w:hAnsi="Arial"/>
                  <w:sz w:val="18"/>
                  <w:szCs w:val="18"/>
                  <w:color w:val="0000EE"/>
                  <w:w w:val="97"/>
                </w:rPr>
                <w:t>and among LSB Funding LLC, Wells Fargo Capital Finance, Inc., as ABL</w:t>
              </w:r>
            </w:hyperlink>
          </w:p>
        </w:tc>
        <w:tc>
          <w:tcPr>
            <w:tcW w:w="20" w:type="dxa"/>
            <w:vAlign w:val="bottom"/>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Agent, UMB Bank, N.A., as Notes Agent, LSB Industries, Inc. and the</w:t>
              </w:r>
            </w:hyperlink>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guarantors party thereto</w:t>
              </w:r>
            </w:hyperlink>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10.63</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7"/>
              </w:rPr>
            </w:pPr>
            <w:hyperlink r:id="rId162">
              <w:r>
                <w:rPr>
                  <w:rFonts w:ascii="Arial" w:cs="Arial" w:eastAsia="Arial" w:hAnsi="Arial"/>
                  <w:sz w:val="18"/>
                  <w:szCs w:val="18"/>
                  <w:color w:val="0000EE"/>
                  <w:w w:val="97"/>
                </w:rPr>
                <w:t>Amendment No. 1 to Intercreditor Agreement, dated as of April 25, 2018,</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9"/>
              </w:rPr>
              <w:t>Exhibit 10.1 to the Company’s Form 8-K filed April 25,</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among Wells Fargo Capital Finance, LLC, UMB Bank, n.a. and Wilmington</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Trust, National Association, and acknowledged by LSB Industries, Inc. and</w:t>
              </w:r>
            </w:hyperlink>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the subsidiary guarantors party thereto.</w:t>
              </w:r>
            </w:hyperlink>
          </w:p>
        </w:tc>
        <w:tc>
          <w:tcPr>
            <w:tcW w:w="43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10.64</w:t>
            </w:r>
          </w:p>
        </w:tc>
        <w:tc>
          <w:tcPr>
            <w:tcW w:w="5660" w:type="dxa"/>
            <w:vAlign w:val="bottom"/>
            <w:tcBorders>
              <w:bottom w:val="single" w:sz="8" w:color="0000EE"/>
            </w:tcBorders>
            <w:gridSpan w:val="17"/>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Joinder Agreement to Security Agreement, dated November 9, 2015, by and</w:t>
              </w:r>
            </w:hyperlink>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10.5  to  the  Company’s  Form  8-K  filed</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among LSB Funding LLC, UMB Bank, N.A., as Collateral Agent, LSB</w:t>
              </w:r>
            </w:hyperlink>
          </w:p>
        </w:tc>
        <w:tc>
          <w:tcPr>
            <w:tcW w:w="60" w:type="dxa"/>
            <w:vAlign w:val="bottom"/>
            <w:gridSpan w:val="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r>
      <w:tr>
        <w:trPr>
          <w:trHeight w:val="196"/>
        </w:trPr>
        <w:tc>
          <w:tcPr>
            <w:tcW w:w="1420" w:type="dxa"/>
            <w:vAlign w:val="bottom"/>
          </w:tcPr>
          <w:p>
            <w:pPr>
              <w:spacing w:after="0"/>
              <w:rPr>
                <w:sz w:val="17"/>
                <w:szCs w:val="17"/>
                <w:color w:val="auto"/>
              </w:rPr>
            </w:pPr>
          </w:p>
        </w:tc>
        <w:tc>
          <w:tcPr>
            <w:tcW w:w="34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Industries, Inc. and the guarantors party thereto</w:t>
              </w:r>
            </w:hyperlink>
          </w:p>
        </w:tc>
        <w:tc>
          <w:tcPr>
            <w:tcW w:w="2260" w:type="dxa"/>
            <w:vAlign w:val="bottom"/>
            <w:gridSpan w:val="9"/>
          </w:tcPr>
          <w:p>
            <w:pPr>
              <w:spacing w:after="0"/>
              <w:rPr>
                <w:sz w:val="17"/>
                <w:szCs w:val="17"/>
                <w:color w:val="auto"/>
              </w:rPr>
            </w:pPr>
          </w:p>
        </w:tc>
        <w:tc>
          <w:tcPr>
            <w:tcW w:w="4340" w:type="dxa"/>
            <w:vAlign w:val="bottom"/>
          </w:tcPr>
          <w:p>
            <w:pPr>
              <w:spacing w:after="0"/>
              <w:rPr>
                <w:sz w:val="17"/>
                <w:szCs w:val="17"/>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10.65</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7"/>
              </w:rPr>
            </w:pPr>
            <w:hyperlink r:id="rId164">
              <w:r>
                <w:rPr>
                  <w:rFonts w:ascii="Arial" w:cs="Arial" w:eastAsia="Arial" w:hAnsi="Arial"/>
                  <w:sz w:val="18"/>
                  <w:szCs w:val="18"/>
                  <w:color w:val="0000EE"/>
                  <w:w w:val="97"/>
                </w:rPr>
                <w:t>Securities Purchase Agreement by and among LSB Industries, Inc., LSB</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w w:val="97"/>
              </w:rPr>
            </w:pPr>
            <w:hyperlink r:id="rId164">
              <w:r>
                <w:rPr>
                  <w:rFonts w:ascii="Arial" w:cs="Arial" w:eastAsia="Arial" w:hAnsi="Arial"/>
                  <w:sz w:val="18"/>
                  <w:szCs w:val="18"/>
                  <w:color w:val="0000EE"/>
                  <w:w w:val="97"/>
                </w:rPr>
                <w:t>Funding LLC, and Security Benefit Corporation, dated as of December 4,</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196"/>
        </w:trPr>
        <w:tc>
          <w:tcPr>
            <w:tcW w:w="14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64">
              <w:r>
                <w:rPr>
                  <w:rFonts w:ascii="Arial" w:cs="Arial" w:eastAsia="Arial" w:hAnsi="Arial"/>
                  <w:sz w:val="18"/>
                  <w:szCs w:val="18"/>
                  <w:color w:val="0000EE"/>
                  <w:w w:val="84"/>
                </w:rPr>
                <w:t>2015</w:t>
              </w:r>
            </w:hyperlink>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10.66</w:t>
            </w:r>
          </w:p>
        </w:tc>
        <w:tc>
          <w:tcPr>
            <w:tcW w:w="5660" w:type="dxa"/>
            <w:vAlign w:val="bottom"/>
            <w:tcBorders>
              <w:bottom w:val="single" w:sz="8" w:color="0000EE"/>
            </w:tcBorders>
            <w:gridSpan w:val="17"/>
          </w:tcPr>
          <w:p>
            <w:pPr>
              <w:spacing w:after="0"/>
              <w:rPr>
                <w:rFonts w:ascii="Arial" w:cs="Arial" w:eastAsia="Arial" w:hAnsi="Arial"/>
                <w:sz w:val="18"/>
                <w:szCs w:val="18"/>
                <w:color w:val="0000EE"/>
                <w:w w:val="94"/>
              </w:rPr>
            </w:pPr>
            <w:hyperlink r:id="rId165">
              <w:r>
                <w:rPr>
                  <w:rFonts w:ascii="Arial" w:cs="Arial" w:eastAsia="Arial" w:hAnsi="Arial"/>
                  <w:sz w:val="18"/>
                  <w:szCs w:val="18"/>
                  <w:color w:val="0000EE"/>
                  <w:w w:val="94"/>
                </w:rPr>
                <w:t>Warrant to Purchase Common Stock issued by LSB Industries, Inc. to LSB</w:t>
              </w:r>
            </w:hyperlink>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10.2  to  the  Company’s  Form  8-K  filed</w:t>
            </w:r>
          </w:p>
        </w:tc>
      </w:tr>
      <w:tr>
        <w:trPr>
          <w:trHeight w:val="196"/>
        </w:trPr>
        <w:tc>
          <w:tcPr>
            <w:tcW w:w="1420" w:type="dxa"/>
            <w:vAlign w:val="bottom"/>
          </w:tcPr>
          <w:p>
            <w:pPr>
              <w:spacing w:after="0"/>
              <w:rPr>
                <w:sz w:val="17"/>
                <w:szCs w:val="17"/>
                <w:color w:val="auto"/>
              </w:rPr>
            </w:pPr>
          </w:p>
        </w:tc>
        <w:tc>
          <w:tcPr>
            <w:tcW w:w="32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Funding LLC, dated as of December 4, 2015</w:t>
              </w:r>
            </w:hyperlink>
          </w:p>
        </w:tc>
        <w:tc>
          <w:tcPr>
            <w:tcW w:w="2440" w:type="dxa"/>
            <w:vAlign w:val="bottom"/>
            <w:gridSpan w:val="10"/>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10.67</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7"/>
              </w:rPr>
            </w:pPr>
            <w:hyperlink r:id="rId166">
              <w:r>
                <w:rPr>
                  <w:rFonts w:ascii="Arial" w:cs="Arial" w:eastAsia="Arial" w:hAnsi="Arial"/>
                  <w:sz w:val="18"/>
                  <w:szCs w:val="18"/>
                  <w:color w:val="0000EE"/>
                  <w:w w:val="97"/>
                </w:rPr>
                <w:t>Board  Representation  and  Standstill  Agreement  by  and  among  LSB</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10.3  to  the  Company’s  Form  8-K  filed</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Industries, Inc., LSB Funding LLC, Security Benefit Corporation, Todd</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Boehly and the Golsen Holders (as defined therein), dated as of December 4,</w:t>
              </w:r>
            </w:hyperlink>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66">
              <w:r>
                <w:rPr>
                  <w:rFonts w:ascii="Arial" w:cs="Arial" w:eastAsia="Arial" w:hAnsi="Arial"/>
                  <w:sz w:val="18"/>
                  <w:szCs w:val="18"/>
                  <w:color w:val="0000EE"/>
                  <w:w w:val="84"/>
                </w:rPr>
                <w:t>2015</w:t>
              </w:r>
            </w:hyperlink>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10.68</w:t>
            </w:r>
          </w:p>
        </w:tc>
        <w:tc>
          <w:tcPr>
            <w:tcW w:w="5660" w:type="dxa"/>
            <w:vAlign w:val="bottom"/>
            <w:tcBorders>
              <w:bottom w:val="single" w:sz="8" w:color="0000EE"/>
            </w:tcBorders>
            <w:gridSpan w:val="17"/>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Registration Rights Agreement by and between LSB Industries, Inc. and LSB</w:t>
              </w:r>
            </w:hyperlink>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Exhibit  10.4  to  the  Company’s  Form  8-K  filed</w:t>
            </w:r>
          </w:p>
        </w:tc>
      </w:tr>
      <w:tr>
        <w:trPr>
          <w:trHeight w:val="196"/>
        </w:trPr>
        <w:tc>
          <w:tcPr>
            <w:tcW w:w="1420" w:type="dxa"/>
            <w:vAlign w:val="bottom"/>
          </w:tcPr>
          <w:p>
            <w:pPr>
              <w:spacing w:after="0"/>
              <w:rPr>
                <w:sz w:val="17"/>
                <w:szCs w:val="17"/>
                <w:color w:val="auto"/>
              </w:rPr>
            </w:pPr>
          </w:p>
        </w:tc>
        <w:tc>
          <w:tcPr>
            <w:tcW w:w="32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Funding LLC, dated as of December 4, 2015</w:t>
              </w:r>
            </w:hyperlink>
          </w:p>
        </w:tc>
        <w:tc>
          <w:tcPr>
            <w:tcW w:w="2440" w:type="dxa"/>
            <w:vAlign w:val="bottom"/>
            <w:gridSpan w:val="10"/>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10.69</w:t>
            </w:r>
          </w:p>
        </w:tc>
        <w:tc>
          <w:tcPr>
            <w:tcW w:w="5660" w:type="dxa"/>
            <w:vAlign w:val="bottom"/>
            <w:tcBorders>
              <w:bottom w:val="single" w:sz="8" w:color="0000EE"/>
            </w:tcBorders>
            <w:gridSpan w:val="17"/>
          </w:tcPr>
          <w:p>
            <w:pPr>
              <w:spacing w:after="0"/>
              <w:rPr>
                <w:rFonts w:ascii="Arial" w:cs="Arial" w:eastAsia="Arial" w:hAnsi="Arial"/>
                <w:sz w:val="18"/>
                <w:szCs w:val="18"/>
                <w:color w:val="0000EE"/>
              </w:rPr>
            </w:pPr>
            <w:hyperlink r:id="rId168">
              <w:r>
                <w:rPr>
                  <w:rFonts w:ascii="Arial" w:cs="Arial" w:eastAsia="Arial" w:hAnsi="Arial"/>
                  <w:sz w:val="18"/>
                  <w:szCs w:val="18"/>
                  <w:color w:val="0000EE"/>
                </w:rPr>
                <w:t>Letter Agreement, dated as of August 12, 2016, by and among LSB</w:t>
              </w:r>
            </w:hyperlink>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5"/>
              </w:rPr>
              <w:t>Exhibit 10.1 to the Company’s Form 8-K filed August 12,</w:t>
            </w:r>
          </w:p>
        </w:tc>
      </w:tr>
      <w:tr>
        <w:trPr>
          <w:trHeight w:val="196"/>
        </w:trPr>
        <w:tc>
          <w:tcPr>
            <w:tcW w:w="1420" w:type="dxa"/>
            <w:vAlign w:val="bottom"/>
          </w:tcPr>
          <w:p>
            <w:pPr>
              <w:spacing w:after="0"/>
              <w:rPr>
                <w:sz w:val="17"/>
                <w:szCs w:val="17"/>
                <w:color w:val="auto"/>
              </w:rPr>
            </w:pPr>
          </w:p>
        </w:tc>
        <w:tc>
          <w:tcPr>
            <w:tcW w:w="49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Industries, Inc., LSB Funding LLC and Security Benefit Corporation</w:t>
              </w:r>
            </w:hyperlink>
          </w:p>
        </w:tc>
        <w:tc>
          <w:tcPr>
            <w:tcW w:w="700" w:type="dxa"/>
            <w:vAlign w:val="bottom"/>
            <w:gridSpan w:val="4"/>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10.70</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9"/>
              </w:rPr>
            </w:pPr>
            <w:hyperlink r:id="rId169">
              <w:r>
                <w:rPr>
                  <w:rFonts w:ascii="Arial" w:cs="Arial" w:eastAsia="Arial" w:hAnsi="Arial"/>
                  <w:sz w:val="18"/>
                  <w:szCs w:val="18"/>
                  <w:color w:val="0000EE"/>
                  <w:w w:val="99"/>
                </w:rPr>
                <w:t>Securities Exchange Agreement, dated as of October 18, 2018, by and</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10.1 to the Company’s Form 8-K filed October 19,</w:t>
            </w:r>
          </w:p>
        </w:tc>
      </w:tr>
      <w:tr>
        <w:trPr>
          <w:trHeight w:val="196"/>
        </w:trPr>
        <w:tc>
          <w:tcPr>
            <w:tcW w:w="142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between LSB Industries, Inc. and LSB Funding LLC</w:t>
              </w:r>
            </w:hyperlink>
          </w:p>
        </w:tc>
        <w:tc>
          <w:tcPr>
            <w:tcW w:w="1860" w:type="dxa"/>
            <w:vAlign w:val="bottom"/>
            <w:gridSpan w:val="7"/>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318"/>
        </w:trPr>
        <w:tc>
          <w:tcPr>
            <w:tcW w:w="1420" w:type="dxa"/>
            <w:vAlign w:val="bottom"/>
          </w:tcPr>
          <w:p>
            <w:pPr>
              <w:ind w:left="100"/>
              <w:spacing w:after="0"/>
              <w:rPr>
                <w:sz w:val="20"/>
                <w:szCs w:val="20"/>
                <w:color w:val="auto"/>
              </w:rPr>
            </w:pPr>
            <w:r>
              <w:rPr>
                <w:rFonts w:ascii="Arial" w:cs="Arial" w:eastAsia="Arial" w:hAnsi="Arial"/>
                <w:sz w:val="18"/>
                <w:szCs w:val="18"/>
                <w:color w:val="auto"/>
              </w:rPr>
              <w:t>10.71</w:t>
            </w:r>
          </w:p>
        </w:tc>
        <w:tc>
          <w:tcPr>
            <w:tcW w:w="5640" w:type="dxa"/>
            <w:vAlign w:val="bottom"/>
            <w:tcBorders>
              <w:bottom w:val="single" w:sz="8" w:color="0000EE"/>
            </w:tcBorders>
            <w:gridSpan w:val="16"/>
          </w:tcPr>
          <w:p>
            <w:pPr>
              <w:spacing w:after="0"/>
              <w:rPr>
                <w:rFonts w:ascii="Arial" w:cs="Arial" w:eastAsia="Arial" w:hAnsi="Arial"/>
                <w:sz w:val="18"/>
                <w:szCs w:val="18"/>
                <w:color w:val="0000EE"/>
                <w:w w:val="95"/>
              </w:rPr>
            </w:pPr>
            <w:hyperlink r:id="rId170">
              <w:r>
                <w:rPr>
                  <w:rFonts w:ascii="Arial" w:cs="Arial" w:eastAsia="Arial" w:hAnsi="Arial"/>
                  <w:sz w:val="18"/>
                  <w:szCs w:val="18"/>
                  <w:color w:val="0000EE"/>
                  <w:w w:val="95"/>
                </w:rPr>
                <w:t>Purchase and Sale Agreement dated May 11, 2017 between Zena Energy</w:t>
              </w:r>
            </w:hyperlink>
          </w:p>
        </w:tc>
        <w:tc>
          <w:tcPr>
            <w:tcW w:w="40" w:type="dxa"/>
            <w:vAlign w:val="bottom"/>
            <w:gridSpan w:val="2"/>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9"/>
              </w:rPr>
              <w:t>Exhibit 10.1 to the Company’s Form 8-K filed May 11,</w:t>
            </w:r>
          </w:p>
        </w:tc>
      </w:tr>
      <w:tr>
        <w:trPr>
          <w:trHeight w:val="196"/>
        </w:trPr>
        <w:tc>
          <w:tcPr>
            <w:tcW w:w="1420" w:type="dxa"/>
            <w:vAlign w:val="bottom"/>
          </w:tcPr>
          <w:p>
            <w:pPr>
              <w:spacing w:after="0"/>
              <w:rPr>
                <w:sz w:val="17"/>
                <w:szCs w:val="17"/>
                <w:color w:val="auto"/>
              </w:rPr>
            </w:pPr>
          </w:p>
        </w:tc>
        <w:tc>
          <w:tcPr>
            <w:tcW w:w="22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L.L.C and BKV Chelsea, LLC</w:t>
              </w:r>
            </w:hyperlink>
          </w:p>
        </w:tc>
        <w:tc>
          <w:tcPr>
            <w:tcW w:w="3460" w:type="dxa"/>
            <w:vAlign w:val="bottom"/>
            <w:gridSpan w:val="13"/>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2017.</w:t>
            </w:r>
          </w:p>
        </w:tc>
      </w:tr>
      <w:tr>
        <w:trPr>
          <w:trHeight w:val="493"/>
        </w:trPr>
        <w:tc>
          <w:tcPr>
            <w:tcW w:w="1420" w:type="dxa"/>
            <w:vAlign w:val="bottom"/>
          </w:tcPr>
          <w:p>
            <w:pPr>
              <w:ind w:left="100"/>
              <w:spacing w:after="0"/>
              <w:rPr>
                <w:sz w:val="20"/>
                <w:szCs w:val="20"/>
                <w:color w:val="auto"/>
              </w:rPr>
            </w:pPr>
            <w:r>
              <w:rPr>
                <w:rFonts w:ascii="Arial" w:cs="Arial" w:eastAsia="Arial" w:hAnsi="Arial"/>
                <w:sz w:val="18"/>
                <w:szCs w:val="18"/>
                <w:color w:val="auto"/>
              </w:rPr>
              <w:t>10.72*</w:t>
            </w:r>
          </w:p>
        </w:tc>
        <w:tc>
          <w:tcPr>
            <w:tcW w:w="5660" w:type="dxa"/>
            <w:vAlign w:val="bottom"/>
            <w:tcBorders>
              <w:bottom w:val="single" w:sz="8" w:color="0000EE"/>
            </w:tcBorders>
            <w:gridSpan w:val="17"/>
          </w:tcPr>
          <w:p>
            <w:pPr>
              <w:spacing w:after="0"/>
              <w:rPr>
                <w:rFonts w:ascii="Arial" w:cs="Arial" w:eastAsia="Arial" w:hAnsi="Arial"/>
                <w:sz w:val="18"/>
                <w:szCs w:val="18"/>
                <w:color w:val="0000EE"/>
                <w:w w:val="94"/>
              </w:rPr>
            </w:pPr>
            <w:hyperlink r:id="rId171">
              <w:r>
                <w:rPr>
                  <w:rFonts w:ascii="Arial" w:cs="Arial" w:eastAsia="Arial" w:hAnsi="Arial"/>
                  <w:sz w:val="18"/>
                  <w:szCs w:val="18"/>
                  <w:color w:val="0000EE"/>
                  <w:w w:val="94"/>
                </w:rPr>
                <w:t>Transition Agreement dated June 30, 2017 by and between Jack E. Golsen</w:t>
              </w:r>
            </w:hyperlink>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10.1 to the Company’s Form 8-K filed on June 30,</w:t>
            </w:r>
          </w:p>
        </w:tc>
      </w:tr>
      <w:tr>
        <w:trPr>
          <w:trHeight w:val="196"/>
        </w:trPr>
        <w:tc>
          <w:tcPr>
            <w:tcW w:w="1420" w:type="dxa"/>
            <w:vAlign w:val="bottom"/>
          </w:tcPr>
          <w:p>
            <w:pPr>
              <w:spacing w:after="0"/>
              <w:rPr>
                <w:sz w:val="17"/>
                <w:szCs w:val="17"/>
                <w:color w:val="auto"/>
              </w:rPr>
            </w:pPr>
          </w:p>
        </w:tc>
        <w:tc>
          <w:tcPr>
            <w:tcW w:w="5680" w:type="dxa"/>
            <w:vAlign w:val="bottom"/>
            <w:gridSpan w:val="18"/>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and LSB Industries, Inc.</w:t>
              </w:r>
            </w:hyperlink>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2017</w:t>
            </w:r>
          </w:p>
        </w:tc>
      </w:tr>
      <w:tr>
        <w:trPr>
          <w:trHeight w:val="20"/>
        </w:trPr>
        <w:tc>
          <w:tcPr>
            <w:tcW w:w="1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10.73</w:t>
            </w:r>
          </w:p>
        </w:tc>
        <w:tc>
          <w:tcPr>
            <w:tcW w:w="5620" w:type="dxa"/>
            <w:vAlign w:val="bottom"/>
            <w:tcBorders>
              <w:bottom w:val="single" w:sz="8" w:color="0000EE"/>
            </w:tcBorders>
            <w:gridSpan w:val="15"/>
          </w:tcPr>
          <w:p>
            <w:pPr>
              <w:spacing w:after="0"/>
              <w:rPr>
                <w:rFonts w:ascii="Arial" w:cs="Arial" w:eastAsia="Arial" w:hAnsi="Arial"/>
                <w:sz w:val="18"/>
                <w:szCs w:val="18"/>
                <w:color w:val="0000EE"/>
                <w:w w:val="98"/>
              </w:rPr>
            </w:pPr>
            <w:hyperlink r:id="rId172">
              <w:r>
                <w:rPr>
                  <w:rFonts w:ascii="Arial" w:cs="Arial" w:eastAsia="Arial" w:hAnsi="Arial"/>
                  <w:sz w:val="18"/>
                  <w:szCs w:val="18"/>
                  <w:color w:val="0000EE"/>
                  <w:w w:val="98"/>
                </w:rPr>
                <w:t>Amendment, dated October 26, 2017, to the Board Representation and</w:t>
              </w:r>
            </w:hyperlink>
          </w:p>
        </w:tc>
        <w:tc>
          <w:tcPr>
            <w:tcW w:w="60" w:type="dxa"/>
            <w:vAlign w:val="bottom"/>
            <w:gridSpan w:val="3"/>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8"/>
              </w:rPr>
              <w:t>Exhibit  10.1.  to  the  Company’s  Form  8-K  Filed  on</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Standstill Agreement by and between LSB Industries, Inc., LSB Funding</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October 26, 2017</w:t>
            </w: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172">
              <w:r>
                <w:rPr>
                  <w:rFonts w:ascii="Arial" w:cs="Arial" w:eastAsia="Arial" w:hAnsi="Arial"/>
                  <w:sz w:val="18"/>
                  <w:szCs w:val="18"/>
                  <w:color w:val="0000EE"/>
                  <w:w w:val="96"/>
                </w:rPr>
                <w:t>LLC, Security Benefit Corporation, Todd Boehly, Jack E. Golsen, Barry H.</w:t>
              </w:r>
            </w:hyperlink>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6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Golsen, Linda Golsen Rappaport, Golsen Family LLC, SBL LLC and Golsen</w:t>
              </w:r>
            </w:hyperlink>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4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Petroleum Corp., dated as of December 4, 2015</w:t>
              </w:r>
            </w:hyperlink>
          </w:p>
        </w:tc>
        <w:tc>
          <w:tcPr>
            <w:tcW w:w="2240" w:type="dxa"/>
            <w:vAlign w:val="bottom"/>
            <w:gridSpan w:val="8"/>
          </w:tcPr>
          <w:p>
            <w:pPr>
              <w:spacing w:after="0"/>
              <w:rPr>
                <w:sz w:val="17"/>
                <w:szCs w:val="17"/>
                <w:color w:val="auto"/>
              </w:rPr>
            </w:pPr>
          </w:p>
        </w:tc>
        <w:tc>
          <w:tcPr>
            <w:tcW w:w="4340" w:type="dxa"/>
            <w:vAlign w:val="bottom"/>
          </w:tcPr>
          <w:p>
            <w:pPr>
              <w:spacing w:after="0"/>
              <w:rPr>
                <w:sz w:val="17"/>
                <w:szCs w:val="17"/>
                <w:color w:val="auto"/>
              </w:rPr>
            </w:pPr>
          </w:p>
        </w:tc>
      </w:tr>
      <w:tr>
        <w:trPr>
          <w:trHeight w:val="277"/>
        </w:trPr>
        <w:tc>
          <w:tcPr>
            <w:tcW w:w="1420" w:type="dxa"/>
            <w:vAlign w:val="bottom"/>
          </w:tcPr>
          <w:p>
            <w:pPr>
              <w:ind w:left="100"/>
              <w:spacing w:after="0"/>
              <w:rPr>
                <w:sz w:val="20"/>
                <w:szCs w:val="20"/>
                <w:color w:val="auto"/>
              </w:rPr>
            </w:pPr>
            <w:r>
              <w:rPr>
                <w:rFonts w:ascii="Arial" w:cs="Arial" w:eastAsia="Arial" w:hAnsi="Arial"/>
                <w:sz w:val="18"/>
                <w:szCs w:val="18"/>
                <w:color w:val="auto"/>
              </w:rPr>
              <w:t>10.74</w:t>
            </w:r>
          </w:p>
        </w:tc>
        <w:tc>
          <w:tcPr>
            <w:tcW w:w="5660" w:type="dxa"/>
            <w:vAlign w:val="bottom"/>
            <w:tcBorders>
              <w:bottom w:val="single" w:sz="8" w:color="0000EE"/>
            </w:tcBorders>
            <w:gridSpan w:val="17"/>
          </w:tcPr>
          <w:p>
            <w:pPr>
              <w:spacing w:after="0"/>
              <w:rPr>
                <w:rFonts w:ascii="Arial" w:cs="Arial" w:eastAsia="Arial" w:hAnsi="Arial"/>
                <w:sz w:val="18"/>
                <w:szCs w:val="18"/>
                <w:color w:val="0000EE"/>
                <w:w w:val="93"/>
              </w:rPr>
            </w:pPr>
            <w:hyperlink r:id="rId173">
              <w:r>
                <w:rPr>
                  <w:rFonts w:ascii="Arial" w:cs="Arial" w:eastAsia="Arial" w:hAnsi="Arial"/>
                  <w:sz w:val="18"/>
                  <w:szCs w:val="18"/>
                  <w:color w:val="0000EE"/>
                  <w:w w:val="93"/>
                </w:rPr>
                <w:t>Amendment to Board Representation and Standstill Agreement, dated as of</w:t>
              </w:r>
            </w:hyperlink>
          </w:p>
        </w:tc>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w w:val="93"/>
              </w:rPr>
              <w:t>Exhibit 10.2 to the Company’s Form 8-K filed October 19,</w:t>
            </w:r>
          </w:p>
        </w:tc>
      </w:tr>
      <w:tr>
        <w:trPr>
          <w:trHeight w:val="196"/>
        </w:trPr>
        <w:tc>
          <w:tcPr>
            <w:tcW w:w="1420" w:type="dxa"/>
            <w:vAlign w:val="bottom"/>
          </w:tcPr>
          <w:p>
            <w:pPr>
              <w:spacing w:after="0"/>
              <w:rPr>
                <w:sz w:val="17"/>
                <w:szCs w:val="17"/>
                <w:color w:val="auto"/>
              </w:rPr>
            </w:pPr>
          </w:p>
        </w:tc>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73">
              <w:r>
                <w:rPr>
                  <w:rFonts w:ascii="Arial" w:cs="Arial" w:eastAsia="Arial" w:hAnsi="Arial"/>
                  <w:sz w:val="18"/>
                  <w:szCs w:val="18"/>
                  <w:color w:val="0000EE"/>
                  <w:w w:val="96"/>
                </w:rPr>
                <w:t>October 18, 2018, by and among LSB Industries, Inc., LSB Funding LLC,</w:t>
              </w:r>
            </w:hyperlink>
          </w:p>
        </w:tc>
        <w:tc>
          <w:tcPr>
            <w:tcW w:w="40" w:type="dxa"/>
            <w:vAlign w:val="bottom"/>
            <w:gridSpan w:val="2"/>
          </w:tcPr>
          <w:p>
            <w:pPr>
              <w:spacing w:after="0"/>
              <w:rPr>
                <w:sz w:val="17"/>
                <w:szCs w:val="17"/>
                <w:color w:val="auto"/>
              </w:rPr>
            </w:pPr>
          </w:p>
        </w:tc>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4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173">
              <w:r>
                <w:rPr>
                  <w:rFonts w:ascii="Arial" w:cs="Arial" w:eastAsia="Arial" w:hAnsi="Arial"/>
                  <w:sz w:val="18"/>
                  <w:szCs w:val="18"/>
                  <w:color w:val="0000EE"/>
                  <w:w w:val="99"/>
                </w:rPr>
                <w:t>Security Benefit Corporation, Todd Boehly and the Golsen Holders (as</w:t>
              </w:r>
            </w:hyperlink>
          </w:p>
        </w:tc>
        <w:tc>
          <w:tcPr>
            <w:tcW w:w="60" w:type="dxa"/>
            <w:vAlign w:val="bottom"/>
            <w:gridSpan w:val="3"/>
          </w:tcPr>
          <w:p>
            <w:pPr>
              <w:spacing w:after="0"/>
              <w:rPr>
                <w:sz w:val="17"/>
                <w:szCs w:val="17"/>
                <w:color w:val="auto"/>
              </w:rPr>
            </w:pPr>
          </w:p>
        </w:tc>
        <w:tc>
          <w:tcPr>
            <w:tcW w:w="43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defined therein)</w:t>
              </w:r>
            </w:hyperlink>
          </w:p>
        </w:tc>
        <w:tc>
          <w:tcPr>
            <w:tcW w:w="4520" w:type="dxa"/>
            <w:vAlign w:val="bottom"/>
            <w:gridSpan w:val="16"/>
          </w:tcPr>
          <w:p>
            <w:pPr>
              <w:spacing w:after="0"/>
              <w:rPr>
                <w:sz w:val="17"/>
                <w:szCs w:val="17"/>
                <w:color w:val="auto"/>
              </w:rPr>
            </w:pPr>
          </w:p>
        </w:tc>
        <w:tc>
          <w:tcPr>
            <w:tcW w:w="4340" w:type="dxa"/>
            <w:vAlign w:val="bottom"/>
          </w:tcPr>
          <w:p>
            <w:pPr>
              <w:spacing w:after="0"/>
              <w:rPr>
                <w:sz w:val="17"/>
                <w:szCs w:val="17"/>
                <w:color w:val="auto"/>
              </w:rPr>
            </w:pPr>
          </w:p>
        </w:tc>
      </w:tr>
      <w:tr>
        <w:trPr>
          <w:trHeight w:val="453"/>
        </w:trPr>
        <w:tc>
          <w:tcPr>
            <w:tcW w:w="1420" w:type="dxa"/>
            <w:vAlign w:val="bottom"/>
          </w:tcPr>
          <w:p>
            <w:pPr>
              <w:spacing w:after="0"/>
              <w:rPr>
                <w:sz w:val="24"/>
                <w:szCs w:val="24"/>
                <w:color w:val="auto"/>
              </w:rPr>
            </w:pPr>
          </w:p>
        </w:tc>
        <w:tc>
          <w:tcPr>
            <w:tcW w:w="4820" w:type="dxa"/>
            <w:vAlign w:val="bottom"/>
            <w:gridSpan w:val="12"/>
          </w:tcPr>
          <w:p>
            <w:pPr>
              <w:ind w:left="42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3" w:right="21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98"/>
        </w:trPr>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Exhibit Title</w:t>
            </w:r>
          </w:p>
        </w:tc>
      </w:tr>
      <w:tr>
        <w:trPr>
          <w:trHeight w:val="291"/>
        </w:trPr>
        <w:tc>
          <w:tcPr>
            <w:tcW w:w="1320" w:type="dxa"/>
            <w:vAlign w:val="bottom"/>
          </w:tcPr>
          <w:p>
            <w:pPr>
              <w:ind w:left="100"/>
              <w:spacing w:after="0"/>
              <w:rPr>
                <w:sz w:val="20"/>
                <w:szCs w:val="20"/>
                <w:color w:val="auto"/>
              </w:rPr>
            </w:pPr>
            <w:r>
              <w:rPr>
                <w:rFonts w:ascii="Arial" w:cs="Arial" w:eastAsia="Arial" w:hAnsi="Arial"/>
                <w:sz w:val="18"/>
                <w:szCs w:val="18"/>
                <w:color w:val="auto"/>
              </w:rPr>
              <w:t>21.1(a)</w:t>
            </w:r>
          </w:p>
        </w:tc>
        <w:tc>
          <w:tcPr>
            <w:tcW w:w="10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Subsidiaries of the Company</w:t>
              </w:r>
            </w:hyperlink>
          </w:p>
        </w:tc>
        <w:tc>
          <w:tcPr>
            <w:tcW w:w="3520" w:type="dxa"/>
            <w:vAlign w:val="bottom"/>
            <w:gridSpan w:val="5"/>
          </w:tcPr>
          <w:p>
            <w:pPr>
              <w:spacing w:after="0"/>
              <w:rPr>
                <w:sz w:val="24"/>
                <w:szCs w:val="24"/>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23.1(a)</w:t>
            </w:r>
          </w:p>
        </w:tc>
        <w:tc>
          <w:tcPr>
            <w:tcW w:w="100" w:type="dxa"/>
            <w:vAlign w:val="bottom"/>
          </w:tcPr>
          <w:p>
            <w:pPr>
              <w:spacing w:after="0"/>
              <w:rPr>
                <w:sz w:val="24"/>
                <w:szCs w:val="24"/>
                <w:color w:val="auto"/>
              </w:rPr>
            </w:pPr>
          </w:p>
        </w:tc>
        <w:tc>
          <w:tcPr>
            <w:tcW w:w="562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Consent of Independent Registered Public Accounting Firm</w:t>
              </w:r>
            </w:hyperlink>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31.1(a)</w:t>
            </w:r>
          </w:p>
        </w:tc>
        <w:tc>
          <w:tcPr>
            <w:tcW w:w="10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Certification of Mark T. Behrman, Chief Executive Officer, pursuant to</w:t>
              </w:r>
            </w:hyperlink>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20" w:type="dxa"/>
            <w:vAlign w:val="bottom"/>
            <w:gridSpan w:val="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Sarbanes-Oxley Act of 2002, Section 302</w:t>
              </w:r>
            </w:hyperlink>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31.2(a)</w:t>
            </w:r>
          </w:p>
        </w:tc>
        <w:tc>
          <w:tcPr>
            <w:tcW w:w="10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Certification of Cheryl A. Maguire, Chief Financial Officer, pursuant to</w:t>
              </w:r>
            </w:hyperlink>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20" w:type="dxa"/>
            <w:vAlign w:val="bottom"/>
            <w:gridSpan w:val="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Sarbanes-Oxley Act of 2002, Section 302</w:t>
              </w:r>
            </w:hyperlink>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32.1(b)</w:t>
            </w:r>
          </w:p>
        </w:tc>
        <w:tc>
          <w:tcPr>
            <w:tcW w:w="10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Certification  of  Mark  T.  Behrman,  Chief  Executive  Officer,  furnished</w:t>
              </w:r>
            </w:hyperlink>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pursuant to Sarbanes-Oxley Act of 2002, Section 906</w:t>
              </w:r>
            </w:hyperlink>
          </w:p>
        </w:tc>
        <w:tc>
          <w:tcPr>
            <w:tcW w:w="1740" w:type="dxa"/>
            <w:vAlign w:val="bottom"/>
            <w:gridSpan w:val="2"/>
          </w:tcPr>
          <w:p>
            <w:pPr>
              <w:spacing w:after="0"/>
              <w:rPr>
                <w:sz w:val="17"/>
                <w:szCs w:val="17"/>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32.2(b)</w:t>
            </w:r>
          </w:p>
        </w:tc>
        <w:tc>
          <w:tcPr>
            <w:tcW w:w="10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24">
              <w:r>
                <w:rPr>
                  <w:rFonts w:ascii="Arial" w:cs="Arial" w:eastAsia="Arial" w:hAnsi="Arial"/>
                  <w:sz w:val="18"/>
                  <w:szCs w:val="18"/>
                  <w:color w:val="0000EE"/>
                  <w:w w:val="97"/>
                </w:rPr>
                <w:t>Certification  of  Cheryl  A.  Maguire,  Chief  Financial  Officer,  furnished</w:t>
              </w:r>
            </w:hyperlink>
          </w:p>
        </w:tc>
      </w:tr>
      <w:tr>
        <w:trPr>
          <w:trHeight w:val="196"/>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pursuant to Sarbanes-Oxley Act of 2002, Section 906</w:t>
              </w:r>
            </w:hyperlink>
          </w:p>
        </w:tc>
        <w:tc>
          <w:tcPr>
            <w:tcW w:w="1760" w:type="dxa"/>
            <w:vAlign w:val="bottom"/>
            <w:gridSpan w:val="3"/>
          </w:tcPr>
          <w:p>
            <w:pPr>
              <w:spacing w:after="0"/>
              <w:rPr>
                <w:sz w:val="17"/>
                <w:szCs w:val="17"/>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8"/>
                <w:szCs w:val="18"/>
                <w:color w:val="auto"/>
              </w:rPr>
              <w:t>101.INS(a)</w:t>
            </w:r>
          </w:p>
        </w:tc>
        <w:tc>
          <w:tcPr>
            <w:tcW w:w="10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101.SCH(a)</w:t>
            </w:r>
          </w:p>
        </w:tc>
        <w:tc>
          <w:tcPr>
            <w:tcW w:w="10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101.CAL(a)</w:t>
            </w:r>
          </w:p>
        </w:tc>
        <w:tc>
          <w:tcPr>
            <w:tcW w:w="10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101.DEF(a)</w:t>
            </w:r>
          </w:p>
        </w:tc>
        <w:tc>
          <w:tcPr>
            <w:tcW w:w="10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101.LAB(a)</w:t>
            </w:r>
          </w:p>
        </w:tc>
        <w:tc>
          <w:tcPr>
            <w:tcW w:w="10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101.PRE(a)</w:t>
            </w:r>
          </w:p>
        </w:tc>
        <w:tc>
          <w:tcPr>
            <w:tcW w:w="10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right="5300" w:firstLine="8"/>
        <w:spacing w:after="0" w:line="323" w:lineRule="auto"/>
        <w:tabs>
          <w:tab w:leader="none" w:pos="513"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Furnished herewith </w:t>
      </w:r>
      <w:r>
        <w:rPr>
          <w:rFonts w:ascii="Arial" w:cs="Arial" w:eastAsia="Arial" w:hAnsi="Arial"/>
          <w:sz w:val="14"/>
          <w:szCs w:val="14"/>
          <w:color w:val="auto"/>
        </w:rPr>
        <w:t>(P</w:t>
      </w:r>
      <w:r>
        <w:rPr>
          <w:rFonts w:ascii="Arial" w:cs="Arial" w:eastAsia="Arial" w:hAnsi="Arial"/>
          <w:sz w:val="16"/>
          <w:szCs w:val="16"/>
          <w:color w:val="auto"/>
        </w:rPr>
        <w:t>) Paper copy filed</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20955</wp:posOffset>
            </wp:positionV>
            <wp:extent cx="2710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ectPr>
          <w:pgSz w:w="11900" w:h="16838" w:orient="portrait"/>
          <w:cols w:equalWidth="0" w:num="2">
            <w:col w:w="7220" w:space="720"/>
            <w:col w:w="2680"/>
          </w:cols>
          <w:pgMar w:left="240" w:top="373" w:right="10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w:t>
            </w:r>
          </w:p>
        </w:tc>
        <w:tc>
          <w:tcPr>
            <w:tcW w:w="8120" w:type="dxa"/>
            <w:vAlign w:val="bottom"/>
            <w:gridSpan w:val="2"/>
          </w:tcPr>
          <w:p>
            <w:pPr>
              <w:ind w:left="1980"/>
              <w:spacing w:after="0"/>
              <w:rPr>
                <w:sz w:val="20"/>
                <w:szCs w:val="20"/>
                <w:color w:val="auto"/>
              </w:rPr>
            </w:pPr>
            <w:r>
              <w:rPr>
                <w:rFonts w:ascii="Arial" w:cs="Arial" w:eastAsia="Arial" w:hAnsi="Arial"/>
                <w:sz w:val="18"/>
                <w:szCs w:val="18"/>
                <w:color w:val="auto"/>
              </w:rPr>
              <w:t>By:  /s/ Mark T. Behrman</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February 25, 2020</w:t>
            </w:r>
          </w:p>
        </w:tc>
        <w:tc>
          <w:tcPr>
            <w:tcW w:w="24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Behrman, President, Chief Executive Officer and Director</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341" w:right="239" w:bottom="1440" w:gutter="0" w:footer="0" w:header="0"/>
        </w:sectPr>
      </w:pPr>
    </w:p>
    <w:p>
      <w:pPr>
        <w:spacing w:after="0" w:line="17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346"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346"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346"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13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13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13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13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13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13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right="1580"/>
        <w:spacing w:after="0" w:line="276" w:lineRule="auto"/>
        <w:rPr>
          <w:sz w:val="20"/>
          <w:szCs w:val="20"/>
          <w:color w:val="auto"/>
        </w:rPr>
      </w:pPr>
      <w:r>
        <w:rPr>
          <w:rFonts w:ascii="Arial" w:cs="Arial" w:eastAsia="Arial" w:hAnsi="Arial"/>
          <w:sz w:val="18"/>
          <w:szCs w:val="18"/>
          <w:color w:val="auto"/>
        </w:rPr>
        <w:t>Mark T. Behrman, President and Chief Executive Officer (Principal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3"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Cheryl A. Maguire, Executive Vice President and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right="1540"/>
        <w:spacing w:after="0" w:line="276" w:lineRule="auto"/>
        <w:rPr>
          <w:sz w:val="20"/>
          <w:szCs w:val="20"/>
          <w:color w:val="auto"/>
        </w:rPr>
      </w:pPr>
      <w:r>
        <w:rPr>
          <w:rFonts w:ascii="Arial" w:cs="Arial" w:eastAsia="Arial" w:hAnsi="Arial"/>
          <w:sz w:val="18"/>
          <w:szCs w:val="18"/>
          <w:color w:val="auto"/>
        </w:rPr>
        <w:t>Harold L. Rieker Jr., Vice President - Financial Reporting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Richard W. Roedel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W. Roedel,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Jonathan S. Bobb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S. Bobb,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E. Golsen, Chairman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Barry H.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Barry H. Golsen,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Kanna Kitamura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Kanna Kitamura,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Richard S. Sanders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 Sanders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Lynn F.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F. White,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80"/>
            <w:col w:w="570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4" w:name="page55"/>
    <w:bookmarkEnd w:id="54"/>
    <w:p>
      <w:pPr>
        <w:ind w:left="498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Fiscal Year ended December 31, 2019</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3380" w:type="dxa"/>
            <w:vAlign w:val="bottom"/>
            <w:gridSpan w:val="9"/>
          </w:tcPr>
          <w:p>
            <w:pPr>
              <w:spacing w:after="0"/>
              <w:rPr>
                <w:sz w:val="24"/>
                <w:szCs w:val="24"/>
                <w:color w:val="auto"/>
              </w:rPr>
            </w:pPr>
          </w:p>
        </w:tc>
        <w:tc>
          <w:tcPr>
            <w:tcW w:w="59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90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r>
      <w:tr>
        <w:trPr>
          <w:trHeight w:val="318"/>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7"/>
          </w:tcPr>
          <w:p>
            <w:pPr>
              <w:spacing w:after="0"/>
              <w:rPr>
                <w:sz w:val="24"/>
                <w:szCs w:val="24"/>
                <w:color w:val="auto"/>
              </w:rPr>
            </w:pPr>
          </w:p>
        </w:tc>
        <w:tc>
          <w:tcPr>
            <w:tcW w:w="6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318"/>
        </w:trPr>
        <w:tc>
          <w:tcPr>
            <w:tcW w:w="490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w:t>
              </w:r>
            </w:hyperlink>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r>
      <w:tr>
        <w:trPr>
          <w:trHeight w:val="20"/>
        </w:trPr>
        <w:tc>
          <w:tcPr>
            <w:tcW w:w="21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35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Consolidated Statements of Stockholders’ Equity</w:t>
              </w:r>
            </w:hyperlink>
          </w:p>
        </w:tc>
        <w:tc>
          <w:tcPr>
            <w:tcW w:w="1340" w:type="dxa"/>
            <w:vAlign w:val="bottom"/>
            <w:gridSpan w:val="2"/>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r>
      <w:tr>
        <w:trPr>
          <w:trHeight w:val="318"/>
        </w:trPr>
        <w:tc>
          <w:tcPr>
            <w:tcW w:w="28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w:t>
              </w:r>
            </w:hyperlink>
          </w:p>
        </w:tc>
        <w:tc>
          <w:tcPr>
            <w:tcW w:w="2020" w:type="dxa"/>
            <w:vAlign w:val="bottom"/>
            <w:gridSpan w:val="4"/>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r>
      <w:tr>
        <w:trPr>
          <w:trHeight w:val="318"/>
        </w:trPr>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1740" w:type="dxa"/>
            <w:vAlign w:val="bottom"/>
            <w:gridSpan w:val="3"/>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r>
      <w:tr>
        <w:trPr>
          <w:trHeight w:val="318"/>
        </w:trPr>
        <w:tc>
          <w:tcPr>
            <w:tcW w:w="27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Quarterly Financial Data (Unaudited)</w:t>
              </w:r>
            </w:hyperlink>
          </w:p>
        </w:tc>
        <w:tc>
          <w:tcPr>
            <w:tcW w:w="2180" w:type="dxa"/>
            <w:vAlign w:val="bottom"/>
            <w:gridSpan w:val="6"/>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F–35</w:t>
            </w:r>
          </w:p>
        </w:tc>
      </w:tr>
      <w:tr>
        <w:trPr>
          <w:trHeight w:val="318"/>
        </w:trPr>
        <w:tc>
          <w:tcPr>
            <w:tcW w:w="490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5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140" w:type="dxa"/>
            <w:vAlign w:val="bottom"/>
            <w:gridSpan w:val="3"/>
            <w:shd w:val="clear" w:color="auto" w:fill="00000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900" w:type="dxa"/>
            <w:vAlign w:val="bottom"/>
            <w:gridSpan w:val="1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Schedule II – Valuation and Qualifying Accounts</w:t>
              </w:r>
            </w:hyperlink>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F–37</w:t>
            </w:r>
          </w:p>
        </w:tc>
      </w:tr>
      <w:tr>
        <w:trPr>
          <w:trHeight w:val="885"/>
        </w:trPr>
        <w:tc>
          <w:tcPr>
            <w:tcW w:w="1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gridSpan w:val="3"/>
          </w:tcPr>
          <w:p>
            <w:pPr>
              <w:jc w:val="right"/>
              <w:ind w:right="5600"/>
              <w:spacing w:after="0"/>
              <w:rPr>
                <w:sz w:val="20"/>
                <w:szCs w:val="20"/>
                <w:color w:val="auto"/>
              </w:rPr>
            </w:pPr>
            <w:r>
              <w:rPr>
                <w:rFonts w:ascii="Arial" w:cs="Arial" w:eastAsia="Arial" w:hAnsi="Arial"/>
                <w:sz w:val="18"/>
                <w:szCs w:val="18"/>
                <w:color w:val="auto"/>
              </w:rPr>
              <w:t>F-1</w:t>
            </w:r>
          </w:p>
        </w:tc>
      </w:tr>
      <w:tr>
        <w:trPr>
          <w:trHeight w:val="115"/>
        </w:trPr>
        <w:tc>
          <w:tcPr>
            <w:tcW w:w="1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5" w:name="page56"/>
    <w:bookmarkEnd w:id="5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LSB Industries, Inc. (the Company) as of December 31, 2019 and 2018, the related consolidated statements of operations, stockholders’ equity, and cash flows for each of the three years in the period ended December 31, 2019,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 (Topic 842) and No. 2014-09 (Topic 606)</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1 and Note 2 to the consolidated financial statements, the Company changed its method of accounting for leases in the December 31, 2019 financial statements to reflect the accounting method change due to the adoption of ASU 2016-02 Leases (Topic 842). Additionally, in the December 31, 2018 financial statements the Company changed its method of accounting for revenue due to the adoption of ASU 2014-09 Revenue from Contracts with Customers (Topic 606).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4"/>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22,791</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40,203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 for doubtful accounts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(261)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38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21,738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Raw materials</w:t>
            </w:r>
          </w:p>
        </w:tc>
        <w:tc>
          <w:tcPr>
            <w:tcW w:w="3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prepaid items and other:</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11,837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24,689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44,829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130,873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936,474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974,248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Intangible and other assets, net</w:t>
            </w: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1,088,489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1325"/>
              <w:spacing w:after="0"/>
              <w:rPr>
                <w:sz w:val="20"/>
                <w:szCs w:val="20"/>
                <w:color w:val="auto"/>
              </w:rPr>
            </w:pPr>
            <w:r>
              <w:rPr>
                <w:rFonts w:ascii="Arial" w:cs="Arial" w:eastAsia="Arial" w:hAnsi="Arial"/>
                <w:sz w:val="18"/>
                <w:szCs w:val="18"/>
                <w:color w:val="auto"/>
              </w:rPr>
              <w:t>(Continued on following page)</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2305"/>
              <w:spacing w:after="0"/>
              <w:rPr>
                <w:sz w:val="20"/>
                <w:szCs w:val="20"/>
                <w:color w:val="auto"/>
              </w:rPr>
            </w:pPr>
            <w:r>
              <w:rPr>
                <w:rFonts w:ascii="Arial" w:cs="Arial" w:eastAsia="Arial" w:hAnsi="Arial"/>
                <w:sz w:val="18"/>
                <w:szCs w:val="18"/>
                <w:color w:val="auto"/>
              </w:rPr>
              <w:t>F-3</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58,477</w:t>
            </w:r>
          </w:p>
        </w:tc>
        <w:tc>
          <w:tcPr>
            <w:tcW w:w="7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9,929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25,484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9,410</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103,300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449,634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11,404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6,214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35,717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234,893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of $242,800,000 ($212,071,000 at December 31, 2018)</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outstanding; aggregate liquidation preference of $100</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shares issued and outstanding; aggregate liquidation preference</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of $3,025,000 ($2,785,000 at December 31, 2018)</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of $1,252,000 ($1,192,000 at December 31, 2018)</w:t>
            </w:r>
          </w:p>
        </w:tc>
        <w:tc>
          <w:tcPr>
            <w:tcW w:w="36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31,283,210 shares issued (31,283,210 shares at December 31, 2018)</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196,833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57,632</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260,593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2,009,566 shares (2,438,305 shares at December 31, 2018)</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13,266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247,327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1,088,489</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00" w:type="dxa"/>
            <w:vAlign w:val="bottom"/>
            <w:gridSpan w:val="8"/>
          </w:tcPr>
          <w:p>
            <w:pPr>
              <w:jc w:val="center"/>
              <w:ind w:left="512"/>
              <w:spacing w:after="0" w:line="155" w:lineRule="exact"/>
              <w:rPr>
                <w:sz w:val="20"/>
                <w:szCs w:val="20"/>
                <w:color w:val="auto"/>
              </w:rPr>
            </w:pPr>
            <w:r>
              <w:rPr>
                <w:rFonts w:ascii="Arial" w:cs="Arial" w:eastAsia="Arial" w:hAnsi="Arial"/>
                <w:sz w:val="14"/>
                <w:szCs w:val="14"/>
                <w:color w:val="auto"/>
                <w:w w:val="92"/>
              </w:rPr>
              <w:t>(In Thousands, Except Per Share Amounts)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365,070</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378,160</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360,085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362,325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34,172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9,904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from continuing operations before provision (benefit) for income taxes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(84,341)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(70,486)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(20,924)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6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(63,417)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(72,226)</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4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64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Basic and dilutive income (loss) per common share: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(3.44)</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(3.74)</w:t>
            </w: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Stock-</w:t>
            </w:r>
          </w:p>
        </w:tc>
        <w:tc>
          <w:tcPr>
            <w:tcW w:w="10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Redeemable</w:t>
            </w:r>
          </w:p>
        </w:tc>
        <w:tc>
          <w:tcPr>
            <w:tcW w:w="92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Excess of</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Stock-</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Stock Shares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Par Value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Par Value</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600"/>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$ 192,172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314,301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(20,088)</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$ 492,513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principle</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stock</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(23,443)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(23,443)</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(3,175)</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193,956</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256,214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(18,102)</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(72,226)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(72,226)</w:t>
            </w:r>
          </w:p>
        </w:tc>
        <w:tc>
          <w:tcPr>
            <w:tcW w:w="0" w:type="dxa"/>
            <w:vAlign w:val="bottom"/>
          </w:tcPr>
          <w:p>
            <w:pPr>
              <w:spacing w:after="0"/>
              <w:rPr>
                <w:sz w:val="1"/>
                <w:szCs w:val="1"/>
                <w:color w:val="auto"/>
              </w:rPr>
            </w:pPr>
          </w:p>
        </w:tc>
      </w:tr>
      <w:tr>
        <w:trPr>
          <w:trHeight w:val="215"/>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(26,840)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Issuance of restricted stock, net</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(3,852)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3,128</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198,482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153,773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(16,186)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(63,417)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(63,417)</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(30,729)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(30,729)</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stock</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(1,995)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(1,995)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(3,869)</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2,920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(949)</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31,283</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$ 196,833</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(13,266</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$ 247,327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(63,417)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(72,226)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continuing operating activities:</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taxes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(20,895)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Charge on extinguishment of debt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depletion and amortization of property, plant and</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68,325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equipment</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70,266</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Amortization of intangible and other assets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associated with assets held for sale</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Loss (gain) on sales of businesses and other property and equipment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(used) by changes in assets and liabilities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of effects of discontinued operations):</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(6,698)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Arial" w:cs="Arial" w:eastAsia="Arial" w:hAnsi="Arial"/>
                <w:sz w:val="18"/>
                <w:szCs w:val="18"/>
                <w:color w:val="auto"/>
              </w:rPr>
              <w:t>Other supplies, prepaid items and other</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(7,987)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Arial" w:cs="Arial" w:eastAsia="Arial" w:hAnsi="Arial"/>
                <w:sz w:val="18"/>
                <w:szCs w:val="18"/>
                <w:color w:val="auto"/>
              </w:rPr>
              <w:t>Accrued interest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(6,919)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current and noncurrent liabilities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(5,113)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Expenditures for property, plant and equipment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(36,081)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(37,050)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Proceeds from sales of businesses and other property and equipment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property insurance recovery associated with property,</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plant and equipment</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Net proceeds from sale of discontinued operations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investing activities</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gridSpan w:val="2"/>
          </w:tcPr>
          <w:p>
            <w:pPr>
              <w:spacing w:after="0"/>
              <w:rPr>
                <w:sz w:val="20"/>
                <w:szCs w:val="20"/>
                <w:color w:val="auto"/>
              </w:rPr>
            </w:pPr>
            <w:r>
              <w:rPr>
                <w:rFonts w:ascii="Arial" w:cs="Arial" w:eastAsia="Arial" w:hAnsi="Arial"/>
                <w:sz w:val="18"/>
                <w:szCs w:val="18"/>
                <w:color w:val="auto"/>
              </w:rPr>
              <w:t>Net cash used by continuing investing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40"/>
              <w:spacing w:after="0" w:line="155" w:lineRule="exact"/>
              <w:rPr>
                <w:sz w:val="20"/>
                <w:szCs w:val="20"/>
                <w:color w:val="auto"/>
              </w:rPr>
            </w:pPr>
            <w:r>
              <w:rPr>
                <w:rFonts w:ascii="Arial" w:cs="Arial" w:eastAsia="Arial" w:hAnsi="Arial"/>
                <w:sz w:val="14"/>
                <w:szCs w:val="14"/>
                <w:color w:val="auto"/>
                <w:w w:val="93"/>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Proceeds from revolving debt facility</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revolving debt facility</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Net proceeds from 9.625% senior secured notes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390,473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senior secured notes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(375,000)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Proceeds from other long-term debt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other long-term debt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(14,073)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(9,170)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Payments of debt-related costs, including extinguishment and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(1,065)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modification costs</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(10,974)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financing</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Payments on short-term financing</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of preferred stock modification costs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Proceeds from exercises of stock options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paid on equity awards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(949)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10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flows of discontinued operations: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Net cash used by operating activities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by financing activities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used by discontinued operations</w:t>
            </w:r>
          </w:p>
        </w:tc>
        <w:tc>
          <w:tcPr>
            <w:tcW w:w="10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0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26,048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 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 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 S. and parts of Canada; and explosive manufacturers in the U.S.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products consisted of natural gas sales from our working interests in certain natural gas properties of our former subsidiary Zena Energy L.L.C. and sales of industrial machinery and related components, which were sold during 2017.</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generally accepted accounting principles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 Our accounts receivable are stated at net realizable value. This value includes an appropriate allowance for estimated uncollectible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 Our contract assets consist of receivables from contracts with customers. Our accounts receivable primarily relate to these contract assets and are presented in our consolidated balance sheets.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to our customers are generally unsecured. Credit is extended to customers based on an evaluation of the customer’s financial condition and other factors. Customer payments are generally due thirty to sixty days after the invoice date. Concentrations of credit risk with respect to trade receivables are monitored and this risk is reduced due to short-term payment terms relating to most of our significant customers. Nine customers (including their affiliates) account for approximately 46% of our total net receivables at December 31, 2019.</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using the first-in, first-out (“FIFO”) basis) or net realizable value, which is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prices in the ordinary course of business, less reasonably predictable costs of completion, transportation or disposal. Finished goods include material, labor, and manufacturing overhead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reserves associated with cost exceeding net realizable value were not material at December 31,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(“PP&amp;E”) are stated at cost, net of accumulated depreciation, depletion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(“DD&amp;A”). Leases meeting finance lease criteria (formerly classified as capital leases)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Fully depreciated assets are retained in PP&amp;E and accumulated DD&amp;A accounts until disposal. When PP&amp;E is retired, sold, or otherwise disposed, the asset’s carrying amount and related accumulated DD&amp;A is removed from the accounts and any gain or loss is included in other income or expense.</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 During 2019, in conjunction with management’s review of our long-range strategy, development of the 2020 budget and the completion of the 2019 Turnarounds, certain non-core long-lived assets were identified and authorized to be sold. As a result, these assets were classified as assets held for sale. Because the estimated costs to sell these assets (primarily to dismantle) exceeds the estimated fair values, the carrying amount of these assets were written down to a de minimis amount and a non-cash charge of approximately $9.7 million was recognized and classified as other expense. We expect these assets to be sold in 2020. At December 31, 2018, we had no long-lived assets classified as held for sale.</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Long-lived assets are reviewed for impairment whenever events or changes in circumstances indicate that the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the event or change in circumstance relates to the probable sale of an asset (or group of assets), the specific asset (or group of assets) is reviewed for impairment.</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and Sales </w:t>
      </w:r>
      <w:r>
        <w:rPr>
          <w:rFonts w:ascii="Arial" w:cs="Arial" w:eastAsia="Arial" w:hAnsi="Arial"/>
          <w:sz w:val="18"/>
          <w:szCs w:val="18"/>
          <w:color w:val="auto"/>
        </w:rPr>
        <w:t>– Financial instruments relating to cash and cash equivalents potentially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us to concentrations of credit risk. These financial instruments were held by financial institutions within the U.S. None of the financial instruments held within U.S. were in excess of the federally insured limits.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to one customer, Koch Fertilizer LLC (“Koch Fertilizer”), represented approximately 11%, 13% and 10% of our total net sales for 2019, 2018 and 2017, respectively. Net sales to one customer, Coffeyville Resources Nitrogen Fertilizer, LLC (“CVR”), represented approximately 11% of our total net sales for 2018. Net sales to one customer, Covestro AG (“Covestro”), represented approximately 12% of our total net sales for 2017.</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Accrued Insurance Liabilities </w:t>
      </w:r>
      <w:r>
        <w:rPr>
          <w:rFonts w:ascii="Arial" w:cs="Arial" w:eastAsia="Arial" w:hAnsi="Arial"/>
          <w:sz w:val="18"/>
          <w:szCs w:val="18"/>
          <w:color w:val="auto"/>
        </w:rPr>
        <w:t>– We are self-insured up to certain limits for group health, workers’ compensation and general liability claims. Above these</w:t>
      </w:r>
      <w:r>
        <w:rPr>
          <w:rFonts w:ascii="Arial" w:cs="Arial" w:eastAsia="Arial" w:hAnsi="Arial"/>
          <w:sz w:val="18"/>
          <w:szCs w:val="18"/>
          <w:b w:val="1"/>
          <w:bCs w:val="1"/>
          <w:color w:val="auto"/>
        </w:rPr>
        <w:t xml:space="preserve"> </w:t>
      </w:r>
      <w:r>
        <w:rPr>
          <w:rFonts w:ascii="Arial" w:cs="Arial" w:eastAsia="Arial" w:hAnsi="Arial"/>
          <w:sz w:val="18"/>
          <w:szCs w:val="18"/>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Executive Benefit Agreements </w:t>
      </w:r>
      <w:r>
        <w:rPr>
          <w:rFonts w:ascii="Arial" w:cs="Arial" w:eastAsia="Arial" w:hAnsi="Arial"/>
          <w:sz w:val="18"/>
          <w:szCs w:val="18"/>
          <w:color w:val="auto"/>
        </w:rPr>
        <w:t>– We are party to certain benefit agreements with certain key current and former executives. Costs associated with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benefit agreements are accrued based on the estimated remaining service period when such benefits become probable, they will be paid. Total costs accrued equal the present value of specified payments to be made after benefits become payable.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 rates</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See Note 8 – Income Taxes discussing the Tax Cuts and Jobs Act of 2017 and Staff Accounting Bulletin No. 118 ("SAB 118") issued by the SEC.</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Certain conditions may exist which may result in a loss, but which will only be resolved when future events occur. We and our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 In general, we record the estimated fair value of an asset retirement obligation (“ARO”) associated with tangible long-lived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Redeemable Preferred Stocks </w:t>
      </w:r>
      <w:r>
        <w:rPr>
          <w:rFonts w:ascii="Arial" w:cs="Arial" w:eastAsia="Arial" w:hAnsi="Arial"/>
          <w:sz w:val="18"/>
          <w:szCs w:val="18"/>
          <w:color w:val="auto"/>
        </w:rPr>
        <w:t>– Our redeemable preferred stocks that are redeemable outside of our control are classified as temporary/mezzanine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However, this accretion will change if the expected redemption date changes.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Historically, we issue new shares of common stock upon the exercise of stock options, but treasury shares may be used.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ind w:right="6880" w:firstLine="8"/>
        <w:spacing w:after="0" w:line="425" w:lineRule="auto"/>
        <w:tabs>
          <w:tab w:leader="none" w:pos="22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Revenue Recognition and Other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 When the terms of a contract include the transfer of multiple products, each distinct product is identified as a separate performance obligation.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only offer assurance-type warranties for our products to meet specifications defined by our contracts with customers, and do not have any material performance obligations related to warranties, return, or refunds.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most of our contracts within the scope of Accounting Standards Codification,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15 months at December 31,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the following practical expedients:</w:t>
      </w:r>
    </w:p>
    <w:p>
      <w:pPr>
        <w:spacing w:after="0" w:line="117" w:lineRule="exact"/>
        <w:rPr>
          <w:sz w:val="20"/>
          <w:szCs w:val="20"/>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recognize revenue in the amount we have the right to invoice relating to certain services that are performed for customers and, not disclosing the value of unsatisfied performance obligations related to such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disclosing the value of unsatisfied performance obligations for contracts with an original expected duration of one year or less.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adjusting the promised amount of consideration for the effects of a significant financing component if we expect the financing time period to be one year or less.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8"/>
          <w:szCs w:val="18"/>
          <w:color w:val="auto"/>
        </w:rPr>
        <w:t>expense as incurred any incremental costs of obtaining a contract if the associated period of benefit is one year or less.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net sales and long-lived assets relate to domestic operations for the periods presented. In addition, net sales to non-U.S. customers were minimal.</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Recognition of Incentive Tax Credits (Other Than Credits Associated with Income Taxes) </w:t>
      </w:r>
      <w:r>
        <w:rPr>
          <w:rFonts w:ascii="Arial" w:cs="Arial" w:eastAsia="Arial" w:hAnsi="Arial"/>
          <w:sz w:val="17"/>
          <w:szCs w:val="17"/>
          <w:color w:val="auto"/>
        </w:rPr>
        <w:t>– If an incentive tax credit relates to a recovery of taxes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when the contingencies have been resolved (generally at the time a settlement has been reached). Amounts recoverable from the taxing authorities, if any, are included in accounts receivable. The same financial statement classification is used for an incentive tax credit as the associated tax incurred.</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we received notification from the State of Arkansas that incentive tax credits had been approved associated with certain capital expenditures associated with the El Dorado Facility’s expansion projects completed primarily in the fourth quarter of 2015 and the second quarter of 2016. As a result, in 2017, we recognized a current and noncurrent receivable totaling approximately $8.1 million associated with these incentive tax credits with the offset reducing PP&amp;E (covered by the tax credit) by approximately $7.4 million and the remaining balance of $0.7 million as a reduction to cost of sales (recovery of previously incurred depreciation expense related to the PP&amp;E). At December 31, 2019 and 2018, our incentive tax credits receivable totaled $2.3 million and $3.1 million, respectively.</w:t>
      </w:r>
    </w:p>
    <w:p>
      <w:pPr>
        <w:spacing w:after="0" w:line="8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Recognition of Insurance Recoveries </w:t>
      </w:r>
      <w:r>
        <w:rPr>
          <w:rFonts w:ascii="Arial" w:cs="Arial" w:eastAsia="Arial" w:hAnsi="Arial"/>
          <w:sz w:val="17"/>
          <w:szCs w:val="17"/>
          <w:color w:val="auto"/>
        </w:rPr>
        <w:t>– If an insurance claim relates to a recovery of our losses, we recognize the recovery when it is probable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estimable. If our insurance claim relates to a contingent gain, we recognize the recovery when it is realized or when the contingencies have been resolved (generally at the time a settlement has been reached). Amounts recoverable from our insurance carriers, if any, are included in accounts receivable. An insurance recovery in excess of recoverable costs relating to a business interruption claim, if any, is a reduction to cost of sales.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includes materials, labor and overhead costs to manufacture the products sold plus inbound freight, purchasing and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if any, are reductions to cost of sales.</w:t>
      </w:r>
    </w:p>
    <w:p>
      <w:pPr>
        <w:spacing w:after="0" w:line="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 </w:t>
      </w:r>
      <w:r>
        <w:rPr>
          <w:rFonts w:ascii="Arial" w:cs="Arial" w:eastAsia="Arial" w:hAnsi="Arial"/>
          <w:sz w:val="16"/>
          <w:szCs w:val="16"/>
          <w:color w:val="auto"/>
        </w:rPr>
        <w:t>– Selling, general and administrative expense (“SG&amp;A”) includes costs associated with the sales,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spacing w:after="0" w:line="3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derivatives are recorded in results of operations unless the normal purchase or sale exceptions apply, or hedge accounting is elected.</w:t>
      </w:r>
    </w:p>
    <w:p>
      <w:pPr>
        <w:spacing w:after="0" w:line="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We have chosen to present the fair values of our derivative contracts under master netting agreements using a gross fair value presentation as there were no derivatives with fair values that were eligible to be offset as of December 31, 2019 and 2018.</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right="2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 At December 31, 2019 and</w:t>
      </w:r>
      <w:r>
        <w:rPr>
          <w:rFonts w:ascii="Arial" w:cs="Arial" w:eastAsia="Arial" w:hAnsi="Arial"/>
          <w:sz w:val="18"/>
          <w:szCs w:val="18"/>
          <w:b w:val="1"/>
          <w:bCs w:val="1"/>
          <w:color w:val="auto"/>
        </w:rPr>
        <w:t xml:space="preserve"> </w:t>
      </w:r>
      <w:r>
        <w:rPr>
          <w:rFonts w:ascii="Arial" w:cs="Arial" w:eastAsia="Arial" w:hAnsi="Arial"/>
          <w:sz w:val="18"/>
          <w:szCs w:val="18"/>
          <w:color w:val="auto"/>
        </w:rPr>
        <w:t>2018, we did not have any contracts classified as Level 1.</w:t>
      </w:r>
    </w:p>
    <w:p>
      <w:pPr>
        <w:spacing w:after="0" w:line="54" w:lineRule="exact"/>
        <w:rPr>
          <w:sz w:val="20"/>
          <w:szCs w:val="20"/>
          <w:color w:val="auto"/>
        </w:rPr>
      </w:pPr>
    </w:p>
    <w:p>
      <w:pPr>
        <w:ind w:left="380" w:right="20"/>
        <w:spacing w:after="0" w:line="313"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of contracts classified as Level 2 are based on quoted prices for similar contracts and valuation inputs other than quoted prices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observable for these contracts. At December 31, 2019 and 2018, we did not have any significant contracts classified as Level 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ind w:left="38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 See Note 10 for further discussion of our embedded derivative which is classified as Level 3.</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and 2018, we did not have any financial instruments with fair values significantly different from their carrying amounts (excluding issuance costs, if applicable). The fair value of financial instruments is not indicative of the overall fair value of our assets and liabilities since financial instruments do not include all assets, including intangibles, and all liabilities.</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Income (Loss) per Common Share </w:t>
      </w:r>
      <w:r>
        <w:rPr>
          <w:rFonts w:ascii="Arial" w:cs="Arial" w:eastAsia="Arial" w:hAnsi="Arial"/>
          <w:sz w:val="17"/>
          <w:szCs w:val="17"/>
          <w:color w:val="auto"/>
        </w:rPr>
        <w:t>– 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We operate in one principal business segment – our chemical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ASU 2016-02 and related ASUs – </w:t>
      </w:r>
      <w:r>
        <w:rPr>
          <w:rFonts w:ascii="Arial" w:cs="Arial" w:eastAsia="Arial" w:hAnsi="Arial"/>
          <w:sz w:val="18"/>
          <w:szCs w:val="18"/>
          <w:color w:val="auto"/>
        </w:rPr>
        <w:t>In February 2016, the FASB issued ASU No.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 (Topic 842)</w:t>
      </w:r>
      <w:r>
        <w:rPr>
          <w:rFonts w:ascii="Arial" w:cs="Arial" w:eastAsia="Arial" w:hAnsi="Arial"/>
          <w:sz w:val="18"/>
          <w:szCs w:val="18"/>
          <w:color w:val="auto"/>
        </w:rPr>
        <w:t>, which supersedes the lease requirements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Topic 840, </w:t>
      </w:r>
      <w:r>
        <w:rPr>
          <w:rFonts w:ascii="Arial" w:cs="Arial" w:eastAsia="Arial" w:hAnsi="Arial"/>
          <w:sz w:val="18"/>
          <w:szCs w:val="18"/>
          <w:i w:val="1"/>
          <w:iCs w:val="1"/>
          <w:color w:val="auto"/>
        </w:rPr>
        <w:t>Leases</w:t>
      </w:r>
      <w:r>
        <w:rPr>
          <w:rFonts w:ascii="Arial" w:cs="Arial" w:eastAsia="Arial" w:hAnsi="Arial"/>
          <w:sz w:val="18"/>
          <w:szCs w:val="18"/>
          <w:color w:val="auto"/>
        </w:rPr>
        <w:t>. In addition, the FASB issued various other ASUs further amending lease accounting guidance (together “ASC 842”). On January 1, 2018, we adopted ASC 842 as discussed in Note 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ASU 2019-12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2019, the FASB issued ASU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affects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The effective date of ASU 2019-12 is fiscal years (and interim periods within those fiscal years) beginning after Dec. 15, 2020. Early adoption is permitted but requires simultaneous adoption of all provisions of the new standard. We continue to evaluate the effect of our pending adoption of this ASU on our consolidated financial statements and related disclosures at this time.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Adoption of ASC 842</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2019, we adopted ASC 842 using the additional transition method option provided by ASU 2018-11. Under this transition method, we applied the new accounting guidance on the date of adoption. Upon adoption, a cumulative effect adjustment was not required; however, the effect of this guidance on our consolidated financial statements impacted our balance sheet presentation by increasing the amount of our noncurrent assets for the inclusion of right-of-use assets of $15.9 million and increasing the amount of our liabilities for the inclusion of the associated lease obligations of $15.9 million, most of which were classified as noncurrent.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transition option we elected, ASC 842 is applied only to the most current period presented in the financial statements and our reporting for the comparative periods presented in the financial statements continue to be in accordance with Topic 840, including disclosures. Upon adoption, we elected the following accounting policies or practical expedients related to ASC 842:</w:t>
      </w:r>
    </w:p>
    <w:p>
      <w:pPr>
        <w:spacing w:after="0" w:line="73" w:lineRule="exact"/>
        <w:rPr>
          <w:sz w:val="20"/>
          <w:szCs w:val="20"/>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apply accounting similar to Topic 840 operating leases accounting to leases that meet the definition of short-term leases;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evaluate land easements that exist or expired before January 1, 2019 and that were not previously accounted for as leases under Topic 840.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Adoption of ASC 842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adoption, we determine if an arrangement is a lease at inception. 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lease term. Currently, most of our leases are classified as operating leases under which we are the lessee and primarily relate to railcars, other equipment and office space. In addition, our leases that are classified as finance leases (previously classified as capital leases) and other leases under which we are the lessor are not material. Most of our leases do not include options to extend or terminate the lease prior to the end of the term. As of December 31, 2019, we have executed operating leases with lease terms greater than one year, totaling approximately $10.8 million that have not yet commenced.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Components of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51764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51764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lease cost</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Supplemental cash flow information related to leases:</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Operating cash flows from finance leases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79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53" w:lineRule="exact"/>
        <w:rPr>
          <w:sz w:val="20"/>
          <w:szCs w:val="20"/>
          <w:color w:val="auto"/>
        </w:rPr>
      </w:pPr>
    </w:p>
    <w:p>
      <w:pPr>
        <w:jc w:val="center"/>
        <w:ind w:right="760"/>
        <w:spacing w:after="0"/>
        <w:rPr>
          <w:sz w:val="20"/>
          <w:szCs w:val="20"/>
          <w:color w:val="auto"/>
        </w:rPr>
      </w:pPr>
      <w:r>
        <w:rPr>
          <w:rFonts w:ascii="Arial" w:cs="Arial" w:eastAsia="Arial" w:hAnsi="Arial"/>
          <w:sz w:val="14"/>
          <w:szCs w:val="14"/>
          <w:color w:val="auto"/>
        </w:rPr>
        <w:t>(Dollars In Thousands)</w:t>
      </w:r>
    </w:p>
    <w:p>
      <w:pPr>
        <w:spacing w:after="0" w:line="235" w:lineRule="exact"/>
        <w:rPr>
          <w:sz w:val="20"/>
          <w:szCs w:val="20"/>
          <w:color w:val="auto"/>
        </w:rPr>
      </w:pPr>
    </w:p>
    <w:p>
      <w:pPr>
        <w:ind w:left="1320" w:hanging="1318"/>
        <w:spacing w:after="0"/>
        <w:tabs>
          <w:tab w:leader="none" w:pos="1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7,270</w:t>
      </w:r>
    </w:p>
    <w:p>
      <w:pPr>
        <w:spacing w:after="0" w:line="57" w:lineRule="exact"/>
        <w:rPr>
          <w:rFonts w:ascii="Arial" w:cs="Arial" w:eastAsia="Arial" w:hAnsi="Arial"/>
          <w:sz w:val="15"/>
          <w:szCs w:val="15"/>
          <w:color w:val="auto"/>
        </w:rPr>
      </w:pPr>
    </w:p>
    <w:p>
      <w:pPr>
        <w:ind w:left="1320"/>
        <w:spacing w:after="0"/>
        <w:rPr>
          <w:rFonts w:ascii="Arial" w:cs="Arial" w:eastAsia="Arial" w:hAnsi="Arial"/>
          <w:sz w:val="15"/>
          <w:szCs w:val="15"/>
          <w:color w:val="auto"/>
        </w:rPr>
      </w:pPr>
      <w:r>
        <w:rPr>
          <w:rFonts w:ascii="Arial" w:cs="Arial" w:eastAsia="Arial" w:hAnsi="Arial"/>
          <w:sz w:val="15"/>
          <w:szCs w:val="15"/>
          <w:color w:val="auto"/>
        </w:rPr>
        <w:t>2,665</w:t>
      </w:r>
    </w:p>
    <w:p>
      <w:pPr>
        <w:spacing w:after="0" w:line="57"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6"/>
          <w:szCs w:val="16"/>
          <w:color w:val="auto"/>
        </w:rPr>
        <w:t>64</w:t>
      </w:r>
    </w:p>
    <w:p>
      <w:pPr>
        <w:spacing w:after="0" w:line="58" w:lineRule="exact"/>
        <w:rPr>
          <w:sz w:val="20"/>
          <w:szCs w:val="20"/>
          <w:color w:val="auto"/>
        </w:rPr>
      </w:pPr>
    </w:p>
    <w:p>
      <w:pPr>
        <w:ind w:left="1320" w:hanging="1318"/>
        <w:spacing w:after="0"/>
        <w:tabs>
          <w:tab w:leader="none" w:pos="13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10979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07" w:lineRule="exact"/>
        <w:rPr>
          <w:sz w:val="20"/>
          <w:szCs w:val="20"/>
          <w:color w:val="auto"/>
        </w:rPr>
      </w:pPr>
    </w:p>
    <w:p>
      <w:pPr>
        <w:ind w:left="1320" w:hanging="1318"/>
        <w:spacing w:after="0"/>
        <w:tabs>
          <w:tab w:leader="none" w:pos="1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7,677</w:t>
      </w:r>
    </w:p>
    <w:p>
      <w:pPr>
        <w:spacing w:after="0" w:line="57"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6"/>
          <w:szCs w:val="16"/>
          <w:color w:val="auto"/>
        </w:rPr>
        <w:t>16</w:t>
      </w:r>
    </w:p>
    <w:p>
      <w:pPr>
        <w:spacing w:after="0" w:line="45"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6"/>
          <w:szCs w:val="16"/>
          <w:color w:val="auto"/>
        </w:rPr>
        <w:t>61</w:t>
      </w:r>
    </w:p>
    <w:p>
      <w:pPr>
        <w:spacing w:after="0" w:line="45" w:lineRule="exact"/>
        <w:rPr>
          <w:sz w:val="20"/>
          <w:szCs w:val="20"/>
          <w:color w:val="auto"/>
        </w:rPr>
      </w:pPr>
    </w:p>
    <w:p>
      <w:pPr>
        <w:sectPr>
          <w:pgSz w:w="11900" w:h="16838" w:orient="portrait"/>
          <w:cols w:equalWidth="0" w:num="2">
            <w:col w:w="8220" w:space="720"/>
            <w:col w:w="24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360" w:type="dxa"/>
            <w:vAlign w:val="bottom"/>
          </w:tcPr>
          <w:p>
            <w:pPr>
              <w:spacing w:after="0"/>
              <w:rPr>
                <w:sz w:val="22"/>
                <w:szCs w:val="22"/>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83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8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lease-related information:</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 finance leases (in years)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459"/>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Includes variable and finance lease costs.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3"/>
          </w:tcPr>
          <w:p>
            <w:pPr>
              <w:spacing w:after="0"/>
              <w:rPr>
                <w:sz w:val="20"/>
                <w:szCs w:val="20"/>
                <w:color w:val="auto"/>
              </w:rPr>
            </w:pPr>
            <w:r>
              <w:rPr>
                <w:rFonts w:ascii="Arial" w:cs="Arial" w:eastAsia="Arial" w:hAnsi="Arial"/>
                <w:sz w:val="18"/>
                <w:szCs w:val="18"/>
                <w:color w:val="auto"/>
              </w:rPr>
              <w:t>Maturities of operating lease liabilities as of December 31, 2019 are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18,709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under Topic 840, expenses associated with our operating lease agreements, including month-to-month leases, were $10,235,000 in 2018 and $9,813,000 in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9"/>
          </w:tcPr>
          <w:p>
            <w:pPr>
              <w:jc w:val="right"/>
              <w:ind w:right="712"/>
              <w:spacing w:after="0" w:line="155" w:lineRule="exact"/>
              <w:rPr>
                <w:sz w:val="20"/>
                <w:szCs w:val="20"/>
                <w:color w:val="auto"/>
              </w:rPr>
            </w:pPr>
            <w:r>
              <w:rPr>
                <w:rFonts w:ascii="Arial" w:cs="Arial" w:eastAsia="Arial" w:hAnsi="Arial"/>
                <w:sz w:val="14"/>
                <w:szCs w:val="14"/>
                <w:color w:val="auto"/>
              </w:rPr>
              <w:t>(Dollars In Thousands, Except Per Share Amounts)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(63,417)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(72,226)</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 Preferred</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(26,840)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(240)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(1,995)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Numerator for basic and dilutive net loss per common</w:t>
            </w: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1060" w:type="dxa"/>
            <w:vAlign w:val="bottom"/>
            <w:vMerge w:val="restart"/>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(96,441)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share - net loss attributable to common stockholders</w:t>
            </w:r>
          </w:p>
        </w:tc>
        <w:tc>
          <w:tcPr>
            <w:tcW w:w="1060" w:type="dxa"/>
            <w:vAlign w:val="bottom"/>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1200" w:type="dxa"/>
            <w:vAlign w:val="bottom"/>
            <w:gridSpan w:val="2"/>
            <w:vMerge w:val="continue"/>
          </w:tcPr>
          <w:p>
            <w:pPr>
              <w:spacing w:after="0"/>
              <w:rPr>
                <w:sz w:val="23"/>
                <w:szCs w:val="23"/>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(102,741)</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(59,447)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Denominator: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 common</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28,039,625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share - adjusted weighted-average shares (1)</w:t>
            </w:r>
          </w:p>
        </w:tc>
        <w:tc>
          <w:tcPr>
            <w:tcW w:w="10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27,490,717</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27,250,876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income (loss) per common share: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periods exclude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preferred stocks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916,666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Restricted stock and stock units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832,103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1,183,622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stock - embedded derivative</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303,646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Stock options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124,000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175,454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2,176,415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2,579,388</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2,622,904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Plant and Equipment</w:t>
            </w: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center"/>
              <w:ind w:left="314"/>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lives</w:t>
            </w:r>
          </w:p>
        </w:tc>
        <w:tc>
          <w:tcPr>
            <w:tcW w:w="34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w w:val="87"/>
              </w:rPr>
              <w:t>(1)</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5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equipment and automotive</w:t>
            </w:r>
          </w:p>
        </w:tc>
        <w:tc>
          <w:tcPr>
            <w:tcW w:w="98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auto"/>
              </w:rPr>
              <w:t>25</w:t>
            </w:r>
          </w:p>
        </w:tc>
        <w:tc>
          <w:tcPr>
            <w:tcW w:w="900" w:type="dxa"/>
            <w:vAlign w:val="bottom"/>
            <w:gridSpan w:val="4"/>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1,204,695</w:t>
            </w:r>
          </w:p>
        </w:tc>
        <w:tc>
          <w:tcPr>
            <w:tcW w:w="660" w:type="dxa"/>
            <w:vAlign w:val="bottom"/>
            <w:gridSpan w:val="3"/>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38,810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98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Furniture, fixtures and store equipment</w:t>
            </w:r>
          </w:p>
        </w:tc>
        <w:tc>
          <w:tcPr>
            <w:tcW w:w="980" w:type="dxa"/>
            <w:vAlign w:val="bottom"/>
          </w:tcPr>
          <w:p>
            <w:pPr>
              <w:jc w:val="center"/>
              <w:ind w:left="334"/>
              <w:spacing w:after="0"/>
              <w:rPr>
                <w:sz w:val="20"/>
                <w:szCs w:val="20"/>
                <w:color w:val="auto"/>
              </w:rPr>
            </w:pPr>
            <w:r>
              <w:rPr>
                <w:rFonts w:ascii="Arial" w:cs="Arial" w:eastAsia="Arial" w:hAnsi="Arial"/>
                <w:sz w:val="18"/>
                <w:szCs w:val="18"/>
                <w:b w:val="1"/>
                <w:bCs w:val="1"/>
                <w:color w:val="auto"/>
                <w:w w:val="79"/>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shd w:val="clear" w:color="auto" w:fill="CFF0FC"/>
          </w:tcPr>
          <w:p>
            <w:pPr>
              <w:jc w:val="center"/>
              <w:ind w:left="334"/>
              <w:spacing w:after="0"/>
              <w:rPr>
                <w:sz w:val="20"/>
                <w:szCs w:val="20"/>
                <w:color w:val="auto"/>
              </w:rPr>
            </w:pPr>
            <w:r>
              <w:rPr>
                <w:rFonts w:ascii="Arial" w:cs="Arial" w:eastAsia="Arial" w:hAnsi="Arial"/>
                <w:sz w:val="18"/>
                <w:szCs w:val="18"/>
                <w:b w:val="1"/>
                <w:bCs w:val="1"/>
                <w:color w:val="auto"/>
              </w:rPr>
              <w:t>N/A</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Capital spare parts</w:t>
            </w:r>
          </w:p>
        </w:tc>
        <w:tc>
          <w:tcPr>
            <w:tcW w:w="980" w:type="dxa"/>
            <w:vAlign w:val="bottom"/>
          </w:tcPr>
          <w:p>
            <w:pPr>
              <w:jc w:val="center"/>
              <w:ind w:left="334"/>
              <w:spacing w:after="0"/>
              <w:rPr>
                <w:sz w:val="20"/>
                <w:szCs w:val="20"/>
                <w:color w:val="auto"/>
              </w:rPr>
            </w:pPr>
            <w:r>
              <w:rPr>
                <w:rFonts w:ascii="Arial" w:cs="Arial" w:eastAsia="Arial" w:hAnsi="Arial"/>
                <w:sz w:val="18"/>
                <w:szCs w:val="18"/>
                <w:b w:val="1"/>
                <w:bCs w:val="1"/>
                <w:color w:val="auto"/>
              </w:rPr>
              <w:t>N/A</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24,245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FF0FC"/>
          </w:tcPr>
          <w:p>
            <w:pPr>
              <w:jc w:val="center"/>
              <w:ind w:left="334"/>
              <w:spacing w:after="0"/>
              <w:rPr>
                <w:sz w:val="20"/>
                <w:szCs w:val="20"/>
                <w:color w:val="auto"/>
              </w:rPr>
            </w:pPr>
            <w:r>
              <w:rPr>
                <w:rFonts w:ascii="Arial" w:cs="Arial" w:eastAsia="Arial" w:hAnsi="Arial"/>
                <w:sz w:val="18"/>
                <w:szCs w:val="18"/>
                <w:b w:val="1"/>
                <w:bCs w:val="1"/>
                <w:color w:val="auto"/>
              </w:rPr>
              <w:t>N/A</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1,313,245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376,771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amortization</w:t>
            </w: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936,474</w:t>
            </w:r>
          </w:p>
        </w:tc>
        <w:tc>
          <w:tcPr>
            <w:tcW w:w="280" w:type="dxa"/>
            <w:vAlign w:val="bottom"/>
            <w:gridSpan w:val="2"/>
          </w:tcPr>
          <w:p>
            <w:pPr>
              <w:spacing w:after="0"/>
              <w:rPr>
                <w:sz w:val="19"/>
                <w:szCs w:val="19"/>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974,248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900" w:hanging="514"/>
        <w:spacing w:after="0"/>
        <w:tabs>
          <w:tab w:leader="none" w:pos="900" w:val="left"/>
        </w:tabs>
        <w:numPr>
          <w:ilvl w:val="0"/>
          <w:numId w:val="34"/>
        </w:numPr>
        <w:rPr>
          <w:rFonts w:ascii="Arial" w:cs="Arial" w:eastAsia="Arial" w:hAnsi="Arial"/>
          <w:sz w:val="29"/>
          <w:szCs w:val="29"/>
          <w:color w:val="auto"/>
          <w:vertAlign w:val="superscript"/>
        </w:rPr>
      </w:pPr>
      <w:r>
        <w:rPr>
          <w:rFonts w:ascii="Arial" w:cs="Arial" w:eastAsia="Arial" w:hAnsi="Arial"/>
          <w:sz w:val="16"/>
          <w:szCs w:val="16"/>
          <w:color w:val="auto"/>
        </w:rPr>
        <w:t>Weighted average useful lives as of December 31, 2019.</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 (continued)</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(2-7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Current and Noncurrent Accrued and Other Liabilities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7,091</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payroll and benefits (1)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5,385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4,066</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3,443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death and other executive benefits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2,564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Series E redeemable preferred - embedded derivative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966</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Customer deposits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litigation settlement (See Note 9)</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6,967</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31,698</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6,214</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25,484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42,129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6"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At December 31, 2018, the amount includes certain severance benefits as discussed in Note 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 Retirement Obligations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we have various legal requirements related to operations at our chemical facilities mainly for the disposal of wastewater generated at certain of these facilities. At December 31, 2019 and 2018, our accrued liability for AROs was $100,000. However, the facilities and some of the water related assets have an indeterminate life and as a result there is insufficient information to estimate the fair value for certain of our AROs. We will continue to review these obligations and record a liability when a reasonable estimate of the fair value can be made.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 rate of</w:t>
            </w:r>
          </w:p>
        </w:tc>
        <w:tc>
          <w:tcPr>
            <w:tcW w:w="240" w:type="dxa"/>
            <w:vAlign w:val="bottom"/>
            <w:vMerge w:val="restart"/>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5.25% (A)</w:t>
            </w:r>
          </w:p>
        </w:tc>
        <w:tc>
          <w:tcPr>
            <w:tcW w:w="24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435,000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an interest rate</w:t>
            </w: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4,746</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5.25% (C)</w:t>
            </w:r>
          </w:p>
        </w:tc>
        <w:tc>
          <w:tcPr>
            <w:tcW w:w="24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2023, with a current interest rate</w:t>
            </w: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12,705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of 6.03% (D)</w:t>
            </w: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 rate</w:t>
            </w: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13,476</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8.32% (E)</w:t>
            </w:r>
          </w:p>
        </w:tc>
        <w:tc>
          <w:tcPr>
            <w:tcW w:w="24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Loan Agreement, with an interest rate</w:t>
            </w: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5,219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of 8.76% (E)</w:t>
            </w: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2019 (E)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net of premium, and debt</w:t>
            </w:r>
          </w:p>
        </w:tc>
        <w:tc>
          <w:tcPr>
            <w:tcW w:w="24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(12,261)</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459,044</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 (F)</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9,410</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Long-term debt due after one year, net (F)</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449,634</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(continued)</w:t>
      </w:r>
    </w:p>
    <w:p>
      <w:pPr>
        <w:spacing w:after="0" w:line="121" w:lineRule="exact"/>
        <w:rPr>
          <w:sz w:val="20"/>
          <w:szCs w:val="20"/>
          <w:color w:val="auto"/>
        </w:rPr>
      </w:pPr>
    </w:p>
    <w:p>
      <w:pPr>
        <w:jc w:val="both"/>
        <w:ind w:firstLine="8"/>
        <w:spacing w:after="0" w:line="272" w:lineRule="auto"/>
        <w:tabs>
          <w:tab w:leader="none" w:pos="295"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As amended in February 2019, our revolving credit facility (the “Working Capital Revolver Loan”) provides for advances up to $75 million, based on specific percentages of eligible accounts receivable and inventories and up to $10 million of standby letters of credit, the outstanding amount of which reduces the available for borrowing under the Working Capital Revolver Loan. At December 31, 2019, our available borrowings under our Working Capital Revolver Loan were approximately $42.1 million, based on our eligible collateral, less outstanding letters of credit. The maturity date of the Working Capital Revolver Loan is February 26, 2024.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monthly, if applicable.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contains customary covenants including limitations on asset sales, liens, debt incurrence, restricted payments, investments, dividends and transactions with affiliates.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includes customary events of default. Upon the occurrence of any event of default, the obligations under the Working Capital Revolver Loan may be accelerated and the revolver commitments may be terminated.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under the Working Capital Revolver Loan are secured by a first priority security interest in substantially all of our current assets, including accounts receivable and inventory, subject to certain customary exceptions.</w:t>
      </w:r>
    </w:p>
    <w:p>
      <w:pPr>
        <w:spacing w:after="0" w:line="62" w:lineRule="exact"/>
        <w:rPr>
          <w:sz w:val="20"/>
          <w:szCs w:val="20"/>
          <w:color w:val="auto"/>
        </w:rPr>
      </w:pPr>
    </w:p>
    <w:p>
      <w:pPr>
        <w:jc w:val="both"/>
        <w:ind w:firstLine="8"/>
        <w:spacing w:after="0" w:line="259" w:lineRule="auto"/>
        <w:tabs>
          <w:tab w:leader="none" w:pos="293"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On April 25, 2018, LSB completed the issuance and sale of $400 million aggregate principal amount of its 9.625% Senior Secured Notes due 2023 (the “Notes”). The Notes were issued pursuant to an indenture, dated as of April 25, 2018 (the “Indenture”), by and among LSB, the subsidiary guarantors named therein, and Wilmington Trust, National Association, a national banking association, as trustee and collateral agent (the “Notes Trustee”). The Notes were issued at a price equal to 99.509% of their face value.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 in a transaction exempt from the registration requirements under the Securities Act of 1933 (the “Securities Act”) sold to eligible purchasers in reliance on Rule 144A under the Securities Act and to non-U.S. persons in accordance with Regulation S under the Securities Act.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it relates to the issuance of the Notes in April 2018, a portion of the net proceeds from the Notes were used to purchase/redeem the $375 million aggregate principal amount of senior secured notes scheduled to mature in 2019. The remaining net proceeds were primarily used to pay related transaction fees and expenses, redemption premiums, and accrued interest on the senior secured notes purchased/redeemed.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this transaction was accounted for as an extinguishment of debt and a portion was accounted for as a non-substantial debt modification. As a result, approximately $15.2 million of the fees/redemption premiums/discount was deferred and included in discount and debt issuance costs and approximately $0.9 million of fees were expensed, as incurred, and are included in interest expense in 2018. In addition, we recognized a loss on extinguishment of debt of approximately $6.0 million in 2018, primarily consisting of a portion of the redemption premiums paid and the expensing of a portion of debt issuance costs associated with the senior secured notes.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Secured Notes will mature on May 1, 2023 and rank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Senior Secured Notes are jointly and severally guaranteed by the subsidiary guarantors named in the Indenture on a senior secured basis.</w:t>
      </w:r>
    </w:p>
    <w:p>
      <w:pPr>
        <w:spacing w:after="0" w:line="7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Interest on the Senior Secured Notes accrues at a rate of 9.625% per annum and is payable semi-annually in arrears on May 1 and November 1 of each year.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(continued)</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LSB may redeem the Senior Secured Notes at its option, in whole or in part, subject to the payment of a premium ranging from a “make-whole” premium to a premium of 3.609% of the principal amount so redeemed, in the case of any optional redemption prior to May 1, 2022. If LSB experiences a change of control, it must offer to purchase the notes at 101% of their principal amount, plus accrued and unpaid interest, if any, to but excluding the date of purchase.</w:t>
      </w:r>
    </w:p>
    <w:p>
      <w:pPr>
        <w:spacing w:after="0" w:line="3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Indenture provides for customary events of default (subject in certain cases to customary grace and cure periods), which include nonpayment, breach of covenants in the Indenture, payment defaults or acceleration of other indebtedness, a failure to pay certain judgments and certain events of bankruptcy and insolvency.</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Obligations in respect of the Senior Secured Notes are secured by a first priority security interest in substantially all of our fixed assets, subject to certain customary exceptions.</w:t>
      </w:r>
    </w:p>
    <w:p>
      <w:pPr>
        <w:spacing w:after="0" w:line="62"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EDC is party to a secured promissory note due in March 2021. Principal and interest are payable in monthly installments.</w:t>
      </w:r>
    </w:p>
    <w:p>
      <w:pPr>
        <w:spacing w:after="0" w:line="117" w:lineRule="exact"/>
        <w:rPr>
          <w:rFonts w:ascii="Arial" w:cs="Arial" w:eastAsia="Arial" w:hAnsi="Arial"/>
          <w:sz w:val="18"/>
          <w:szCs w:val="18"/>
          <w:b w:val="1"/>
          <w:bCs w:val="1"/>
          <w:color w:val="auto"/>
        </w:rPr>
      </w:pPr>
    </w:p>
    <w:p>
      <w:pPr>
        <w:ind w:right="20" w:firstLine="8"/>
        <w:spacing w:after="0" w:line="277" w:lineRule="auto"/>
        <w:tabs>
          <w:tab w:leader="none" w:pos="301"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in May 2023. Principal and interest are payable in equal monthly installments with a final balloon payment of approximately $6.1 million.</w:t>
      </w:r>
    </w:p>
    <w:p>
      <w:pPr>
        <w:spacing w:after="0" w:line="62" w:lineRule="exact"/>
        <w:rPr>
          <w:rFonts w:ascii="Arial" w:cs="Arial" w:eastAsia="Arial" w:hAnsi="Arial"/>
          <w:sz w:val="18"/>
          <w:szCs w:val="18"/>
          <w:b w:val="1"/>
          <w:bCs w:val="1"/>
          <w:color w:val="auto"/>
        </w:rPr>
      </w:pPr>
    </w:p>
    <w:p>
      <w:pPr>
        <w:jc w:val="both"/>
        <w:ind w:right="20" w:firstLine="8"/>
        <w:spacing w:after="0" w:line="279" w:lineRule="auto"/>
        <w:tabs>
          <w:tab w:leader="none" w:pos="285"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On May 28, 2019, EDC entered into a $15 million secured financing arrangement with an affiliate of LSB Funding L.L.C. (“LSB Funding”). Beginning in June 2019, principal and interest are payable in 48 equal monthly installments with a final balloon payment of approximately $3 million due on June 1, 2023. This financing arrangement is secured by the cogeneration facility equipment and is guaranteed by LSB. A portion of the proceeds from this secured financing arrangement was used to pay off the Secured Promissory Note that was scheduled to mature in June 2019.</w:t>
      </w:r>
    </w:p>
    <w:p>
      <w:pPr>
        <w:spacing w:after="0" w:line="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2019, EDC entered into a secured loan agreement with an affiliate of LSB Funding. Under the terms of the agreement, EDC has up to $7.5 million of available borrowings (the “Interim Loan”) during the construction of certain equipment (the “Interim Loan Period), subject to certain conditions. During the Interim Loan Period, interest only is payable in monthly installments. The Interim Loan will be replaced by a term loan in 2020. Principal and interest will be payable in 60 equal monthly installments under the term loan.</w:t>
      </w:r>
    </w:p>
    <w:p>
      <w:pPr>
        <w:spacing w:after="0" w:line="79"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2019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9,447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447,491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Less: Discount, net of premium, and debt issuance costs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12,261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459,044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580" w:type="dxa"/>
            <w:vAlign w:val="bottom"/>
            <w:vMerge w:val="restart"/>
          </w:tcPr>
          <w:p>
            <w:pPr>
              <w:ind w:left="3240"/>
              <w:spacing w:after="0"/>
              <w:rPr>
                <w:sz w:val="20"/>
                <w:szCs w:val="20"/>
                <w:color w:val="auto"/>
              </w:rPr>
            </w:pPr>
            <w:r>
              <w:rPr>
                <w:rFonts w:ascii="Arial" w:cs="Arial" w:eastAsia="Arial" w:hAnsi="Arial"/>
                <w:sz w:val="18"/>
                <w:szCs w:val="18"/>
                <w:color w:val="auto"/>
              </w:rPr>
              <w:t>F-19</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President of the United States signed into law the Tax Cuts and Jobs Act of 2017 (the “Tax Cut Act”), making significant changes to the Internal Revenue Code. Changes include, but are not limited to, a federal corporate tax rate of 21%, additional limitations on executive compensation, and limitations on the deductibility of interest.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FASB issued ASU 2018-05, Income Taxes (Topic 740): </w:t>
      </w:r>
      <w:r>
        <w:rPr>
          <w:rFonts w:ascii="Arial" w:cs="Arial" w:eastAsia="Arial" w:hAnsi="Arial"/>
          <w:sz w:val="18"/>
          <w:szCs w:val="18"/>
          <w:i w:val="1"/>
          <w:iCs w:val="1"/>
          <w:color w:val="auto"/>
        </w:rPr>
        <w:t>Amendments to SEC Paragraphs Pursuant to SEC Staff Accounting Bulletin No. 118</w:t>
      </w:r>
      <w:r>
        <w:rPr>
          <w:rFonts w:ascii="Arial" w:cs="Arial" w:eastAsia="Arial" w:hAnsi="Arial"/>
          <w:sz w:val="18"/>
          <w:szCs w:val="18"/>
          <w:color w:val="auto"/>
        </w:rPr>
        <w:t xml:space="preserve"> to address the application of GAAP in situations when a registrant does not have the necessary information available, prepared, or analyzed (including computations) in reasonable detail to complete the accounting for certain income tax effects of the Tax Cut Act.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2017 and the first nine months of 2018, we recorded provisional amounts for certain enactment-date effects of the Tax Cut Act by applying the guidance in SAB 118 because we had not yet completed our enactment-date accounting for these effects. In 2018 and 2017, we recorded tax expense related to these effects including the decrease in the federal corporate tax rate, additional limitations on executive compensation, and limitations on the deductibility of interest. During the fourth quarter of 2018, we completed the accounting for tax reform and there was no adjustment to provisional amounts recorded.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from continuing operations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5"/>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4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16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(14,739)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State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(20,895)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720"/>
              <w:spacing w:after="0"/>
              <w:rPr>
                <w:sz w:val="20"/>
                <w:szCs w:val="20"/>
                <w:color w:val="auto"/>
              </w:rPr>
            </w:pPr>
            <w:r>
              <w:rPr>
                <w:rFonts w:ascii="Arial" w:cs="Arial" w:eastAsia="Arial" w:hAnsi="Arial"/>
                <w:sz w:val="18"/>
                <w:szCs w:val="18"/>
                <w:color w:val="auto"/>
              </w:rPr>
              <w:t>Provision (benefit) for income taxes</w:t>
            </w:r>
          </w:p>
        </w:tc>
        <w:tc>
          <w:tcPr>
            <w:tcW w:w="13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provision for federal income taxes shown above includes regular federal income tax after the consideration of permanent and temporary differences between income for GAAP and tax purposes. The current benefit for state income taxes includes regular state income tax and provisions for uncertain income tax positions, and other similar adjustments.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2019, our gross amount of tax credits available to offset state income taxes was not material. Most of these tax credits do not expire and carryforward indefinitely. The gross amount of federal tax credits was $8.1 million. These credits carryforward for 20 years and begin expiring in 2034. The current year deferred benefit is primarily due to changes to the state deferred tax assets and liabilities resulting from state tax law changes enacted during 2019 and due to federal and state indefinite lived carryforward benefits that can be realized through the reversal of deferred tax liabilities.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utilized approximately $3.4 million, which includes the impact of changes in tax law, of state NOL carryforwards to reduce tax liabilities in 2018 (minimal in 2019 and none in 2017). At December 31, 2019, we have remaining federal and state tax NOL carryforwards of $611.0 million and $734.9 million, respectively. The federal NOL carryforwards begin expiring in 2033 and the state NOL carryforwards began expiring in 2019.</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In the second quarter of 2018, we established a valuation allowance on a portion of our federal deferred tax assets. Valuation allowances are reflective of our quarterly analysis of the four sources of taxable income, including the calculation of the reversal of existing tax assets and liabilities, the impact of the recent financing activities and our results of operations. Based on our analysis, we currently believe that it is more-likely-than-not that a portion of our federal deferred tax assets will not be able to be utilized and the valuation allowance recorded for 2019 is approximately $2.7 million. For 2019, 2018 and 2017, we determined it was more-likely-than-not that approximately $698.4 million, $608.9 million and $536.0 million, respectively, of the state deferred tax assets would not be able to be utilized before expiration and a valuation allowance was maintained for the deferred tax assets associated with these carryforwards, net of federal benefit, of approximately $34.2 million and $31.0 million at December 31, 2019 and 2018, respectively. This includes a reversal of approximately $2.3 million of valuation allowance related to tax law changes in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2,073</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carryforward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23,164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163,750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14,994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Less valuation allowance on deferred tax assets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(51,589)</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deferred tax assets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153,443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(182,572)</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Prepaid and other insurance reserves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(6,588)</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deferred tax liabilities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(189,160)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(193,965)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(35,717)</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loss before taxes relates to domestic operations. Detailed below are the differences between the amount of the provision (benefit) for income taxes and the amount which would result from the application of the federal statutory rate to “Loss from continuing operations before provision (benefit) for income taxes”.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 at federal statutory rate</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(17,712)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(14,802)</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(24,868)</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 current and deferred income tax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(2,699)</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 Federal</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Valuation allowance - State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State tax law changes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(4,388)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Tax reform</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(22,988)</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FF0FC"/>
          </w:tcPr>
          <w:p>
            <w:pPr>
              <w:spacing w:after="0"/>
              <w:rPr>
                <w:sz w:val="19"/>
                <w:szCs w:val="19"/>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9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32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577</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For 2019, 2018, and 2017, if recognized, the effect on the effective tax rate from unrecognized tax benefits would be insignificant.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interest related to unrecognized tax positions in interest expense and penalties in operating other expense. We recognized $0.1 million of interest and penalties associated with unrecognized tax benefits in 2017 (minimal amounts in 2019 and 2018). At December 31, 2019 and 2018, approximately $0.3 million and $0.2 million, respectively is accrued for interest and penalties.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2016-2019 years remain open for all purposes of examination by the U.S. Internal Revenue Service (“IRS”) and other major tax jurisdictions. During 2018, the IRS concluded their examination of our 2015 tax return and there are no changes to our financial position, results of operations or cash flow resulting from the audit.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and Sales Commitments </w:t>
      </w:r>
      <w:r>
        <w:rPr>
          <w:rFonts w:ascii="Arial" w:cs="Arial" w:eastAsia="Arial" w:hAnsi="Arial"/>
          <w:sz w:val="18"/>
          <w:szCs w:val="18"/>
          <w:color w:val="auto"/>
        </w:rPr>
        <w:t>– We have the following significant purchase and sales commitments.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UAN supply agreement – The Pryor Chemical Company (“PCC”) is party to an agreement with CVR. CVR has the exclusive right (but not the obligation) to purchase all the tons of UAN that are produced by PCC with certain limitations. If CVR fails to take delivery of certain tons, PCC pursuant to the terms of the agreement may immediately sell such unpurchased product to a third-party without restriction. The current term of the agreement expires in May 2020, but includes automatic renewals for one or more additional one-year terms unless terminated by either party. However, CVR may unilaterally terminate the agreement upon 180 days’ advance written notice of termination to PCC; provided, however, that each party’s rights and obligations pertaining to UAN that CVR committed to purchase before such advance notice will survive termination. Additionally, PCC can terminate the agreement upon 90 days’ advance written notice of termination to CVR; provided, however, that each party’s rights and obligations pertaining to UAN that PCC committed to sell prior to such advance notice will survive termination.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Ammonia supply agreement – EDC is party to an agreement, as amended, with Koch Fertilizer under which Koch Fertilizer agrees to purchase, with minimum purchase requirements, the ammonia that (a) will be produced at the El Dorado Facility and (b) a portion that is in excess of EDC’s needs as defined. As amended, the term of the agreement expires in June 2022 but automatically continues for one or more additional one-year terms unless terminated by either party by delivering a notice of termination at least nine months prior to the end of term in effect.</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Covestro agreement – El Dorado Nitrogen LLC (“EDN”) and EDC, are party to an agreement (the “Covestro Agreement”) with Covestro. EDN operates the Baytown Facility located within Covestro’s chemical manufacturing complex located in Baytown, Texas. Under the terms of the Covestro Agreement, EDN is responsible for the maintenance and operation of the Baytown Facility, which facility produces all of Covestro’s requirements for nitric acid for use in Covestro’s chemical manufacturing complex. If there is a change in control of EDN, Covestro has the right to terminate the Covestro Agreement upon payment of certain fees to EDN. The Covestro Agreement expires in June 2021, with options for renewal.</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Natural Gas Purchase and Other Commitments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of our subsidiaries are parties to contracts to purchase natural gas for anticipated production needs at certain of our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2019, our natural gas contracts, which qualify as normal purchases under GAAP and thus are not mark-to-market, included volume purchase commitments with fixed costs of approximately 7.0 million MMBtus of natural gas. These contracts extend through December 2020 at a weighted-average cost of $2.23 per MMBtu ($15.7 million) and a weighted-average market value of $2.06 per MMBtu ($14.5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had standby letters of credit outstanding of approximately $2.8 million at December 31, 2019.</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Wastewater Pipeline Operating Agreement – </w:t>
      </w:r>
      <w:r>
        <w:rPr>
          <w:rFonts w:ascii="Arial" w:cs="Arial" w:eastAsia="Arial" w:hAnsi="Arial"/>
          <w:sz w:val="18"/>
          <w:szCs w:val="18"/>
          <w:color w:val="auto"/>
        </w:rPr>
        <w:t>EDC is party to an operating agreement for the right to use a pipeline to dispose its wastewater. EDC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obligated to pay a portion of the operating costs of the pipeline, which portion is estimated to be $100,000 to $150,000 annually. The initial term of the operating agreement is through December 2053.</w:t>
      </w:r>
    </w:p>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2019, we have agreed to indemnify the sureties for payments, up to $10 million, made by them in respect of such bonds. All of these insurance bonds are expected to expire or be renewed in 2020.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Employment and Severance Agreements - </w:t>
      </w:r>
      <w:r>
        <w:rPr>
          <w:rFonts w:ascii="Arial" w:cs="Arial" w:eastAsia="Arial" w:hAnsi="Arial"/>
          <w:sz w:val="18"/>
          <w:szCs w:val="18"/>
          <w:color w:val="auto"/>
        </w:rPr>
        <w:t>We have employment and severance agreements with several of our officers. The agreements,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annual base salaries, bonuses and other benefits commonly found in such agreements. In the event of termination of employment due to a change in control (as defined in the agreements), the agreements provide for payments aggregating $8.3 million at December 31, 2019. Also see Note 14-Related Party Transactions.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Settlement of a Gain Contingency - </w:t>
      </w:r>
      <w:r>
        <w:rPr>
          <w:rFonts w:ascii="Arial" w:cs="Arial" w:eastAsia="Arial" w:hAnsi="Arial"/>
          <w:sz w:val="18"/>
          <w:szCs w:val="18"/>
          <w:color w:val="auto"/>
        </w:rPr>
        <w:t>During 2018, we and a vendor mediated a settlement relating primarily to a business interruption claim caused by</w:t>
      </w:r>
      <w:r>
        <w:rPr>
          <w:rFonts w:ascii="Arial" w:cs="Arial" w:eastAsia="Arial" w:hAnsi="Arial"/>
          <w:sz w:val="18"/>
          <w:szCs w:val="18"/>
          <w:b w:val="1"/>
          <w:bCs w:val="1"/>
          <w:color w:val="auto"/>
        </w:rPr>
        <w:t xml:space="preserve"> </w:t>
      </w:r>
      <w:r>
        <w:rPr>
          <w:rFonts w:ascii="Arial" w:cs="Arial" w:eastAsia="Arial" w:hAnsi="Arial"/>
          <w:sz w:val="18"/>
          <w:szCs w:val="18"/>
          <w:color w:val="auto"/>
        </w:rPr>
        <w:t>defective work performed by the vendor at our Pryor Facility. As a result of the settlement, the vendor paid us $4.0 million. As part of the settlement, we paid the vendor $0.5 million to settle $1.1 million of invoices that were held in our accounts payable. As a result, we recognized a recovery from this settlement totaling $4.6 million of which $4.4 million was classified as a reduction to cost of sales (primarily relating to our business interruption claim) and the remaining balance of $0.2 million as a reduction to PP&amp;E.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In addition, claims for damages to persons or property, including natural resources, may result from the environmental, health and safety effects of our operations.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of December 31, 2019, our accrued liabilities for environmental matters totaled $183,000 relating primarily to the matters discussed below. It is reasonably possible that a change in the estimate of our liability could occur in the near term. Also, see discussion in Note 6 </w:t>
      </w:r>
      <w:r>
        <w:rPr>
          <w:rFonts w:ascii="Arial" w:cs="Arial" w:eastAsia="Arial" w:hAnsi="Arial"/>
          <w:sz w:val="16"/>
          <w:szCs w:val="16"/>
          <w:b w:val="1"/>
          <w:bCs w:val="1"/>
          <w:color w:val="auto"/>
        </w:rPr>
        <w:t>–</w:t>
      </w:r>
      <w:r>
        <w:rPr>
          <w:rFonts w:ascii="Arial" w:cs="Arial" w:eastAsia="Arial" w:hAnsi="Arial"/>
          <w:sz w:val="16"/>
          <w:szCs w:val="16"/>
          <w:color w:val="auto"/>
        </w:rPr>
        <w:t xml:space="preserve"> Asset Retirement Obligations.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In February 2019, the Evaluation Report was submitted to the ADEQ and the ADEQ approved the report in August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 liability has been established at December 31, 2019, in connection with this ADEQ matter.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These settlements have been paid by the insurer as of December 31, 2019. While these settlements resolve the claims of a number of the claimants in this matter for us, we continue to be party to litigation related to this explosion by other plaintiffs, in addition to indemnification or defense obligations we may have to other defendants. We continue to defend these lawsuits vigorously and we are unable to estimate a possible range of loss at this time if there is an adverse outcome in this matter as to EDC. As of December 31, 2019, no liability reserve has been established in connection with this matter.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sought an unspecified amount of damages.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October 2018, LSB entered into a preliminary, binding term sheet to settle </w:t>
      </w:r>
      <w:r>
        <w:rPr>
          <w:rFonts w:ascii="Arial" w:cs="Arial" w:eastAsia="Arial" w:hAnsi="Arial"/>
          <w:sz w:val="18"/>
          <w:szCs w:val="18"/>
          <w:i w:val="1"/>
          <w:iCs w:val="1"/>
          <w:color w:val="auto"/>
        </w:rPr>
        <w:t>Dennis Wilson vs. LSB Industries, Inc</w:t>
      </w:r>
      <w:r>
        <w:rPr>
          <w:rFonts w:ascii="Arial" w:cs="Arial" w:eastAsia="Arial" w:hAnsi="Arial"/>
          <w:sz w:val="18"/>
          <w:szCs w:val="18"/>
          <w:color w:val="auto"/>
        </w:rPr>
        <w:t>., et al., which was subject to approval by the court. On January 17, 2019, the parties entered into a Stipulation and Agreement of Settlement (the “Wilson Settlement Agreement”), pursuant to which the settlement amount of approximately $18.5 million was paid in March by our insurers on behalf of LSB and certain current and former officers in exchange for, among other things, a release of all claims. On May 23, 2019, one request for exclusion from the settlement class was made. On June 28, 2019, the court held a settlement hearing and entered a Judgement Approving Class Action Settlement, which includes a provision whereby the party requesting exclusion may withdraw its exclusion from the settlement and file by July 23, 2019 to rejoin the class. On July 23, 2019, LSB reached a preliminary settlement and the requesting party withdrew its request for exclusion from the class. Subsequently, during the third quarter of 2019, this additional settlement was executed, and the settlement amount was paid to the requesting party by our insurers on behalf of LSB and certain current and former officers in exchange for, among other things, an appropriate release of claims. As a result, no liability in relation to this matter remains outstanding as of December 31, 2019.</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LSB and EDA intend to pursue recovery of any damage or loss caused by Global’s work performed at our El Dorado Facility. In March 2016, EDC and we were served a summons in a case styled </w:t>
      </w:r>
      <w:r>
        <w:rPr>
          <w:rFonts w:ascii="Arial" w:cs="Arial" w:eastAsia="Arial" w:hAnsi="Arial"/>
          <w:sz w:val="17"/>
          <w:szCs w:val="17"/>
          <w:i w:val="1"/>
          <w:iCs w:val="1"/>
          <w:color w:val="auto"/>
        </w:rPr>
        <w:t>Global Industrial, Inc. d/b/a Global Turnaround vs. Leidos Constructors, LLC et al.,</w:t>
      </w:r>
      <w:r>
        <w:rPr>
          <w:rFonts w:ascii="Arial" w:cs="Arial" w:eastAsia="Arial" w:hAnsi="Arial"/>
          <w:sz w:val="17"/>
          <w:szCs w:val="17"/>
          <w:color w:val="auto"/>
        </w:rPr>
        <w:t xml:space="preserve"> in the Circuit court of Union County, Arkansas, wherein Global seeks damages under breach of contract and other claims. We have requested indemnifications from Leidos under the terms of our contracts which they have denied, and we intend to vigorously defend against the allegation made by Global and seek reimbursement of legal expenses from Leidos under our contracts. We are also seeking damages from Leidos for their wrongdoing during the expansion, including breach of contract, fraud, gross negligence, professional negligence and gross negligence.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invoices totaling approximately $3.5 million that were not approved by Leidos for payment that are included in our accounts payable, no liability has been established in connection with the claims asserted by Global. On September 25, 2018, the Court bifurcated the case into: (1) Global’s claims against Leidos and LSB, and (2) the cross-claims between Leidos and LSB. Part (1) of the case was tried to the Court during the fall of 2018. The Court took the matter under advisement, will consider the evidence and render judgment. LSB intends to vigorously prosecute its claims against Leidos in Part (2) of the matter. Trial is scheduled for Part (2) of the matter in March of 2020.</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Series E Redeemable Preferred has a 14% annual dividend rate and a participating right in dividends and liquidating distributions equal to 303,646 shares of common stock (participation rights value). Dividends accrue semi-annually in arrears and are compounded. Dividends are payable only when and if declared by the Board of Directors (the “Board”).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terms of the Series E Redeemable Preferred, the annual dividend rate will increase (a) by 0.50% in April 2021 (b) by an additional 0.50% in April 2022 and (c) by an additional 1.0% in April 2023.</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“Liquidation Preference”). The participation rights value is the product of the pro rata number of Series E Redeemable Preferred shares being redeemed and the price of our common stock as of such date.</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2018, in connection with the issuance and sale of the Notes as discussed in Note 7, we entered into a letter agreement with the holder of our Series E Redeemable Preferred. The letter agreement extended the date upon which the holder of the Series E Redeemable Preferred has the right to elect to redeem the Series E Redeemable Preferred shares from August 2, 2019 to October 25, 2023. The letter agreement also provided for the amendment of certain other terms relating to the Series E Redeemable Preferred, including an increase in the per annum dividend rate payable in respect of the Series E Redeemable Preferred as described above. To reflect the changes stated in the letter agreement, we subsequently entered into a securities exchange agreement by and between LSB and the holder and entered into the Certificate of Designations setting forth the rights, preferences, privileges and restrictions currently applicable to the Series E Redeemable Preferred and Series F Redeemable Preferred, as filed with the Secretary of State of the State of Delaware (the “Series E COD” and “Series F COD”). The Series E COD authorizes 139,768 shares of Series E Redeemable Preferred, which is the number of shares outstanding at December 31, 2019 and 2018.</w:t>
      </w:r>
    </w:p>
    <w:p>
      <w:pPr>
        <w:spacing w:after="0" w:line="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transaction associated with the letter agreement was determined to be a non-substantial modification. As a result, a fee of approximately $2.8 million paid to the holder was deferred (reducing the Series E Redeemable Preferred balance) and will be periodically accreted using the interest method through October 25, 2023, the earliest possible redemption date by the holder. In addition, the letter agreement included a contingent redemption feature, which was bifurcated from the Series E Redeemable Preferred based on the estimated fair value of approximately $0.3 million at the time of bifurcation.</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E Redeemable Preferred ranks (i) senior to the common stock, the Series B 12% Cumulative Convertible Preferred Stock, the Series D 6% Cumulative Convertible Class C Preferred Stock, the Series 4 Junior Participating Class C Preferred Stock and any other class or series of stock of LSB (other than Series E Redeemable Preferred) that ranks junior to the Series E Redeemable Preferred either or both as to the payment of dividends and/or as to the distribution of assets on any liquidation, dissolution or winding up of the Corporation (the “Junior Stock”); (ii) on a parity with the other shares of Series E Redeemable Preferred and any other class or series of stock of LSB (other than Series E Redeemable Preferred) created after the date of the Series E COD (that specifically ranks pari passu to the Series E Redeemable Preferred) and (iii) junior to any other class or series of stock of LSB created after the date of the Series E COD that specifically ranks senior to the Series E Redeemable Preferred.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Generally, the holders of the Series E Redeemable Preferred Shares (the “Series E Holders”) will not have any voting rights or powers, and consent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E Holders will not be required for taking of any action by us. However, the Series E Holders’ consent is required for:</w:t>
      </w:r>
    </w:p>
    <w:p>
      <w:pPr>
        <w:spacing w:after="0" w:line="10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amendments to increase or decrease the authorized amount of Series E Redeemable Preferred,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creation or increase of any shares of any class or series of capital stock of LSB ranking pari passu with or senior to the Series E Redeemable Preferred,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amendment that adversely affect the powers, preferences or special rights of the Series E Redeemable Preferred.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Stocks (continued)</w:t>
      </w:r>
    </w:p>
    <w:p>
      <w:pPr>
        <w:spacing w:after="0" w:line="12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At any time on or after October 25, 2023, each Series E Holder has the right to elect to have such holder’s shares redeemed by us at a redemption price per share equal to the Liquidation Preference of such share as of the redemption date. Additionally, we, at our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w:t>
      </w:r>
    </w:p>
    <w:p>
      <w:pPr>
        <w:spacing w:after="0" w:line="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Series E Redeemable Preferred is redeemable outside of our control and is therefore classified as temporary/mezzanine equity. As a result of an analysis performed on the embedded derivatives within the Series E Redeemable Preferred, certain contingent redemption features were determined to not be clearly and closely related to the debt-like host and also did not meet any other scope exceptions for derivative accounting. Therefore, these redemption features and participation rights value are being accounted for as derivative instruments and the fair value of these derivative instruments were bifurcated from the Series E Redeemable Preferred and recorded as a liability as discussed below under Embedded Derivative.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Series F COD authorizes one (1) shares of Series F Redeemable Preferred.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F Redeemable Preferred ranks (i) senior to our common stock and (ii) ranks junior to LSB’s Series B 12% Cumulative Convertible Preferred Stock, Series D 6% Cumulative Convertible Class C Preferred Stock, Series 4 Junior Participating Class C Preferred Stock, Series E Redeemable Preferred and any other class or series of stock of LSB after the date of the Series F COD that specifically ranks senior to the Series F Redeemable Preferred.</w:t>
      </w:r>
    </w:p>
    <w:p>
      <w:pPr>
        <w:spacing w:after="0" w:line="6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Series F Redeemable Preferred will be automatically redeemed by LSB, in whole and not in part, for $0.01 immediately following the date upon which the Series F Voting Rights have been reduced to zero.</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event of liquidation, the Series F Redeemable Preferred is entitled to receive its liquidation preference of $100 before any such distribution of assets or proceeds is made to or set aside for the holders of our common stock and any other stock junior to the Series F Redeemable Preferred.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5"/>
          </w:tcPr>
          <w:p>
            <w:pPr>
              <w:ind w:left="180"/>
              <w:spacing w:after="0"/>
              <w:rPr>
                <w:sz w:val="20"/>
                <w:szCs w:val="20"/>
                <w:color w:val="auto"/>
              </w:rPr>
            </w:pPr>
            <w:r>
              <w:rPr>
                <w:rFonts w:ascii="Arial" w:cs="Arial" w:eastAsia="Arial" w:hAnsi="Arial"/>
                <w:sz w:val="14"/>
                <w:szCs w:val="14"/>
                <w:b w:val="1"/>
                <w:bCs w:val="1"/>
                <w:color w:val="auto"/>
              </w:rPr>
              <w:t>Series E Redeemable Preferred</w:t>
            </w:r>
          </w:p>
        </w:tc>
        <w:tc>
          <w:tcPr>
            <w:tcW w:w="2420" w:type="dxa"/>
            <w:vAlign w:val="bottom"/>
            <w:gridSpan w:val="5"/>
          </w:tcPr>
          <w:p>
            <w:pPr>
              <w:ind w:left="200"/>
              <w:spacing w:after="0"/>
              <w:rPr>
                <w:sz w:val="20"/>
                <w:szCs w:val="20"/>
                <w:color w:val="auto"/>
              </w:rPr>
            </w:pPr>
            <w:r>
              <w:rPr>
                <w:rFonts w:ascii="Arial" w:cs="Arial" w:eastAsia="Arial" w:hAnsi="Arial"/>
                <w:sz w:val="14"/>
                <w:szCs w:val="14"/>
                <w:b w:val="1"/>
                <w:bCs w:val="1"/>
                <w:color w:val="auto"/>
              </w:rPr>
              <w:t>Series F Redeemable Preferred</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3"/>
          </w:tcPr>
          <w:p>
            <w:pPr>
              <w:jc w:val="right"/>
              <w:ind w:right="395"/>
              <w:spacing w:after="0" w:line="155" w:lineRule="exact"/>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202,169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30,729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234,893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34"/>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00" w:type="dxa"/>
            <w:vAlign w:val="bottom"/>
            <w:gridSpan w:val="2"/>
          </w:tcPr>
          <w:p>
            <w:pPr>
              <w:jc w:val="right"/>
              <w:ind w:right="996"/>
              <w:spacing w:after="0"/>
              <w:rPr>
                <w:sz w:val="20"/>
                <w:szCs w:val="20"/>
                <w:color w:val="auto"/>
              </w:rPr>
            </w:pPr>
            <w:r>
              <w:rPr>
                <w:rFonts w:ascii="Arial" w:cs="Arial" w:eastAsia="Arial" w:hAnsi="Arial"/>
                <w:sz w:val="18"/>
                <w:szCs w:val="18"/>
                <w:color w:val="auto"/>
              </w:rPr>
              <w:t>F-27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December 31, 2019 and 2018,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December 31, 2019 and 2018, the fair value of the embedded derivative included the valuation of the participation rights, which was based on the equivalent of 303,646 shares of our common stock at $4.20 and $5.52 per share, respectively.</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December 31, 2019 and 2018, the fair value of the embedded derivative was $1.1 million and $1.6 million, respectively, and are included in our noncurrent accrued and other liabilities. Due to the change in fair value of the embedded derivative, we recognized an unrealized gain of approximately $0.5 million and approximately $1.2 million in 2019 and 2018, respectively (a minimal unrealized loss in 2017). These unrealized gains and losses are included in non-operating income and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2016 Long Term Incentive Plan </w:t>
      </w:r>
      <w:r>
        <w:rPr>
          <w:rFonts w:ascii="Arial" w:cs="Arial" w:eastAsia="Arial" w:hAnsi="Arial"/>
          <w:sz w:val="18"/>
          <w:szCs w:val="18"/>
          <w:color w:val="auto"/>
        </w:rPr>
        <w:t>– During 2016, our Board adopted our 2016 Long Term Incentive Plan (the “2016 Plan”), which plan was approved by 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at our annual meeting of shareholders held on June 2, 2016. The effective date of the 2016 Plan is April 19, 2016 and no awards may be granted under the 2016 Plan on and after the tenth anniversary of its effective date.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no further awards will be granted under our 2008 Incentive Stock Plan (the “2008 Plan”) on or after the effective date of the 2016 Plan. Any awards that remain outstanding under the 2008 Plan will continue to be governed by the respective plan’s terms and the terms of the specific award agreement, as applicable.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aggregate number of shares reserved and available for issuance under the 2016 Plan shall not exceed 2,750,000 shares plus any shares that become available for reissuance under the share counting provisions of the 2008 Plan following the effective date of the 2016 Plan, subject to adjustment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will be administered by the compensation committee (the “Committee”) of our Board. Our Board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2016 Plan: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Stock Awards, Restricted Stock, Restricted Stock Units, and Other Awards </w:t>
      </w:r>
      <w:r>
        <w:rPr>
          <w:rFonts w:ascii="Arial" w:cs="Arial" w:eastAsia="Arial" w:hAnsi="Arial"/>
          <w:sz w:val="18"/>
          <w:szCs w:val="18"/>
          <w:color w:val="auto"/>
        </w:rPr>
        <w:t>– The Committee may grant awards of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stock and cash-based awards, which may include the payment of stock in lieu of cash (including cash payable under other incentive or bonus programs) or the payment of cash (which may or may not be based on the price of our common stock).</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Appreciation Rights (“SARs”) </w:t>
      </w:r>
      <w:r>
        <w:rPr>
          <w:rFonts w:ascii="Arial" w:cs="Arial" w:eastAsia="Arial" w:hAnsi="Arial"/>
          <w:sz w:val="18"/>
          <w:szCs w:val="18"/>
          <w:color w:val="auto"/>
        </w:rPr>
        <w:t>– The Committee may grant SARs as a right in tandem with the number of shares underlying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2016 Plan or on a stand-alone basis. SARs are the right to receive payment per share of the SAR exercised in stock or in cash equal to the excess of the share’s fair market value, as defined in the 2016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The Committee may grant either incentive stock options or non-qualified stock options. The Committee sets option exercise prices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Incentive Plans </w:t>
      </w:r>
      <w:r>
        <w:rPr>
          <w:rFonts w:ascii="Arial" w:cs="Arial" w:eastAsia="Arial" w:hAnsi="Arial"/>
          <w:sz w:val="18"/>
          <w:szCs w:val="18"/>
          <w:color w:val="auto"/>
        </w:rPr>
        <w:t>- The following information relates to our long-term incentive plans:</w:t>
      </w:r>
    </w:p>
    <w:p>
      <w:pPr>
        <w:spacing w:after="0" w:line="28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5520" w:type="dxa"/>
            <w:vAlign w:val="bottom"/>
          </w:tcPr>
          <w:p>
            <w:pPr>
              <w:spacing w:after="0"/>
              <w:rPr>
                <w:sz w:val="13"/>
                <w:szCs w:val="13"/>
                <w:color w:val="auto"/>
              </w:rPr>
            </w:pPr>
          </w:p>
        </w:tc>
        <w:tc>
          <w:tcPr>
            <w:tcW w:w="12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2016 Plan</w:t>
            </w:r>
          </w:p>
        </w:tc>
        <w:tc>
          <w:tcPr>
            <w:tcW w:w="110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2008 Plan</w:t>
            </w:r>
          </w:p>
        </w:tc>
        <w:tc>
          <w:tcPr>
            <w:tcW w:w="80" w:type="dxa"/>
            <w:vAlign w:val="bottom"/>
          </w:tcPr>
          <w:p>
            <w:pPr>
              <w:spacing w:after="0"/>
              <w:rPr>
                <w:sz w:val="13"/>
                <w:szCs w:val="13"/>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Maximum number of securities for issuance</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2,750,000</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Number of awards available to be granted (1)</w:t>
            </w:r>
          </w:p>
        </w:tc>
        <w:tc>
          <w:tcPr>
            <w:tcW w:w="1080" w:type="dxa"/>
            <w:vAlign w:val="bottom"/>
          </w:tcPr>
          <w:p>
            <w:pPr>
              <w:jc w:val="right"/>
              <w:spacing w:after="0"/>
              <w:rPr>
                <w:sz w:val="20"/>
                <w:szCs w:val="20"/>
                <w:color w:val="auto"/>
              </w:rPr>
            </w:pPr>
            <w:r>
              <w:rPr>
                <w:rFonts w:ascii="Arial" w:cs="Arial" w:eastAsia="Arial" w:hAnsi="Arial"/>
                <w:sz w:val="18"/>
                <w:szCs w:val="18"/>
                <w:color w:val="auto"/>
              </w:rPr>
              <w:t>1,285,922</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Number of unvested restricted stock/performance-based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stock/restricted stock units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925,851</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Number of options outstanding</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124,000</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 exercisable</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111,750</w:t>
            </w:r>
          </w:p>
        </w:tc>
        <w:tc>
          <w:tcPr>
            <w:tcW w:w="80" w:type="dxa"/>
            <w:vAlign w:val="bottom"/>
            <w:shd w:val="clear" w:color="auto" w:fill="CFF0FC"/>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2008 Plan shares canceled, forfeited, expired unexercised, which became available for reissuance under the 2016 Plan after the effective date of the 2016 Plan.</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Restricted Stock and Restricted Stock Units </w:t>
      </w:r>
      <w:r>
        <w:rPr>
          <w:rFonts w:ascii="Arial" w:cs="Arial" w:eastAsia="Arial" w:hAnsi="Arial"/>
          <w:sz w:val="17"/>
          <w:szCs w:val="17"/>
          <w:color w:val="auto"/>
        </w:rPr>
        <w:t>– During 2019, 2018, and 2017, the Committee approved various grants under the 2016 Plan of shares of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to certain executives and employees. Most of these shares vest at the end of each one-year period at the rate of one-third per year for three years while a portion of these grants vest 100% at the end of three years. The unvested restricted shares carry dividend and voting rights. Sales of these shares are restricted prior to the date of vesting. Pursuant to the terms of the underlying restricted stock agreements, unvested restricted shares will immediately vest upon the occurrence of a change in control (as defined by agreement), termination without cause or death. The unvested shares carry dividend and voting rights. Sales of these shares are restricted prior to the date of vesting.</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2019, the Committee approved the grant of 275,119 shares of performance-based restricted stock (“PBRS”) to certain executives. However, key information to finalize the performance targets and range of vesting shares are based on projections, which required approval from the Board. As the approval was obtained in February 2020, the grant date for financial reporting purposes is February 2020. Therefore, these PBRS shares are not reflected in the information below.</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2018, the Committee approved the grant of 210,602 shares of PBRS to certain executives. Key information to finalize the performance targets and range of vesting shares was approved by the Board during January 2019, which is the grant date for financial reporting purposes. The terms of this PBRS grant are discussed below and these PBRS shares are reflected in the 2019 information below.</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2019, 2018, and 2017, the Committee approved the grant of shares of restricted stock units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third anniversary of the grant date, or (iii) the occurrence of a change of control as defined by the agreement. Based on terms of the RSU agreements, the grant date fair value was recognized as stock-based compensation expense (SG&amp;A) on the grant date in 2019, 2018, and 2017.</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during 2019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Restricted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208"/>
              <w:spacing w:after="0"/>
              <w:rPr>
                <w:sz w:val="20"/>
                <w:szCs w:val="20"/>
                <w:color w:val="auto"/>
              </w:rPr>
            </w:pPr>
            <w:r>
              <w:rPr>
                <w:rFonts w:ascii="Arial" w:cs="Arial" w:eastAsia="Arial" w:hAnsi="Arial"/>
                <w:sz w:val="14"/>
                <w:szCs w:val="14"/>
                <w:b w:val="1"/>
                <w:bCs w:val="1"/>
                <w:color w:val="auto"/>
              </w:rPr>
              <w:t>Performance-Based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9"/>
              </w:rPr>
              <w:t>Restricted Stock Units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08"/>
              <w:spacing w:after="0"/>
              <w:rPr>
                <w:sz w:val="20"/>
                <w:szCs w:val="20"/>
                <w:color w:val="auto"/>
              </w:rPr>
            </w:pPr>
            <w:r>
              <w:rPr>
                <w:rFonts w:ascii="Arial" w:cs="Arial" w:eastAsia="Arial" w:hAnsi="Arial"/>
                <w:sz w:val="14"/>
                <w:szCs w:val="14"/>
                <w:b w:val="1"/>
                <w:bCs w:val="1"/>
                <w:color w:val="auto"/>
              </w:rPr>
              <w:t>Restricted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7"/>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restricted stock outstanding at</w:t>
            </w: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beginning of year</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739,465</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20" w:type="dxa"/>
            <w:vAlign w:val="bottom"/>
            <w:gridSpan w:val="4"/>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68,334</w:t>
            </w:r>
          </w:p>
        </w:tc>
        <w:tc>
          <w:tcPr>
            <w:tcW w:w="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285,956</w:t>
            </w:r>
          </w:p>
        </w:tc>
        <w:tc>
          <w:tcPr>
            <w:tcW w:w="16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221,439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31,833</w:t>
            </w:r>
          </w:p>
        </w:tc>
        <w:tc>
          <w:tcPr>
            <w:tcW w:w="60" w:type="dxa"/>
            <w:vAlign w:val="bottom"/>
          </w:tcPr>
          <w:p>
            <w:pPr>
              <w:spacing w:after="0"/>
              <w:rPr>
                <w:sz w:val="21"/>
                <w:szCs w:val="21"/>
                <w:color w:val="auto"/>
              </w:rPr>
            </w:pPr>
          </w:p>
        </w:tc>
        <w:tc>
          <w:tcPr>
            <w:tcW w:w="7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(407,349)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gridSpan w:val="4"/>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(13,827)</w:t>
            </w:r>
          </w:p>
        </w:tc>
        <w:tc>
          <w:tcPr>
            <w:tcW w:w="76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spacing w:after="0"/>
              <w:rPr>
                <w:sz w:val="20"/>
                <w:szCs w:val="20"/>
                <w:color w:val="auto"/>
              </w:rPr>
            </w:pPr>
            <w:r>
              <w:rPr>
                <w:rFonts w:ascii="Arial" w:cs="Arial" w:eastAsia="Arial" w:hAnsi="Arial"/>
                <w:sz w:val="18"/>
                <w:szCs w:val="18"/>
                <w:color w:val="auto"/>
              </w:rPr>
              <w:t>Cancelled or forfeited</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7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restricted stock outstanding at end</w:t>
            </w: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of year</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618,072</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221,439</w:t>
            </w:r>
          </w:p>
        </w:tc>
        <w:tc>
          <w:tcPr>
            <w:tcW w:w="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86,340</w:t>
            </w:r>
          </w:p>
        </w:tc>
        <w:tc>
          <w:tcPr>
            <w:tcW w:w="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Restricted Stock</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FF0FC"/>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restricted stock granted</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285,956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369,350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469,465</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Total fair value of restricted stock granted</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1,223,000</w:t>
            </w:r>
          </w:p>
        </w:tc>
        <w:tc>
          <w:tcPr>
            <w:tcW w:w="80" w:type="dxa"/>
            <w:vAlign w:val="bottom"/>
          </w:tcPr>
          <w:p>
            <w:pPr>
              <w:spacing w:after="0"/>
              <w:rPr>
                <w:sz w:val="19"/>
                <w:szCs w:val="19"/>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2,019,000</w:t>
            </w:r>
          </w:p>
        </w:tc>
        <w:tc>
          <w:tcPr>
            <w:tcW w:w="40" w:type="dxa"/>
            <w:vAlign w:val="bottom"/>
          </w:tcPr>
          <w:p>
            <w:pPr>
              <w:spacing w:after="0"/>
              <w:rPr>
                <w:sz w:val="19"/>
                <w:szCs w:val="19"/>
                <w:color w:val="auto"/>
              </w:rPr>
            </w:pP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4,277,000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4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Weighted-average fair value per restricted stock granted during year</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4.28</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Stock-based compensation expense - Cost of sales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255,000</w:t>
            </w:r>
          </w:p>
        </w:tc>
        <w:tc>
          <w:tcPr>
            <w:tcW w:w="80" w:type="dxa"/>
            <w:vAlign w:val="bottom"/>
          </w:tcPr>
          <w:p>
            <w:pPr>
              <w:spacing w:after="0"/>
              <w:rPr>
                <w:sz w:val="19"/>
                <w:szCs w:val="19"/>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385,000</w:t>
            </w:r>
          </w:p>
        </w:tc>
        <w:tc>
          <w:tcPr>
            <w:tcW w:w="40" w:type="dxa"/>
            <w:vAlign w:val="bottom"/>
          </w:tcPr>
          <w:p>
            <w:pPr>
              <w:spacing w:after="0"/>
              <w:rPr>
                <w:sz w:val="19"/>
                <w:szCs w:val="19"/>
                <w:color w:val="auto"/>
              </w:rPr>
            </w:pP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Stock-based compensation expense - SG&amp;A (1)</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1,263,000</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7,574,000</w:t>
            </w:r>
          </w:p>
        </w:tc>
        <w:tc>
          <w:tcPr>
            <w:tcW w:w="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3,987,000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(374,000)</w:t>
            </w:r>
          </w:p>
        </w:tc>
        <w:tc>
          <w:tcPr>
            <w:tcW w:w="6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(398,000)</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(1,659,000)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6"/>
              </w:rPr>
              <w:t>Total weighted-average remaining vesting period in years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w w:val="98"/>
              </w:rPr>
              <w:t>Total fair value of restricted stock vested during the year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3,371,000</w:t>
            </w:r>
          </w:p>
        </w:tc>
        <w:tc>
          <w:tcPr>
            <w:tcW w:w="80" w:type="dxa"/>
            <w:vAlign w:val="bottom"/>
          </w:tcPr>
          <w:p>
            <w:pPr>
              <w:spacing w:after="0"/>
              <w:rPr>
                <w:sz w:val="20"/>
                <w:szCs w:val="20"/>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7,355,000</w:t>
            </w:r>
          </w:p>
        </w:tc>
        <w:tc>
          <w:tcPr>
            <w:tcW w:w="40" w:type="dxa"/>
            <w:vAlign w:val="bottom"/>
          </w:tcPr>
          <w:p>
            <w:pPr>
              <w:spacing w:after="0"/>
              <w:rPr>
                <w:sz w:val="20"/>
                <w:szCs w:val="20"/>
                <w:color w:val="auto"/>
              </w:rPr>
            </w:pP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3,124,000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Performance-Based</w:t>
            </w:r>
          </w:p>
        </w:tc>
      </w:tr>
      <w:tr>
        <w:trPr>
          <w:trHeight w:val="186"/>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r>
      <w:tr>
        <w:trPr>
          <w:trHeight w:val="228"/>
        </w:trPr>
        <w:tc>
          <w:tcPr>
            <w:tcW w:w="51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(2)</w:t>
            </w: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Shares of PBRS granted</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221,439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Total fair value of PBRS granted</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9"/>
              </w:rPr>
              <w:t>1,608,000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PBRS granted during year</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290,000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(84,000)</w:t>
            </w: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color w:val="auto"/>
              </w:rPr>
              <w:t>Total fair value of PBRS vested during the year</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3"/>
              </w:rPr>
              <w:t>Restricted Stock Units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Shares of RSU granted</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Total fair value of RSU granted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187,000</w:t>
            </w:r>
          </w:p>
        </w:tc>
        <w:tc>
          <w:tcPr>
            <w:tcW w:w="1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187,000</w:t>
            </w:r>
          </w:p>
        </w:tc>
        <w:tc>
          <w:tcPr>
            <w:tcW w:w="120" w:type="dxa"/>
            <w:vAlign w:val="bottom"/>
          </w:tcPr>
          <w:p>
            <w:pPr>
              <w:spacing w:after="0"/>
              <w:rPr>
                <w:sz w:val="19"/>
                <w:szCs w:val="19"/>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RSU granted during year</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Stock-based compensation expense - SG&amp;A</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187,000</w:t>
            </w:r>
          </w:p>
        </w:tc>
        <w:tc>
          <w:tcPr>
            <w:tcW w:w="1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187,000</w:t>
            </w:r>
          </w:p>
        </w:tc>
        <w:tc>
          <w:tcPr>
            <w:tcW w:w="120" w:type="dxa"/>
            <w:vAlign w:val="bottom"/>
          </w:tcPr>
          <w:p>
            <w:pPr>
              <w:spacing w:after="0"/>
              <w:rPr>
                <w:sz w:val="19"/>
                <w:szCs w:val="19"/>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(46,000)</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(34,000)</w:t>
            </w: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(115,000</w:t>
            </w:r>
            <w:r>
              <w:rPr>
                <w:rFonts w:ascii="Arial" w:cs="Arial" w:eastAsia="Arial" w:hAnsi="Arial"/>
                <w:sz w:val="18"/>
                <w:szCs w:val="18"/>
                <w:b w:val="1"/>
                <w:bCs w:val="1"/>
                <w:color w:val="auto"/>
              </w:rPr>
              <w:t>)</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RSU vested during the year</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187,000</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179"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it relates to 2018, see Note 14-Related Party Transactions.</w:t>
      </w:r>
    </w:p>
    <w:p>
      <w:pPr>
        <w:spacing w:after="0" w:line="59" w:lineRule="exact"/>
        <w:rPr>
          <w:rFonts w:ascii="Arial" w:cs="Arial" w:eastAsia="Arial" w:hAnsi="Arial"/>
          <w:sz w:val="16"/>
          <w:szCs w:val="16"/>
          <w:color w:val="auto"/>
        </w:rPr>
      </w:pPr>
    </w:p>
    <w:p>
      <w:pPr>
        <w:jc w:val="both"/>
        <w:ind w:left="520" w:hanging="512"/>
        <w:spacing w:after="0" w:line="283"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5"/>
          <w:szCs w:val="15"/>
          <w:color w:val="auto"/>
        </w:rPr>
        <w:t>The PBRS restricted stock grants are tied to our free cash flow, fixed costs per ton of ammonia measured annually over a three-year period and modified based on our ranking relative to total stockholder return (share price appreciation plus dividends reinvested) (“TSR”) versus the companies in our 2019 peer group (“Peer Group”) over a three-year measurement period. The actual number of shares that will vest at the end of the third year will be based on our performance against the metrics set in the award. The threshold performance for free cash flow is 70% and for fixed costs per ton of ammonia is 50% of the targeted improvement with a maximum for each of 120% of target. The TSR modifier will adjust the overall actual performance up or down by as much as 25% based on the our TSR versus the Peer Group average TSR. We estimate the fair value of each PBRS on the date of grant using a Monte Carlo simulation.</w:t>
      </w:r>
    </w:p>
    <w:p>
      <w:pPr>
        <w:sectPr>
          <w:pgSz w:w="11900" w:h="16838" w:orient="portrait"/>
          <w:cols w:equalWidth="0" w:num="1">
            <w:col w:w="11420"/>
          </w:cols>
          <w:pgMar w:left="240" w:top="125"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No stock options have been granted under the 2016 Plan during 2019, 2018 or 2017. As it relates to stock options granted under the 2008</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exercise price of the outstanding options granted were equal to the market value of our common stock at the date of grant and vest at the end of each one-year period at the rate of 16.5% per year for the first five years and the remaining unvested options will vest at the end of the sixth year. The fair value for of the stock options granted under the 2008 Plan were estimated, using an option pricing model, as of the date of the grant, which date was also the service inception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in 2019 is presented below:</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3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124,000</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Exercisable at end of year</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33.91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111,750</w:t>
            </w:r>
          </w:p>
        </w:tc>
        <w:tc>
          <w:tcPr>
            <w:tcW w:w="30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Cost of sales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317,000</w:t>
            </w:r>
          </w:p>
        </w:tc>
        <w:tc>
          <w:tcPr>
            <w:tcW w:w="10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Stock-based compensation expense - SG&amp;A</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71,000</w:t>
            </w:r>
          </w:p>
        </w:tc>
        <w:tc>
          <w:tcPr>
            <w:tcW w:w="16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108,000</w:t>
            </w:r>
          </w:p>
        </w:tc>
        <w:tc>
          <w:tcPr>
            <w:tcW w:w="10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(42,000)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(54,000)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(164,000)</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Total intrinsic value of options exercised during the year</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options vested during the year</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451,000</w:t>
            </w:r>
          </w:p>
        </w:tc>
        <w:tc>
          <w:tcPr>
            <w:tcW w:w="10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Total intrinsic value of options outstanding at end of year</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Total intrinsic value of options exercisable at end of year</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contractual life period in years (options outstanding)</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r>
      <w:tr>
        <w:trPr>
          <w:trHeight w:val="234"/>
        </w:trPr>
        <w:tc>
          <w:tcPr>
            <w:tcW w:w="7980" w:type="dxa"/>
            <w:vAlign w:val="bottom"/>
          </w:tcPr>
          <w:p>
            <w:pPr>
              <w:spacing w:after="0"/>
              <w:rPr>
                <w:sz w:val="20"/>
                <w:szCs w:val="20"/>
                <w:color w:val="auto"/>
              </w:rPr>
            </w:pPr>
            <w:r>
              <w:rPr>
                <w:rFonts w:ascii="Arial" w:cs="Arial" w:eastAsia="Arial" w:hAnsi="Arial"/>
                <w:sz w:val="18"/>
                <w:szCs w:val="18"/>
                <w:color w:val="auto"/>
              </w:rPr>
              <w:t>Total weighted-average remaining contractual life period in years (options exercisable)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Stock-based Compensation Expense Not Yet Recognized – </w:t>
      </w:r>
      <w:r>
        <w:rPr>
          <w:rFonts w:ascii="Arial" w:cs="Arial" w:eastAsia="Arial" w:hAnsi="Arial"/>
          <w:sz w:val="18"/>
          <w:szCs w:val="18"/>
          <w:color w:val="auto"/>
        </w:rPr>
        <w:t>At December 31, 2019, the total stock-based compensation expense not yet recognized is</w:t>
      </w:r>
      <w:r>
        <w:rPr>
          <w:rFonts w:ascii="Arial" w:cs="Arial" w:eastAsia="Arial" w:hAnsi="Arial"/>
          <w:sz w:val="18"/>
          <w:szCs w:val="18"/>
          <w:b w:val="1"/>
          <w:bCs w:val="1"/>
          <w:color w:val="auto"/>
        </w:rPr>
        <w:t xml:space="preserve"> </w:t>
      </w:r>
      <w:r>
        <w:rPr>
          <w:rFonts w:ascii="Arial" w:cs="Arial" w:eastAsia="Arial" w:hAnsi="Arial"/>
          <w:sz w:val="18"/>
          <w:szCs w:val="18"/>
          <w:color w:val="auto"/>
        </w:rPr>
        <w:t>$3,378,000, relating to all forms of non-vested restricted stocks and stock options, which we will be amortizing (subject to adjustments for actual forfeitures) through the respective remaining vesting periods through December 2022.</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As of December 31, 2019, we have reserved 1.4 million shares of common stock issuable upon potential conversion of preferred stocks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pursuant to their respective terms.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Non-Redeemable Preferred Stock</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Series Non-Redeemable B Preferred </w:t>
      </w:r>
      <w:r>
        <w:rPr>
          <w:rFonts w:ascii="Arial" w:cs="Arial" w:eastAsia="Arial" w:hAnsi="Arial"/>
          <w:sz w:val="16"/>
          <w:szCs w:val="16"/>
          <w:color w:val="auto"/>
        </w:rPr>
        <w:t>– The 20,000 shares of Series B 12% cumulative, convertible preferred stock (“Series B Preferred”), $100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are convertible, in whole or in part, into 666,666 shares of our common stock (33.3333 shares of common stock for each share of preferred stock) at any time at the option of the holder and entitle the holder to one vote per share. The Series B Preferred provides for annual cumulative dividends of 12% ($12.00 per share) from date of issue, payable when and as declared. All of the outstanding shares of the Series B Preferred are owned by the Golsen Holders.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Series Non-Redeemable D Preferred </w:t>
      </w:r>
      <w:r>
        <w:rPr>
          <w:rFonts w:ascii="Arial" w:cs="Arial" w:eastAsia="Arial" w:hAnsi="Arial"/>
          <w:sz w:val="18"/>
          <w:szCs w:val="18"/>
          <w:color w:val="auto"/>
        </w:rPr>
        <w:t>– The 1,000,000 shares of Series D 6% cumulative, convertible Class C preferred stock (“Series D Preferred”)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and are convertible, in whole or in part, into 250,000 shares of our common stock (1 share of common stock for 4 shares of preferred stock) at any time at the option of the holder. Dividends on the Series D Preferred are cumulative and payable annually in arrears at the rate of 6% per annum ($0.06 per share) of the liquidation preference of $1.00 per share. Each holder of the Series D Preferred shall be entitled to .875 votes per share. All of the outstanding shares of Series D Preferred are owned by the Golsen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concerning dividends on the Series B and D Preferred in Note 14 – Related Party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Non-Redeemable Preferred Stock (continued)</w:t>
      </w:r>
    </w:p>
    <w:p>
      <w:pPr>
        <w:spacing w:after="0" w:line="11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 At December 31, 2019, we are authorized to issue an additional 230,000 shares of $100 par value preferred stock and an additional 3,860,000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no-par value preferred stock. Upon issuance, our Board will determine the specific terms and conditions of such preferred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Executive Benefit Agreement, Employee Savings Plans and Collective Bargaining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party to a death benefit agreement (“2005 Agreement”) with Jack E. Golsen, who retired as discussed in Note 14-Related Party Transactions.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2005 Agreement provides that, upon Mr. Golsen’s death, we will pay to the designated beneficiary, a lump-sum payment of $2,500,000 to be funded from the net proceeds received by us under certain life insurance policies on his life that are owned by us. We are obligated to keep in existence life insurance policies with a total face amount of no less than $2,500,000 of the stated death benefit.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these agreements: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death benefit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Total accrued death benefit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these death benefits were not material for 2019, 2018 and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accrued executive benefit under the 2005 Agreement is included in noncurrent accrued and other liabilities. We accrue for such liabilities when they become probable and discount the liabilities to their present value.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assist us in funding the 2005 Agreement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about these life insurance policies.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4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face value of life insurance policies</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4,500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cash surrender values of life insurance policies</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1,727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Loans on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(1,629)</w:t>
            </w:r>
          </w:p>
        </w:tc>
        <w:tc>
          <w:tcPr>
            <w:tcW w:w="4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surrender values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9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life insurance premiums</w:t>
            </w:r>
          </w:p>
        </w:tc>
        <w:tc>
          <w:tcPr>
            <w:tcW w:w="114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215</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Decreases (increases) in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Savings Plans - We sponsor a savings plan under Section 401(k) of the Internal Revenue Code under which participation is available to substantially all full-time employees. Beginning in January 2019, we began matching 50% of an employee’s contribution, up to 6%, for substantially all full-time employees. Prior to 2019, we did not contribute to this plan except for certain employees. The amounts contributed to this plan were not material for 2019, 2018 and 2017.</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 Bargaining Agreements - As of December 31, 2019, we employed 593 persons, 162 of whom are represented by unions under agreements, including agreements being negotiated, that expire in July 2021 through November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2019, we entered into two separate financing arrangements with an affiliate of LSB Funding as discussed in footnotes (E) of Note 7, which transactions included debt issuance costs totaling approximately $0.1 million paid to this affiliate. In June 2019, we incurred a consent fee of approximately $0.3 million from LSB Funding associated with the issuance of the New Notes discussed in footnote (B) of Note 7. Also, LSB Funding holds all outstanding shares of the Series E and Series F Redeemable Preferred discussed in Note 10. During 2018, we sold $50.0 million and $0.5 million principal amount of notes to an affiliate of Security Benefit Corporation (“SBC”) and Daniel D. Greenwell, respectively, associated with the issuance and sale of the Notes discussed in footnote (B) of Note 7. As discussed in Note 10, we paid a fee of $2.7 million to an affiliate of SBC relating to the letter agreement amending the terms of the Series E Redeemable Preferred. As discussed in Note 10, all outstanding shares of the Series E and Series F Redeemable Preferred are held by this affiliate. Pursuant to the terms of the Board Representation and Standstill Agreement, our Board includes two directors that are employees of SBC and affiliates. During 2019, 2018 and 2017, we incurred director fees associated with these directors totaling approximately $0.3 million for each respective year.</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December 30, 2018, Daniel D. Greenwell elected not to enter into a new employment agreement and resigned from the Board and his roles as Chairman and our Chief Executive Officer. Subject to the execution of a release agreement, which was executed in January 2019, Mr. Greenwell was entitled to certain severance benefits pursuant to the terms of his employment agreement. At December 31, 2018, our accrued and other liabilities included approximately $2.8 million relating primarily to severance benefits owed to Mr. Greenwell. In addition, approximately $2.7 million of share-based compensation was incurred in 2018 due to the accelerated vesting of 312,369 shares of restricted stock.</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dividends were declared during 2019, 2018 and 2017. At December 31, 2019, accumulated dividends on the Series B and Series D Preferred totaled approximately $1.3 million. The Series B Preferred and Series D Preferred are non-redeemable preferred stocks issued in 1986 and 2001, respectively, of which all outstanding shares are owned by the Golsen Holders.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During 2019, 2018 and 2017, we incurred director fees associated with Barry H. Golsen totaling approximately $0.1 million for each respective year.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result of Jack E. Golsen (“J. Golsen”) informing the Board of his election to retire as Executive Chairman effective December 31, 2017, we determined not to extend the employment agreement with J. Golsen beyond its current term expiring on December 31, 2017 (the “Retirement Date”) and, in accordance with the terms his employment agreement, delivered a notice of non-renewal to J. Golsen. J. Golsen remains a member of the Board and, following the Retirement Date, has the title of Chairman Emeritus.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2017, we entered into a transition agreement (the “Transition Agreement”) with J. Golsen that commenced on January 1, 2018 and ends upon the earlier of his death or a change in control as defined in the Transition Agreement. During the term, J. Golsen will receive an annual cash retainer of $480,000 and an additional monthly amount of $4,400 to cover certain expenses. In accordance with the terms of the Transition Agreement, we will also reimburse J. Golsen for his cost of certain medical insurance coverage until his death. Effective as of the Retirement Date, the previous existing severance agreement with J. Golsen was terminated. In consideration for his services, including as Chairman Emeritus, we will pay J. Golsen a one-time payment equal to $2,320,000 upon the consummation of a change in control that occurs prior to his death.</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a death benefit agreement with J. Golsen was terminated pursuant to the terms of the agreement that allowed us to terminate at any time and for any reason prior to the death of the employee. As a result, the liability of approximately $1.4 million for the estimated death benefit associated with this agreement was extinguished and derecognized with the offset classified as operating other income in 2017.</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we sold our engineered products business (industrial machinery and related components) to Industrial Acquisitions LLC and Industrial Products LLC (both entities are owned by immediate family members of J. Golsen) for $3.5 million which sale resulted in a loss of approximately $0.8 million, classified as operating other expense.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we entered into a consulting agreement with Steven J. Golsen (“S. Golsen”), son of J. Golsen and former employee and President and Chief Operating Officer of our former climate control business. Pursuant to the terms of the agreement, S. Golsen provided services relating to the sale of the climate control business and subsequent services to improve the transition process from LSB to NIBE Industrier AB (publ). The total consulting fee was approximately $0.4 million and the term of the agreement was for 2 years through May 2018.</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54"/>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Interest on long-term debt and other, net of capitalized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42,184</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interest</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35,719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34,274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net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Incentive tax credit receivable associated with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plant and equipment</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and accounts payable associated with</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18,350</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additions of property, plant and equipment</w:t>
            </w:r>
          </w:p>
        </w:tc>
        <w:tc>
          <w:tcPr>
            <w:tcW w:w="8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16,484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Dividend accrued on Series E Redeemable Preferred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30,729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26,840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1,995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3,375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4"/>
                <w:szCs w:val="14"/>
                <w:b w:val="1"/>
                <w:bCs w:val="1"/>
                <w:color w:val="auto"/>
              </w:rPr>
              <w:t>(a)</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5"/>
          </w:tcPr>
          <w:p>
            <w:pPr>
              <w:ind w:left="60"/>
              <w:spacing w:after="0" w:line="155" w:lineRule="exact"/>
              <w:rPr>
                <w:sz w:val="20"/>
                <w:szCs w:val="20"/>
                <w:color w:val="auto"/>
              </w:rPr>
            </w:pPr>
            <w:r>
              <w:rPr>
                <w:rFonts w:ascii="Arial" w:cs="Arial" w:eastAsia="Arial" w:hAnsi="Arial"/>
                <w:sz w:val="14"/>
                <w:szCs w:val="14"/>
                <w:color w:val="auto"/>
                <w:w w:val="96"/>
              </w:rPr>
              <w:t>(Dollars In Thousands)</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187,641</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187,164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184,054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148,598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37,786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480"/>
              <w:spacing w:after="0"/>
              <w:rPr>
                <w:sz w:val="20"/>
                <w:szCs w:val="20"/>
                <w:color w:val="auto"/>
              </w:rPr>
            </w:pPr>
            <w:r>
              <w:rPr>
                <w:rFonts w:ascii="Arial" w:cs="Arial" w:eastAsia="Arial" w:hAnsi="Arial"/>
                <w:sz w:val="18"/>
                <w:szCs w:val="18"/>
                <w:color w:val="auto"/>
              </w:rPr>
              <w:t>Total net sales</w:t>
            </w: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365,070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378,160</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427,504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adoption of ASC 606, nets sales have not been adjusted under the modified retrospective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$3.6 million and $7.0 million of contract liabilities as of December 31, 2019 and 2018, respectively. During 2019, revenues of $3.5 million were recognized and included in the balance at the beginning of the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Discontinued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LSB completed the sale of all the stock of Climate Control Group Inc. (an indirect subsidiary that conducted LSB’s former climate control business) pursuant to the terms of the stock purchase agreement. Additionally, pursuant to the stock purchase agreement, we agreed to have a certain portion of the purchase price proceeds deposited in an indemnity escrow account. In 2018, we received approximately $ 2.7 million representing an indemnity escrow balance. For 2017, we recognized income from discontinued operations of $1.1 million, net of income taxes of $1.5 million. For 2017, cash flow information of discontinued operations included deferred income taxes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Supplementary Information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for 2019 and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6"/>
          </w:tcPr>
          <w:p>
            <w:pPr>
              <w:jc w:val="right"/>
              <w:ind w:right="180"/>
              <w:spacing w:after="0" w:line="155" w:lineRule="exact"/>
              <w:rPr>
                <w:sz w:val="20"/>
                <w:szCs w:val="20"/>
                <w:color w:val="auto"/>
              </w:rPr>
            </w:pPr>
            <w:r>
              <w:rPr>
                <w:rFonts w:ascii="Arial" w:cs="Arial" w:eastAsia="Arial" w:hAnsi="Arial"/>
                <w:sz w:val="14"/>
                <w:szCs w:val="14"/>
                <w:color w:val="auto"/>
                <w:w w:val="93"/>
              </w:rPr>
              <w:t>(In Thousands, Except Per Share Amounts)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94,152</w:t>
            </w:r>
          </w:p>
        </w:tc>
        <w:tc>
          <w:tcPr>
            <w:tcW w:w="24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121,527</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75,495</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73,896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(1) (2)</w:t>
            </w:r>
          </w:p>
        </w:tc>
        <w:tc>
          <w:tcPr>
            <w:tcW w:w="17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gridSpan w:val="2"/>
            <w:vMerge w:val="continue"/>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loss per common share</w:t>
            </w:r>
          </w:p>
        </w:tc>
        <w:tc>
          <w:tcPr>
            <w:tcW w:w="17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100,450</w:t>
            </w:r>
          </w:p>
        </w:tc>
        <w:tc>
          <w:tcPr>
            <w:tcW w:w="24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103,199</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79,781</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94,730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Net loss (1) (2)</w:t>
            </w:r>
          </w:p>
        </w:tc>
        <w:tc>
          <w:tcPr>
            <w:tcW w:w="17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gridSpan w:val="2"/>
            <w:vMerge w:val="continue"/>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(27,506)</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(33,422)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loss per common share</w:t>
            </w:r>
          </w:p>
        </w:tc>
        <w:tc>
          <w:tcPr>
            <w:tcW w:w="17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40" w:type="dxa"/>
            <w:vAlign w:val="bottom"/>
            <w:gridSpan w:val="2"/>
          </w:tcPr>
          <w:p>
            <w:pPr>
              <w:jc w:val="right"/>
              <w:ind w:right="185"/>
              <w:spacing w:after="0"/>
              <w:rPr>
                <w:sz w:val="20"/>
                <w:szCs w:val="20"/>
                <w:color w:val="auto"/>
              </w:rPr>
            </w:pPr>
            <w:r>
              <w:rPr>
                <w:rFonts w:ascii="Arial" w:cs="Arial" w:eastAsia="Arial" w:hAnsi="Arial"/>
                <w:sz w:val="18"/>
                <w:szCs w:val="18"/>
                <w:color w:val="auto"/>
              </w:rPr>
              <w:t>F-35</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income (expense) items impacted gross profit (loss) and net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jc w:val="right"/>
              <w:ind w:right="1000"/>
              <w:spacing w:after="0" w:line="155"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Turnaround expense: (A)</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(7,232)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(7,939)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Recovery from a settlement with a vendor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income (expense) items impacted net income (loss):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Charge associated with assets held for sale</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2019</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(5,951)</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Severance benefits and accelerated stock-based compensation</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2018</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(B)</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(4,324)</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58"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Turnaround expenses do not include the impact on operating results relating to lost absorption or reduced margins due to the associated plants being shut down.</w:t>
      </w:r>
    </w:p>
    <w:p>
      <w:pPr>
        <w:spacing w:after="0" w:line="1"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deferred tax benefit for the three-month period ended December 31, 2019 is primarily due to federal and state indefinite lived carryforward benefits that can be realized through the reversal of deferred tax liabilities.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2019, 2018, and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8"/>
              </w:rPr>
              <w:t>Deductions-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Charges to</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(Recovery of)</w:t>
            </w:r>
          </w:p>
        </w:tc>
        <w:tc>
          <w:tcPr>
            <w:tcW w:w="16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Write-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Description (1)</w:t>
            </w: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offs/Costs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 allowance for doubtful accounts: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2"/>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2"/>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Deferred tax assets - valuation allowance: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2"/>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2"/>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2"/>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40" w:firstLine="8"/>
        <w:spacing w:after="0" w:line="483" w:lineRule="auto"/>
        <w:tabs>
          <w:tab w:leader="none" w:pos="513"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Deducted in the consolidated balance sheet from the related assets to which the reserve applies. Other valuation and qualifying accounts are detailed in our notes to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5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4.17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The following description of the Common Stock, par value $0.10 per share (“Common Stock”) of LSB Industries, Inc. (the “Company”) is based upon the Company’s certificate of incorporation as currently in effect (the “Certificate of Incorporation”), the Company’s Amended and Restated Bylaws (the “Bylaws” and, together with our Certificate of Incorporation, our “Charter Documents”) and applicable provisions of law. We have summarized certain portions of the Certificate of Incorporation and Bylaws below. The summary is not complete and is subject to, and is qualified in its entirety by express reference to, the provisions of the Company’s Certificate of Incorporation and Bylaws, each of which is filed as an exhibit to the Annual Report on Form 10-K of which this Exhibit 4.17 is a part.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Company’s authorized capital stock consists of 75,000,000 shares of Common Stock, $0.10 par value per share, 250,000 shares of Preferred Stock, $100 par value per share, and 5,000,000 shares have been designated as Class C Preferred Stock, no par value (both “Preferred Stock”). Of the Class C Preferred Stock, 139,768 shares have been designated Series E-1 Cumulative Redeemable Class C Preferred Stock (“Series E-1)”and 1 share has been designated Series F-1 Redeemable Class C Preferred Stock (“Series F-1”).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i w:val="1"/>
          <w:iCs w:val="1"/>
          <w:color w:val="auto"/>
        </w:rPr>
        <w:t>Common Stock Outstanding</w:t>
      </w:r>
      <w:r>
        <w:rPr>
          <w:rFonts w:ascii="Arial" w:cs="Arial" w:eastAsia="Arial" w:hAnsi="Arial"/>
          <w:sz w:val="22"/>
          <w:szCs w:val="22"/>
          <w:color w:val="auto"/>
        </w:rPr>
        <w:t>. The outstanding shares of the Common Stock are duly authorized, validly issued, fully paid</w:t>
      </w:r>
      <w:r>
        <w:rPr>
          <w:rFonts w:ascii="Arial" w:cs="Arial" w:eastAsia="Arial" w:hAnsi="Arial"/>
          <w:sz w:val="22"/>
          <w:szCs w:val="22"/>
          <w:i w:val="1"/>
          <w:iCs w:val="1"/>
          <w:color w:val="auto"/>
        </w:rPr>
        <w:t xml:space="preserve"> </w:t>
      </w:r>
      <w:r>
        <w:rPr>
          <w:rFonts w:ascii="Arial" w:cs="Arial" w:eastAsia="Arial" w:hAnsi="Arial"/>
          <w:sz w:val="22"/>
          <w:szCs w:val="22"/>
          <w:color w:val="auto"/>
        </w:rPr>
        <w:t>and nonassessable.</w:t>
      </w:r>
    </w:p>
    <w:p>
      <w:pPr>
        <w:spacing w:after="0" w:line="173" w:lineRule="exact"/>
        <w:rPr>
          <w:sz w:val="20"/>
          <w:szCs w:val="20"/>
          <w:color w:val="auto"/>
        </w:rPr>
      </w:pPr>
    </w:p>
    <w:p>
      <w:pPr>
        <w:ind w:right="360" w:firstLine="877"/>
        <w:spacing w:after="0" w:line="274" w:lineRule="auto"/>
        <w:rPr>
          <w:sz w:val="20"/>
          <w:szCs w:val="20"/>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Each holder of shares of Common Stock is entitled to one vote for each share, in person or by proxy, at</w:t>
      </w:r>
      <w:r>
        <w:rPr>
          <w:rFonts w:ascii="Arial" w:cs="Arial" w:eastAsia="Arial" w:hAnsi="Arial"/>
          <w:sz w:val="21"/>
          <w:szCs w:val="21"/>
          <w:i w:val="1"/>
          <w:iCs w:val="1"/>
          <w:color w:val="auto"/>
        </w:rPr>
        <w:t xml:space="preserve"> </w:t>
      </w:r>
      <w:r>
        <w:rPr>
          <w:rFonts w:ascii="Arial" w:cs="Arial" w:eastAsia="Arial" w:hAnsi="Arial"/>
          <w:sz w:val="21"/>
          <w:szCs w:val="21"/>
          <w:color w:val="auto"/>
        </w:rPr>
        <w:t>any and all meetings of the Stockholders of the Company, on all propositions before such meetings.</w:t>
      </w:r>
    </w:p>
    <w:p>
      <w:pPr>
        <w:spacing w:after="0" w:line="313" w:lineRule="exact"/>
        <w:rPr>
          <w:sz w:val="20"/>
          <w:szCs w:val="20"/>
          <w:color w:val="auto"/>
        </w:rPr>
      </w:pPr>
    </w:p>
    <w:p>
      <w:pPr>
        <w:ind w:right="260" w:firstLine="564"/>
        <w:spacing w:after="0" w:line="297" w:lineRule="auto"/>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Subject to preferential dividend rights of any other class or series of stock, the holders of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are entitled to receive dividends, including dividends of stock, if, as and when declared by the Company’s board of directors, subject to any limitations applicable by law and to the rights of the holders, if any, of the Company’s preferred stock.</w:t>
      </w:r>
    </w:p>
    <w:p>
      <w:pPr>
        <w:spacing w:after="0" w:line="161" w:lineRule="exact"/>
        <w:rPr>
          <w:sz w:val="20"/>
          <w:szCs w:val="20"/>
          <w:color w:val="auto"/>
        </w:rPr>
      </w:pPr>
    </w:p>
    <w:p>
      <w:pPr>
        <w:jc w:val="both"/>
        <w:ind w:firstLine="564"/>
        <w:spacing w:after="0" w:line="252" w:lineRule="auto"/>
        <w:rPr>
          <w:sz w:val="20"/>
          <w:szCs w:val="20"/>
          <w:color w:val="auto"/>
        </w:rPr>
      </w:pPr>
      <w:r>
        <w:rPr>
          <w:rFonts w:ascii="Arial" w:cs="Arial" w:eastAsia="Arial" w:hAnsi="Arial"/>
          <w:sz w:val="21"/>
          <w:szCs w:val="21"/>
          <w:i w:val="1"/>
          <w:iCs w:val="1"/>
          <w:color w:val="auto"/>
        </w:rPr>
        <w:t>Other Rights and Restrictions</w:t>
      </w:r>
      <w:r>
        <w:rPr>
          <w:rFonts w:ascii="Arial" w:cs="Arial" w:eastAsia="Arial" w:hAnsi="Arial"/>
          <w:sz w:val="21"/>
          <w:szCs w:val="21"/>
          <w:color w:val="auto"/>
        </w:rPr>
        <w:t>. Subject to the preferential rights of any other class or series of stock, all shares of our</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have equal dividend, distribution, liquidation and other rights, and have no preference, appraisal or exchange rights, except for any appraisal rights provided by Delaware law. Furthermore, holders of our Common Stock have no conversion, sinking fund or redemption rights, or preemptive rights to subscribe for any of our securities.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92" w:name="page93"/>
    <w:bookmarkEnd w:id="92"/>
    <w:p>
      <w:pPr>
        <w:spacing w:after="0" w:line="251" w:lineRule="auto"/>
        <w:rPr>
          <w:sz w:val="20"/>
          <w:szCs w:val="20"/>
          <w:color w:val="auto"/>
        </w:rPr>
      </w:pPr>
      <w:r>
        <w:rPr>
          <w:rFonts w:ascii="Arial" w:cs="Arial" w:eastAsia="Arial" w:hAnsi="Arial"/>
          <w:sz w:val="22"/>
          <w:szCs w:val="22"/>
          <w:color w:val="auto"/>
        </w:rPr>
        <w:t>Certificate of Incorporation and Bylaws do not restrict the ability of a holder of our Common Stock to transfer the holder’s shares of our Common Stock.</w:t>
      </w:r>
    </w:p>
    <w:p>
      <w:pPr>
        <w:spacing w:after="0" w:line="187" w:lineRule="exact"/>
        <w:rPr>
          <w:sz w:val="20"/>
          <w:szCs w:val="20"/>
          <w:color w:val="auto"/>
        </w:rPr>
      </w:pPr>
    </w:p>
    <w:p>
      <w:pPr>
        <w:ind w:right="20" w:firstLine="564"/>
        <w:spacing w:after="0"/>
        <w:rPr>
          <w:sz w:val="20"/>
          <w:szCs w:val="20"/>
          <w:color w:val="auto"/>
        </w:rPr>
      </w:pPr>
      <w:r>
        <w:rPr>
          <w:rFonts w:ascii="Arial" w:cs="Arial" w:eastAsia="Arial" w:hAnsi="Arial"/>
          <w:sz w:val="22"/>
          <w:szCs w:val="22"/>
          <w:color w:val="auto"/>
        </w:rPr>
        <w:t>The rights, powers, preferences and privileges of holders of our Common Stock are subject to, and may be adversely affected by, the rights of holders of shares of our outstanding preferred stock and of any series of preferred stock which we may designate and issue in the future.</w:t>
      </w:r>
    </w:p>
    <w:p>
      <w:pPr>
        <w:spacing w:after="0" w:line="186" w:lineRule="exact"/>
        <w:rPr>
          <w:sz w:val="20"/>
          <w:szCs w:val="20"/>
          <w:color w:val="auto"/>
        </w:rPr>
      </w:pPr>
    </w:p>
    <w:p>
      <w:pPr>
        <w:ind w:right="2160" w:firstLine="877"/>
        <w:spacing w:after="0" w:line="435" w:lineRule="auto"/>
        <w:rPr>
          <w:sz w:val="20"/>
          <w:szCs w:val="20"/>
          <w:color w:val="auto"/>
        </w:rPr>
      </w:pPr>
      <w:r>
        <w:rPr>
          <w:rFonts w:ascii="Arial" w:cs="Arial" w:eastAsia="Arial" w:hAnsi="Arial"/>
          <w:sz w:val="22"/>
          <w:szCs w:val="22"/>
          <w:i w:val="1"/>
          <w:iCs w:val="1"/>
          <w:color w:val="auto"/>
        </w:rPr>
        <w:t xml:space="preserve">Listing: </w:t>
      </w:r>
      <w:r>
        <w:rPr>
          <w:rFonts w:ascii="Arial" w:cs="Arial" w:eastAsia="Arial" w:hAnsi="Arial"/>
          <w:sz w:val="22"/>
          <w:szCs w:val="22"/>
          <w:color w:val="auto"/>
        </w:rPr>
        <w:t>Our common stock is listed on the New York Stock Exchange under the symbol “LXU.”</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Preferred Stock</w:t>
      </w:r>
    </w:p>
    <w:p>
      <w:pPr>
        <w:spacing w:after="0" w:line="1"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Under the Certificate of Incorporation, the Preferred Stock may be issued from time to time in one or more series, each of such series to have such designations, preference and relative, participating, optional, voting or other special rights and qualifications, limitations or restrictions thereof as are stated and expressed in a resolution or resolutions providing for the issue of such series as determined and adopted by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b w:val="1"/>
          <w:bCs w:val="1"/>
          <w:color w:val="auto"/>
        </w:rPr>
        <w:t>nti-Takeover Effects of Delaware Law, Our Certificate of Incorporation and Our Bylaws</w:t>
      </w:r>
    </w:p>
    <w:p>
      <w:pPr>
        <w:spacing w:after="0" w:line="212"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Some provisions of Delaware law, our Certificate of Incorporation and our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Delaware Law</w:t>
      </w:r>
    </w:p>
    <w:p>
      <w:pPr>
        <w:spacing w:after="0" w:line="206"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Section 203 of the DGCL prohibits a Delaware corporation from engaging in any business combination with any interested stockholder for a period of three years following the date that the stockholder became an interested stockholder, unless:</w:t>
      </w:r>
    </w:p>
    <w:p>
      <w:pPr>
        <w:spacing w:after="0" w:line="105" w:lineRule="exact"/>
        <w:rPr>
          <w:sz w:val="20"/>
          <w:szCs w:val="20"/>
          <w:color w:val="auto"/>
        </w:rPr>
      </w:pPr>
    </w:p>
    <w:p>
      <w:pPr>
        <w:ind w:left="880" w:hanging="440"/>
        <w:spacing w:after="0"/>
        <w:tabs>
          <w:tab w:leader="none" w:pos="8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transaction is approved by the board of directors before the date the interested stockholder attained that status;</w:t>
      </w:r>
    </w:p>
    <w:p>
      <w:pPr>
        <w:spacing w:after="0" w:line="240" w:lineRule="exact"/>
        <w:rPr>
          <w:rFonts w:ascii="Arial" w:cs="Arial" w:eastAsia="Arial" w:hAnsi="Arial"/>
          <w:sz w:val="19"/>
          <w:szCs w:val="19"/>
          <w:color w:val="auto"/>
        </w:rPr>
      </w:pPr>
    </w:p>
    <w:p>
      <w:pPr>
        <w:jc w:val="both"/>
        <w:ind w:left="880" w:hanging="440"/>
        <w:spacing w:after="0"/>
        <w:tabs>
          <w:tab w:leader="none" w:pos="8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ind w:left="880" w:hanging="440"/>
        <w:spacing w:after="0" w:line="329" w:lineRule="auto"/>
        <w:tabs>
          <w:tab w:leader="none" w:pos="8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04"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An interested stockholder is defined as a person who, together with any affiliates or associates of such person, beneficially owns, directly or indirectly, 15% or more of the outstanding voting shares of a Delaware 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Our Certificate of Incorporation and Our Bylaws</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Provisions of our Certificate of Incorporation and our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Among other things, our Certificate of Incorporation and Bylaws:</w:t>
      </w:r>
    </w:p>
    <w:p>
      <w:pPr>
        <w:spacing w:after="0" w:line="206" w:lineRule="exact"/>
        <w:rPr>
          <w:sz w:val="20"/>
          <w:szCs w:val="20"/>
          <w:color w:val="auto"/>
        </w:rPr>
      </w:pPr>
    </w:p>
    <w:p>
      <w:pPr>
        <w:jc w:val="both"/>
        <w:ind w:left="880" w:hanging="440"/>
        <w:spacing w:after="0"/>
        <w:tabs>
          <w:tab w:leader="none" w:pos="8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provide for the division of the Board into three classes, each class consisting as nearly as possible of one-third of the whole. The term of office of one class of directors expires each year; with each class of directors elected for a term of three years and until the stockholders elect their qualified successors;</w:t>
      </w:r>
    </w:p>
    <w:p>
      <w:pPr>
        <w:spacing w:after="0" w:line="186" w:lineRule="exact"/>
        <w:rPr>
          <w:rFonts w:ascii="Arial" w:cs="Arial" w:eastAsia="Arial" w:hAnsi="Arial"/>
          <w:sz w:val="22"/>
          <w:szCs w:val="22"/>
          <w:color w:val="auto"/>
        </w:rPr>
      </w:pPr>
    </w:p>
    <w:p>
      <w:pPr>
        <w:jc w:val="both"/>
        <w:ind w:left="880" w:right="20" w:hanging="440"/>
        <w:spacing w:after="0"/>
        <w:tabs>
          <w:tab w:leader="none" w:pos="8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provide that all vacancies, including newly created directorships, may, except as otherwise required by law or, if applicable, the rights of holders of a series of preferred stock, be filled by a majority of directors then in office, even if less than a quorum, or by the sole remaining director;</w:t>
      </w:r>
    </w:p>
    <w:p>
      <w:pPr>
        <w:spacing w:after="0" w:line="186" w:lineRule="exact"/>
        <w:rPr>
          <w:rFonts w:ascii="Arial" w:cs="Arial" w:eastAsia="Arial" w:hAnsi="Arial"/>
          <w:sz w:val="22"/>
          <w:szCs w:val="22"/>
          <w:color w:val="auto"/>
        </w:rPr>
      </w:pPr>
    </w:p>
    <w:p>
      <w:pPr>
        <w:ind w:left="880" w:hanging="440"/>
        <w:spacing w:after="0" w:line="251" w:lineRule="auto"/>
        <w:tabs>
          <w:tab w:leader="none" w:pos="8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provide that our Certificate of Incorporation and Bylaws may be amended by the affirmative vote of the holders of at least two-thirds of our then outstanding voting stock;</w:t>
      </w:r>
    </w:p>
    <w:p>
      <w:pPr>
        <w:spacing w:after="0" w:line="173" w:lineRule="exact"/>
        <w:rPr>
          <w:rFonts w:ascii="Arial" w:cs="Arial" w:eastAsia="Arial" w:hAnsi="Arial"/>
          <w:sz w:val="22"/>
          <w:szCs w:val="22"/>
          <w:color w:val="auto"/>
        </w:rPr>
      </w:pPr>
    </w:p>
    <w:p>
      <w:pPr>
        <w:ind w:left="880" w:right="20" w:hanging="440"/>
        <w:spacing w:after="0" w:line="251" w:lineRule="auto"/>
        <w:tabs>
          <w:tab w:leader="none" w:pos="8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provide that special meetings of our stockholders may only be called by our chairman or by a majority of the directors then in office;</w:t>
      </w:r>
    </w:p>
    <w:p>
      <w:pPr>
        <w:spacing w:after="0" w:line="173" w:lineRule="exact"/>
        <w:rPr>
          <w:rFonts w:ascii="Arial" w:cs="Arial" w:eastAsia="Arial" w:hAnsi="Arial"/>
          <w:sz w:val="22"/>
          <w:szCs w:val="22"/>
          <w:color w:val="auto"/>
        </w:rPr>
      </w:pPr>
    </w:p>
    <w:p>
      <w:pPr>
        <w:jc w:val="both"/>
        <w:ind w:left="880" w:hanging="440"/>
        <w:spacing w:after="0" w:line="277" w:lineRule="auto"/>
        <w:tabs>
          <w:tab w:leader="none" w:pos="8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provide that the affirmative vote of the holders of not less than two-thirds of the outstanding voting stock of the Company voting as a single class shall be required for the approval or authorization of any (i) merger or consolidation of the Company with or into any other corporation, or (ii) sale, lease or exchange of all or substantially all of the assets of the Company to or with any other corporation, person or entity; provided, however, that such two-thirds voting requirement shall not be applicable if (a) the Company is merged with a corporation in which at least two-thirds of the outstanding shares of each class of stock of such corporation is owned by the Company, or (b) if a transaction described in clauses (i) or (ii) above has been approved by a vote of at least a majority of the members of the board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jc w:val="both"/>
        <w:ind w:left="440"/>
        <w:spacing w:after="0" w:line="238" w:lineRule="auto"/>
        <w:rPr>
          <w:sz w:val="20"/>
          <w:szCs w:val="20"/>
          <w:color w:val="auto"/>
        </w:rPr>
      </w:pPr>
      <w:r>
        <w:rPr>
          <w:rFonts w:ascii="Arial" w:cs="Arial" w:eastAsia="Arial" w:hAnsi="Arial"/>
          <w:sz w:val="22"/>
          <w:szCs w:val="22"/>
          <w:color w:val="auto"/>
        </w:rPr>
        <w:t>of directors of the Company. If such two-thirds voting requirement of the outstanding voting stock of the Company shall not be applicable under the provisions of clauses (a) or (b) above, then in such event transactions specified in (i) or (ii) above shall require only such affirmative vote as is required by law, regulation or any other provision of our Certificate of Incorporation; and</w:t>
      </w:r>
    </w:p>
    <w:p>
      <w:pPr>
        <w:spacing w:after="0" w:line="186" w:lineRule="exact"/>
        <w:rPr>
          <w:sz w:val="20"/>
          <w:szCs w:val="20"/>
          <w:color w:val="auto"/>
        </w:rPr>
      </w:pPr>
    </w:p>
    <w:p>
      <w:pPr>
        <w:ind w:left="440" w:hanging="440"/>
        <w:spacing w:after="0"/>
        <w:tabs>
          <w:tab w:leader="none" w:pos="4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provide that our Bylaws can be amended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680" w:top="1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10.30</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9"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auto"/>
        </w:rPr>
        <w:t xml:space="preserve">This EMPLOYMENT AGREEMENT (“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this 20</w:t>
      </w:r>
      <w:r>
        <w:rPr>
          <w:rFonts w:ascii="Arial" w:cs="Arial" w:eastAsia="Arial" w:hAnsi="Arial"/>
          <w:sz w:val="18"/>
          <w:szCs w:val="18"/>
          <w:color w:val="auto"/>
        </w:rPr>
        <w:t>th</w:t>
      </w:r>
      <w:r>
        <w:rPr>
          <w:rFonts w:ascii="Arial" w:cs="Arial" w:eastAsia="Arial" w:hAnsi="Arial"/>
          <w:sz w:val="22"/>
          <w:szCs w:val="22"/>
          <w:color w:val="auto"/>
        </w:rPr>
        <w:t xml:space="preserve"> day of December 2019 to be effective on the Executives first day of work, which shall be no later than February 3,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LSB Industries, Inc., a Delaware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and John P. Burns, an individual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12" w:lineRule="exact"/>
        <w:rPr>
          <w:sz w:val="20"/>
          <w:szCs w:val="20"/>
          <w:color w:val="auto"/>
        </w:rPr>
      </w:pPr>
    </w:p>
    <w:p>
      <w:pPr>
        <w:ind w:right="240" w:firstLine="877"/>
        <w:spacing w:after="0" w:line="251" w:lineRule="auto"/>
        <w:rPr>
          <w:sz w:val="20"/>
          <w:szCs w:val="20"/>
          <w:color w:val="auto"/>
        </w:rPr>
      </w:pPr>
      <w:r>
        <w:rPr>
          <w:rFonts w:ascii="Arial" w:cs="Arial" w:eastAsia="Arial" w:hAnsi="Arial"/>
          <w:sz w:val="22"/>
          <w:szCs w:val="22"/>
          <w:color w:val="auto"/>
        </w:rPr>
        <w:t>WHEREAS, the Company and the Executive desire to enter into this Agreement to set out the terms and conditions for the continuing employment relationship between the Executive and the Company.</w:t>
      </w:r>
    </w:p>
    <w:p>
      <w:pPr>
        <w:spacing w:after="0" w:line="200" w:lineRule="exact"/>
        <w:rPr>
          <w:sz w:val="20"/>
          <w:szCs w:val="20"/>
          <w:color w:val="auto"/>
        </w:rPr>
      </w:pPr>
    </w:p>
    <w:p>
      <w:pPr>
        <w:ind w:right="280" w:firstLine="877"/>
        <w:spacing w:after="0" w:line="328" w:lineRule="auto"/>
        <w:rPr>
          <w:sz w:val="20"/>
          <w:szCs w:val="20"/>
          <w:color w:val="auto"/>
        </w:rPr>
      </w:pPr>
      <w:r>
        <w:rPr>
          <w:rFonts w:ascii="Arial" w:cs="Arial" w:eastAsia="Arial" w:hAnsi="Arial"/>
          <w:sz w:val="19"/>
          <w:szCs w:val="19"/>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132" w:lineRule="exact"/>
        <w:rPr>
          <w:sz w:val="20"/>
          <w:szCs w:val="20"/>
          <w:color w:val="auto"/>
        </w:rPr>
      </w:pPr>
    </w:p>
    <w:p>
      <w:pPr>
        <w:ind w:right="20" w:firstLine="885"/>
        <w:spacing w:after="0" w:line="274" w:lineRule="auto"/>
        <w:tabs>
          <w:tab w:leader="none" w:pos="168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Company agrees to employ the Executive pursuant to the terms of this Agreement, and the Executive agrees to be so employed, for a term from the Effective Date to December 31, 2020 (the “</w:t>
      </w:r>
      <w:r>
        <w:rPr>
          <w:rFonts w:ascii="Arial" w:cs="Arial" w:eastAsia="Arial" w:hAnsi="Arial"/>
          <w:sz w:val="19"/>
          <w:szCs w:val="19"/>
          <w:u w:val="single" w:color="auto"/>
          <w:color w:val="auto"/>
        </w:rPr>
        <w:t>Initial Term</w:t>
      </w:r>
      <w:r>
        <w:rPr>
          <w:rFonts w:ascii="Arial" w:cs="Arial" w:eastAsia="Arial" w:hAnsi="Arial"/>
          <w:sz w:val="19"/>
          <w:szCs w:val="19"/>
          <w:color w:val="auto"/>
        </w:rPr>
        <w:t xml:space="preserve">”) commencing as of the Effective Date. On December 31, 2020 and each subsequent anniversary of such date, the term of this Agreement shall be automatically extended for successive one-year periods,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either party hereto may elect not to extend this Agreement by giving written notice to the other party at least ninety (90) days prior to December 31, 2020 or any subsequent anniversary of such date. Notwithstanding the foregoing, the Executive’s employment hereunder may be earlier terminated in accordance with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subject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hereof. Terms used herein with initial capitalization not otherwise defined are defined in </w:t>
      </w:r>
      <w:r>
        <w:rPr>
          <w:rFonts w:ascii="Arial" w:cs="Arial" w:eastAsia="Arial" w:hAnsi="Arial"/>
          <w:sz w:val="19"/>
          <w:szCs w:val="19"/>
          <w:u w:val="single" w:color="auto"/>
          <w:color w:val="auto"/>
        </w:rPr>
        <w:t>Section 25</w:t>
      </w:r>
      <w:r>
        <w:rPr>
          <w:rFonts w:ascii="Arial" w:cs="Arial" w:eastAsia="Arial" w:hAnsi="Arial"/>
          <w:sz w:val="19"/>
          <w:szCs w:val="19"/>
          <w:color w:val="auto"/>
        </w:rPr>
        <w:t>. The period of time between the Effective Date and the termination of the Executive’s employment hereunder shall be referred to as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right="140" w:firstLine="885"/>
        <w:spacing w:after="0" w:line="272" w:lineRule="auto"/>
        <w:tabs>
          <w:tab w:leader="none" w:pos="168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xml:space="preserve">. During the Employment Period, the Executive shall serve as Executive Vice President – Manufacturing (“EVP – Manufacturing”) of the Company and shall report directly to the Company’s Chief Executive Officer (“CEO”). In his capacity as EVP – Manufacturing, the Executive shall have the duties, responsibilities and authorities customarily associated with the position of an executive vice president in a company the size and nature of the Company. The Executive shall devote the Executive’s reasonable best efforts and substantially all of the Executive’s business time to the performance of the Executive’s duties hereunder and the advancement of the business and affairs of the Company and shall be subject to, and shall comply in all material respects with, the policies of the Company applicable to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be entitled (i) to serve as a member of the board of directors of a reasonable number of other companies, subject to the advance approval of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which approval shall not be unreasonably withheld, (ii) to serve on civic, charitable, educational, religious, public interest or public service boards, and (iii) to manage the Executive’s personal and family investments, in each case, to the extent such activities do not materially interfere, as determined by the Board in good faith, with the performance of the Executive’s duties and responsibilities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ind w:right="100" w:firstLine="885"/>
        <w:spacing w:after="0" w:line="238" w:lineRule="auto"/>
        <w:tabs>
          <w:tab w:leader="none" w:pos="168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Place of Performance</w:t>
      </w:r>
      <w:r>
        <w:rPr>
          <w:rFonts w:ascii="Arial" w:cs="Arial" w:eastAsia="Arial" w:hAnsi="Arial"/>
          <w:sz w:val="22"/>
          <w:szCs w:val="22"/>
          <w:color w:val="auto"/>
        </w:rPr>
        <w:t>. During the Employment Period, the Executive shall be based primarily at the Executives home office although it is understood that the Executive will be required to travel regularly to the Company’s plant locations and corporate offices. For the avoidance of doubt, nothing in this agreement shall require Executive to relocate from his current residence as a condition of continued employment.</w:t>
      </w:r>
    </w:p>
    <w:p>
      <w:pPr>
        <w:spacing w:after="0" w:line="212" w:lineRule="exact"/>
        <w:rPr>
          <w:rFonts w:ascii="Arial" w:cs="Arial" w:eastAsia="Arial" w:hAnsi="Arial"/>
          <w:sz w:val="22"/>
          <w:szCs w:val="22"/>
          <w:color w:val="auto"/>
        </w:rPr>
      </w:pPr>
    </w:p>
    <w:p>
      <w:pPr>
        <w:ind w:left="1700" w:hanging="815"/>
        <w:spacing w:after="0"/>
        <w:tabs>
          <w:tab w:leader="none" w:pos="17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Equity Awards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0" w:firstLine="1763"/>
        <w:spacing w:after="0" w:line="282" w:lineRule="auto"/>
        <w:tabs>
          <w:tab w:leader="none" w:pos="2643"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the Executive a base salary (the “</w:t>
      </w:r>
      <w:r>
        <w:rPr>
          <w:rFonts w:ascii="Arial" w:cs="Arial" w:eastAsia="Arial" w:hAnsi="Arial"/>
          <w:sz w:val="19"/>
          <w:szCs w:val="19"/>
          <w:u w:val="single" w:color="auto"/>
          <w:color w:val="auto"/>
        </w:rPr>
        <w:t>Base Salary</w:t>
      </w:r>
      <w:r>
        <w:rPr>
          <w:rFonts w:ascii="Arial" w:cs="Arial" w:eastAsia="Arial" w:hAnsi="Arial"/>
          <w:sz w:val="19"/>
          <w:szCs w:val="19"/>
          <w:color w:val="auto"/>
        </w:rPr>
        <w:t>”) at the rate of no less than $350,000 per calendar year, less applicable deductions. The Base Salary shall be reviewed for increase by the CEO no less frequently than annually and shall be increased in the discretion of the Board and any such adjusted Base Salary shall constitute the “Base Salary” for purposes of this Agreement. The Base Salary shall be paid in substantially equal installments in accordance with the Company’s regular payroll procedures.</w:t>
      </w:r>
    </w:p>
    <w:p>
      <w:pPr>
        <w:spacing w:after="0" w:line="174" w:lineRule="exact"/>
        <w:rPr>
          <w:rFonts w:ascii="Arial" w:cs="Arial" w:eastAsia="Arial" w:hAnsi="Arial"/>
          <w:sz w:val="19"/>
          <w:szCs w:val="19"/>
          <w:color w:val="auto"/>
        </w:rPr>
      </w:pPr>
    </w:p>
    <w:p>
      <w:pPr>
        <w:ind w:firstLine="1763"/>
        <w:spacing w:after="0" w:line="244" w:lineRule="auto"/>
        <w:tabs>
          <w:tab w:leader="none" w:pos="2655"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During the Employment Period, the Executive shall be paid an annual cash performance bonus (an “</w:t>
      </w:r>
      <w:r>
        <w:rPr>
          <w:rFonts w:ascii="Arial" w:cs="Arial" w:eastAsia="Arial" w:hAnsi="Arial"/>
          <w:sz w:val="21"/>
          <w:szCs w:val="21"/>
          <w:u w:val="single" w:color="auto"/>
          <w:color w:val="auto"/>
        </w:rPr>
        <w:t>Annual Bonus</w:t>
      </w:r>
      <w:r>
        <w:rPr>
          <w:rFonts w:ascii="Arial" w:cs="Arial" w:eastAsia="Arial" w:hAnsi="Arial"/>
          <w:sz w:val="21"/>
          <w:szCs w:val="21"/>
          <w:color w:val="auto"/>
        </w:rPr>
        <w:t>”) under the Company’s annual bonus plan (as in effect from time to time for senior executives for each fiscal year that ends during the Employment Period, to the extent earned based on performance against performance criteria. The performance criteria for any particular fiscal year shall be determined by the CEO, no later than sixty (60) days after the commencement of the relevant bonus period. For fiscal year 2020 and thereafter throughout the Employment Period, the Executive’s annual bonus opportunity shall be no less than 50% of the Executive’s Base Salary as of the beginning of the applicable bonus period (the “</w:t>
      </w:r>
      <w:r>
        <w:rPr>
          <w:rFonts w:ascii="Arial" w:cs="Arial" w:eastAsia="Arial" w:hAnsi="Arial"/>
          <w:sz w:val="21"/>
          <w:szCs w:val="21"/>
          <w:u w:val="single" w:color="auto"/>
          <w:color w:val="auto"/>
        </w:rPr>
        <w:t>Target Bonus</w:t>
      </w:r>
      <w:r>
        <w:rPr>
          <w:rFonts w:ascii="Arial" w:cs="Arial" w:eastAsia="Arial" w:hAnsi="Arial"/>
          <w:sz w:val="21"/>
          <w:szCs w:val="21"/>
          <w:color w:val="auto"/>
        </w:rPr>
        <w:t>”), if target levels of performance for that year are achieved, up to a maximum of 100% of the Executive’s Base Salary. The Executive’s Annual Bonus for a bonus period shall be determined by the Committee after the end of the applicable bonus period and shall be paid to the Executive when annual bonuses for that year are paid to other senior executives of the Company generally, but in no event later than March 31 of the year following the year to which such Annual Bonus relates. The Target Bonus opportunity shall be reviewed for increase by the CEO no less frequently than annually and shall be increased in the discretion of the CEO and any such adjusted Target Bonus shall constitute the “Target Bonus” for purposes of this Agreement.</w:t>
      </w:r>
    </w:p>
    <w:p>
      <w:pPr>
        <w:spacing w:after="0" w:line="211" w:lineRule="exact"/>
        <w:rPr>
          <w:rFonts w:ascii="Arial" w:cs="Arial" w:eastAsia="Arial" w:hAnsi="Arial"/>
          <w:sz w:val="21"/>
          <w:szCs w:val="21"/>
          <w:color w:val="auto"/>
        </w:rPr>
      </w:pPr>
    </w:p>
    <w:p>
      <w:pPr>
        <w:ind w:right="240" w:firstLine="1763"/>
        <w:spacing w:after="0" w:line="252" w:lineRule="auto"/>
        <w:tabs>
          <w:tab w:leader="none" w:pos="2643"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During the Employment Period, the Executive shall be eligible to receive grants of equity-based awards (each, an “Equity Award”) under the Company’s 2016 Long Term Incentive Plan (or successor plan). The terms and conditions applicable to any Equity Award shall be determined by the Compensation Committee of the Board (the “</w:t>
      </w:r>
      <w:r>
        <w:rPr>
          <w:rFonts w:ascii="Arial" w:cs="Arial" w:eastAsia="Arial" w:hAnsi="Arial"/>
          <w:sz w:val="21"/>
          <w:szCs w:val="21"/>
          <w:u w:val="single" w:color="auto"/>
          <w:color w:val="auto"/>
        </w:rPr>
        <w:t>Committee</w:t>
      </w:r>
      <w:r>
        <w:rPr>
          <w:rFonts w:ascii="Arial" w:cs="Arial" w:eastAsia="Arial" w:hAnsi="Arial"/>
          <w:sz w:val="21"/>
          <w:szCs w:val="21"/>
          <w:color w:val="auto"/>
        </w:rPr>
        <w:t>”) in accordance with the Company’s applicable long-term incentive plan.</w:t>
      </w:r>
    </w:p>
    <w:p>
      <w:pPr>
        <w:spacing w:after="0" w:line="201" w:lineRule="exact"/>
        <w:rPr>
          <w:rFonts w:ascii="Arial" w:cs="Arial" w:eastAsia="Arial" w:hAnsi="Arial"/>
          <w:sz w:val="21"/>
          <w:szCs w:val="21"/>
          <w:color w:val="auto"/>
        </w:rPr>
      </w:pPr>
    </w:p>
    <w:p>
      <w:pPr>
        <w:ind w:right="60" w:firstLine="1763"/>
        <w:spacing w:after="0" w:line="236" w:lineRule="auto"/>
        <w:tabs>
          <w:tab w:leader="none" w:pos="2655"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Vacation; Benefits</w:t>
      </w:r>
      <w:r>
        <w:rPr>
          <w:rFonts w:ascii="Arial" w:cs="Arial" w:eastAsia="Arial" w:hAnsi="Arial"/>
          <w:sz w:val="22"/>
          <w:szCs w:val="22"/>
          <w:color w:val="auto"/>
        </w:rPr>
        <w:t>. During the Employment Period, the Executive shall be entitled to four (4) weeks of paid vacation per calendar year (as prorated for partial years) in accordance with the applicable policies of the Company, which shall be accrued and used in accordance with such policies. During the Employment Period, the Executive shall be entitled to participate in any employee benefit plan that the Company has adopted or may adopt, maintain or contribute to for the benefit of its employees generally, subject to satisfying the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7" w:name="page98"/>
    <w:bookmarkEnd w:id="97"/>
    <w:p>
      <w:pPr>
        <w:ind w:right="20"/>
        <w:spacing w:after="0" w:line="238" w:lineRule="auto"/>
        <w:rPr>
          <w:sz w:val="20"/>
          <w:szCs w:val="20"/>
          <w:color w:val="auto"/>
        </w:rPr>
      </w:pPr>
      <w:r>
        <w:rPr>
          <w:rFonts w:ascii="Arial" w:cs="Arial" w:eastAsia="Arial" w:hAnsi="Arial"/>
          <w:sz w:val="22"/>
          <w:szCs w:val="22"/>
          <w:color w:val="auto"/>
        </w:rPr>
        <w:t>eligibility requirements, except to the extent such plans are duplicative of the benefits otherwise provided to the Executive hereunder. The Executive’s participation will be subject to the terms of the applicable plan documents and generally applicable Company policies. The foregoing, however, shall not be construed to require the Company to establish any such plans or to prevent the modification or termination of such plans once established.</w:t>
      </w:r>
    </w:p>
    <w:p>
      <w:pPr>
        <w:spacing w:after="0" w:line="212" w:lineRule="exact"/>
        <w:rPr>
          <w:sz w:val="20"/>
          <w:szCs w:val="20"/>
          <w:color w:val="auto"/>
        </w:rPr>
      </w:pPr>
    </w:p>
    <w:p>
      <w:pPr>
        <w:jc w:val="both"/>
        <w:ind w:right="260" w:firstLine="885"/>
        <w:spacing w:after="0" w:line="297" w:lineRule="auto"/>
        <w:tabs>
          <w:tab w:leader="none" w:pos="168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reimburse the Executive promptly for all expenses reasonably incurred by the Executive in the performance of his duties in accordance with policies which may be adopted from time to time by the Company following presentation by the Executive of an itemized account, including reasonable substantiation, of such expenses.</w:t>
      </w:r>
    </w:p>
    <w:p>
      <w:pPr>
        <w:spacing w:after="0" w:line="161" w:lineRule="exact"/>
        <w:rPr>
          <w:rFonts w:ascii="Arial" w:cs="Arial" w:eastAsia="Arial" w:hAnsi="Arial"/>
          <w:sz w:val="19"/>
          <w:szCs w:val="19"/>
          <w:color w:val="auto"/>
        </w:rPr>
      </w:pPr>
    </w:p>
    <w:p>
      <w:pPr>
        <w:ind w:right="100" w:firstLine="885"/>
        <w:spacing w:after="0" w:line="282" w:lineRule="auto"/>
        <w:tabs>
          <w:tab w:leader="none" w:pos="168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Confidentiality and Non-Disclosure</w:t>
      </w:r>
      <w:r>
        <w:rPr>
          <w:rFonts w:ascii="Arial" w:cs="Arial" w:eastAsia="Arial" w:hAnsi="Arial"/>
          <w:sz w:val="19"/>
          <w:szCs w:val="19"/>
          <w:color w:val="auto"/>
        </w:rPr>
        <w:t>. The Company and the Executive acknowledge and agree that during the Executive’s employment with the Company, the Executive will have access to and may assist in developing Confidential Information and will occupy a position of trust and confidence with respect to the affairs and business of the Company and the Company Affiliates. The Executive agrees that the following obligations are necessary to preserve the confidential and proprietary nature of Confidential Information and to protect the Company and the Company Affiliates against misuse of such information:</w:t>
      </w:r>
    </w:p>
    <w:p>
      <w:pPr>
        <w:spacing w:after="0" w:line="174" w:lineRule="exact"/>
        <w:rPr>
          <w:rFonts w:ascii="Arial" w:cs="Arial" w:eastAsia="Arial" w:hAnsi="Arial"/>
          <w:sz w:val="19"/>
          <w:szCs w:val="19"/>
          <w:color w:val="auto"/>
        </w:rPr>
      </w:pPr>
    </w:p>
    <w:p>
      <w:pPr>
        <w:ind w:right="40" w:firstLine="1763"/>
        <w:spacing w:after="0" w:line="272" w:lineRule="auto"/>
        <w:tabs>
          <w:tab w:leader="none" w:pos="2643"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Non-Disclosure</w:t>
      </w:r>
      <w:r>
        <w:rPr>
          <w:rFonts w:ascii="Arial" w:cs="Arial" w:eastAsia="Arial" w:hAnsi="Arial"/>
          <w:sz w:val="19"/>
          <w:szCs w:val="19"/>
          <w:color w:val="auto"/>
        </w:rPr>
        <w:t xml:space="preserve">. After the Executive’s employment with the Company ends, the Executive will not use, disclose, copy or transfer any Confidential Information unless authorized in writing by the Company. Anything herein to the contrary notwithstanding, the provisions of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not apply (i) when disclosure is required by law or by any court, arbitrator, mediator or administrative or legislative body (including any committee thereof) with actual or apparent jurisdiction to order the Executive to disclose or make accessible any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any such disclosure the Executive shall provide the Company with reasonable notice of the requirements to disclose and an opportunity to object to such disclosure and the Executive shall cooperate with the Company in filing such objection; (ii) as to information that was in the public domain or is readily available to the public at the time of its disclosure by the Executive through means other than due to the Executive’s violation of this </w:t>
      </w:r>
      <w:r>
        <w:rPr>
          <w:rFonts w:ascii="Arial" w:cs="Arial" w:eastAsia="Arial" w:hAnsi="Arial"/>
          <w:sz w:val="19"/>
          <w:szCs w:val="19"/>
          <w:u w:val="single" w:color="auto"/>
          <w:color w:val="auto"/>
        </w:rPr>
        <w:t>Section 6(a)</w:t>
      </w:r>
      <w:r>
        <w:rPr>
          <w:rFonts w:ascii="Arial" w:cs="Arial" w:eastAsia="Arial" w:hAnsi="Arial"/>
          <w:sz w:val="19"/>
          <w:szCs w:val="19"/>
          <w:color w:val="auto"/>
        </w:rPr>
        <w:t>; or (iii) to the extent necessary in connection with any disputes between the parties with respect to the interpretation and/or enforcement of this Agreement and any other agreements between the parties. Nothing in this Agreement is intended to or will be used in any way to limit Executive’s rights to communicate with a government agency, as provided for, protected under or warranted by applicable law.</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firstLine="1763"/>
        <w:spacing w:after="0" w:line="274" w:lineRule="auto"/>
        <w:tabs>
          <w:tab w:leader="none" w:pos="2655"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Materials</w:t>
      </w:r>
      <w:r>
        <w:rPr>
          <w:rFonts w:ascii="Arial" w:cs="Arial" w:eastAsia="Arial" w:hAnsi="Arial"/>
          <w:sz w:val="19"/>
          <w:szCs w:val="19"/>
          <w:color w:val="auto"/>
        </w:rPr>
        <w:t xml:space="preserve">. The Executive will use Confidential Information only for normal and customary use in the Company’s business, as determined reasonably and in good faith by the Executive. The Executive will return to the Company all Confidential Information and copies thereof and all other property of the Company or any Company Affiliate at any time upon the request of the Company and in any event promptly after the Executive’s employment ends. The Executive agrees to identify and return to the Company any copies of any Confidential Information after the Executive ceases to be employed by the Company. Anything to the contrary notwithstanding, nothing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prevent the Executive from retaining a home computer (provided all Confidential Information has been removed), papers and other materials of a personal nature, including diaries, calendars and Rolodexes, information relating to his compensation or relating to reimbursement of expenses, information that may be needed for tax purposes, and copies of plans, programs and agreements relating to his employment or termination thereof.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8" w:name="page99"/>
    <w:bookmarkEnd w:id="98"/>
    <w:p>
      <w:pPr>
        <w:ind w:left="1660" w:hanging="815"/>
        <w:spacing w:after="0"/>
        <w:tabs>
          <w:tab w:leader="none" w:pos="1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Non-Solicitation/Non-Competition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 w:right="40" w:firstLine="1763"/>
        <w:spacing w:after="0" w:line="277" w:lineRule="auto"/>
        <w:tabs>
          <w:tab w:leader="none" w:pos="2603" w:val="left"/>
        </w:tabs>
        <w:numPr>
          <w:ilvl w:val="1"/>
          <w:numId w:val="55"/>
        </w:numPr>
        <w:rPr>
          <w:rFonts w:ascii="Arial" w:cs="Arial" w:eastAsia="Arial" w:hAnsi="Arial"/>
          <w:sz w:val="19"/>
          <w:szCs w:val="19"/>
          <w:color w:val="auto"/>
        </w:rPr>
      </w:pPr>
      <w:r>
        <w:rPr>
          <w:rFonts w:ascii="Arial" w:cs="Arial" w:eastAsia="Arial" w:hAnsi="Arial"/>
          <w:sz w:val="19"/>
          <w:szCs w:val="19"/>
          <w:color w:val="auto"/>
        </w:rPr>
        <w:t>During the Non-Compete Period, the Executive shall not (A) directly solicit, or assist any person or entity in soliciting, any established customer for the purpose of a Competitive Enterprise providing and/or selling any products that are provided and/or sold by the Company or its subsidiaries to such established customer, or performing any services that are performed by the Company or its subsidiaries for such established customer, (B) interfere with or damage (or attempt to interfere with or damage) any relationship and/or agreement between the Company or its subsidiaries and any established customer; or (C) directly or indirectly solicit any employee of the Company or the Company Affiliates with a view toward inducing any such employee to go to work for another person or third party or to cease or end their employment relationship.</w:t>
      </w:r>
    </w:p>
    <w:p>
      <w:pPr>
        <w:spacing w:after="0" w:line="179" w:lineRule="exact"/>
        <w:rPr>
          <w:rFonts w:ascii="Arial" w:cs="Arial" w:eastAsia="Arial" w:hAnsi="Arial"/>
          <w:sz w:val="19"/>
          <w:szCs w:val="19"/>
          <w:color w:val="auto"/>
        </w:rPr>
      </w:pPr>
    </w:p>
    <w:p>
      <w:pPr>
        <w:ind w:left="-40" w:firstLine="1763"/>
        <w:spacing w:after="0" w:line="274" w:lineRule="auto"/>
        <w:tabs>
          <w:tab w:leader="none" w:pos="2615"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During the Non-Compete Period, the Executive shall not associate (including, but not limited to, association as a sole proprietor, owner, employer, partner, principal, investor, joint venturer, shareholder, associate, employee, member, consultant, contractor, director or otherwise) with any Competitive Enterprise;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may own, as a passive investor, securities of any such entity that has outstanding publicly traded securities so long as his direct holdings in any such entity shall not in the aggregate constitute more than one percent (1%) of the voting power of such entity. The Executive acknowledges that this covenant has a unique, very substantial and immeasurable value to the Company, that the Executive has sufficient assets and skills to provide a livelihood for the Executive while such covenant remains in force and that, as a result of the foregoing, in the event that the Executive breaches such covenant, monetary damages would be an insufficient remedy for the Company and equitable enforcement of the covenant would be proper.</w:t>
      </w:r>
    </w:p>
    <w:p>
      <w:pPr>
        <w:spacing w:after="0" w:line="185" w:lineRule="exact"/>
        <w:rPr>
          <w:rFonts w:ascii="Arial" w:cs="Arial" w:eastAsia="Arial" w:hAnsi="Arial"/>
          <w:sz w:val="19"/>
          <w:szCs w:val="19"/>
          <w:color w:val="auto"/>
        </w:rPr>
      </w:pPr>
    </w:p>
    <w:p>
      <w:pPr>
        <w:ind w:left="-40" w:right="160" w:firstLine="1763"/>
        <w:spacing w:after="0" w:line="274" w:lineRule="auto"/>
        <w:tabs>
          <w:tab w:leader="none" w:pos="2603"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If the restrictions contained in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shall be determined by any court of competent jurisdiction to be unenforceable,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shall be modified in order for it to be enforceable to maximum allowed by law.</w:t>
      </w:r>
    </w:p>
    <w:p>
      <w:pPr>
        <w:spacing w:after="0" w:line="177" w:lineRule="exact"/>
        <w:rPr>
          <w:rFonts w:ascii="Arial" w:cs="Arial" w:eastAsia="Arial" w:hAnsi="Arial"/>
          <w:sz w:val="21"/>
          <w:szCs w:val="21"/>
          <w:color w:val="auto"/>
        </w:rPr>
      </w:pPr>
    </w:p>
    <w:p>
      <w:pPr>
        <w:ind w:left="-40" w:firstLine="1763"/>
        <w:spacing w:after="0" w:line="236" w:lineRule="auto"/>
        <w:tabs>
          <w:tab w:leader="none" w:pos="2615"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Conflicting Obligations and Rights</w:t>
      </w:r>
      <w:r>
        <w:rPr>
          <w:rFonts w:ascii="Arial" w:cs="Arial" w:eastAsia="Arial" w:hAnsi="Arial"/>
          <w:sz w:val="22"/>
          <w:szCs w:val="22"/>
          <w:color w:val="auto"/>
        </w:rPr>
        <w:t>. The Executive agrees to inform the Company of any apparent conflicts between the Executive’s work for the Company and any obligations the Executive may have to preserve the confidentiality of another’s proprietary information or related materials before using the same on the Company’s behalf. The Company shall receive such disclosures in confidence and consistent with the objectives of avoiding any conflict of obligations and rights or the appearance of any conflict of interest.</w:t>
      </w:r>
    </w:p>
    <w:p>
      <w:pPr>
        <w:spacing w:after="0" w:line="214" w:lineRule="exact"/>
        <w:rPr>
          <w:rFonts w:ascii="Arial" w:cs="Arial" w:eastAsia="Arial" w:hAnsi="Arial"/>
          <w:sz w:val="22"/>
          <w:szCs w:val="22"/>
          <w:color w:val="auto"/>
        </w:rPr>
      </w:pPr>
    </w:p>
    <w:p>
      <w:pPr>
        <w:ind w:left="-40" w:right="280" w:firstLine="1763"/>
        <w:spacing w:after="0" w:line="279" w:lineRule="auto"/>
        <w:tabs>
          <w:tab w:leader="none" w:pos="2603"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The Executive acknowledges that in the event of any breach of this </w:t>
      </w:r>
      <w:r>
        <w:rPr>
          <w:rFonts w:ascii="Arial" w:cs="Arial" w:eastAsia="Arial" w:hAnsi="Arial"/>
          <w:sz w:val="19"/>
          <w:szCs w:val="19"/>
          <w:u w:val="single" w:color="auto"/>
          <w:color w:val="auto"/>
        </w:rPr>
        <w:t>Section 7</w:t>
      </w:r>
      <w:r>
        <w:rPr>
          <w:rFonts w:ascii="Arial" w:cs="Arial" w:eastAsia="Arial" w:hAnsi="Arial"/>
          <w:sz w:val="19"/>
          <w:szCs w:val="19"/>
          <w:color w:val="auto"/>
        </w:rPr>
        <w:t>, the business interests of the Company and the Company Affiliates will be irreparably injured, the full extent of the damages to the Company and the Company Affiliates will be impossible to ascertain, monetary damages will not be an adequate remedy for the Company and the Company Affiliates, and the Company will be entitled to enforce this Agreement by a temporary, preliminary and/or permanent injunction or other equitable relief, without the necessity of posting bond or security, which the Executive expressly waives. The Executive understands that the Company may waive some of the requirements expressed in this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604" w:right="279" w:bottom="1440" w:gutter="0" w:footer="0" w:header="0"/>
        </w:sectPr>
      </w:pPr>
    </w:p>
    <w:bookmarkStart w:id="99" w:name="page100"/>
    <w:bookmarkEnd w:id="99"/>
    <w:p>
      <w:pPr>
        <w:ind w:right="160"/>
        <w:spacing w:after="0" w:line="252" w:lineRule="auto"/>
        <w:rPr>
          <w:sz w:val="20"/>
          <w:szCs w:val="20"/>
          <w:color w:val="auto"/>
        </w:rPr>
      </w:pPr>
      <w:r>
        <w:rPr>
          <w:rFonts w:ascii="Arial" w:cs="Arial" w:eastAsia="Arial" w:hAnsi="Arial"/>
          <w:sz w:val="21"/>
          <w:szCs w:val="21"/>
          <w:color w:val="auto"/>
        </w:rPr>
        <w:t>Agreement, but that such a waiver to be effective must be made in writing and should not in any way be deemed a waiver of the Company’s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w:t>
      </w:r>
    </w:p>
    <w:p>
      <w:pPr>
        <w:spacing w:after="0" w:line="201" w:lineRule="exact"/>
        <w:rPr>
          <w:sz w:val="20"/>
          <w:szCs w:val="20"/>
          <w:color w:val="auto"/>
        </w:rPr>
      </w:pPr>
    </w:p>
    <w:p>
      <w:pPr>
        <w:ind w:right="60" w:firstLine="1763"/>
        <w:spacing w:after="0"/>
        <w:tabs>
          <w:tab w:leader="none" w:pos="2619"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No Other Restrictions</w:t>
      </w:r>
      <w:r>
        <w:rPr>
          <w:rFonts w:ascii="Arial" w:cs="Arial" w:eastAsia="Arial" w:hAnsi="Arial"/>
          <w:sz w:val="22"/>
          <w:szCs w:val="22"/>
          <w:color w:val="auto"/>
        </w:rPr>
        <w:t>. Except as otherwise provided herein or in the Confidentiality and Assignment Agreement the Executive executed on January 8, 2016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there are no other restrictions on the Executive’s employment following termination of his employment.</w:t>
      </w:r>
    </w:p>
    <w:p>
      <w:pPr>
        <w:spacing w:after="0" w:line="213" w:lineRule="exact"/>
        <w:rPr>
          <w:rFonts w:ascii="Arial" w:cs="Arial" w:eastAsia="Arial" w:hAnsi="Arial"/>
          <w:sz w:val="22"/>
          <w:szCs w:val="22"/>
          <w:color w:val="auto"/>
        </w:rPr>
      </w:pPr>
    </w:p>
    <w:p>
      <w:pPr>
        <w:ind w:right="100" w:firstLine="885"/>
        <w:spacing w:after="0" w:line="282" w:lineRule="auto"/>
        <w:tabs>
          <w:tab w:leader="none" w:pos="168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Following any termination of employment, the Executive agrees to reasonably cooperate (taking into account his other business and personal commitments) with any investigation, suit or claim involving the Company and of which the Executive has knowledge, provided any such cooperation is not adverse to his legal interests. The Company agrees to reimburse the Executive for any costs incurred by him in connection with such cooperation, including payment of separate counsel for the Executive if he reasonably determines such separate representation is warranted by the circumstances.</w:t>
      </w:r>
    </w:p>
    <w:p>
      <w:pPr>
        <w:spacing w:after="0" w:line="174" w:lineRule="exact"/>
        <w:rPr>
          <w:rFonts w:ascii="Arial" w:cs="Arial" w:eastAsia="Arial" w:hAnsi="Arial"/>
          <w:sz w:val="19"/>
          <w:szCs w:val="19"/>
          <w:color w:val="auto"/>
        </w:rPr>
      </w:pPr>
    </w:p>
    <w:p>
      <w:pPr>
        <w:ind w:left="1700" w:hanging="815"/>
        <w:spacing w:after="0"/>
        <w:tabs>
          <w:tab w:leader="none" w:pos="17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580" w:firstLine="1763"/>
        <w:spacing w:after="0" w:line="251" w:lineRule="auto"/>
        <w:tabs>
          <w:tab w:leader="none" w:pos="2643"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Permitted Terminations</w:t>
      </w:r>
      <w:r>
        <w:rPr>
          <w:rFonts w:ascii="Arial" w:cs="Arial" w:eastAsia="Arial" w:hAnsi="Arial"/>
          <w:sz w:val="22"/>
          <w:szCs w:val="22"/>
          <w:color w:val="auto"/>
        </w:rPr>
        <w:t>. The Executive’s employment hereunder may be terminated during the Employment Period under the following circumstances:</w:t>
      </w:r>
    </w:p>
    <w:p>
      <w:pPr>
        <w:spacing w:after="0" w:line="65" w:lineRule="exact"/>
        <w:rPr>
          <w:rFonts w:ascii="Arial" w:cs="Arial" w:eastAsia="Arial" w:hAnsi="Arial"/>
          <w:sz w:val="22"/>
          <w:szCs w:val="22"/>
          <w:color w:val="auto"/>
        </w:rPr>
      </w:pPr>
    </w:p>
    <w:p>
      <w:pPr>
        <w:ind w:left="3500" w:hanging="858"/>
        <w:spacing w:after="0"/>
        <w:tabs>
          <w:tab w:leader="none" w:pos="3500" w:val="left"/>
        </w:tabs>
        <w:numPr>
          <w:ilvl w:val="2"/>
          <w:numId w:val="57"/>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hereunder shall terminate upon the Executive’s death.</w:t>
      </w:r>
    </w:p>
    <w:p>
      <w:pPr>
        <w:spacing w:after="0" w:line="132" w:lineRule="exact"/>
        <w:rPr>
          <w:rFonts w:ascii="Arial" w:cs="Arial" w:eastAsia="Arial" w:hAnsi="Arial"/>
          <w:sz w:val="19"/>
          <w:szCs w:val="19"/>
          <w:color w:val="auto"/>
        </w:rPr>
      </w:pPr>
    </w:p>
    <w:p>
      <w:pPr>
        <w:ind w:left="3560" w:hanging="918"/>
        <w:spacing w:after="0"/>
        <w:tabs>
          <w:tab w:leader="none" w:pos="3560" w:val="left"/>
        </w:tabs>
        <w:numPr>
          <w:ilvl w:val="2"/>
          <w:numId w:val="57"/>
        </w:numPr>
        <w:rPr>
          <w:rFonts w:ascii="Arial" w:cs="Arial" w:eastAsia="Arial" w:hAnsi="Arial"/>
          <w:sz w:val="22"/>
          <w:szCs w:val="22"/>
          <w:color w:val="auto"/>
        </w:rPr>
      </w:pPr>
      <w:r>
        <w:rPr>
          <w:rFonts w:ascii="Arial" w:cs="Arial" w:eastAsia="Arial" w:hAnsi="Arial"/>
          <w:sz w:val="22"/>
          <w:szCs w:val="22"/>
          <w:u w:val="single" w:color="auto"/>
          <w:color w:val="auto"/>
        </w:rPr>
        <w:t>By the Company</w:t>
      </w:r>
      <w:r>
        <w:rPr>
          <w:rFonts w:ascii="Arial" w:cs="Arial" w:eastAsia="Arial" w:hAnsi="Arial"/>
          <w:sz w:val="22"/>
          <w:szCs w:val="22"/>
          <w:color w:val="auto"/>
        </w:rPr>
        <w:t>. The Company may terminate the Executive’s employment:</w:t>
      </w:r>
    </w:p>
    <w:p>
      <w:pPr>
        <w:spacing w:after="0" w:line="8" w:lineRule="exact"/>
        <w:rPr>
          <w:rFonts w:ascii="Arial" w:cs="Arial" w:eastAsia="Arial" w:hAnsi="Arial"/>
          <w:sz w:val="22"/>
          <w:szCs w:val="22"/>
          <w:color w:val="auto"/>
        </w:rPr>
      </w:pPr>
    </w:p>
    <w:p>
      <w:pPr>
        <w:ind w:left="4380" w:hanging="861"/>
        <w:spacing w:after="0"/>
        <w:tabs>
          <w:tab w:leader="none" w:pos="4380" w:val="left"/>
        </w:tabs>
        <w:numPr>
          <w:ilvl w:val="3"/>
          <w:numId w:val="57"/>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Disability; or</w:t>
      </w:r>
    </w:p>
    <w:p>
      <w:pPr>
        <w:spacing w:after="0" w:line="80" w:lineRule="exact"/>
        <w:rPr>
          <w:rFonts w:ascii="Arial" w:cs="Arial" w:eastAsia="Arial" w:hAnsi="Arial"/>
          <w:sz w:val="22"/>
          <w:szCs w:val="22"/>
          <w:color w:val="auto"/>
        </w:rPr>
      </w:pPr>
    </w:p>
    <w:p>
      <w:pPr>
        <w:ind w:left="4380" w:hanging="861"/>
        <w:spacing w:after="0"/>
        <w:tabs>
          <w:tab w:leader="none" w:pos="4380" w:val="left"/>
        </w:tabs>
        <w:numPr>
          <w:ilvl w:val="3"/>
          <w:numId w:val="57"/>
        </w:numPr>
        <w:rPr>
          <w:rFonts w:ascii="Arial" w:cs="Arial" w:eastAsia="Arial" w:hAnsi="Arial"/>
          <w:sz w:val="22"/>
          <w:szCs w:val="22"/>
          <w:color w:val="auto"/>
        </w:rPr>
      </w:pPr>
      <w:r>
        <w:rPr>
          <w:rFonts w:ascii="Arial" w:cs="Arial" w:eastAsia="Arial" w:hAnsi="Arial"/>
          <w:sz w:val="22"/>
          <w:szCs w:val="22"/>
          <w:u w:val="single" w:color="auto"/>
          <w:color w:val="auto"/>
        </w:rPr>
        <w:t>With or Without Cause</w:t>
      </w:r>
      <w:r>
        <w:rPr>
          <w:rFonts w:ascii="Arial" w:cs="Arial" w:eastAsia="Arial" w:hAnsi="Arial"/>
          <w:sz w:val="22"/>
          <w:szCs w:val="22"/>
          <w:color w:val="auto"/>
        </w:rPr>
        <w:t>. For Cause or without Cause.</w:t>
      </w:r>
    </w:p>
    <w:p>
      <w:pPr>
        <w:spacing w:after="0" w:line="98" w:lineRule="exact"/>
        <w:rPr>
          <w:rFonts w:ascii="Arial" w:cs="Arial" w:eastAsia="Arial" w:hAnsi="Arial"/>
          <w:sz w:val="22"/>
          <w:szCs w:val="22"/>
          <w:color w:val="auto"/>
        </w:rPr>
      </w:pPr>
    </w:p>
    <w:p>
      <w:pPr>
        <w:ind w:right="120" w:firstLine="2642"/>
        <w:spacing w:after="0" w:line="251" w:lineRule="auto"/>
        <w:tabs>
          <w:tab w:leader="none" w:pos="3606" w:val="left"/>
        </w:tabs>
        <w:numPr>
          <w:ilvl w:val="2"/>
          <w:numId w:val="57"/>
        </w:numPr>
        <w:rPr>
          <w:rFonts w:ascii="Arial" w:cs="Arial" w:eastAsia="Arial" w:hAnsi="Arial"/>
          <w:sz w:val="22"/>
          <w:szCs w:val="22"/>
          <w:color w:val="auto"/>
        </w:rPr>
      </w:pPr>
      <w:r>
        <w:rPr>
          <w:rFonts w:ascii="Arial" w:cs="Arial" w:eastAsia="Arial" w:hAnsi="Arial"/>
          <w:sz w:val="22"/>
          <w:szCs w:val="22"/>
          <w:u w:val="single" w:color="auto"/>
          <w:color w:val="auto"/>
        </w:rPr>
        <w:t>By the Executive</w:t>
      </w:r>
      <w:r>
        <w:rPr>
          <w:rFonts w:ascii="Arial" w:cs="Arial" w:eastAsia="Arial" w:hAnsi="Arial"/>
          <w:sz w:val="22"/>
          <w:szCs w:val="22"/>
          <w:color w:val="auto"/>
        </w:rPr>
        <w:t>. The Executive may terminate his employment for any reason or for no reason by giving thirty (30) days advance Notice of Termination to the Company.</w:t>
      </w:r>
    </w:p>
    <w:p>
      <w:pPr>
        <w:spacing w:after="0" w:line="200" w:lineRule="exact"/>
        <w:rPr>
          <w:rFonts w:ascii="Arial" w:cs="Arial" w:eastAsia="Arial" w:hAnsi="Arial"/>
          <w:sz w:val="22"/>
          <w:szCs w:val="22"/>
          <w:color w:val="auto"/>
        </w:rPr>
      </w:pPr>
    </w:p>
    <w:p>
      <w:pPr>
        <w:ind w:firstLine="1763"/>
        <w:spacing w:after="0" w:line="248" w:lineRule="auto"/>
        <w:tabs>
          <w:tab w:leader="none" w:pos="2655"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Any termination of the Executive’s employment by the Company or the Executive (other than because of the Executive’s death) shall be communicated by written Notice of Termination to the other party hereto in accordance with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notice which shall indicate the specific termination provision in this Agreement relied upon, if any, and shall set forth in reasonable detail the facts and circumstances claimed to provide a basis for termination of the Executive’s employment under the provision so indicated. Termination of the Executive’s employment shall take effect on the Date of Termination.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0" w:name="page101"/>
    <w:bookmarkEnd w:id="100"/>
    <w:p>
      <w:pPr>
        <w:ind w:left="-20" w:right="340" w:firstLine="1744"/>
        <w:spacing w:after="0"/>
        <w:tabs>
          <w:tab w:leader="none" w:pos="2604"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Effect of Termination</w:t>
      </w:r>
      <w:r>
        <w:rPr>
          <w:rFonts w:ascii="Arial" w:cs="Arial" w:eastAsia="Arial" w:hAnsi="Arial"/>
          <w:sz w:val="22"/>
          <w:szCs w:val="22"/>
          <w:color w:val="auto"/>
        </w:rPr>
        <w:t>. Upon any termination of the Executive’s employment with the Company, and its subsidiaries, the Executive shall resign from, and shall be considered to have simultaneously resigned from, all positions with the Company and all of its subsidiaries.</w:t>
      </w:r>
    </w:p>
    <w:p>
      <w:pPr>
        <w:spacing w:after="0" w:line="213" w:lineRule="exact"/>
        <w:rPr>
          <w:rFonts w:ascii="Arial" w:cs="Arial" w:eastAsia="Arial" w:hAnsi="Arial"/>
          <w:sz w:val="22"/>
          <w:szCs w:val="22"/>
          <w:color w:val="auto"/>
        </w:rPr>
      </w:pPr>
    </w:p>
    <w:p>
      <w:pPr>
        <w:ind w:left="1780" w:hanging="915"/>
        <w:spacing w:after="0"/>
        <w:tabs>
          <w:tab w:leader="none" w:pos="17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firstLine="1763"/>
        <w:spacing w:after="0" w:line="273" w:lineRule="auto"/>
        <w:tabs>
          <w:tab w:leader="none" w:pos="2623"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If the Executive’s employment is terminated during the Employment Period as a result of the Executive’s death pursuant to </w:t>
      </w:r>
      <w:r>
        <w:rPr>
          <w:rFonts w:ascii="Arial" w:cs="Arial" w:eastAsia="Arial" w:hAnsi="Arial"/>
          <w:sz w:val="19"/>
          <w:szCs w:val="19"/>
          <w:u w:val="single" w:color="auto"/>
          <w:color w:val="auto"/>
        </w:rPr>
        <w:t>Section 9(a)(i)</w:t>
      </w:r>
      <w:r>
        <w:rPr>
          <w:rFonts w:ascii="Arial" w:cs="Arial" w:eastAsia="Arial" w:hAnsi="Arial"/>
          <w:sz w:val="19"/>
          <w:szCs w:val="19"/>
          <w:color w:val="auto"/>
        </w:rPr>
        <w:t xml:space="preserve">, the Employment Period shall terminate without further notice or any action required by the Company or the Executive’s legal representatives. Upon the Executive’s death, the Company shall pay or provide to the Executive’s representative or estate (i) all Accrued Benefits, if any, to which the Executive is entitled, and (ii)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at the time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Except as set forth herein or, if more favorable to the Executive, in the award agreements applicable to equity-based awards granted to Executive, including, without limitation, the Equity Awards, the Company shall have no further compensation obligations to the Executive (or the Executive’s legal representatives or estate) under this Agreement.</w:t>
      </w:r>
    </w:p>
    <w:p>
      <w:pPr>
        <w:spacing w:after="0" w:line="188" w:lineRule="exact"/>
        <w:rPr>
          <w:rFonts w:ascii="Arial" w:cs="Arial" w:eastAsia="Arial" w:hAnsi="Arial"/>
          <w:sz w:val="19"/>
          <w:szCs w:val="19"/>
          <w:color w:val="auto"/>
        </w:rPr>
      </w:pPr>
    </w:p>
    <w:p>
      <w:pPr>
        <w:ind w:left="-20" w:right="220" w:firstLine="1763"/>
        <w:spacing w:after="0" w:line="245" w:lineRule="auto"/>
        <w:tabs>
          <w:tab w:leader="none" w:pos="2635" w:val="left"/>
        </w:tabs>
        <w:numPr>
          <w:ilvl w:val="2"/>
          <w:numId w:val="59"/>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Company terminates the Executive’s employment during the Employment Period because of the Executive’s Disability pursuant to </w:t>
      </w:r>
      <w:r>
        <w:rPr>
          <w:rFonts w:ascii="Arial" w:cs="Arial" w:eastAsia="Arial" w:hAnsi="Arial"/>
          <w:sz w:val="21"/>
          <w:szCs w:val="21"/>
          <w:u w:val="single" w:color="auto"/>
          <w:color w:val="auto"/>
        </w:rPr>
        <w:t>Section 9(a)(ii)(A)</w:t>
      </w:r>
      <w:r>
        <w:rPr>
          <w:rFonts w:ascii="Arial" w:cs="Arial" w:eastAsia="Arial" w:hAnsi="Arial"/>
          <w:sz w:val="21"/>
          <w:szCs w:val="21"/>
          <w:color w:val="auto"/>
        </w:rPr>
        <w:t xml:space="preserve">, the Company shall pay to the Executive (i) all Accrued Benefits, if any, to which the Executive is entitled, and (ii)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at the time set forth in </w:t>
      </w:r>
      <w:r>
        <w:rPr>
          <w:rFonts w:ascii="Arial" w:cs="Arial" w:eastAsia="Arial" w:hAnsi="Arial"/>
          <w:sz w:val="21"/>
          <w:szCs w:val="21"/>
          <w:u w:val="single" w:color="auto"/>
          <w:color w:val="auto"/>
        </w:rPr>
        <w:t>Section 4(b)</w:t>
      </w:r>
      <w:r>
        <w:rPr>
          <w:rFonts w:ascii="Arial" w:cs="Arial" w:eastAsia="Arial" w:hAnsi="Arial"/>
          <w:sz w:val="21"/>
          <w:szCs w:val="21"/>
          <w:color w:val="auto"/>
        </w:rPr>
        <w:t>. Except as set forth herein or, if more favorable to the Executive, in the award agreements applicable to equity-based awards granted to Executive, including, without limitation, the Equity Awards, the Company shall have no further compensation obligations to the Executive (or the Executive’s legal representatives) under this Agreement.</w:t>
      </w:r>
    </w:p>
    <w:p>
      <w:pPr>
        <w:spacing w:after="0" w:line="212" w:lineRule="exact"/>
        <w:rPr>
          <w:rFonts w:ascii="Arial" w:cs="Arial" w:eastAsia="Arial" w:hAnsi="Arial"/>
          <w:sz w:val="21"/>
          <w:szCs w:val="21"/>
          <w:color w:val="auto"/>
        </w:rPr>
      </w:pPr>
    </w:p>
    <w:p>
      <w:pPr>
        <w:ind w:left="-20" w:right="120" w:firstLine="1763"/>
        <w:spacing w:after="0" w:line="248" w:lineRule="auto"/>
        <w:tabs>
          <w:tab w:leader="none" w:pos="2623" w:val="left"/>
        </w:tabs>
        <w:numPr>
          <w:ilvl w:val="2"/>
          <w:numId w:val="59"/>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for Cause, or by the Executive without Good Reason</w:t>
      </w:r>
      <w:r>
        <w:rPr>
          <w:rFonts w:ascii="Arial" w:cs="Arial" w:eastAsia="Arial" w:hAnsi="Arial"/>
          <w:sz w:val="21"/>
          <w:szCs w:val="21"/>
          <w:color w:val="auto"/>
        </w:rPr>
        <w:t xml:space="preserve">. If, during the Employment Period, the Company terminates the Executive’s employment for Cause pursuant to </w:t>
      </w:r>
      <w:r>
        <w:rPr>
          <w:rFonts w:ascii="Arial" w:cs="Arial" w:eastAsia="Arial" w:hAnsi="Arial"/>
          <w:sz w:val="21"/>
          <w:szCs w:val="21"/>
          <w:u w:val="single" w:color="auto"/>
          <w:color w:val="auto"/>
        </w:rPr>
        <w:t>Section 9(a)(ii)(B)</w:t>
      </w:r>
      <w:r>
        <w:rPr>
          <w:rFonts w:ascii="Arial" w:cs="Arial" w:eastAsia="Arial" w:hAnsi="Arial"/>
          <w:sz w:val="21"/>
          <w:szCs w:val="21"/>
          <w:color w:val="auto"/>
        </w:rPr>
        <w:t>, or the Executive terminates his employment without Good Reason, the Company shall pay to the Executive all Accrued Benefits, if any, to which the Executive is entitled. Except as set forth herein or, if more favorable to the Executive, in the award agreements applicable to equity-based awards granted to Executive, including, without limitation, the Equity Awards, the Company shall have no further compensation obligations to the Executive under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61" w:right="259" w:bottom="1440" w:gutter="0" w:footer="0" w:header="0"/>
        </w:sectPr>
      </w:pPr>
    </w:p>
    <w:bookmarkStart w:id="101" w:name="page102"/>
    <w:bookmarkEnd w:id="101"/>
    <w:p>
      <w:pPr>
        <w:ind w:left="-40" w:firstLine="1763"/>
        <w:spacing w:after="0" w:line="270" w:lineRule="auto"/>
        <w:tabs>
          <w:tab w:leader="none" w:pos="261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Certain Terminations Prior to or After a Change in Control</w:t>
      </w:r>
      <w:r>
        <w:rPr>
          <w:rFonts w:ascii="Arial" w:cs="Arial" w:eastAsia="Arial" w:hAnsi="Arial"/>
          <w:sz w:val="19"/>
          <w:szCs w:val="19"/>
          <w:color w:val="auto"/>
        </w:rPr>
        <w:t xml:space="preserve">. If, prior to the occurrence of a Change in Control, or after the twenty-four (24) month protection period in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has expired (and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does not apply), the Company terminates the Executive’s employment during the Employment Period other than for Cause, death or Disability or the Executive terminates his employment hereunder with Good Reason, the Employment Period shall terminate upon the Date of Termination and (i) the Company shall pay or provide the Executive (or the Executive’s estate, if the Executive dies after such termination but before receiving such amount) (A) all Accrued Benefits, if any, to which the Executive is entitled; (B)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as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(C) an amount equal to the product of (x) one (1) and (y) the sum of the Executive’s (I) Base Salary and (II) Target Bonus, payable in a lump sum on the first payroll date following the execution (and non-revocation) of the general release of claims described in </w:t>
      </w:r>
      <w:r>
        <w:rPr>
          <w:rFonts w:ascii="Arial" w:cs="Arial" w:eastAsia="Arial" w:hAnsi="Arial"/>
          <w:sz w:val="19"/>
          <w:szCs w:val="19"/>
          <w:u w:val="single" w:color="auto"/>
          <w:color w:val="auto"/>
        </w:rPr>
        <w:t>Section 10(g)</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(ii) the Executive and his covered dependents shall be entitled to continued participation on the same terms and conditions as applicable immediately prior to the Executive’s Date of Termination for the eighteen (18) month period following the Date of Termination in such medical, dental, and hospitalization insurance coverage in which the Executive and his eligible dependents were participating immediately prior to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Company agrees to impute as taxable income to the Executive an amount equal to the full actuarial cost of such coverage, for each month during which such coverage is in effect for the Executive and/or his eligible dependents but only if and to the extent such imputation is required for the Executive to avoid being subject to tax under Section 105(h) of the Internal Revenue Code of 1986, as amended (the “Code”), with respect to any payment or reimbursement of expenses made to the Executive or for the Executive and/or any of his eligible dependent’s benefit under such health care coverage.</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40" w:right="20" w:firstLine="1763"/>
        <w:spacing w:after="0" w:line="271" w:lineRule="auto"/>
        <w:tabs>
          <w:tab w:leader="none" w:pos="260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Certain Terminations in Connection With a Change in Control</w:t>
      </w:r>
      <w:r>
        <w:rPr>
          <w:rFonts w:ascii="Arial" w:cs="Arial" w:eastAsia="Arial" w:hAnsi="Arial"/>
          <w:sz w:val="19"/>
          <w:szCs w:val="19"/>
          <w:color w:val="auto"/>
        </w:rPr>
        <w:t xml:space="preserve">. If the Company terminates the Executive’s employment other than for Cause, Death or Disability or the Executive terminates his employment hereunder with Good Reason, the Employment Period shall terminate upon the Date of Termination and if such Date of Termination occurs (x) upon or within twenty-four (24) months following the date of consummation of a Change in Control, or (y) either (a) within 90 days prior to the date a definitive agreement is executed which results in a Change in Control within 180 days after the date such definitive agreement is executed or (b) on or within 180 days following the date a definitive agreement is executed which results in a Change in Control within 180 days after the date such definitive agreement is executed, (i) the Company shall pay or provide the Executive (or the Executive’s estate, if the Executive dies after such termination but before receiving such amount) (A) all Accrued Benefits, if any, to which the Executive is entitled; (B)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as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and (C) an amount equal to the product of (x) two (2) and (y) the sum of the Executive’s (I) Base Salary and (II) Target Bonus, payable in a lump sum on the first payroll date following the execution (and non-revocation) of the general release of claims described 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361" w:right="279" w:bottom="1440" w:gutter="0" w:footer="0" w:header="0"/>
        </w:sectPr>
      </w:pPr>
    </w:p>
    <w:bookmarkStart w:id="102" w:name="page103"/>
    <w:bookmarkEnd w:id="102"/>
    <w:p>
      <w:pPr>
        <w:ind w:right="60"/>
        <w:spacing w:after="0" w:line="273" w:lineRule="auto"/>
        <w:rPr>
          <w:sz w:val="20"/>
          <w:szCs w:val="20"/>
          <w:color w:val="auto"/>
        </w:rPr>
      </w:pPr>
      <w:r>
        <w:rPr>
          <w:rFonts w:ascii="Arial" w:cs="Arial" w:eastAsia="Arial" w:hAnsi="Arial"/>
          <w:sz w:val="19"/>
          <w:szCs w:val="19"/>
          <w:u w:val="single" w:color="auto"/>
          <w:color w:val="auto"/>
        </w:rPr>
        <w:t>Section 10(g)</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Payment Date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connection with a termination covered by clause (y), the payment of the additional one times Base Salary and Target Bonus amount shall be paid, subject to </w:t>
      </w:r>
      <w:r>
        <w:rPr>
          <w:rFonts w:ascii="Arial" w:cs="Arial" w:eastAsia="Arial" w:hAnsi="Arial"/>
          <w:sz w:val="19"/>
          <w:szCs w:val="19"/>
          <w:u w:val="single" w:color="auto"/>
          <w:color w:val="auto"/>
        </w:rPr>
        <w:t>Section 10(h)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on the later of the Payment Date or the date of the Change in Control; and (ii) the Executive and her covered dependents shall be entitled to continued participation on the same terms and conditions as applicable immediately prior to the Executive’s Date of Termination for the eighteen (18) month period following the Date of Termination in such medical, dental, and hospitalization insurance coverage in which the Executive and his eligible dependents were participating immediately prior to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Company agrees to impute as taxable income to the Executive an amount equal to the full actuarial cost of such coverage, for each month during which such coverage is in effect for the Executive and/or his eligible dependents but only if and to the extent such imputation is required for the Executive to avoid being subject to tax under Section 105(h) of the Code, with respect to any payment or reimbursement of expenses made to the Executive or for the Executive and/or any of his eligible dependent’s benefit under such health care coverage.</w:t>
      </w:r>
    </w:p>
    <w:p>
      <w:pPr>
        <w:spacing w:after="0" w:line="183" w:lineRule="exact"/>
        <w:rPr>
          <w:sz w:val="20"/>
          <w:szCs w:val="20"/>
          <w:color w:val="auto"/>
        </w:rPr>
      </w:pPr>
    </w:p>
    <w:p>
      <w:pPr>
        <w:ind w:firstLine="1763"/>
        <w:spacing w:after="0" w:line="277" w:lineRule="auto"/>
        <w:tabs>
          <w:tab w:leader="none" w:pos="261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Upon Expiration of the Term</w:t>
      </w:r>
      <w:r>
        <w:rPr>
          <w:rFonts w:ascii="Arial" w:cs="Arial" w:eastAsia="Arial" w:hAnsi="Arial"/>
          <w:sz w:val="19"/>
          <w:szCs w:val="19"/>
          <w:color w:val="auto"/>
        </w:rPr>
        <w:t>. Upon a notice of non-renewal of the Initial Term or any subsequent Term (each, a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by either the Company or the Executive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the Executive’s employment shall terminate on the last day of the applicable Term. In addition, any notice of non-renewal of the Term by the Company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(assuming the Executive was willing and able to continue to be employed) shall be treated as a termination without Cause under this Agreement and the Executive shall be entitled to severance and other entitlements under the terms of either </w:t>
      </w:r>
      <w:r>
        <w:rPr>
          <w:rFonts w:ascii="Arial" w:cs="Arial" w:eastAsia="Arial" w:hAnsi="Arial"/>
          <w:sz w:val="19"/>
          <w:szCs w:val="19"/>
          <w:u w:val="single" w:color="auto"/>
          <w:color w:val="auto"/>
        </w:rPr>
        <w:t>Sections 10(d) or 10(e)</w:t>
      </w:r>
      <w:r>
        <w:rPr>
          <w:rFonts w:ascii="Arial" w:cs="Arial" w:eastAsia="Arial" w:hAnsi="Arial"/>
          <w:sz w:val="19"/>
          <w:szCs w:val="19"/>
          <w:color w:val="auto"/>
        </w:rPr>
        <w:t xml:space="preserve"> as applicable upon the termination of the Executive’s employment on the last day of the applicable Term and such termination shall be treated as a termination without Cause for purposes of the Executive’s equity awards.</w:t>
      </w:r>
    </w:p>
    <w:p>
      <w:pPr>
        <w:spacing w:after="0" w:line="179" w:lineRule="exact"/>
        <w:rPr>
          <w:rFonts w:ascii="Arial" w:cs="Arial" w:eastAsia="Arial" w:hAnsi="Arial"/>
          <w:sz w:val="19"/>
          <w:szCs w:val="19"/>
          <w:color w:val="auto"/>
        </w:rPr>
      </w:pPr>
    </w:p>
    <w:p>
      <w:pPr>
        <w:ind w:right="40" w:firstLine="1763"/>
        <w:spacing w:after="0" w:line="248" w:lineRule="auto"/>
        <w:tabs>
          <w:tab w:leader="none" w:pos="2655"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As a condition of receiving any and all amounts payable and benefits or additional rights provided pursuant to this Agreement beyond the Accrued Benefits, the Executive must execute and deliver to the Company and not revoke a general release of claims in favor of the Company in substantially the form attached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Release</w:t>
      </w:r>
      <w:r>
        <w:rPr>
          <w:rFonts w:ascii="Arial" w:cs="Arial" w:eastAsia="Arial" w:hAnsi="Arial"/>
          <w:sz w:val="21"/>
          <w:szCs w:val="21"/>
          <w:color w:val="auto"/>
        </w:rPr>
        <w:t>”). The Release must be executed and delivered (and no longer subject to revocation, if applicable) within sixty (60) days following the Executive’s Date of Termination. The Company shall deliver to the Executive the Release for the Executive to execute within five (5) business days following the Date of Termination.</w:t>
      </w:r>
    </w:p>
    <w:p>
      <w:pPr>
        <w:spacing w:after="0" w:line="204" w:lineRule="exact"/>
        <w:rPr>
          <w:rFonts w:ascii="Arial" w:cs="Arial" w:eastAsia="Arial" w:hAnsi="Arial"/>
          <w:sz w:val="21"/>
          <w:szCs w:val="21"/>
          <w:color w:val="auto"/>
        </w:rPr>
      </w:pPr>
    </w:p>
    <w:p>
      <w:pPr>
        <w:ind w:right="20" w:firstLine="1763"/>
        <w:spacing w:after="0" w:line="235" w:lineRule="auto"/>
        <w:tabs>
          <w:tab w:leader="none" w:pos="265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Certain Payment Delays</w:t>
      </w:r>
      <w:r>
        <w:rPr>
          <w:rFonts w:ascii="Arial" w:cs="Arial" w:eastAsia="Arial" w:hAnsi="Arial"/>
          <w:sz w:val="22"/>
          <w:szCs w:val="22"/>
          <w:color w:val="auto"/>
        </w:rPr>
        <w:t xml:space="preserve">. Notwithstanding anything to the contrary set forth herein, to the extent that the payment of any amount described in </w:t>
      </w:r>
      <w:r>
        <w:rPr>
          <w:rFonts w:ascii="Arial" w:cs="Arial" w:eastAsia="Arial" w:hAnsi="Arial"/>
          <w:sz w:val="22"/>
          <w:szCs w:val="22"/>
          <w:u w:val="single" w:color="auto"/>
          <w:color w:val="auto"/>
        </w:rPr>
        <w:t>Sections 10(d) or 10(e)</w:t>
      </w:r>
      <w:r>
        <w:rPr>
          <w:rFonts w:ascii="Arial" w:cs="Arial" w:eastAsia="Arial" w:hAnsi="Arial"/>
          <w:sz w:val="22"/>
          <w:szCs w:val="22"/>
          <w:color w:val="auto"/>
        </w:rPr>
        <w:t xml:space="preserve"> constitute “nonqualified deferred compensation” for purposes of Code Section 409A (as defined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hereof), then, subject to </w:t>
      </w:r>
      <w:r>
        <w:rPr>
          <w:rFonts w:ascii="Arial" w:cs="Arial" w:eastAsia="Arial" w:hAnsi="Arial"/>
          <w:sz w:val="22"/>
          <w:szCs w:val="22"/>
          <w:u w:val="single" w:color="auto"/>
          <w:color w:val="auto"/>
        </w:rPr>
        <w:t>Section 24</w:t>
      </w:r>
      <w:r>
        <w:rPr>
          <w:rFonts w:ascii="Arial" w:cs="Arial" w:eastAsia="Arial" w:hAnsi="Arial"/>
          <w:sz w:val="22"/>
          <w:szCs w:val="22"/>
          <w:color w:val="auto"/>
        </w:rPr>
        <w:t>, any such payment scheduled to occur during the first sixty (60) days following the termination of employment shall not be paid until the first regularly scheduled pay period following the sixtieth (60th) day following such termination and shall include payment of any amount that was otherwise scheduled to be paid prior thereto.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3" w:name="page104"/>
    <w:bookmarkEnd w:id="103"/>
    <w:p>
      <w:pPr>
        <w:ind w:right="100" w:firstLine="1763"/>
        <w:spacing w:after="0" w:line="249" w:lineRule="auto"/>
        <w:tabs>
          <w:tab w:leader="none" w:pos="2607"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No Offset</w:t>
      </w:r>
      <w:r>
        <w:rPr>
          <w:rFonts w:ascii="Arial" w:cs="Arial" w:eastAsia="Arial" w:hAnsi="Arial"/>
          <w:sz w:val="21"/>
          <w:szCs w:val="21"/>
          <w:color w:val="auto"/>
        </w:rPr>
        <w:t>. In the event of termination of his employment, the Executive shall be under no obligation to seek other employment and there shall be no offset against amounts due to him on account of any remuneration or benefits provided by any subsequent employment he may obtain. The Company’s obligation to make any payment pursuant to, and otherwise to perform its obligations under, this Agreement shall not be affected by any offset, counterclaim or other right that the Company or the Company Affiliates may have against the Executive for any reason.</w:t>
      </w:r>
    </w:p>
    <w:p>
      <w:pPr>
        <w:spacing w:after="0" w:line="205" w:lineRule="exact"/>
        <w:rPr>
          <w:rFonts w:ascii="Arial" w:cs="Arial" w:eastAsia="Arial" w:hAnsi="Arial"/>
          <w:sz w:val="21"/>
          <w:szCs w:val="21"/>
          <w:color w:val="auto"/>
        </w:rPr>
      </w:pPr>
    </w:p>
    <w:p>
      <w:pPr>
        <w:ind w:firstLine="1763"/>
        <w:spacing w:after="0" w:line="268" w:lineRule="auto"/>
        <w:tabs>
          <w:tab w:leader="none" w:pos="2607"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280G Payments</w:t>
      </w:r>
      <w:r>
        <w:rPr>
          <w:rFonts w:ascii="Arial" w:cs="Arial" w:eastAsia="Arial" w:hAnsi="Arial"/>
          <w:sz w:val="19"/>
          <w:szCs w:val="19"/>
          <w:color w:val="auto"/>
        </w:rPr>
        <w:t xml:space="preserve">. In the event the Company determines in good faith that any payments, entitlements or benefits (whether made or provided pursuant to this Agreement or otherwise, including by the person or entity affecting a change in control) provided to the Executive constitute “parachute payments” within the meaning of Section 280G of the Code, and may be subject to an excise tax imposed pursuant to Section 4999 of the Code, then, if the Executive would be placed in a better after-tax position, the Executive’s “parachute payments” will be reduced to an amount determined by the Company in good faith to be the maximum amount that may be provided to the Executive without resulting in any portion of such “parachute payment” being subject to such excise tax. The payment reduction contemplated by the preceding sentence shall be implemented as follows: first, by reducing any payments to be made to the Executive under </w:t>
      </w:r>
      <w:r>
        <w:rPr>
          <w:rFonts w:ascii="Arial" w:cs="Arial" w:eastAsia="Arial" w:hAnsi="Arial"/>
          <w:sz w:val="19"/>
          <w:szCs w:val="19"/>
          <w:u w:val="single" w:color="auto"/>
          <w:color w:val="auto"/>
        </w:rPr>
        <w:t>Sections 10(d)(i)(B) and (C)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10(e)(i)(B) and (C)</w:t>
      </w:r>
      <w:r>
        <w:rPr>
          <w:rFonts w:ascii="Arial" w:cs="Arial" w:eastAsia="Arial" w:hAnsi="Arial"/>
          <w:sz w:val="19"/>
          <w:szCs w:val="19"/>
          <w:color w:val="auto"/>
        </w:rPr>
        <w:t>, as applicable; second, by reducing any other cash payments to be made to the Executive but only if the value of such cash payments is not greater than the parachute value of such payments; third, by cancelling the acceleration of vesting of any restricted stock or restricted stock unit awards solely with respect to the accelerated vesting upon a change in control such that such awards will continue to vest on their original schedules; fourth, by cancelling the acceleration of vesting of any stock options or stock appreciation rights solely with respect accelerated vesting upon a change in control such that such awards will continue to vest on their original schedules, fifth, by eliminating the Company’s payment of the cost of any post-termination continuation of medical and dental benefits for the Executive and his eligible dependents and sixth, by reducing any equity awards. In the case of the reductions to be made pursuant to each of the above-mentioned clauses, the payment and/or benefit amounts to be reduced and the acceleration of vesting to be cancelled shall be reduced or cancelled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(y) only to the extent necessary to achieve the required reduction hereunder and</w:t>
      </w:r>
    </w:p>
    <w:p>
      <w:pPr>
        <w:ind w:firstLine="8"/>
        <w:spacing w:after="0" w:line="273" w:lineRule="auto"/>
        <w:tabs>
          <w:tab w:leader="none" w:pos="294"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all amounts that are not subject to calculation under Treas. Reg. §1.280G-1, Q&amp;A-24(b) or (c) shall be reduced before any amounts that are subject to calculation under Treas. Reg. §1.280G-1, Q&amp;A-24(b) or (c). Any determinations that are made pursuant to this </w:t>
      </w:r>
      <w:r>
        <w:rPr>
          <w:rFonts w:ascii="Arial" w:cs="Arial" w:eastAsia="Arial" w:hAnsi="Arial"/>
          <w:sz w:val="19"/>
          <w:szCs w:val="19"/>
          <w:u w:val="single" w:color="auto"/>
          <w:color w:val="auto"/>
        </w:rPr>
        <w:t>Section 10(j)</w:t>
      </w:r>
      <w:r>
        <w:rPr>
          <w:rFonts w:ascii="Arial" w:cs="Arial" w:eastAsia="Arial" w:hAnsi="Arial"/>
          <w:sz w:val="19"/>
          <w:szCs w:val="19"/>
          <w:color w:val="auto"/>
        </w:rPr>
        <w:t xml:space="preserve"> shall be made by a nationally recognized certified public accounting firm that shall be selected by the Company (and paid by the Company) prior to any transaction that is subject to Code Section 280G and reasonably acceptable to the Executive (the “Accountant”), which determination shall be certified by the Accountant and set forth in a certificate delivered to the Executive setting forth in reasonable detail the basis of the Accountant’s determinations. In connection with this determination, the Accountant shall value the non-compete and other restrictions on the Executive’s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4" w:name="page105"/>
    <w:bookmarkEnd w:id="104"/>
    <w:p>
      <w:pPr>
        <w:ind w:firstLine="885"/>
        <w:spacing w:after="0" w:line="275" w:lineRule="auto"/>
        <w:tabs>
          <w:tab w:leader="none" w:pos="178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Executive shall be indemnified and held harmless by the Company during the Employment Period and following any termination of his employment for any reason whatsoever in the same manner as would any other key management employee of the Company with respect to acts or omissions occurring on or prior to the termination of employment of the Executive. In addition, during the Employment Period and for a period of three (3) years following the termination of Executive’s employment for any reason whatsoever, the Executive shall be covered by a Company-held directors’ and officers’ liability insurance policy covering acts or omissions occurring on or prior to the termination of employment of the Executive. The Executive shall also remain entitled to the protections of the indemnification agreement he has entered into with the Company dated as of August 1, 2016 (“</w:t>
      </w:r>
      <w:r>
        <w:rPr>
          <w:rFonts w:ascii="Arial" w:cs="Arial" w:eastAsia="Arial" w:hAnsi="Arial"/>
          <w:sz w:val="19"/>
          <w:szCs w:val="19"/>
          <w:u w:val="single" w:color="auto"/>
          <w:color w:val="auto"/>
        </w:rPr>
        <w:t>Indemnification Agreement</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right="60" w:firstLine="885"/>
        <w:spacing w:after="0" w:line="297" w:lineRule="auto"/>
        <w:tabs>
          <w:tab w:leader="none" w:pos="17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addressed as follows:</w:t>
      </w:r>
    </w:p>
    <w:p>
      <w:pPr>
        <w:spacing w:after="0" w:line="16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If to the Company:</w:t>
      </w:r>
    </w:p>
    <w:p>
      <w:pPr>
        <w:spacing w:after="0" w:line="9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LSB Industries, Inc.</w:t>
      </w:r>
    </w:p>
    <w:p>
      <w:pPr>
        <w:ind w:left="2640"/>
        <w:spacing w:after="0" w:line="238" w:lineRule="auto"/>
        <w:rPr>
          <w:sz w:val="20"/>
          <w:szCs w:val="20"/>
          <w:color w:val="auto"/>
        </w:rPr>
      </w:pPr>
      <w:r>
        <w:rPr>
          <w:rFonts w:ascii="Arial" w:cs="Arial" w:eastAsia="Arial" w:hAnsi="Arial"/>
          <w:sz w:val="22"/>
          <w:szCs w:val="22"/>
          <w:color w:val="auto"/>
        </w:rPr>
        <w:t>3503 NW 63</w:t>
      </w:r>
      <w:r>
        <w:rPr>
          <w:rFonts w:ascii="Arial" w:cs="Arial" w:eastAsia="Arial" w:hAnsi="Arial"/>
          <w:sz w:val="18"/>
          <w:szCs w:val="18"/>
          <w:color w:val="auto"/>
        </w:rPr>
        <w:t>rd</w:t>
      </w:r>
      <w:r>
        <w:rPr>
          <w:rFonts w:ascii="Arial" w:cs="Arial" w:eastAsia="Arial" w:hAnsi="Arial"/>
          <w:sz w:val="22"/>
          <w:szCs w:val="22"/>
          <w:color w:val="auto"/>
        </w:rPr>
        <w:t xml:space="preserve"> Street, Suite 500</w:t>
      </w:r>
    </w:p>
    <w:p>
      <w:pPr>
        <w:ind w:left="2640"/>
        <w:spacing w:after="0" w:line="230" w:lineRule="auto"/>
        <w:rPr>
          <w:sz w:val="20"/>
          <w:szCs w:val="20"/>
          <w:color w:val="auto"/>
        </w:rPr>
      </w:pPr>
      <w:r>
        <w:rPr>
          <w:rFonts w:ascii="Arial" w:cs="Arial" w:eastAsia="Arial" w:hAnsi="Arial"/>
          <w:sz w:val="22"/>
          <w:szCs w:val="22"/>
          <w:color w:val="auto"/>
        </w:rPr>
        <w:t>Oklahoma City, OK 73116</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u w:val="single" w:color="auto"/>
          <w:color w:val="auto"/>
        </w:rPr>
        <w:t>Attention</w:t>
      </w:r>
      <w:r>
        <w:rPr>
          <w:rFonts w:ascii="Arial" w:cs="Arial" w:eastAsia="Arial" w:hAnsi="Arial"/>
          <w:sz w:val="22"/>
          <w:szCs w:val="22"/>
          <w:color w:val="auto"/>
        </w:rPr>
        <w:t>: Chief Executive Officer</w:t>
      </w:r>
    </w:p>
    <w:p>
      <w:pPr>
        <w:spacing w:after="0" w:line="80"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If to the Executive:</w:t>
      </w:r>
    </w:p>
    <w:p>
      <w:pPr>
        <w:spacing w:after="0" w:line="9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His primary address last shown on the Company’s records.</w:t>
      </w:r>
    </w:p>
    <w:p>
      <w:pPr>
        <w:spacing w:after="0" w:line="98" w:lineRule="exact"/>
        <w:rPr>
          <w:sz w:val="20"/>
          <w:szCs w:val="20"/>
          <w:color w:val="auto"/>
        </w:rPr>
      </w:pPr>
    </w:p>
    <w:p>
      <w:pPr>
        <w:ind w:right="100" w:firstLine="877"/>
        <w:spacing w:after="0" w:line="282" w:lineRule="auto"/>
        <w:rPr>
          <w:sz w:val="20"/>
          <w:szCs w:val="20"/>
          <w:color w:val="auto"/>
        </w:rPr>
      </w:pPr>
      <w:r>
        <w:rPr>
          <w:rFonts w:ascii="Arial" w:cs="Arial" w:eastAsia="Arial" w:hAnsi="Arial"/>
          <w:sz w:val="19"/>
          <w:szCs w:val="19"/>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or the affidavit of messenger being deemed conclusive but not exclusive evidence of such delivery) or at such time as delivery is refused by the addressee upon presentation.</w:t>
      </w:r>
    </w:p>
    <w:p>
      <w:pPr>
        <w:spacing w:after="0" w:line="175" w:lineRule="exact"/>
        <w:rPr>
          <w:sz w:val="20"/>
          <w:szCs w:val="20"/>
          <w:color w:val="auto"/>
        </w:rPr>
      </w:pPr>
    </w:p>
    <w:p>
      <w:pPr>
        <w:jc w:val="both"/>
        <w:ind w:right="260" w:firstLine="885"/>
        <w:spacing w:after="0"/>
        <w:tabs>
          <w:tab w:leader="none" w:pos="179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The invalidity or unenforceability of any one or more provisions of this Agreement, including, without limitation, </w:t>
      </w:r>
      <w:r>
        <w:rPr>
          <w:rFonts w:ascii="Arial" w:cs="Arial" w:eastAsia="Arial" w:hAnsi="Arial"/>
          <w:sz w:val="22"/>
          <w:szCs w:val="22"/>
          <w:u w:val="single" w:color="auto"/>
          <w:color w:val="auto"/>
        </w:rPr>
        <w:t>Sections 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w:t>
      </w:r>
      <w:r>
        <w:rPr>
          <w:rFonts w:ascii="Arial" w:cs="Arial" w:eastAsia="Arial" w:hAnsi="Arial"/>
          <w:sz w:val="22"/>
          <w:szCs w:val="22"/>
          <w:color w:val="auto"/>
        </w:rPr>
        <w:t>, shall not affect the validity or enforceability of the other provisions of this Agreement, which shall remain in full force and effect.</w:t>
      </w:r>
    </w:p>
    <w:p>
      <w:pPr>
        <w:spacing w:after="0" w:line="213" w:lineRule="exact"/>
        <w:rPr>
          <w:rFonts w:ascii="Arial" w:cs="Arial" w:eastAsia="Arial" w:hAnsi="Arial"/>
          <w:sz w:val="22"/>
          <w:szCs w:val="22"/>
          <w:color w:val="auto"/>
        </w:rPr>
      </w:pPr>
    </w:p>
    <w:p>
      <w:pPr>
        <w:jc w:val="both"/>
        <w:ind w:right="140" w:firstLine="885"/>
        <w:spacing w:after="0" w:line="287" w:lineRule="auto"/>
        <w:tabs>
          <w:tab w:leader="none" w:pos="17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It is the express intention and agreement of the parties hereto that the provisions of </w:t>
      </w:r>
      <w:r>
        <w:rPr>
          <w:rFonts w:ascii="Arial" w:cs="Arial" w:eastAsia="Arial" w:hAnsi="Arial"/>
          <w:sz w:val="19"/>
          <w:szCs w:val="19"/>
          <w:u w:val="single" w:color="auto"/>
          <w:color w:val="auto"/>
        </w:rPr>
        <w:t>Sections 6, 7, 8,</w:t>
      </w:r>
      <w:r>
        <w:rPr>
          <w:rFonts w:ascii="Arial" w:cs="Arial" w:eastAsia="Arial" w:hAnsi="Arial"/>
          <w:sz w:val="19"/>
          <w:szCs w:val="19"/>
          <w:color w:val="auto"/>
        </w:rPr>
        <w:t xml:space="preserve"> </w:t>
      </w:r>
      <w:r>
        <w:rPr>
          <w:rFonts w:ascii="Arial" w:cs="Arial" w:eastAsia="Arial" w:hAnsi="Arial"/>
          <w:sz w:val="19"/>
          <w:szCs w:val="19"/>
          <w:u w:val="single" w:color="auto"/>
          <w:color w:val="auto"/>
        </w:rPr>
        <w:t>10, 11, 12, 13, 15, 16, 17, 19, 20, 21, 23, 24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25</w:t>
      </w:r>
      <w:r>
        <w:rPr>
          <w:rFonts w:ascii="Arial" w:cs="Arial" w:eastAsia="Arial" w:hAnsi="Arial"/>
          <w:sz w:val="19"/>
          <w:szCs w:val="19"/>
          <w:color w:val="auto"/>
        </w:rPr>
        <w:t xml:space="preserve"> hereof and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shall survive the termination of employment of the Executive or the termination or expiration of the Employment Period. In addition, all obligations of the Company to make payments hereunder shall survive any expiration of the Employment Period on the terms and conditions set forth herein.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5" w:name="page106"/>
    <w:bookmarkEnd w:id="105"/>
    <w:p>
      <w:pPr>
        <w:ind w:left="-120" w:firstLine="885"/>
        <w:spacing w:after="0" w:line="246" w:lineRule="auto"/>
        <w:tabs>
          <w:tab w:leader="none" w:pos="167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Company hereunder shall be assignable and delegable in connection with any subsequent merger, consolidation, sale of all or substantially all of the assets or equity interests of the Company or similar transaction involving the Company or a successor corporation. Unless provided by applicable law, the Company shall require any successor to the Company to expressly assume and agree to perform this Agreement in the same manner and to the same extent that the Company would be required to perform it if no such succession had taken place.</w:t>
      </w:r>
    </w:p>
    <w:p>
      <w:pPr>
        <w:spacing w:after="0" w:line="207" w:lineRule="exact"/>
        <w:rPr>
          <w:rFonts w:ascii="Arial" w:cs="Arial" w:eastAsia="Arial" w:hAnsi="Arial"/>
          <w:sz w:val="21"/>
          <w:szCs w:val="21"/>
          <w:color w:val="auto"/>
        </w:rPr>
      </w:pPr>
    </w:p>
    <w:p>
      <w:pPr>
        <w:ind w:left="-120" w:right="20" w:firstLine="885"/>
        <w:spacing w:after="0"/>
        <w:tabs>
          <w:tab w:leader="none" w:pos="167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213" w:lineRule="exact"/>
        <w:rPr>
          <w:rFonts w:ascii="Arial" w:cs="Arial" w:eastAsia="Arial" w:hAnsi="Arial"/>
          <w:sz w:val="22"/>
          <w:szCs w:val="22"/>
          <w:color w:val="auto"/>
        </w:rPr>
      </w:pPr>
    </w:p>
    <w:p>
      <w:pPr>
        <w:ind w:left="-120" w:right="220" w:firstLine="885"/>
        <w:spacing w:after="0" w:line="235" w:lineRule="auto"/>
        <w:tabs>
          <w:tab w:leader="none" w:pos="167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215" w:lineRule="exact"/>
        <w:rPr>
          <w:rFonts w:ascii="Arial" w:cs="Arial" w:eastAsia="Arial" w:hAnsi="Arial"/>
          <w:sz w:val="22"/>
          <w:szCs w:val="22"/>
          <w:color w:val="auto"/>
        </w:rPr>
      </w:pPr>
    </w:p>
    <w:p>
      <w:pPr>
        <w:ind w:left="-120" w:right="300" w:firstLine="885"/>
        <w:spacing w:after="0"/>
        <w:tabs>
          <w:tab w:leader="none" w:pos="167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213" w:lineRule="exact"/>
        <w:rPr>
          <w:rFonts w:ascii="Arial" w:cs="Arial" w:eastAsia="Arial" w:hAnsi="Arial"/>
          <w:sz w:val="22"/>
          <w:szCs w:val="22"/>
          <w:color w:val="auto"/>
        </w:rPr>
      </w:pPr>
    </w:p>
    <w:p>
      <w:pPr>
        <w:jc w:val="both"/>
        <w:ind w:left="-120" w:right="180" w:firstLine="885"/>
        <w:spacing w:after="0" w:line="258" w:lineRule="auto"/>
        <w:tabs>
          <w:tab w:leader="none" w:pos="167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the rights and obligations of the parties hereto, and any claims or disputes relating thereto, shall be governed by and construed in accordance with the laws of the State of Oklahoma (but not including any choice of law rule thereof that would cause the laws of another jurisdiction to apply).</w:t>
      </w:r>
    </w:p>
    <w:p>
      <w:pPr>
        <w:spacing w:after="0" w:line="193" w:lineRule="exact"/>
        <w:rPr>
          <w:rFonts w:ascii="Arial" w:cs="Arial" w:eastAsia="Arial" w:hAnsi="Arial"/>
          <w:sz w:val="21"/>
          <w:szCs w:val="21"/>
          <w:color w:val="auto"/>
        </w:rPr>
      </w:pPr>
    </w:p>
    <w:p>
      <w:pPr>
        <w:ind w:left="-120" w:right="100" w:firstLine="885"/>
        <w:spacing w:after="0" w:line="245" w:lineRule="auto"/>
        <w:tabs>
          <w:tab w:leader="none" w:pos="167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Dispute Resolution/Waiver of Jury Trial</w:t>
      </w:r>
      <w:r>
        <w:rPr>
          <w:rFonts w:ascii="Arial" w:cs="Arial" w:eastAsia="Arial" w:hAnsi="Arial"/>
          <w:sz w:val="21"/>
          <w:szCs w:val="21"/>
          <w:color w:val="auto"/>
        </w:rPr>
        <w:t>. Each of the parties agrees that any dispute between the parties shall be resolved only in the courts of the State of Oklahoma or the United States District Court for the Western District of Oklahoma and the appellate courts having jurisdiction of appeals in such courts. In that context, and without limiting the generality of the foregoing, each of the parties hereto irrevocably and unconditionally (a) submits in any proceeding relating to this Agreement or the Executive’s employment by the Company or any Company Affiliate, or the termination of such employment, or for the recognition and enforcement of any judgment in respect thereof (a “</w:t>
      </w:r>
      <w:r>
        <w:rPr>
          <w:rFonts w:ascii="Arial" w:cs="Arial" w:eastAsia="Arial" w:hAnsi="Arial"/>
          <w:sz w:val="21"/>
          <w:szCs w:val="21"/>
          <w:u w:val="single" w:color="auto"/>
          <w:color w:val="auto"/>
        </w:rPr>
        <w:t>Proceeding</w:t>
      </w:r>
      <w:r>
        <w:rPr>
          <w:rFonts w:ascii="Arial" w:cs="Arial" w:eastAsia="Arial" w:hAnsi="Arial"/>
          <w:sz w:val="21"/>
          <w:szCs w:val="21"/>
          <w:color w:val="auto"/>
        </w:rPr>
        <w:t>”), to the exclusive jurisdiction of the courts of the State of Oklahoma, located in Oklahoma County, the United States District Court for the Western District of Oklahoma, and appellate courts having jurisdiction of appeals from any of the foregoing and agrees that all claims in respect of any such Proceeding shall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360" w:top="361" w:right="339" w:bottom="1440" w:gutter="0" w:footer="0" w:header="0"/>
        </w:sectPr>
      </w:pPr>
    </w:p>
    <w:bookmarkStart w:id="106" w:name="page107"/>
    <w:bookmarkEnd w:id="106"/>
    <w:p>
      <w:pPr>
        <w:ind w:right="80"/>
        <w:spacing w:after="0" w:line="272" w:lineRule="auto"/>
        <w:rPr>
          <w:sz w:val="20"/>
          <w:szCs w:val="20"/>
          <w:color w:val="auto"/>
        </w:rPr>
      </w:pPr>
      <w:r>
        <w:rPr>
          <w:rFonts w:ascii="Arial" w:cs="Arial" w:eastAsia="Arial" w:hAnsi="Arial"/>
          <w:sz w:val="19"/>
          <w:szCs w:val="19"/>
          <w:color w:val="auto"/>
        </w:rPr>
        <w:t xml:space="preserve">heard and determined in such Oklahoma State court or, to the extent permitted by law, in such federal court, (b) consents that any such Proceeding may and shall be brought in such courts and waives any objection that the Executive or the Company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the Executive’s employment by the Company or any Company Affiliate, or the termination of such employment, or the Executive’s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the Executive’s or the Company’s address as provided in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hereof, and (e) agrees that nothing in this Agreement shall affect the right to effect service of process in any other manner permitted by the laws of the State of Oklahoma. In addition, if the Executive substantially prevails on any claim that is the matter of such dispute, the Company shall promptly reimburse the Executive for his legal fees.</w:t>
      </w:r>
    </w:p>
    <w:p>
      <w:pPr>
        <w:spacing w:after="0" w:line="200" w:lineRule="exact"/>
        <w:rPr>
          <w:sz w:val="20"/>
          <w:szCs w:val="20"/>
          <w:color w:val="auto"/>
        </w:rPr>
      </w:pPr>
    </w:p>
    <w:p>
      <w:pPr>
        <w:spacing w:after="0" w:line="236" w:lineRule="exact"/>
        <w:rPr>
          <w:sz w:val="20"/>
          <w:szCs w:val="20"/>
          <w:color w:val="auto"/>
        </w:rPr>
      </w:pPr>
    </w:p>
    <w:p>
      <w:pPr>
        <w:ind w:firstLine="885"/>
        <w:spacing w:after="0" w:line="271" w:lineRule="auto"/>
        <w:tabs>
          <w:tab w:leader="none" w:pos="17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Entire Agreement; Other Agreements</w:t>
      </w:r>
      <w:r>
        <w:rPr>
          <w:rFonts w:ascii="Arial" w:cs="Arial" w:eastAsia="Arial" w:hAnsi="Arial"/>
          <w:sz w:val="19"/>
          <w:szCs w:val="19"/>
          <w:color w:val="auto"/>
        </w:rPr>
        <w:t>. Except as expressly provided herein, this Agreement constitutes the entire agreement between the parties respecting the employment of the Executive, there being no representations, warranties or commitments except as set forth herein, and, as of the Effective Date, supersedes and replaces all other agreements related to the subject matter hereof. Notwithstanding anything herein to the contrary, (a) any outstanding equity award agreements and any equity award agreements executed in connection with this Agreement shall continue in full force and effect and(b) the Executive shall be entitled to (i) base salary due as of the Effective Date which remains unpaid as of the Effective Date, and (ii) reimbursement of the business expenses incurred by the Executive prior to the Effective Date which are reimbursable and due and remain unpaid as of the Effective Date. In the event there is a conflict between any provision of this Agreement and any other agreement, plan, policy or arrangement of the Company or any Company Affiliate, the provision most favorable to the Executive shall govern except that the Executive shall be subject to any written claw back policies of the Company (a) in effect from time to time adopted by the Board or the Committee prior to the Executive’s Date of Termination or (b) adopted to conform to the Dodd-Frank Wall Street Reform and Consumer Protection Act of 2010 and rules promulgated thereunder by the Securities Exchanges Commission or any other applicable laws (whether or not the rights of the Executive may be adversely affected). Any claw back policy shall be applied to the Executive consistent with how such policy is applied to other senior executives of the Company with respect to the same subject matter.</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80" w:firstLine="885"/>
        <w:spacing w:after="0" w:line="251" w:lineRule="auto"/>
        <w:tabs>
          <w:tab w:leader="none" w:pos="17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counterparts, each of which shall be an original and all of which shall be deemed to constitute one and the same instrument.</w:t>
      </w:r>
    </w:p>
    <w:p>
      <w:pPr>
        <w:spacing w:after="0" w:line="200" w:lineRule="exact"/>
        <w:rPr>
          <w:rFonts w:ascii="Arial" w:cs="Arial" w:eastAsia="Arial" w:hAnsi="Arial"/>
          <w:sz w:val="22"/>
          <w:szCs w:val="22"/>
          <w:color w:val="auto"/>
        </w:rPr>
      </w:pPr>
    </w:p>
    <w:p>
      <w:pPr>
        <w:ind w:right="220" w:firstLine="885"/>
        <w:spacing w:after="0" w:line="251" w:lineRule="auto"/>
        <w:tabs>
          <w:tab w:leader="none" w:pos="17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withhold from any benefit payment under this Agreement all federal, state, city or other taxes as shall be required pursuant to any law or governmental regulation or ruling.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7" w:name="page108"/>
    <w:bookmarkEnd w:id="107"/>
    <w:p>
      <w:pPr>
        <w:ind w:left="1780" w:hanging="915"/>
        <w:spacing w:after="0"/>
        <w:tabs>
          <w:tab w:leader="none" w:pos="17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right="40" w:firstLine="1763"/>
        <w:spacing w:after="0" w:line="272" w:lineRule="auto"/>
        <w:tabs>
          <w:tab w:leader="none" w:pos="2623"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intent of the parties is that payments and benefits under this Agreement comply with Section 409A of the Code and the regulations and guidance promulgated thereunder (collectively “</w:t>
      </w:r>
      <w:r>
        <w:rPr>
          <w:rFonts w:ascii="Arial" w:cs="Arial" w:eastAsia="Arial" w:hAnsi="Arial"/>
          <w:sz w:val="19"/>
          <w:szCs w:val="19"/>
          <w:u w:val="single" w:color="auto"/>
          <w:color w:val="auto"/>
        </w:rPr>
        <w:t>Code Section 409A</w:t>
      </w:r>
      <w:r>
        <w:rPr>
          <w:rFonts w:ascii="Arial" w:cs="Arial" w:eastAsia="Arial" w:hAnsi="Arial"/>
          <w:sz w:val="19"/>
          <w:szCs w:val="19"/>
          <w:color w:val="auto"/>
        </w:rPr>
        <w:t>”) or an exemption therefrom and, accordingly, to the maximum extent permitted, this Agreement shall be interpreted to be in compliance therewith. If the Executive notifies the Company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Company concurs with such belief or the Company (without any obligation whatsoever to do so) independently makes such determination, the Company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20" w:firstLine="1763"/>
        <w:spacing w:after="0" w:line="272" w:lineRule="auto"/>
        <w:tabs>
          <w:tab w:leader="none" w:pos="2635"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184" w:lineRule="exact"/>
        <w:rPr>
          <w:rFonts w:ascii="Arial" w:cs="Arial" w:eastAsia="Arial" w:hAnsi="Arial"/>
          <w:sz w:val="19"/>
          <w:szCs w:val="19"/>
          <w:color w:val="auto"/>
        </w:rPr>
      </w:pPr>
    </w:p>
    <w:p>
      <w:pPr>
        <w:ind w:left="-20" w:right="60" w:firstLine="1763"/>
        <w:spacing w:after="0" w:line="279" w:lineRule="auto"/>
        <w:tabs>
          <w:tab w:leader="none" w:pos="2623" w:val="left"/>
        </w:tabs>
        <w:numPr>
          <w:ilvl w:val="1"/>
          <w:numId w:val="68"/>
        </w:numPr>
        <w:rPr>
          <w:rFonts w:ascii="Arial" w:cs="Arial" w:eastAsia="Arial" w:hAnsi="Arial"/>
          <w:sz w:val="19"/>
          <w:szCs w:val="19"/>
          <w:color w:val="auto"/>
        </w:rPr>
      </w:pPr>
      <w:r>
        <w:rPr>
          <w:rFonts w:ascii="Arial" w:cs="Arial" w:eastAsia="Arial" w:hAnsi="Arial"/>
          <w:sz w:val="19"/>
          <w:szCs w:val="19"/>
          <w:color w:val="auto"/>
        </w:rPr>
        <w:t>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61" w:right="259" w:bottom="1440" w:gutter="0" w:footer="0" w:header="0"/>
        </w:sectPr>
      </w:pPr>
    </w:p>
    <w:bookmarkStart w:id="108" w:name="page109"/>
    <w:bookmarkEnd w:id="108"/>
    <w:p>
      <w:pPr>
        <w:ind w:left="-20" w:right="380" w:firstLine="1763"/>
        <w:spacing w:after="0" w:line="282" w:lineRule="auto"/>
        <w:tabs>
          <w:tab w:leader="none" w:pos="2635" w:val="left"/>
        </w:tabs>
        <w:numPr>
          <w:ilvl w:val="1"/>
          <w:numId w:val="69"/>
        </w:numPr>
        <w:rPr>
          <w:rFonts w:ascii="Arial" w:cs="Arial" w:eastAsia="Arial" w:hAnsi="Arial"/>
          <w:sz w:val="19"/>
          <w:szCs w:val="19"/>
          <w:color w:val="auto"/>
        </w:rPr>
      </w:pPr>
      <w:r>
        <w:rPr>
          <w:rFonts w:ascii="Arial" w:cs="Arial" w:eastAsia="Arial" w:hAnsi="Arial"/>
          <w:sz w:val="19"/>
          <w:szCs w:val="19"/>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(i) the actual date of payment within the specified period shall be within the sole discretion of the Company and, (ii) if such payment qualifies as non-qualified deferred compensation under Section 409A and it can be paid in one of two calendar years, it shall be paid in the second calendar year.</w:t>
      </w:r>
    </w:p>
    <w:p>
      <w:pPr>
        <w:spacing w:after="0" w:line="174" w:lineRule="exact"/>
        <w:rPr>
          <w:rFonts w:ascii="Arial" w:cs="Arial" w:eastAsia="Arial" w:hAnsi="Arial"/>
          <w:sz w:val="19"/>
          <w:szCs w:val="19"/>
          <w:color w:val="auto"/>
        </w:rPr>
      </w:pPr>
    </w:p>
    <w:p>
      <w:pPr>
        <w:ind w:left="-20" w:right="660" w:firstLine="1763"/>
        <w:spacing w:after="0" w:line="258" w:lineRule="auto"/>
        <w:tabs>
          <w:tab w:leader="none" w:pos="2623" w:val="left"/>
        </w:tabs>
        <w:numPr>
          <w:ilvl w:val="1"/>
          <w:numId w:val="69"/>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93" w:lineRule="exact"/>
        <w:rPr>
          <w:rFonts w:ascii="Arial" w:cs="Arial" w:eastAsia="Arial" w:hAnsi="Arial"/>
          <w:sz w:val="21"/>
          <w:szCs w:val="21"/>
          <w:color w:val="auto"/>
        </w:rPr>
      </w:pPr>
    </w:p>
    <w:p>
      <w:pPr>
        <w:ind w:left="1780" w:hanging="915"/>
        <w:spacing w:after="0"/>
        <w:tabs>
          <w:tab w:leader="none" w:pos="17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right="20" w:firstLine="1763"/>
        <w:spacing w:after="0" w:line="244" w:lineRule="auto"/>
        <w:tabs>
          <w:tab w:leader="none" w:pos="2623" w:val="left"/>
        </w:tabs>
        <w:numPr>
          <w:ilvl w:val="1"/>
          <w:numId w:val="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Accrued Benefits</w:t>
      </w:r>
      <w:r>
        <w:rPr>
          <w:rFonts w:ascii="Arial" w:cs="Arial" w:eastAsia="Arial" w:hAnsi="Arial"/>
          <w:sz w:val="21"/>
          <w:szCs w:val="21"/>
          <w:color w:val="auto"/>
        </w:rPr>
        <w:t>” means (i) any unpaid Base Salary through the Date of Termination; (ii) any earned but unpaid Annual Bonus for a performance year that has ended on or prior to the Date of Termination; (iii) any accrued and unpaid vacation and/or sick days; (iv) any amounts or benefits owing to the Executive or to the Executive’s beneficiaries under the then applicable benefit plans of the Company (excluding any severance plan, program, agreement or arrangement); (v) any rights or entitlements under any other agreements between the Executive and the Company, including, without limitation, the Indemnification Agreement and any outstanding equity award agreements; and (vi) any amounts owing to the Executive for reimbursement of expenses properly incurred by the Executive prior to the Date of Termination. Amounts payable (A) under clauses (i), (ii) and (iii) shall be paid promptly after the Date of Termination; (B) under clause (iv) shall be paid in accordance with the terms and conditions of the applicable plan, program or arrangement; (C) under clause (v) shall be treated in accordance with the applicable agreement; and (D) under clause (vi) shall be paid in accordance with the terms of the applicable expense policy, as applicable.</w:t>
      </w:r>
    </w:p>
    <w:p>
      <w:pPr>
        <w:spacing w:after="0" w:line="216" w:lineRule="exact"/>
        <w:rPr>
          <w:rFonts w:ascii="Arial" w:cs="Arial" w:eastAsia="Arial" w:hAnsi="Arial"/>
          <w:sz w:val="21"/>
          <w:szCs w:val="21"/>
          <w:color w:val="auto"/>
        </w:rPr>
      </w:pPr>
    </w:p>
    <w:p>
      <w:pPr>
        <w:ind w:left="-20" w:firstLine="1763"/>
        <w:spacing w:after="0" w:line="272" w:lineRule="auto"/>
        <w:tabs>
          <w:tab w:leader="none" w:pos="2635" w:val="left"/>
        </w:tabs>
        <w:numPr>
          <w:ilvl w:val="1"/>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(i) the Executive’s conviction of, or plea of nolo contendere to, a felony (other than for a traffic violation); (ii) the Executive’s continued failure to substantially perform the Executive’s material duties hereunder (other than due to a mental or physical impairment) after receipt of written notice from the Company that specifically identifies the manner in which the Executive has substantially failed to perform the Executive’s material duties and specifies the manner in which the Executive may substantially perform his material duties in the future; (iii) an act of fraud or gross or willful material misconduct by the Executive; (iv) a willful and material violation of the material provisions of the Company’s Code of Conduct or the Company’s Code of Ethics for CEO and Senior Financial Officers; or (v) the Executive’s material breach of </w:t>
      </w:r>
      <w:r>
        <w:rPr>
          <w:rFonts w:ascii="Arial" w:cs="Arial" w:eastAsia="Arial" w:hAnsi="Arial"/>
          <w:sz w:val="19"/>
          <w:szCs w:val="19"/>
          <w:u w:val="single" w:color="auto"/>
          <w:color w:val="auto"/>
        </w:rPr>
        <w:t>Sections 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7(b)</w:t>
      </w:r>
      <w:r>
        <w:rPr>
          <w:rFonts w:ascii="Arial" w:cs="Arial" w:eastAsia="Arial" w:hAnsi="Arial"/>
          <w:sz w:val="19"/>
          <w:szCs w:val="19"/>
          <w:color w:val="auto"/>
        </w:rPr>
        <w:t>. Anything herein to the contrary notwithstanding, the Executive shall not be terminated for “Cause” hereunder unless (A) written notice stating the basis for the termination is provided to the Executive, (B) as to clauses (ii), (iv) or (v) of this paragraph, he fails to cure such neglect or conduct within thirty (30) days following receipt of such notice, (C) he has an opportunity (represented by counsel) to address a meeting of the Board, and (D) after such meeting (or if the Executive declines to meet), there is a 75% vote of the Board (not counting the Executive) to terminate his employment for Cause.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604" w:right="239" w:bottom="1440" w:gutter="0" w:footer="0" w:header="0"/>
        </w:sectPr>
      </w:pPr>
    </w:p>
    <w:bookmarkStart w:id="109" w:name="page110"/>
    <w:bookmarkEnd w:id="109"/>
    <w:p>
      <w:pPr>
        <w:ind w:left="2640" w:hanging="897"/>
        <w:spacing w:after="0"/>
        <w:tabs>
          <w:tab w:leader="none" w:pos="26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ind w:left="-20" w:right="40" w:firstLine="2642"/>
        <w:spacing w:after="0" w:line="272" w:lineRule="auto"/>
        <w:tabs>
          <w:tab w:leader="none" w:pos="3466"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“change in the ownership of the Company” which shall occur on the date that any one person, or more than one person acting as a group, acquires ownership of stock in the Company that, together with stock held by such person or group, constitutes more than 50% of the total fair market value or total voting power of the stock of the Company as of the Effective Date; however, if any one person or more than one person acting as a group is considered to own more than 50% of the total fair market value or total voting power of the stock of the Company, the acquisition of additional stock by the same person or persons will not be considered a “change in the ownership of the Company” (or to cause a “change in the effective control of the Company” within the meaning of paragraph (ii) below) and an increase of the effective percentage of stock owned by any one person, or persons acting as a group, as a result of a transaction in which the Company acquires its stock in exchange for property will be treated as an acquisition of stock for purposes of this paragraph; provided, further, however, that for purposes of this paragraph (i), any acquisition by any employee benefit plan (or related trust) sponsored or maintained by the Company or any entity controlled by the Company shall not constitute a Change in Control. This paragraph (i) applies only when there is a transfer of the stock of the Company (or issuance of stock) and stock in the Company remains outstanding after the transaction;</w:t>
      </w:r>
    </w:p>
    <w:p>
      <w:pPr>
        <w:spacing w:after="0" w:line="188" w:lineRule="exact"/>
        <w:rPr>
          <w:rFonts w:ascii="Arial" w:cs="Arial" w:eastAsia="Arial" w:hAnsi="Arial"/>
          <w:sz w:val="19"/>
          <w:szCs w:val="19"/>
          <w:color w:val="auto"/>
        </w:rPr>
      </w:pPr>
    </w:p>
    <w:p>
      <w:pPr>
        <w:ind w:left="-20" w:right="20" w:firstLine="2642"/>
        <w:spacing w:after="0" w:line="273" w:lineRule="auto"/>
        <w:tabs>
          <w:tab w:leader="none" w:pos="3526"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which shall occur on the date that either (A) any one person, or more than one person acting as a group, acquires (or has acquired during the twelve month period ending on the date of the most recent acquisition by such person or persons) ownership of stock of the Company possessing 30% or more of the total voting power of the stock of the Company, except for any acquisition by any employee benefit plan (or related trust) sponsored or maintained by the Company or any entity controlled by the Company; or (B) a majority of the members of the Board are replaced during any twelve-month period by directors whose appointment or election is not endorsed by a majority of the members of the Board prior to the date of the appointment or election. For purposes of a “change in the effective control of the Company,” if any one person, or more than one person acting as a group, is considered to effectively control the Company within the meaning of this paragraph (ii) after the Effective Date, the acquisition of additional control of the Company by the same person or persons is not considered a “change in the effective control of the Company,” or to cause a “change in the ownership of the Company” within the meaning of paragraph (i) above; or</w:t>
      </w:r>
    </w:p>
    <w:p>
      <w:pPr>
        <w:spacing w:after="0" w:line="183" w:lineRule="exact"/>
        <w:rPr>
          <w:rFonts w:ascii="Arial" w:cs="Arial" w:eastAsia="Arial" w:hAnsi="Arial"/>
          <w:sz w:val="19"/>
          <w:szCs w:val="19"/>
          <w:color w:val="auto"/>
        </w:rPr>
      </w:pPr>
    </w:p>
    <w:p>
      <w:pPr>
        <w:ind w:left="-20" w:firstLine="2642"/>
        <w:spacing w:after="0" w:line="275" w:lineRule="auto"/>
        <w:tabs>
          <w:tab w:leader="none" w:pos="3586"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shall occur on the date that any one person, or more than one person acting as a group, acquires (or has acquired during the twelve month period ending on the date of the most recent acquisition by such person or persons) assets of the Company that have 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stockholders of the Company immediately after the transfer, as provided in guidance issued pursuant to Code Section 409A, shall not constitute a Change in Control.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61" w:right="239" w:bottom="1440" w:gutter="0" w:footer="0" w:header="0"/>
        </w:sectPr>
      </w:pPr>
    </w:p>
    <w:bookmarkStart w:id="110" w:name="page111"/>
    <w:bookmarkEnd w:id="110"/>
    <w:p>
      <w:pPr>
        <w:ind w:right="200"/>
        <w:spacing w:after="0" w:line="297" w:lineRule="auto"/>
        <w:rPr>
          <w:sz w:val="20"/>
          <w:szCs w:val="20"/>
          <w:color w:val="auto"/>
        </w:rPr>
      </w:pPr>
      <w:r>
        <w:rPr>
          <w:rFonts w:ascii="Arial" w:cs="Arial" w:eastAsia="Arial" w:hAnsi="Arial"/>
          <w:sz w:val="19"/>
          <w:szCs w:val="19"/>
          <w:color w:val="auto"/>
        </w:rPr>
        <w:t>For purposes of the definition of Change in Control, the provisions of Section 318(a) of the Code regarding the constructive ownership of stock will apply to determine stock ownership; provided, that, stock underlying unvested options (including options exercisable for stock that is not substantially vested) will not be treated as owned by the individual who holds the option.</w:t>
      </w:r>
    </w:p>
    <w:p>
      <w:pPr>
        <w:spacing w:after="0" w:line="161" w:lineRule="exact"/>
        <w:rPr>
          <w:sz w:val="20"/>
          <w:szCs w:val="20"/>
          <w:color w:val="auto"/>
        </w:rPr>
      </w:pPr>
    </w:p>
    <w:p>
      <w:pPr>
        <w:ind w:left="2660" w:hanging="897"/>
        <w:spacing w:after="0"/>
        <w:tabs>
          <w:tab w:leader="none" w:pos="26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Affiliate</w:t>
      </w:r>
      <w:r>
        <w:rPr>
          <w:rFonts w:ascii="Arial" w:cs="Arial" w:eastAsia="Arial" w:hAnsi="Arial"/>
          <w:sz w:val="19"/>
          <w:szCs w:val="19"/>
          <w:color w:val="auto"/>
        </w:rPr>
        <w:t>” means any entity controlled by, in control of, or under common control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215" w:lineRule="exact"/>
        <w:rPr>
          <w:sz w:val="20"/>
          <w:szCs w:val="20"/>
          <w:color w:val="auto"/>
        </w:rPr>
      </w:pPr>
    </w:p>
    <w:p>
      <w:pPr>
        <w:ind w:firstLine="1763"/>
        <w:spacing w:after="0" w:line="234" w:lineRule="auto"/>
        <w:tabs>
          <w:tab w:leader="none" w:pos="2643"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Enterprise</w:t>
      </w:r>
      <w:r>
        <w:rPr>
          <w:rFonts w:ascii="Arial" w:cs="Arial" w:eastAsia="Arial" w:hAnsi="Arial"/>
          <w:sz w:val="22"/>
          <w:szCs w:val="22"/>
          <w:color w:val="auto"/>
        </w:rPr>
        <w:t>” means (i) a business enterprise that engages in nitrogen and climate control in competition with the Company or its subsidiaries (the “</w:t>
      </w:r>
      <w:r>
        <w:rPr>
          <w:rFonts w:ascii="Arial" w:cs="Arial" w:eastAsia="Arial" w:hAnsi="Arial"/>
          <w:sz w:val="22"/>
          <w:szCs w:val="22"/>
          <w:u w:val="single" w:color="auto"/>
          <w:color w:val="auto"/>
        </w:rPr>
        <w:t>Company’s Business</w:t>
      </w:r>
      <w:r>
        <w:rPr>
          <w:rFonts w:ascii="Arial" w:cs="Arial" w:eastAsia="Arial" w:hAnsi="Arial"/>
          <w:sz w:val="22"/>
          <w:szCs w:val="22"/>
          <w:color w:val="auto"/>
        </w:rPr>
        <w:t>”) (a) in the United States of America, or (b) in any other country where the Company or its subsidiaries operates facilities or sells such products. Notwithstanding the foregoing, in the event a business enterprise (including, without limitation, any entity, or private equity or hedge fund) has one or more lines of business that do not involve the Company’s Business, the Executive shall be permitted to associate with such business enterprise if, and only if, the Executive does not participate in, or have supervisory authority with respect to, any line of business involving the Company’s Business.</w:t>
      </w:r>
    </w:p>
    <w:p>
      <w:pPr>
        <w:spacing w:after="0" w:line="218" w:lineRule="exact"/>
        <w:rPr>
          <w:rFonts w:ascii="Arial" w:cs="Arial" w:eastAsia="Arial" w:hAnsi="Arial"/>
          <w:sz w:val="22"/>
          <w:szCs w:val="22"/>
          <w:color w:val="auto"/>
        </w:rPr>
      </w:pPr>
    </w:p>
    <w:p>
      <w:pPr>
        <w:ind w:right="260" w:firstLine="1763"/>
        <w:spacing w:after="0" w:line="245" w:lineRule="auto"/>
        <w:tabs>
          <w:tab w:leader="none" w:pos="2619" w:val="left"/>
        </w:tabs>
        <w:numPr>
          <w:ilvl w:val="0"/>
          <w:numId w:val="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all non-public information concerning trade secrets, know-how, software, developments, inventions, processes, technology, designs, financial data, strategic business plans or any proprietary or confidential information, documents or materials in any form or media, including any of the foregoing relating to research, operations, finances, current and proposed products and services, vendors, customers, advertising and marketing, and other non-public, proprietary, and confidential information of the Company or the Company Affiliates. Notwithstanding anything to the contrary contained herein, the general skills, knowledge and experience gained during the Executive’s employment with the Company, information publicly available or generally known within the industry or trade in which the Company competes and information or knowledge possessed by the Executive prior to his employment by the Company, shall not be considered Confidential Information.</w:t>
      </w:r>
    </w:p>
    <w:p>
      <w:pPr>
        <w:spacing w:after="0" w:line="212" w:lineRule="exact"/>
        <w:rPr>
          <w:rFonts w:ascii="Arial" w:cs="Arial" w:eastAsia="Arial" w:hAnsi="Arial"/>
          <w:sz w:val="21"/>
          <w:szCs w:val="21"/>
          <w:color w:val="auto"/>
        </w:rPr>
      </w:pPr>
    </w:p>
    <w:p>
      <w:pPr>
        <w:ind w:right="80" w:firstLine="1763"/>
        <w:spacing w:after="0" w:line="277" w:lineRule="auto"/>
        <w:tabs>
          <w:tab w:leader="none" w:pos="2655"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means (i) if the Executive’s employment is terminated by the Executive’s death, the date of the Executive’s death; (ii) if the Executive’s employment is terminated because of the Executive’s Disability pursuant to </w:t>
      </w:r>
      <w:r>
        <w:rPr>
          <w:rFonts w:ascii="Arial" w:cs="Arial" w:eastAsia="Arial" w:hAnsi="Arial"/>
          <w:sz w:val="19"/>
          <w:szCs w:val="19"/>
          <w:u w:val="single" w:color="auto"/>
          <w:color w:val="auto"/>
        </w:rPr>
        <w:t>Section 9(a)(ii)(A)</w:t>
      </w:r>
      <w:r>
        <w:rPr>
          <w:rFonts w:ascii="Arial" w:cs="Arial" w:eastAsia="Arial" w:hAnsi="Arial"/>
          <w:sz w:val="19"/>
          <w:szCs w:val="19"/>
          <w:color w:val="auto"/>
        </w:rPr>
        <w:t xml:space="preserve">, thirty (30) days after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not have returned to the performance of the Executive’s duties on a full-time basis during such thirty (30)-day period; (iii) if the Executive’s employment is terminated during the Term by the Company pursuant to </w:t>
      </w:r>
      <w:r>
        <w:rPr>
          <w:rFonts w:ascii="Arial" w:cs="Arial" w:eastAsia="Arial" w:hAnsi="Arial"/>
          <w:sz w:val="19"/>
          <w:szCs w:val="19"/>
          <w:u w:val="single" w:color="auto"/>
          <w:color w:val="auto"/>
        </w:rPr>
        <w:t>Section 9(a)(ii)(B)</w:t>
      </w:r>
      <w:r>
        <w:rPr>
          <w:rFonts w:ascii="Arial" w:cs="Arial" w:eastAsia="Arial" w:hAnsi="Arial"/>
          <w:sz w:val="19"/>
          <w:szCs w:val="19"/>
          <w:color w:val="auto"/>
        </w:rPr>
        <w:t xml:space="preserve"> or by the Executive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9(a)(iii)</w:t>
      </w:r>
      <w:r>
        <w:rPr>
          <w:rFonts w:ascii="Arial" w:cs="Arial" w:eastAsia="Arial" w:hAnsi="Arial"/>
          <w:sz w:val="19"/>
          <w:szCs w:val="19"/>
          <w:color w:val="auto"/>
        </w:rPr>
        <w:t xml:space="preserve">, the date specified in the Notice of Termination consistent with this Agreement; or (v) if the Executive’s employment is terminated upon the expiration of the Term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the last day of the applicable Term.</w:t>
      </w:r>
    </w:p>
    <w:p>
      <w:pPr>
        <w:spacing w:after="0" w:line="179" w:lineRule="exact"/>
        <w:rPr>
          <w:rFonts w:ascii="Arial" w:cs="Arial" w:eastAsia="Arial" w:hAnsi="Arial"/>
          <w:sz w:val="19"/>
          <w:szCs w:val="19"/>
          <w:color w:val="auto"/>
        </w:rPr>
      </w:pPr>
    </w:p>
    <w:p>
      <w:pPr>
        <w:ind w:right="320" w:firstLine="1763"/>
        <w:spacing w:after="0" w:line="238" w:lineRule="auto"/>
        <w:tabs>
          <w:tab w:leader="none" w:pos="2655"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inability of the Executive to perform the Executive’s material duties hereunder due to a physical or mental injury, infirmity or incapacity, which is expected to exceed one hundred eighty (180) days (including weekends and holidays) in any three hundred sixty-five (365)-day period, as determined by the Executive’s treating physician in his reasonable discretion.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1" w:name="page112"/>
    <w:bookmarkEnd w:id="111"/>
    <w:p>
      <w:pPr>
        <w:ind w:left="-8" w:firstLine="1763"/>
        <w:spacing w:after="0" w:line="270" w:lineRule="auto"/>
        <w:tabs>
          <w:tab w:leader="none" w:pos="2599" w:val="left"/>
        </w:tabs>
        <w:numPr>
          <w:ilvl w:val="1"/>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(i) any material diminution in the Executive’s job duties, authorities or responsibilities (including, without limitation, the removal of the Executive as EVP – Manufacturing of the Company, the Executive failing to be the EVP – Manufacturing of any surviving or successor entity, including the ultimate parent, or the Company’s stock (or following a Change in Control, the surviving or successor entity’s stock) no longer being (or not being) publicly traded on the New York Stock Exchange or NASDAQ); (ii) a reduction in the Executive’s Base Salary or Target Bonus as a percentage of Base Salary; (iii) the failure of the Executive to report solely and directly to the Chief Executive Officer of the Company (including any successor entity); (iv) the assignment of duties substantially inconsistent with the Executive’s status as EVP – Manufacturing of the Company; (v) a relocation of the Executive’s primary place of employment to a location more than fifty (50) miles from the current location of the Company’s offices in Oklahoma City, Oklahoma; (vi) any other material breach of this Agreement by the Company, (vii) the failure of the Company to obtain the assumption in writing of its obligations under the Agreement by any successor to all or substantially all of the assets of the Company after a merger, consolidation, sale or similar transaction in which such Agreement is not assumed by operation of law or (viii) on or following a Change in Control, the failure of the surviving or successor entity to provide the Executive with an Equity Award with terms no less favorable to the Executive, and with a grant date value equal to or greater than the aggregate grant date value of the equity awards granted to the Executive by the Company during the 12-month period immediately prior to the Change in Control. In order to invoke a termination for Good Reason, (A) the Executive must provide written notice to the Company within ninety (90) days of the later of the occurrence, or the Executive’s knowledge, of any event of “Good Reason,” (B) the Company must fail to cure such event within thirty (30) days of the giving of such notice and (C) the Executive must provide a Notice of Termination within thirty (30) days following the expiration of the Company’s cure period.</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2612" w:hanging="857"/>
        <w:spacing w:after="0"/>
        <w:tabs>
          <w:tab w:leader="none" w:pos="2612" w:val="left"/>
        </w:tabs>
        <w:numPr>
          <w:ilvl w:val="1"/>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Non-Compete Period</w:t>
      </w:r>
      <w:r>
        <w:rPr>
          <w:rFonts w:ascii="Arial" w:cs="Arial" w:eastAsia="Arial" w:hAnsi="Arial"/>
          <w:sz w:val="19"/>
          <w:szCs w:val="19"/>
          <w:color w:val="auto"/>
        </w:rPr>
        <w:t>” means the period commencing on the Effective Date and ending twenty four</w:t>
      </w:r>
    </w:p>
    <w:p>
      <w:pPr>
        <w:spacing w:after="0" w:line="42" w:lineRule="exact"/>
        <w:rPr>
          <w:rFonts w:ascii="Arial" w:cs="Arial" w:eastAsia="Arial" w:hAnsi="Arial"/>
          <w:sz w:val="19"/>
          <w:szCs w:val="19"/>
          <w:color w:val="auto"/>
        </w:rPr>
      </w:pPr>
    </w:p>
    <w:p>
      <w:pPr>
        <w:ind w:left="412" w:hanging="412"/>
        <w:spacing w:after="0"/>
        <w:tabs>
          <w:tab w:leader="none" w:pos="412" w:val="left"/>
        </w:tabs>
        <w:numPr>
          <w:ilvl w:val="0"/>
          <w:numId w:val="75"/>
        </w:numPr>
        <w:rPr>
          <w:rFonts w:ascii="Arial" w:cs="Arial" w:eastAsia="Arial" w:hAnsi="Arial"/>
          <w:sz w:val="22"/>
          <w:szCs w:val="22"/>
          <w:color w:val="auto"/>
        </w:rPr>
      </w:pPr>
      <w:r>
        <w:rPr>
          <w:rFonts w:ascii="Arial" w:cs="Arial" w:eastAsia="Arial" w:hAnsi="Arial"/>
          <w:sz w:val="22"/>
          <w:szCs w:val="22"/>
          <w:color w:val="auto"/>
        </w:rPr>
        <w:t>months after the Executive’s Date of Termination.</w:t>
      </w:r>
    </w:p>
    <w:p>
      <w:pPr>
        <w:spacing w:after="0" w:line="215" w:lineRule="exact"/>
        <w:rPr>
          <w:rFonts w:ascii="Arial" w:cs="Arial" w:eastAsia="Arial" w:hAnsi="Arial"/>
          <w:sz w:val="22"/>
          <w:szCs w:val="22"/>
          <w:color w:val="auto"/>
        </w:rPr>
      </w:pPr>
    </w:p>
    <w:p>
      <w:pPr>
        <w:ind w:left="2652" w:hanging="897"/>
        <w:spacing w:after="0"/>
        <w:tabs>
          <w:tab w:leader="none" w:pos="2652" w:val="left"/>
        </w:tabs>
        <w:numPr>
          <w:ilvl w:val="1"/>
          <w:numId w:val="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shall have the meaning ascribed to such term in </w:t>
      </w:r>
      <w:r>
        <w:rPr>
          <w:rFonts w:ascii="Arial" w:cs="Arial" w:eastAsia="Arial" w:hAnsi="Arial"/>
          <w:sz w:val="22"/>
          <w:szCs w:val="22"/>
          <w:u w:val="single" w:color="auto"/>
          <w:color w:val="auto"/>
        </w:rPr>
        <w:t>Section 10(f)</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36"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604" w:right="279" w:bottom="1440" w:gutter="0" w:footer="0" w:header="0"/>
        </w:sectPr>
      </w:pPr>
    </w:p>
    <w:bookmarkStart w:id="112" w:name="page113"/>
    <w:bookmarkEnd w:id="112"/>
    <w:p>
      <w:pPr>
        <w:ind w:firstLine="877"/>
        <w:spacing w:after="0" w:line="251" w:lineRule="auto"/>
        <w:rPr>
          <w:sz w:val="20"/>
          <w:szCs w:val="20"/>
          <w:color w:val="auto"/>
        </w:rPr>
      </w:pPr>
      <w:r>
        <w:rPr>
          <w:rFonts w:ascii="Arial" w:cs="Arial" w:eastAsia="Arial" w:hAnsi="Arial"/>
          <w:sz w:val="22"/>
          <w:szCs w:val="22"/>
          <w:color w:val="auto"/>
        </w:rPr>
        <w:t>IN WITNESS WHEREOF, the undersigned have duly executed and delivered this Agreement, or have caused this Agreement to be duly executed and delivered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LSB INDUSTRIES, INC.</w:t>
      </w:r>
    </w:p>
    <w:p>
      <w:pPr>
        <w:spacing w:after="0" w:line="200" w:lineRule="exact"/>
        <w:rPr>
          <w:sz w:val="20"/>
          <w:szCs w:val="20"/>
          <w:color w:val="auto"/>
        </w:rPr>
      </w:pPr>
    </w:p>
    <w:p>
      <w:pPr>
        <w:spacing w:after="0" w:line="28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7620</wp:posOffset>
            </wp:positionV>
            <wp:extent cx="28727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22"/>
          <w:szCs w:val="22"/>
          <w:color w:val="auto"/>
        </w:rPr>
        <w:t>Name: Mark T. Behrman</w:t>
      </w:r>
    </w:p>
    <w:p>
      <w:pPr>
        <w:ind w:left="62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/s/ John P.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588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P. Burns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60"/>
          </w:cols>
          <w:pgMar w:left="240" w:top="415" w:right="89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(Form of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GENERAL RELEASE</w:t>
      </w:r>
    </w:p>
    <w:p>
      <w:pPr>
        <w:spacing w:after="0" w:line="212" w:lineRule="exact"/>
        <w:rPr>
          <w:sz w:val="20"/>
          <w:szCs w:val="20"/>
          <w:color w:val="auto"/>
        </w:rPr>
      </w:pPr>
    </w:p>
    <w:p>
      <w:pPr>
        <w:ind w:right="60" w:firstLine="877"/>
        <w:spacing w:after="0" w:line="277" w:lineRule="auto"/>
        <w:rPr>
          <w:sz w:val="20"/>
          <w:szCs w:val="20"/>
          <w:color w:val="auto"/>
        </w:rPr>
      </w:pPr>
      <w:r>
        <w:rPr>
          <w:rFonts w:ascii="Arial" w:cs="Arial" w:eastAsia="Arial" w:hAnsi="Arial"/>
          <w:sz w:val="19"/>
          <w:szCs w:val="19"/>
          <w:color w:val="auto"/>
        </w:rPr>
        <w:t>I, John P. Burns, in consideration of and subject to the performance by LSB Industries, Inc. (together with its affiliated companies and subsidiaries and its successors and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of its obligations under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of the Employment Agreement, dated as of December 20, 2019 (the “</w:t>
      </w:r>
      <w:r>
        <w:rPr>
          <w:rFonts w:ascii="Arial" w:cs="Arial" w:eastAsia="Arial" w:hAnsi="Arial"/>
          <w:sz w:val="19"/>
          <w:szCs w:val="19"/>
          <w:u w:val="single" w:color="auto"/>
          <w:color w:val="auto"/>
        </w:rPr>
        <w:t>Agreement</w:t>
      </w:r>
      <w:r>
        <w:rPr>
          <w:rFonts w:ascii="Arial" w:cs="Arial" w:eastAsia="Arial" w:hAnsi="Arial"/>
          <w:sz w:val="19"/>
          <w:szCs w:val="19"/>
          <w:color w:val="auto"/>
        </w:rPr>
        <w:t>”), do hereby release and forever discharge as of the date hereof the Company and its respective affiliates and subsidiaries and all present, former and future directors, officers, agents, representatives, employees, successors and assigns of the Company and/or its respective affiliates and subsidiaries and direct or indirect owners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to the extent provided herein (this “</w:t>
      </w:r>
      <w:r>
        <w:rPr>
          <w:rFonts w:ascii="Arial" w:cs="Arial" w:eastAsia="Arial" w:hAnsi="Arial"/>
          <w:sz w:val="19"/>
          <w:szCs w:val="19"/>
          <w:u w:val="single" w:color="auto"/>
          <w:color w:val="auto"/>
        </w:rPr>
        <w:t>General Release</w:t>
      </w:r>
      <w:r>
        <w:rPr>
          <w:rFonts w:ascii="Arial" w:cs="Arial" w:eastAsia="Arial" w:hAnsi="Arial"/>
          <w:sz w:val="19"/>
          <w:szCs w:val="19"/>
          <w:color w:val="auto"/>
        </w:rPr>
        <w:t>”). Terms used herein but not otherwise defined shall have the meanings given to them in the Agreement.</w:t>
      </w:r>
    </w:p>
    <w:p>
      <w:pPr>
        <w:spacing w:after="0" w:line="180" w:lineRule="exact"/>
        <w:rPr>
          <w:sz w:val="20"/>
          <w:szCs w:val="20"/>
          <w:color w:val="auto"/>
        </w:rPr>
      </w:pPr>
    </w:p>
    <w:p>
      <w:pPr>
        <w:ind w:firstLine="885"/>
        <w:spacing w:after="0" w:line="279" w:lineRule="auto"/>
        <w:tabs>
          <w:tab w:leader="none" w:pos="168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 understand that, other than the Accrued Benefits, the payments or benefits paid or granted to me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of the Agreement, other than the Accrued Benefits,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 or its affiliates.</w:t>
      </w:r>
    </w:p>
    <w:p>
      <w:pPr>
        <w:spacing w:after="0" w:line="177" w:lineRule="exact"/>
        <w:rPr>
          <w:rFonts w:ascii="Arial" w:cs="Arial" w:eastAsia="Arial" w:hAnsi="Arial"/>
          <w:sz w:val="19"/>
          <w:szCs w:val="19"/>
          <w:color w:val="auto"/>
        </w:rPr>
      </w:pPr>
    </w:p>
    <w:p>
      <w:pPr>
        <w:ind w:right="20" w:firstLine="885"/>
        <w:spacing w:after="0" w:line="270" w:lineRule="auto"/>
        <w:tabs>
          <w:tab w:leader="none" w:pos="1688"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Except as provided in paragraph 4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and/or any of the Released Parties which I, my spouse, or any of my heirs, executors, administrators or assigns, ever had, now have, or hereafter may have, by reason of any matter, cause, or thing whatsoever, from the beginning of my initial dealings with the Company to the date of this General Release, and particularly, but without limitation of the foregoing general terms, any claims arising from or relating in any way to my employment relationship with Company, the terms and conditions of that employment relationship, and the termination of that employment relationship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15" w:name="page116"/>
    <w:bookmarkEnd w:id="115"/>
    <w:p>
      <w:pPr>
        <w:ind w:right="40"/>
        <w:spacing w:after="0" w:line="279" w:lineRule="auto"/>
        <w:rPr>
          <w:sz w:val="20"/>
          <w:szCs w:val="20"/>
          <w:color w:val="auto"/>
        </w:rPr>
      </w:pPr>
      <w:r>
        <w:rPr>
          <w:rFonts w:ascii="Arial" w:cs="Arial" w:eastAsia="Arial" w:hAnsi="Arial"/>
          <w:sz w:val="19"/>
          <w:szCs w:val="19"/>
          <w:color w:val="auto"/>
        </w:rPr>
        <w:t>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9"/>
          <w:szCs w:val="19"/>
          <w:u w:val="single" w:color="auto"/>
          <w:color w:val="auto"/>
        </w:rPr>
        <w:t>Claims</w:t>
      </w:r>
      <w:r>
        <w:rPr>
          <w:rFonts w:ascii="Arial" w:cs="Arial" w:eastAsia="Arial" w:hAnsi="Arial"/>
          <w:sz w:val="19"/>
          <w:szCs w:val="19"/>
          <w:color w:val="auto"/>
        </w:rPr>
        <w:t>”). I understand and intend that this General Release constitutes a general release of all claims and that no reference herein to a specific form of claim, statute or type of relief is intended to limit the scope of this General Release.</w:t>
      </w:r>
    </w:p>
    <w:p>
      <w:pPr>
        <w:spacing w:after="0" w:line="178" w:lineRule="exact"/>
        <w:rPr>
          <w:sz w:val="20"/>
          <w:szCs w:val="20"/>
          <w:color w:val="auto"/>
        </w:rPr>
      </w:pPr>
    </w:p>
    <w:p>
      <w:pPr>
        <w:ind w:right="380" w:firstLine="885"/>
        <w:spacing w:after="0" w:line="251" w:lineRule="auto"/>
        <w:tabs>
          <w:tab w:leader="none" w:pos="1688" w:val="left"/>
        </w:tabs>
        <w:numPr>
          <w:ilvl w:val="0"/>
          <w:numId w:val="77"/>
        </w:numPr>
        <w:rPr>
          <w:rFonts w:ascii="Arial" w:cs="Arial" w:eastAsia="Arial" w:hAnsi="Arial"/>
          <w:sz w:val="22"/>
          <w:szCs w:val="22"/>
          <w:color w:val="auto"/>
        </w:rPr>
      </w:pPr>
      <w:r>
        <w:rPr>
          <w:rFonts w:ascii="Arial" w:cs="Arial" w:eastAsia="Arial" w:hAnsi="Arial"/>
          <w:sz w:val="22"/>
          <w:szCs w:val="22"/>
          <w:color w:val="auto"/>
        </w:rPr>
        <w:t>I represent that I have made no assignment or transfer of any right, claim, demand, cause of action, or other matter covered by paragraph 2 above.</w:t>
      </w:r>
    </w:p>
    <w:p>
      <w:pPr>
        <w:spacing w:after="0" w:line="200" w:lineRule="exact"/>
        <w:rPr>
          <w:rFonts w:ascii="Arial" w:cs="Arial" w:eastAsia="Arial" w:hAnsi="Arial"/>
          <w:sz w:val="22"/>
          <w:szCs w:val="22"/>
          <w:color w:val="auto"/>
        </w:rPr>
      </w:pPr>
    </w:p>
    <w:p>
      <w:pPr>
        <w:ind w:right="40" w:firstLine="885"/>
        <w:spacing w:after="0" w:line="273" w:lineRule="auto"/>
        <w:tabs>
          <w:tab w:leader="none" w:pos="16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 Notwithstanding anything herein to the contrary, I am not waiving any of the following (and definition of “Claims” shall not include these claims or rights): (i) any claim or right to enforce the Agreement or this General Release; (ii) any claims which arise after the date of this General Release; (iii) my rights as a shareholder of the Company; and (iv) my rights to be indemnified and/or defended and/or advanced expenses, including pursuant to the Company’s corporate governance documents or the Indemnification Agreement (as defined in the Agreement) or, if greater, applicable law and my rights to be covered under any applicable directors’ and officers’ insurance liability policies.</w:t>
      </w:r>
    </w:p>
    <w:p>
      <w:pPr>
        <w:spacing w:after="0" w:line="188" w:lineRule="exact"/>
        <w:rPr>
          <w:rFonts w:ascii="Arial" w:cs="Arial" w:eastAsia="Arial" w:hAnsi="Arial"/>
          <w:sz w:val="19"/>
          <w:szCs w:val="19"/>
          <w:color w:val="auto"/>
        </w:rPr>
      </w:pPr>
    </w:p>
    <w:p>
      <w:pPr>
        <w:ind w:right="60" w:firstLine="885"/>
        <w:spacing w:after="0" w:line="279" w:lineRule="auto"/>
        <w:tabs>
          <w:tab w:leader="none" w:pos="16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agree that I hereby waive all rights to sue or obtain equitable, remedial or punitive relief from any or all Released Parties of any kind whatsoever with respect to claims released by me herein, including, without limitation, reinstatement, back pay, front pay, and any form of injunctive relief. Notwithstanding the foregoing, I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w:t>
      </w:r>
    </w:p>
    <w:p>
      <w:pPr>
        <w:spacing w:after="0" w:line="177" w:lineRule="exact"/>
        <w:rPr>
          <w:rFonts w:ascii="Arial" w:cs="Arial" w:eastAsia="Arial" w:hAnsi="Arial"/>
          <w:sz w:val="19"/>
          <w:szCs w:val="19"/>
          <w:color w:val="auto"/>
        </w:rPr>
      </w:pPr>
    </w:p>
    <w:p>
      <w:pPr>
        <w:ind w:firstLine="885"/>
        <w:spacing w:after="0" w:line="246" w:lineRule="auto"/>
        <w:tabs>
          <w:tab w:leader="none" w:pos="1688"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that I should bring a Claim seeking damages against the Company, or in the event that I should seek 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16" w:name="page117"/>
    <w:bookmarkEnd w:id="116"/>
    <w:p>
      <w:pPr>
        <w:ind w:right="200"/>
        <w:spacing w:after="0" w:line="238" w:lineRule="auto"/>
        <w:rPr>
          <w:sz w:val="20"/>
          <w:szCs w:val="20"/>
          <w:color w:val="auto"/>
        </w:rPr>
      </w:pPr>
      <w:r>
        <w:rPr>
          <w:rFonts w:ascii="Arial" w:cs="Arial" w:eastAsia="Arial" w:hAnsi="Arial"/>
          <w:sz w:val="22"/>
          <w:szCs w:val="22"/>
          <w:color w:val="auto"/>
        </w:rPr>
        <w:t>recover against the Company in any Claim brought by a governmental agency on my behalf, this General Release shall serve as a complete defense to such Claims to the maximum extent permitted by law. I further agree that I am not aware of any pending Claim, or of any facts that could give rise to a Claim, of the type described in paragraph 2 as of the execution of this General Release.</w:t>
      </w:r>
    </w:p>
    <w:p>
      <w:pPr>
        <w:spacing w:after="0" w:line="212" w:lineRule="exact"/>
        <w:rPr>
          <w:sz w:val="20"/>
          <w:szCs w:val="20"/>
          <w:color w:val="auto"/>
        </w:rPr>
      </w:pPr>
    </w:p>
    <w:p>
      <w:pPr>
        <w:ind w:right="40" w:firstLine="885"/>
        <w:spacing w:after="0"/>
        <w:tabs>
          <w:tab w:leader="none" w:pos="1688"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213" w:lineRule="exact"/>
        <w:rPr>
          <w:rFonts w:ascii="Arial" w:cs="Arial" w:eastAsia="Arial" w:hAnsi="Arial"/>
          <w:sz w:val="22"/>
          <w:szCs w:val="22"/>
          <w:color w:val="auto"/>
        </w:rPr>
      </w:pPr>
    </w:p>
    <w:p>
      <w:pPr>
        <w:ind w:firstLine="885"/>
        <w:spacing w:after="0" w:line="273" w:lineRule="auto"/>
        <w:tabs>
          <w:tab w:leader="none" w:pos="168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 agree that I will forfeit all amounts payable by the Company pursuant to the Agreement if I challenge the validity of this General Release. I also agree that if I violate this General Release by suing the Company or the other Released Parties with respect to Claims released by me herein, I will pay all costs and expenses of defending against the suit incurred by the Released Parties, including reasonable attorneys’ fees, and return all payments received by me pursuant to the Agreement on or after the termination of my employment. I further agree that if I materially violate any of my post-employment obligations under </w:t>
      </w:r>
      <w:r>
        <w:rPr>
          <w:rFonts w:ascii="Arial" w:cs="Arial" w:eastAsia="Arial" w:hAnsi="Arial"/>
          <w:sz w:val="19"/>
          <w:szCs w:val="19"/>
          <w:u w:val="single" w:color="auto"/>
          <w:color w:val="auto"/>
        </w:rPr>
        <w:t>Sections 6 or 7</w:t>
      </w:r>
      <w:r>
        <w:rPr>
          <w:rFonts w:ascii="Arial" w:cs="Arial" w:eastAsia="Arial" w:hAnsi="Arial"/>
          <w:sz w:val="19"/>
          <w:szCs w:val="19"/>
          <w:color w:val="auto"/>
        </w:rPr>
        <w:t xml:space="preserve"> of the Agreement, I will also forfeit any cash severance amounts payable by the Company pursuant to either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10(d) or Section 10(e)</w:t>
      </w:r>
      <w:r>
        <w:rPr>
          <w:rFonts w:ascii="Arial" w:cs="Arial" w:eastAsia="Arial" w:hAnsi="Arial"/>
          <w:sz w:val="19"/>
          <w:szCs w:val="19"/>
          <w:color w:val="auto"/>
        </w:rPr>
        <w:t xml:space="preserve"> of the Agreement, as applicable, other than the Accrued Benefits, and will return any such sums already paid, on an after-tax basis, to the Company; provided that no such payments shall be subject to forfeiture and/or repayment unless the Company has provided me with written notice of the events giving rise to such forfeiture and/or repayment and I have not ceased to engage in such activities within fifteen (15) days of my receipt of such written notice.</w:t>
      </w:r>
    </w:p>
    <w:p>
      <w:pPr>
        <w:spacing w:after="0" w:line="188" w:lineRule="exact"/>
        <w:rPr>
          <w:rFonts w:ascii="Arial" w:cs="Arial" w:eastAsia="Arial" w:hAnsi="Arial"/>
          <w:sz w:val="19"/>
          <w:szCs w:val="19"/>
          <w:color w:val="auto"/>
        </w:rPr>
      </w:pPr>
    </w:p>
    <w:p>
      <w:pPr>
        <w:ind w:right="20" w:firstLine="885"/>
        <w:spacing w:after="0" w:line="236" w:lineRule="auto"/>
        <w:tabs>
          <w:tab w:leader="none" w:pos="1688"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agree that this General Release is confidential and agree not to disclose any information regarding the terms of this General Release, except to my immediate family and any tax, legal or other counsel that I have consulted regarding the meaning or effect hereof (and I will instruct each of the foregoing not to disclose the same to anyone) or as required by law or to the extent reasonably necessary in connection with any dispute between me and the Company regarding this General Release or the Agreement.</w:t>
      </w:r>
    </w:p>
    <w:p>
      <w:pPr>
        <w:spacing w:after="0" w:line="214" w:lineRule="exact"/>
        <w:rPr>
          <w:rFonts w:ascii="Arial" w:cs="Arial" w:eastAsia="Arial" w:hAnsi="Arial"/>
          <w:sz w:val="22"/>
          <w:szCs w:val="22"/>
          <w:color w:val="auto"/>
        </w:rPr>
      </w:pPr>
    </w:p>
    <w:p>
      <w:pPr>
        <w:ind w:right="300" w:firstLine="885"/>
        <w:spacing w:after="0" w:line="238" w:lineRule="auto"/>
        <w:tabs>
          <w:tab w:leader="none" w:pos="17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or any other self-regulatory organization or governmental entity.</w:t>
      </w:r>
    </w:p>
    <w:p>
      <w:pPr>
        <w:spacing w:after="0" w:line="212" w:lineRule="exact"/>
        <w:rPr>
          <w:rFonts w:ascii="Arial" w:cs="Arial" w:eastAsia="Arial" w:hAnsi="Arial"/>
          <w:sz w:val="22"/>
          <w:szCs w:val="22"/>
          <w:color w:val="auto"/>
        </w:rPr>
      </w:pPr>
    </w:p>
    <w:p>
      <w:pPr>
        <w:ind w:right="540" w:firstLine="885"/>
        <w:spacing w:after="0" w:line="251" w:lineRule="auto"/>
        <w:tabs>
          <w:tab w:leader="none" w:pos="1788"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 hereby acknowledge that </w:t>
      </w:r>
      <w:r>
        <w:rPr>
          <w:rFonts w:ascii="Arial" w:cs="Arial" w:eastAsia="Arial" w:hAnsi="Arial"/>
          <w:sz w:val="22"/>
          <w:szCs w:val="22"/>
          <w:u w:val="single" w:color="auto"/>
          <w:color w:val="auto"/>
        </w:rPr>
        <w:t>Sections 6, 7, 8, 10, 11, 12, 13, 14, 15, 16, 17, 19, 20, 21, 23, 24 and 25</w:t>
      </w:r>
      <w:r>
        <w:rPr>
          <w:rFonts w:ascii="Arial" w:cs="Arial" w:eastAsia="Arial" w:hAnsi="Arial"/>
          <w:sz w:val="22"/>
          <w:szCs w:val="22"/>
          <w:color w:val="auto"/>
        </w:rPr>
        <w:t xml:space="preserve"> of the Agreement shall survive my execution of this General Release.</w:t>
      </w:r>
    </w:p>
    <w:p>
      <w:pPr>
        <w:spacing w:after="0" w:line="200" w:lineRule="exact"/>
        <w:rPr>
          <w:rFonts w:ascii="Arial" w:cs="Arial" w:eastAsia="Arial" w:hAnsi="Arial"/>
          <w:sz w:val="22"/>
          <w:szCs w:val="22"/>
          <w:color w:val="auto"/>
        </w:rPr>
      </w:pPr>
    </w:p>
    <w:p>
      <w:pPr>
        <w:ind w:firstLine="885"/>
        <w:spacing w:after="0" w:line="238" w:lineRule="auto"/>
        <w:tabs>
          <w:tab w:leader="none" w:pos="17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represent that I am not aware of any Claim by me, and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7" w:name="page118"/>
    <w:bookmarkEnd w:id="117"/>
    <w:p>
      <w:pPr>
        <w:ind w:right="360" w:firstLine="885"/>
        <w:spacing w:after="0"/>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213" w:lineRule="exact"/>
        <w:rPr>
          <w:rFonts w:ascii="Arial" w:cs="Arial" w:eastAsia="Arial" w:hAnsi="Arial"/>
          <w:sz w:val="22"/>
          <w:szCs w:val="22"/>
          <w:color w:val="auto"/>
        </w:rPr>
      </w:pPr>
    </w:p>
    <w:p>
      <w:pPr>
        <w:ind w:right="80" w:firstLine="885"/>
        <w:spacing w:after="0" w:line="246" w:lineRule="auto"/>
        <w:tabs>
          <w:tab w:leader="none" w:pos="1796" w:val="left"/>
        </w:tabs>
        <w:numPr>
          <w:ilvl w:val="0"/>
          <w:numId w:val="79"/>
        </w:numPr>
        <w:rPr>
          <w:rFonts w:ascii="Arial" w:cs="Arial" w:eastAsia="Arial" w:hAnsi="Arial"/>
          <w:sz w:val="21"/>
          <w:szCs w:val="21"/>
          <w:color w:val="auto"/>
        </w:rPr>
      </w:pPr>
      <w:r>
        <w:rPr>
          <w:rFonts w:ascii="Arial" w:cs="Arial" w:eastAsia="Arial" w:hAnsi="Arial"/>
          <w:sz w:val="21"/>
          <w:szCs w:val="21"/>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 This General Release constitutes the complete and entire agreement and understanding among the parties, and supersedes any and all prior or contemporaneous agreements, commitments, understandings or arrangements, whether written or oral, between or among any of the parties, in each case concerning the subject matter hereof.</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GENERAL RELEASE, I REPRESENT AND AGREE THAT:</w:t>
      </w:r>
    </w:p>
    <w:p>
      <w:pPr>
        <w:spacing w:after="0" w:line="139" w:lineRule="exact"/>
        <w:rPr>
          <w:sz w:val="20"/>
          <w:szCs w:val="20"/>
          <w:color w:val="auto"/>
        </w:rPr>
      </w:pPr>
    </w:p>
    <w:p>
      <w:pPr>
        <w:ind w:left="1380" w:hanging="683"/>
        <w:spacing w:after="0"/>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HAVE READ IT CAREFULLY;</w:t>
      </w:r>
    </w:p>
    <w:p>
      <w:pPr>
        <w:spacing w:after="0" w:line="138" w:lineRule="exact"/>
        <w:rPr>
          <w:rFonts w:ascii="Arial" w:cs="Arial" w:eastAsia="Arial" w:hAnsi="Arial"/>
          <w:sz w:val="22"/>
          <w:szCs w:val="22"/>
          <w:color w:val="auto"/>
        </w:rPr>
      </w:pPr>
    </w:p>
    <w:p>
      <w:pPr>
        <w:ind w:left="1380" w:right="140" w:hanging="683"/>
        <w:spacing w:after="0" w:line="236" w:lineRule="auto"/>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20" w:lineRule="exact"/>
        <w:rPr>
          <w:rFonts w:ascii="Arial" w:cs="Arial" w:eastAsia="Arial" w:hAnsi="Arial"/>
          <w:sz w:val="22"/>
          <w:szCs w:val="22"/>
          <w:color w:val="auto"/>
        </w:rPr>
      </w:pPr>
    </w:p>
    <w:p>
      <w:pPr>
        <w:ind w:left="1380" w:hanging="683"/>
        <w:spacing w:after="0"/>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VOLUNTARILY CONSENT TO EVERYTHING IN IT;</w:t>
      </w:r>
    </w:p>
    <w:p>
      <w:pPr>
        <w:spacing w:after="0" w:line="138" w:lineRule="exact"/>
        <w:rPr>
          <w:rFonts w:ascii="Arial" w:cs="Arial" w:eastAsia="Arial" w:hAnsi="Arial"/>
          <w:sz w:val="22"/>
          <w:szCs w:val="22"/>
          <w:color w:val="auto"/>
        </w:rPr>
      </w:pPr>
    </w:p>
    <w:p>
      <w:pPr>
        <w:ind w:left="1380" w:right="60" w:hanging="683"/>
        <w:spacing w:after="0"/>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HAVE BEEN ADVISED TO CONSULT WITH AN ATTORNEY BEFORE EXECUTING IT AND I HAVE DONE SO OR AFTER CAREFUL READING AND CONSIDERATION, I HAVE CHOSEN NOT TO DO SO OF MY OWN VOLITION,</w:t>
      </w:r>
    </w:p>
    <w:p>
      <w:pPr>
        <w:spacing w:after="0" w:line="118" w:lineRule="exact"/>
        <w:rPr>
          <w:rFonts w:ascii="Arial" w:cs="Arial" w:eastAsia="Arial" w:hAnsi="Arial"/>
          <w:sz w:val="22"/>
          <w:szCs w:val="22"/>
          <w:color w:val="auto"/>
        </w:rPr>
      </w:pPr>
    </w:p>
    <w:p>
      <w:pPr>
        <w:jc w:val="both"/>
        <w:ind w:left="1380" w:hanging="683"/>
        <w:spacing w:after="0" w:line="238" w:lineRule="auto"/>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HAVE HAD AT LEAST [21][45] DAYS FROM THE DATE OF MY RECEIPT OF THIS RELEASE TO CONSIDER IT AND THE CHANGES MADE SINCE MY RECEIPT OF THIS RELEASE ARE NOT MATERIAL OR WERE MADE AT MY REQUEST AND WILL NOT RESTART THE REQUIRED [21][45]-DAY PERIOD;</w:t>
      </w:r>
    </w:p>
    <w:p>
      <w:pPr>
        <w:spacing w:after="0" w:line="117" w:lineRule="exact"/>
        <w:rPr>
          <w:rFonts w:ascii="Arial" w:cs="Arial" w:eastAsia="Arial" w:hAnsi="Arial"/>
          <w:sz w:val="22"/>
          <w:szCs w:val="22"/>
          <w:color w:val="auto"/>
        </w:rPr>
      </w:pPr>
    </w:p>
    <w:p>
      <w:pPr>
        <w:ind w:left="1380" w:right="180" w:hanging="683"/>
        <w:spacing w:after="0"/>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UNDERSTAND THAT I HAVE SEVEN (7) DAYS AFTER THE EXECUTION OF THIS RELEASE TO REVOKE IT AND THAT THIS RELEASE SHALL NOT BECOME EFFECTIVE OR ENFORCEABLE UNTIL THE REVOCATION PERIOD HAS EXPIRED; AND</w:t>
      </w:r>
    </w:p>
    <w:p>
      <w:pPr>
        <w:spacing w:after="0" w:line="118" w:lineRule="exact"/>
        <w:rPr>
          <w:rFonts w:ascii="Arial" w:cs="Arial" w:eastAsia="Arial" w:hAnsi="Arial"/>
          <w:sz w:val="22"/>
          <w:szCs w:val="22"/>
          <w:color w:val="auto"/>
        </w:rPr>
      </w:pPr>
    </w:p>
    <w:p>
      <w:pPr>
        <w:ind w:left="1380" w:right="820" w:hanging="683"/>
        <w:spacing w:after="0" w:line="251" w:lineRule="auto"/>
        <w:tabs>
          <w:tab w:leader="none" w:pos="1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HAVE SIGNED THIS GENERAL RELEASE KNOWINGLY AND VOLUNTARILY AND WITH THE ADVICE OF ANY COUNSEL RETAINED TO ADVISE ME WITH RESPECT TO IT.</w:t>
      </w:r>
    </w:p>
    <w:p>
      <w:pPr>
        <w:spacing w:after="0" w:line="200" w:lineRule="exact"/>
        <w:rPr>
          <w:sz w:val="20"/>
          <w:szCs w:val="20"/>
          <w:color w:val="auto"/>
        </w:rPr>
      </w:pPr>
    </w:p>
    <w:p>
      <w:pPr>
        <w:spacing w:after="0"/>
        <w:tabs>
          <w:tab w:leader="none" w:pos="4240" w:val="left"/>
        </w:tabs>
        <w:rPr>
          <w:sz w:val="20"/>
          <w:szCs w:val="20"/>
          <w:color w:val="auto"/>
        </w:rPr>
      </w:pPr>
      <w:r>
        <w:rPr>
          <w:rFonts w:ascii="Arial" w:cs="Arial" w:eastAsia="Arial" w:hAnsi="Arial"/>
          <w:sz w:val="22"/>
          <w:szCs w:val="22"/>
          <w:color w:val="auto"/>
        </w:rPr>
        <w:t>SIGNED: _________________________</w:t>
      </w:r>
      <w:r>
        <w:rPr>
          <w:sz w:val="20"/>
          <w:szCs w:val="20"/>
          <w:color w:val="auto"/>
        </w:rPr>
        <w:tab/>
      </w:r>
      <w:r>
        <w:rPr>
          <w:rFonts w:ascii="Arial" w:cs="Arial" w:eastAsia="Arial" w:hAnsi="Arial"/>
          <w:sz w:val="19"/>
          <w:szCs w:val="19"/>
          <w:color w:val="auto"/>
        </w:rPr>
        <w:t>DATE: _________________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Exhibit 21.1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LSB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SUBSIDIARY LISTING</w:t>
      </w: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188" w:lineRule="exact"/>
        <w:rPr>
          <w:sz w:val="20"/>
          <w:szCs w:val="20"/>
          <w:color w:val="auto"/>
        </w:rPr>
      </w:pPr>
    </w:p>
    <w:p>
      <w:pPr>
        <w:jc w:val="right"/>
        <w:ind w:right="6120"/>
        <w:spacing w:after="0"/>
        <w:rPr>
          <w:sz w:val="20"/>
          <w:szCs w:val="20"/>
          <w:color w:val="auto"/>
        </w:rPr>
      </w:pPr>
      <w:r>
        <w:rPr>
          <w:rFonts w:ascii="Arial" w:cs="Arial" w:eastAsia="Arial" w:hAnsi="Arial"/>
          <w:sz w:val="19"/>
          <w:szCs w:val="19"/>
          <w:color w:val="auto"/>
        </w:rPr>
        <w:t>LSB INDUSTRIES, INC. (Direct subsidiaries in bold italics)</w:t>
      </w:r>
    </w:p>
    <w:p>
      <w:pPr>
        <w:spacing w:after="0" w:line="241" w:lineRule="exact"/>
        <w:rPr>
          <w:sz w:val="20"/>
          <w:szCs w:val="20"/>
          <w:color w:val="auto"/>
        </w:rPr>
      </w:pPr>
    </w:p>
    <w:p>
      <w:pPr>
        <w:jc w:val="right"/>
        <w:ind w:right="6100"/>
        <w:spacing w:after="0"/>
        <w:rPr>
          <w:sz w:val="20"/>
          <w:szCs w:val="20"/>
          <w:color w:val="auto"/>
        </w:rPr>
      </w:pPr>
      <w:r>
        <w:rPr>
          <w:rFonts w:ascii="Arial" w:cs="Arial" w:eastAsia="Arial" w:hAnsi="Arial"/>
          <w:sz w:val="22"/>
          <w:szCs w:val="22"/>
          <w:b w:val="1"/>
          <w:bCs w:val="1"/>
          <w:i w:val="1"/>
          <w:iCs w:val="1"/>
          <w:color w:val="auto"/>
        </w:rPr>
        <w:t>LSB Chemical L.L.C. (f/k/a/ LSB Chemical Corp.)</w:t>
      </w:r>
    </w:p>
    <w:p>
      <w:pPr>
        <w:ind w:left="1620"/>
        <w:spacing w:after="0" w:line="238" w:lineRule="auto"/>
        <w:rPr>
          <w:sz w:val="20"/>
          <w:szCs w:val="20"/>
          <w:color w:val="auto"/>
        </w:rPr>
      </w:pPr>
      <w:r>
        <w:rPr>
          <w:rFonts w:ascii="Arial" w:cs="Arial" w:eastAsia="Arial" w:hAnsi="Arial"/>
          <w:sz w:val="22"/>
          <w:szCs w:val="22"/>
          <w:color w:val="auto"/>
        </w:rPr>
        <w:t>Cherokee Nitrogen L.L.C. (f/k/a Cherokee Nitrogen Company)</w:t>
      </w:r>
    </w:p>
    <w:p>
      <w:pPr>
        <w:ind w:left="1620"/>
        <w:spacing w:after="0" w:line="230" w:lineRule="auto"/>
        <w:rPr>
          <w:sz w:val="20"/>
          <w:szCs w:val="20"/>
          <w:color w:val="auto"/>
        </w:rPr>
      </w:pPr>
      <w:r>
        <w:rPr>
          <w:rFonts w:ascii="Arial" w:cs="Arial" w:eastAsia="Arial" w:hAnsi="Arial"/>
          <w:sz w:val="22"/>
          <w:szCs w:val="22"/>
          <w:color w:val="auto"/>
        </w:rPr>
        <w:t>El Dorado Chemical Company</w:t>
      </w:r>
    </w:p>
    <w:p>
      <w:pPr>
        <w:ind w:left="2420"/>
        <w:spacing w:after="0" w:line="231" w:lineRule="auto"/>
        <w:rPr>
          <w:sz w:val="20"/>
          <w:szCs w:val="20"/>
          <w:color w:val="auto"/>
        </w:rPr>
      </w:pPr>
      <w:r>
        <w:rPr>
          <w:rFonts w:ascii="Arial" w:cs="Arial" w:eastAsia="Arial" w:hAnsi="Arial"/>
          <w:sz w:val="22"/>
          <w:szCs w:val="22"/>
          <w:color w:val="auto"/>
        </w:rPr>
        <w:t>EDC Ag Products Company L.L.C.</w:t>
      </w:r>
    </w:p>
    <w:p>
      <w:pPr>
        <w:ind w:left="2420"/>
        <w:spacing w:after="0" w:line="231" w:lineRule="auto"/>
        <w:rPr>
          <w:sz w:val="20"/>
          <w:szCs w:val="20"/>
          <w:color w:val="auto"/>
        </w:rPr>
      </w:pPr>
      <w:r>
        <w:rPr>
          <w:rFonts w:ascii="Arial" w:cs="Arial" w:eastAsia="Arial" w:hAnsi="Arial"/>
          <w:sz w:val="22"/>
          <w:szCs w:val="22"/>
          <w:color w:val="auto"/>
        </w:rPr>
        <w:t>Chemex I Corp. (f/k/a Slurry Explosive Corporation)</w:t>
      </w:r>
    </w:p>
    <w:p>
      <w:pPr>
        <w:ind w:left="2420"/>
        <w:spacing w:after="0" w:line="230" w:lineRule="auto"/>
        <w:rPr>
          <w:sz w:val="20"/>
          <w:szCs w:val="20"/>
          <w:color w:val="auto"/>
        </w:rPr>
      </w:pPr>
      <w:r>
        <w:rPr>
          <w:rFonts w:ascii="Arial" w:cs="Arial" w:eastAsia="Arial" w:hAnsi="Arial"/>
          <w:sz w:val="22"/>
          <w:szCs w:val="22"/>
          <w:color w:val="auto"/>
        </w:rPr>
        <w:t>El Dorado Ammonia L.L.C.</w:t>
      </w:r>
    </w:p>
    <w:p>
      <w:pPr>
        <w:spacing w:after="0" w:line="1" w:lineRule="exact"/>
        <w:rPr>
          <w:sz w:val="20"/>
          <w:szCs w:val="20"/>
          <w:color w:val="auto"/>
        </w:rPr>
      </w:pPr>
    </w:p>
    <w:p>
      <w:pPr>
        <w:ind w:left="1620" w:right="460"/>
        <w:spacing w:after="0" w:line="230" w:lineRule="auto"/>
        <w:rPr>
          <w:sz w:val="20"/>
          <w:szCs w:val="20"/>
          <w:color w:val="auto"/>
        </w:rPr>
      </w:pPr>
      <w:r>
        <w:rPr>
          <w:rFonts w:ascii="Arial" w:cs="Arial" w:eastAsia="Arial" w:hAnsi="Arial"/>
          <w:sz w:val="22"/>
          <w:szCs w:val="22"/>
          <w:color w:val="auto"/>
        </w:rPr>
        <w:t>El Dorado Nitrogen L.L.C. (f/k/a El Dorado Nitric L.L.C., f/k/a El Dorado Nitric Company, f/k/a El Dorado Nitrogen Company, f/k/a LSB Nitrogen Corporation, f/k/a LSB Import Corp.)</w:t>
      </w:r>
    </w:p>
    <w:p>
      <w:pPr>
        <w:ind w:left="1620"/>
        <w:spacing w:after="0" w:line="231" w:lineRule="auto"/>
        <w:rPr>
          <w:sz w:val="20"/>
          <w:szCs w:val="20"/>
          <w:color w:val="auto"/>
        </w:rPr>
      </w:pPr>
      <w:r>
        <w:rPr>
          <w:rFonts w:ascii="Arial" w:cs="Arial" w:eastAsia="Arial" w:hAnsi="Arial"/>
          <w:sz w:val="22"/>
          <w:szCs w:val="22"/>
          <w:color w:val="auto"/>
        </w:rPr>
        <w:t>Pryor Chemical Company (f/k/a Pryor Plant Chemical Company, f/k/a LSB Financial Corp.)</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TRISON Construction, Inc.</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200" w:right="40" w:hanging="598"/>
        <w:spacing w:after="0" w:line="277" w:lineRule="auto"/>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333-199864) pertaining to the LSB Industries, Inc. 2008 Incentive Stock Plan, as amended by the First Amendment;</w:t>
      </w:r>
    </w:p>
    <w:p>
      <w:pPr>
        <w:spacing w:after="0" w:line="170"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LSB Industries, Inc. 2008 Incentive Stock Plan or any combination of the foregoing;</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333-209838) pertaining to the LSB Industries, Inc. 2008 Incentive Plan, as amended;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333-212281) pertaining to the LSB Industries, Inc. 2016 Long Term Incentive Plan;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S-1 No. 333-212503) of LSB Industries, Inc., as amended;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S-3 No. 333-228139) of LSB Industries,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25, 2020, with respect to the consolidated financial statements and schedule of LSB Industries, Inc. and the effectiveness of internal control over financial reporting of LSB Industries, Inc., included in this Annual Report (Form 10-K) of LSB Industries, Inc.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35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600" w:hanging="59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800" w:hanging="603"/>
        <w:spacing w:after="0" w:line="286" w:lineRule="auto"/>
        <w:tabs>
          <w:tab w:leader="none" w:pos="18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hanging="603"/>
        <w:spacing w:after="0" w:line="264" w:lineRule="auto"/>
        <w:tabs>
          <w:tab w:leader="none" w:pos="1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800" w:hanging="603"/>
        <w:spacing w:after="0" w:line="342" w:lineRule="auto"/>
        <w:tabs>
          <w:tab w:leader="none" w:pos="18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0" w:hanging="603"/>
        <w:spacing w:after="0" w:line="277" w:lineRule="auto"/>
        <w:tabs>
          <w:tab w:leader="none" w:pos="1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600" w:hanging="592"/>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800" w:hanging="603"/>
        <w:spacing w:after="0" w:line="286" w:lineRule="auto"/>
        <w:tabs>
          <w:tab w:leader="none" w:pos="18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hanging="603"/>
        <w:spacing w:after="0" w:line="264"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800" w:hanging="603"/>
        <w:spacing w:after="0" w:line="342" w:lineRule="auto"/>
        <w:tabs>
          <w:tab w:leader="none" w:pos="18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hanging="603"/>
        <w:spacing w:after="0" w:line="277"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2019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2019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Cheryl A. Maguire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upperLetter"/>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
      <w:numFmt w:val="bullet"/>
      <w:start w:val="1"/>
    </w:lvl>
    <w:lvl w:ilvl="1">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upperLetter"/>
      <w:start w:val="1"/>
    </w:lvl>
  </w:abstractNum>
  <w:abstractNum w:abstractNumId="36">
    <w:nsid w:val="10233C99"/>
    <w:multiLevelType w:val="hybridMultilevel"/>
    <w:lvl w:ilvl="0">
      <w:lvlJc w:val="left"/>
      <w:lvlText w:val="(%1)"/>
      <w:numFmt w:val="upperLetter"/>
      <w:start w:val="2"/>
    </w:lvl>
  </w:abstractNum>
  <w:abstractNum w:abstractNumId="37">
    <w:nsid w:val="3F6AB60F"/>
    <w:multiLevelType w:val="hybridMultilevel"/>
    <w:lvl w:ilvl="0">
      <w:lvlJc w:val="left"/>
      <w:lvlText w:val="(%1)"/>
      <w:numFmt w:val="upperLetter"/>
      <w:start w:val="3"/>
    </w:lvl>
  </w:abstractNum>
  <w:abstractNum w:abstractNumId="38">
    <w:nsid w:val="61574095"/>
    <w:multiLevelType w:val="hybridMultilevel"/>
    <w:lvl w:ilvl="0">
      <w:lvlJc w:val="left"/>
      <w:lvlText w:val="(%1)"/>
      <w:numFmt w:val="upperLetter"/>
      <w:start w:val="6"/>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2"/>
    </w:lvl>
  </w:abstractNum>
  <w:abstractNum w:abstractNumId="45">
    <w:nsid w:val="25A70BF7"/>
    <w:multiLevelType w:val="hybridMultilevel"/>
    <w:lvl w:ilvl="0">
      <w:lvlJc w:val="left"/>
      <w:lvlText w:val="(%1)"/>
      <w:numFmt w:val="upperLetter"/>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3"/>
    </w:lvl>
    <w:lvl w:ilvl="1">
      <w:lvlJc w:val="left"/>
      <w:lvlText w:val="(%2)"/>
      <w:numFmt w:val="lowerLetter"/>
      <w:start w:val="1"/>
    </w:lvl>
  </w:abstractNum>
  <w:abstractNum w:abstractNumId="53">
    <w:nsid w:val="15014ACB"/>
    <w:multiLevelType w:val="hybridMultilevel"/>
    <w:lvl w:ilvl="0">
      <w:lvlJc w:val="left"/>
      <w:lvlText w:val="%1."/>
      <w:numFmt w:val="decimal"/>
      <w:start w:val="5"/>
    </w:lvl>
    <w:lvl w:ilvl="1">
      <w:lvlJc w:val="left"/>
      <w:lvlText w:val="(%2)"/>
      <w:numFmt w:val="lowerLetter"/>
      <w:start w:val="1"/>
    </w:lvl>
  </w:abstractNum>
  <w:abstractNum w:abstractNumId="54">
    <w:nsid w:val="5F5E7FD0"/>
    <w:multiLevelType w:val="hybridMultilevel"/>
    <w:lvl w:ilvl="0">
      <w:lvlJc w:val="left"/>
      <w:lvlText w:val="%1."/>
      <w:numFmt w:val="decimal"/>
      <w:start w:val="7"/>
    </w:lvl>
    <w:lvl w:ilvl="1">
      <w:lvlJc w:val="left"/>
      <w:lvlText w:val="(%2)"/>
      <w:numFmt w:val="lowerLetter"/>
      <w:start w:val="1"/>
    </w:lvl>
  </w:abstractNum>
  <w:abstractNum w:abstractNumId="55">
    <w:nsid w:val="98A314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56">
    <w:nsid w:val="799D024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8">
    <w:nsid w:val="42C296B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9">
    <w:nsid w:val="168E121F"/>
    <w:multiLevelType w:val="hybridMultilevel"/>
    <w:lvl w:ilvl="0">
      <w:lvlJc w:val="left"/>
      <w:lvlText w:val="(%1)"/>
      <w:numFmt w:val="lowerLetter"/>
      <w:start w:val="4"/>
    </w:lvl>
  </w:abstractNum>
  <w:abstractNum w:abstractNumId="60">
    <w:nsid w:val="1EBA5D23"/>
    <w:multiLevelType w:val="hybridMultilevel"/>
    <w:lvl w:ilvl="0">
      <w:lvlJc w:val="left"/>
      <w:lvlText w:val="(%1)"/>
      <w:numFmt w:val="lowerLetter"/>
      <w:start w:val="6"/>
    </w:lvl>
  </w:abstractNum>
  <w:abstractNum w:abstractNumId="61">
    <w:nsid w:val="661E3F1E"/>
    <w:multiLevelType w:val="hybridMultilevel"/>
    <w:lvl w:ilvl="0">
      <w:lvlJc w:val="left"/>
      <w:lvlText w:val="%1"/>
      <w:numFmt w:val="lowerLetter"/>
      <w:start w:val="1"/>
    </w:lvl>
    <w:lvl w:ilvl="1">
      <w:lvlJc w:val="left"/>
      <w:lvlText w:val="(%2)"/>
      <w:numFmt w:val="lowerLetter"/>
      <w:start w:val="9"/>
    </w:lvl>
  </w:abstractNum>
  <w:abstractNum w:abstractNumId="62">
    <w:nsid w:val="5DC79EA8"/>
    <w:multiLevelType w:val="hybridMultilevel"/>
    <w:lvl w:ilvl="0">
      <w:lvlJc w:val="left"/>
      <w:lvlText w:val="(%1)"/>
      <w:numFmt w:val="lowerLetter"/>
      <w:start w:val="26"/>
    </w:lvl>
    <w:lvl w:ilvl="1">
      <w:lvlJc w:val="left"/>
      <w:lvlText w:val="%2"/>
      <w:numFmt w:val="lowerLetter"/>
      <w:start w:val="1"/>
    </w:lvl>
  </w:abstractNum>
  <w:abstractNum w:abstractNumId="63">
    <w:nsid w:val="540A471C"/>
    <w:multiLevelType w:val="hybridMultilevel"/>
    <w:lvl w:ilvl="0">
      <w:lvlJc w:val="left"/>
      <w:lvlText w:val="%1."/>
      <w:numFmt w:val="decimal"/>
      <w:start w:val="11"/>
    </w:lvl>
  </w:abstractNum>
  <w:abstractNum w:abstractNumId="64">
    <w:nsid w:val="7BD3EE7B"/>
    <w:multiLevelType w:val="hybridMultilevel"/>
    <w:lvl w:ilvl="0">
      <w:lvlJc w:val="left"/>
      <w:lvlText w:val="%1."/>
      <w:numFmt w:val="decimal"/>
      <w:start w:val="13"/>
    </w:lvl>
  </w:abstractNum>
  <w:abstractNum w:abstractNumId="65">
    <w:nsid w:val="51D9C564"/>
    <w:multiLevelType w:val="hybridMultilevel"/>
    <w:lvl w:ilvl="0">
      <w:lvlJc w:val="left"/>
      <w:lvlText w:val="%1."/>
      <w:numFmt w:val="decimal"/>
      <w:start w:val="15"/>
    </w:lvl>
  </w:abstractNum>
  <w:abstractNum w:abstractNumId="66">
    <w:nsid w:val="613EFDC5"/>
    <w:multiLevelType w:val="hybridMultilevel"/>
    <w:lvl w:ilvl="0">
      <w:lvlJc w:val="left"/>
      <w:lvlText w:val="%1."/>
      <w:numFmt w:val="decimal"/>
      <w:start w:val="21"/>
    </w:lvl>
  </w:abstractNum>
  <w:abstractNum w:abstractNumId="67">
    <w:nsid w:val="BF72B14"/>
    <w:multiLevelType w:val="hybridMultilevel"/>
    <w:lvl w:ilvl="0">
      <w:lvlJc w:val="left"/>
      <w:lvlText w:val="%1."/>
      <w:numFmt w:val="decimal"/>
      <w:start w:val="24"/>
    </w:lvl>
    <w:lvl w:ilvl="1">
      <w:lvlJc w:val="left"/>
      <w:lvlText w:val="(%2)"/>
      <w:numFmt w:val="lowerLetter"/>
      <w:start w:val="1"/>
    </w:lvl>
  </w:abstractNum>
  <w:abstractNum w:abstractNumId="68">
    <w:nsid w:val="11447B73"/>
    <w:multiLevelType w:val="hybridMultilevel"/>
    <w:lvl w:ilvl="0">
      <w:lvlJc w:val="left"/>
      <w:lvlText w:val="%1"/>
      <w:numFmt w:val="decimal"/>
      <w:start w:val="1"/>
    </w:lvl>
    <w:lvl w:ilvl="1">
      <w:lvlJc w:val="left"/>
      <w:lvlText w:val="(%2)"/>
      <w:numFmt w:val="lowerLetter"/>
      <w:start w:val="4"/>
    </w:lvl>
  </w:abstractNum>
  <w:abstractNum w:abstractNumId="69">
    <w:nsid w:val="42963E5A"/>
    <w:multiLevelType w:val="hybridMultilevel"/>
    <w:lvl w:ilvl="0">
      <w:lvlJc w:val="left"/>
      <w:lvlText w:val="%1."/>
      <w:numFmt w:val="decimal"/>
      <w:start w:val="25"/>
    </w:lvl>
    <w:lvl w:ilvl="1">
      <w:lvlJc w:val="left"/>
      <w:lvlText w:val="(%2)"/>
      <w:numFmt w:val="lowerLetter"/>
      <w:start w:val="1"/>
    </w:lvl>
  </w:abstractNum>
  <w:abstractNum w:abstractNumId="70">
    <w:nsid w:val="A0382C5"/>
    <w:multiLevelType w:val="hybridMultilevel"/>
    <w:lvl w:ilvl="0">
      <w:lvlJc w:val="left"/>
      <w:lvlText w:val="(%1)"/>
      <w:numFmt w:val="lowerLetter"/>
      <w:start w:val="3"/>
    </w:lvl>
    <w:lvl w:ilvl="1">
      <w:lvlJc w:val="left"/>
      <w:lvlText w:val="(%2)"/>
      <w:numFmt w:val="lowerRoman"/>
      <w:start w:val="1"/>
    </w:lvl>
  </w:abstractNum>
  <w:abstractNum w:abstractNumId="71">
    <w:nsid w:val="8F2B15E"/>
    <w:multiLevelType w:val="hybridMultilevel"/>
    <w:lvl w:ilvl="0">
      <w:lvlJc w:val="left"/>
      <w:lvlText w:val="(%1)"/>
      <w:numFmt w:val="lowerLetter"/>
      <w:start w:val="4"/>
    </w:lvl>
  </w:abstractNum>
  <w:abstractNum w:abstractNumId="72">
    <w:nsid w:val="1A32234B"/>
    <w:multiLevelType w:val="hybridMultilevel"/>
    <w:lvl w:ilvl="0">
      <w:lvlJc w:val="left"/>
      <w:lvlText w:val="(%1)"/>
      <w:numFmt w:val="lowerLetter"/>
      <w:start w:val="5"/>
    </w:lvl>
  </w:abstractNum>
  <w:abstractNum w:abstractNumId="73">
    <w:nsid w:val="3B0FD379"/>
    <w:multiLevelType w:val="hybridMultilevel"/>
    <w:lvl w:ilvl="0">
      <w:lvlJc w:val="left"/>
      <w:lvlText w:val="%1"/>
      <w:numFmt w:val="decimal"/>
      <w:start w:val="1"/>
    </w:lvl>
    <w:lvl w:ilvl="1">
      <w:lvlJc w:val="left"/>
      <w:lvlText w:val="(%2)"/>
      <w:numFmt w:val="lowerLetter"/>
      <w:start w:val="9"/>
    </w:lvl>
  </w:abstractNum>
  <w:abstractNum w:abstractNumId="74">
    <w:nsid w:val="68EB2F63"/>
    <w:multiLevelType w:val="hybridMultilevel"/>
    <w:lvl w:ilvl="0">
      <w:lvlJc w:val="left"/>
      <w:lvlText w:val="(%1)"/>
      <w:numFmt w:val="decimal"/>
      <w:start w:val="24"/>
    </w:lvl>
    <w:lvl w:ilvl="1">
      <w:lvlJc w:val="left"/>
      <w:lvlText w:val="(%2)"/>
      <w:numFmt w:val="lowerLetter"/>
      <w:start w:val="1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3"/>
    </w:lvl>
  </w:abstractNum>
  <w:abstractNum w:abstractNumId="77">
    <w:nsid w:val="6A5EE64"/>
    <w:multiLevelType w:val="hybridMultilevel"/>
    <w:lvl w:ilvl="0">
      <w:lvlJc w:val="left"/>
      <w:lvlText w:val="%1."/>
      <w:numFmt w:val="decimal"/>
      <w:start w:val="7"/>
    </w:lvl>
  </w:abstractNum>
  <w:abstractNum w:abstractNumId="78">
    <w:nsid w:val="14330624"/>
    <w:multiLevelType w:val="hybridMultilevel"/>
    <w:lvl w:ilvl="0">
      <w:lvlJc w:val="left"/>
      <w:lvlText w:val="%1."/>
      <w:numFmt w:val="decimal"/>
      <w:start w:val="13"/>
    </w:lvl>
  </w:abstractNum>
  <w:abstractNum w:abstractNumId="79">
    <w:nsid w:val="7FFFCA11"/>
    <w:multiLevelType w:val="hybridMultilevel"/>
    <w:lvl w:ilvl="0">
      <w:lvlJc w:val="left"/>
      <w:lvlText w:val="(%1)"/>
      <w:numFmt w:val="lowerRoman"/>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31" Type="http://schemas.openxmlformats.org/officeDocument/2006/relationships/image" Target="media/image67.png"/><Relationship Id="rId132" Type="http://schemas.openxmlformats.org/officeDocument/2006/relationships/image" Target="media/image68.png"/><Relationship Id="rId142" Type="http://schemas.openxmlformats.org/officeDocument/2006/relationships/image" Target="media/image69.png"/><Relationship Id="rId143" Type="http://schemas.openxmlformats.org/officeDocument/2006/relationships/image" Target="media/image70.png"/><Relationship Id="rId144" Type="http://schemas.openxmlformats.org/officeDocument/2006/relationships/image" Target="media/image71.png"/><Relationship Id="rId155" Type="http://schemas.openxmlformats.org/officeDocument/2006/relationships/image" Target="media/image72.png"/><Relationship Id="rId156" Type="http://schemas.openxmlformats.org/officeDocument/2006/relationships/image" Target="media/image73.png"/><Relationship Id="rId157" Type="http://schemas.openxmlformats.org/officeDocument/2006/relationships/image" Target="media/image74.png"/><Relationship Id="rId174" Type="http://schemas.openxmlformats.org/officeDocument/2006/relationships/image" Target="media/image75.png"/><Relationship Id="rId175" Type="http://schemas.openxmlformats.org/officeDocument/2006/relationships/image" Target="media/image76.png"/><Relationship Id="rId176" Type="http://schemas.openxmlformats.org/officeDocument/2006/relationships/image" Target="media/image77.png"/><Relationship Id="rId177" Type="http://schemas.openxmlformats.org/officeDocument/2006/relationships/image" Target="media/image78.png"/><Relationship Id="rId178" Type="http://schemas.openxmlformats.org/officeDocument/2006/relationships/image" Target="media/image79.png"/><Relationship Id="rId179" Type="http://schemas.openxmlformats.org/officeDocument/2006/relationships/image" Target="media/image80.png"/><Relationship Id="rId180" Type="http://schemas.openxmlformats.org/officeDocument/2006/relationships/image" Target="media/image81.png"/><Relationship Id="rId181" Type="http://schemas.openxmlformats.org/officeDocument/2006/relationships/image" Target="media/image82.png"/><Relationship Id="rId182" Type="http://schemas.openxmlformats.org/officeDocument/2006/relationships/image" Target="media/image83.png"/><Relationship Id="rId183" Type="http://schemas.openxmlformats.org/officeDocument/2006/relationships/image" Target="media/image84.png"/><Relationship Id="rId184" Type="http://schemas.openxmlformats.org/officeDocument/2006/relationships/image" Target="media/image85.png"/><Relationship Id="rId185" Type="http://schemas.openxmlformats.org/officeDocument/2006/relationships/image" Target="media/image86.png"/><Relationship Id="rId186" Type="http://schemas.openxmlformats.org/officeDocument/2006/relationships/image" Target="media/image87.png"/><Relationship Id="rId187" Type="http://schemas.openxmlformats.org/officeDocument/2006/relationships/image" Target="media/image88.png"/><Relationship Id="rId188" Type="http://schemas.openxmlformats.org/officeDocument/2006/relationships/image" Target="media/image89.png"/><Relationship Id="rId189" Type="http://schemas.openxmlformats.org/officeDocument/2006/relationships/image" Target="media/image90.png"/><Relationship Id="rId190" Type="http://schemas.openxmlformats.org/officeDocument/2006/relationships/image" Target="media/image91.png"/><Relationship Id="rId191" Type="http://schemas.openxmlformats.org/officeDocument/2006/relationships/image" Target="media/image92.png"/><Relationship Id="rId192" Type="http://schemas.openxmlformats.org/officeDocument/2006/relationships/image" Target="media/image93.png"/><Relationship Id="rId193" Type="http://schemas.openxmlformats.org/officeDocument/2006/relationships/image" Target="media/image94.png"/><Relationship Id="rId194" Type="http://schemas.openxmlformats.org/officeDocument/2006/relationships/image" Target="media/image95.png"/><Relationship Id="rId195" Type="http://schemas.openxmlformats.org/officeDocument/2006/relationships/image" Target="media/image96.png"/><Relationship Id="rId196" Type="http://schemas.openxmlformats.org/officeDocument/2006/relationships/image" Target="media/image97.png"/><Relationship Id="rId197" Type="http://schemas.openxmlformats.org/officeDocument/2006/relationships/image" Target="media/image98.png"/><Relationship Id="rId198" Type="http://schemas.openxmlformats.org/officeDocument/2006/relationships/image" Target="media/image99.png"/><Relationship Id="rId199" Type="http://schemas.openxmlformats.org/officeDocument/2006/relationships/image" Target="media/image100.png"/><Relationship Id="rId200" Type="http://schemas.openxmlformats.org/officeDocument/2006/relationships/image" Target="media/image101.png"/><Relationship Id="rId201" Type="http://schemas.openxmlformats.org/officeDocument/2006/relationships/image" Target="media/image102.png"/><Relationship Id="rId202" Type="http://schemas.openxmlformats.org/officeDocument/2006/relationships/image" Target="media/image103.png"/><Relationship Id="rId203" Type="http://schemas.openxmlformats.org/officeDocument/2006/relationships/image" Target="media/image104.png"/><Relationship Id="rId204" Type="http://schemas.openxmlformats.org/officeDocument/2006/relationships/image" Target="media/image105.png"/><Relationship Id="rId205" Type="http://schemas.openxmlformats.org/officeDocument/2006/relationships/image" Target="media/image106.png"/><Relationship Id="rId206" Type="http://schemas.openxmlformats.org/officeDocument/2006/relationships/image" Target="media/image107.png"/><Relationship Id="rId207" Type="http://schemas.openxmlformats.org/officeDocument/2006/relationships/image" Target="media/image108.png"/><Relationship Id="rId208" Type="http://schemas.openxmlformats.org/officeDocument/2006/relationships/image" Target="media/image109.png"/><Relationship Id="rId209" Type="http://schemas.openxmlformats.org/officeDocument/2006/relationships/image" Target="media/image110.png"/><Relationship Id="rId210" Type="http://schemas.openxmlformats.org/officeDocument/2006/relationships/image" Target="media/image111.png"/><Relationship Id="rId211" Type="http://schemas.openxmlformats.org/officeDocument/2006/relationships/image" Target="media/image112.png"/><Relationship Id="rId212" Type="http://schemas.openxmlformats.org/officeDocument/2006/relationships/image" Target="media/image113.png"/><Relationship Id="rId213" Type="http://schemas.openxmlformats.org/officeDocument/2006/relationships/image" Target="media/image114.png"/><Relationship Id="rId214" Type="http://schemas.openxmlformats.org/officeDocument/2006/relationships/image" Target="media/image115.png"/><Relationship Id="rId215" Type="http://schemas.openxmlformats.org/officeDocument/2006/relationships/image" Target="media/image116.png"/><Relationship Id="rId216" Type="http://schemas.openxmlformats.org/officeDocument/2006/relationships/image" Target="media/image117.png"/><Relationship Id="rId217" Type="http://schemas.openxmlformats.org/officeDocument/2006/relationships/image" Target="media/image118.png"/><Relationship Id="rId218" Type="http://schemas.openxmlformats.org/officeDocument/2006/relationships/image" Target="media/image119.png"/><Relationship Id="rId219" Type="http://schemas.openxmlformats.org/officeDocument/2006/relationships/image" Target="media/image120.png"/><Relationship Id="rId220" Type="http://schemas.openxmlformats.org/officeDocument/2006/relationships/image" Target="media/image121.png"/><Relationship Id="rId221" Type="http://schemas.openxmlformats.org/officeDocument/2006/relationships/image" Target="media/image122.png"/><Relationship Id="rId222" Type="http://schemas.openxmlformats.org/officeDocument/2006/relationships/image" Target="media/image123.png"/><Relationship Id="rId223" Type="http://schemas.openxmlformats.org/officeDocument/2006/relationships/image" Target="media/image124.png"/><Relationship Id="rId224" Type="http://schemas.openxmlformats.org/officeDocument/2006/relationships/image" Target="media/image125.png"/><Relationship Id="rId225" Type="http://schemas.openxmlformats.org/officeDocument/2006/relationships/image" Target="media/image126.png"/><Relationship Id="rId226" Type="http://schemas.openxmlformats.org/officeDocument/2006/relationships/image" Target="media/image127.png"/><Relationship Id="rId227" Type="http://schemas.openxmlformats.org/officeDocument/2006/relationships/image" Target="media/image128.png"/><Relationship Id="rId228" Type="http://schemas.openxmlformats.org/officeDocument/2006/relationships/image" Target="media/image129.png"/><Relationship Id="rId229" Type="http://schemas.openxmlformats.org/officeDocument/2006/relationships/image" Target="media/image130.png"/><Relationship Id="rId230" Type="http://schemas.openxmlformats.org/officeDocument/2006/relationships/image" Target="media/image131.png"/><Relationship Id="rId231" Type="http://schemas.openxmlformats.org/officeDocument/2006/relationships/image" Target="media/image132.png"/><Relationship Id="rId232" Type="http://schemas.openxmlformats.org/officeDocument/2006/relationships/image" Target="media/image133.png"/><Relationship Id="rId233" Type="http://schemas.openxmlformats.org/officeDocument/2006/relationships/image" Target="media/image134.png"/><Relationship Id="rId234" Type="http://schemas.openxmlformats.org/officeDocument/2006/relationships/image" Target="media/image135.png"/><Relationship Id="rId235" Type="http://schemas.openxmlformats.org/officeDocument/2006/relationships/image" Target="media/image136.png"/><Relationship Id="rId236" Type="http://schemas.openxmlformats.org/officeDocument/2006/relationships/image" Target="media/image137.png"/><Relationship Id="rId237" Type="http://schemas.openxmlformats.org/officeDocument/2006/relationships/image" Target="media/image138.png"/><Relationship Id="rId238" Type="http://schemas.openxmlformats.org/officeDocument/2006/relationships/image" Target="media/image139.png"/><Relationship Id="rId239" Type="http://schemas.openxmlformats.org/officeDocument/2006/relationships/image" Target="media/image140.png"/><Relationship Id="rId240" Type="http://schemas.openxmlformats.org/officeDocument/2006/relationships/image" Target="media/image141.png"/><Relationship Id="rId241" Type="http://schemas.openxmlformats.org/officeDocument/2006/relationships/image" Target="media/image142.png"/><Relationship Id="rId242" Type="http://schemas.openxmlformats.org/officeDocument/2006/relationships/image" Target="media/image143.png"/><Relationship Id="rId243" Type="http://schemas.openxmlformats.org/officeDocument/2006/relationships/image" Target="media/image144.png"/><Relationship Id="rId244" Type="http://schemas.openxmlformats.org/officeDocument/2006/relationships/image" Target="media/image145.png"/><Relationship Id="rId245" Type="http://schemas.openxmlformats.org/officeDocument/2006/relationships/image" Target="media/image146.png"/><Relationship Id="rId246" Type="http://schemas.openxmlformats.org/officeDocument/2006/relationships/image" Target="media/image147.png"/><Relationship Id="rId247" Type="http://schemas.openxmlformats.org/officeDocument/2006/relationships/image" Target="media/image148.png"/><Relationship Id="rId248" Type="http://schemas.openxmlformats.org/officeDocument/2006/relationships/image" Target="media/image149.png"/><Relationship Id="rId249" Type="http://schemas.openxmlformats.org/officeDocument/2006/relationships/image" Target="media/image150.png"/><Relationship Id="rId250" Type="http://schemas.openxmlformats.org/officeDocument/2006/relationships/image" Target="media/image151.png"/><Relationship Id="rId251" Type="http://schemas.openxmlformats.org/officeDocument/2006/relationships/image" Target="media/image152.png"/><Relationship Id="rId252" Type="http://schemas.openxmlformats.org/officeDocument/2006/relationships/image" Target="media/image153.png"/><Relationship Id="rId253" Type="http://schemas.openxmlformats.org/officeDocument/2006/relationships/image" Target="media/image154.png"/><Relationship Id="rId254" Type="http://schemas.openxmlformats.org/officeDocument/2006/relationships/image" Target="media/image155.png"/><Relationship Id="rId255" Type="http://schemas.openxmlformats.org/officeDocument/2006/relationships/image" Target="media/image156.png"/><Relationship Id="rId256" Type="http://schemas.openxmlformats.org/officeDocument/2006/relationships/image" Target="media/image157.png"/><Relationship Id="rId257" Type="http://schemas.openxmlformats.org/officeDocument/2006/relationships/image" Target="media/image158.png"/><Relationship Id="rId258" Type="http://schemas.openxmlformats.org/officeDocument/2006/relationships/image" Target="media/image159.png"/><Relationship Id="rId259" Type="http://schemas.openxmlformats.org/officeDocument/2006/relationships/image" Target="media/image160.png"/><Relationship Id="rId260" Type="http://schemas.openxmlformats.org/officeDocument/2006/relationships/image" Target="media/image161.png"/><Relationship Id="rId261" Type="http://schemas.openxmlformats.org/officeDocument/2006/relationships/image" Target="media/image162.png"/><Relationship Id="rId262" Type="http://schemas.openxmlformats.org/officeDocument/2006/relationships/image" Target="media/image163.png"/><Relationship Id="rId263" Type="http://schemas.openxmlformats.org/officeDocument/2006/relationships/image" Target="media/image164.png"/><Relationship Id="rId264" Type="http://schemas.openxmlformats.org/officeDocument/2006/relationships/image" Target="media/image165.png"/><Relationship Id="rId265" Type="http://schemas.openxmlformats.org/officeDocument/2006/relationships/image" Target="media/image166.png"/><Relationship Id="rId266" Type="http://schemas.openxmlformats.org/officeDocument/2006/relationships/image" Target="media/image167.png"/><Relationship Id="rId267" Type="http://schemas.openxmlformats.org/officeDocument/2006/relationships/image" Target="media/image168.png"/><Relationship Id="rId65" Type="http://schemas.openxmlformats.org/officeDocument/2006/relationships/hyperlink" Target="http://www.sec.gov/Archives/edgar/data/60714/000119312513084410/d447083dex3i1.htm" TargetMode="External"/><Relationship Id="rId66" Type="http://schemas.openxmlformats.org/officeDocument/2006/relationships/hyperlink" Target="http://www.sec.gov/Archives/edgar/data/60714/000119312514323405/d781455dex3ii.htm" TargetMode="External"/><Relationship Id="rId67" Type="http://schemas.openxmlformats.org/officeDocument/2006/relationships/hyperlink" Target="http://www.sec.gov/Archives/edgar/data/60714/000119312515161375/d918969dex3ii.htm" TargetMode="External"/><Relationship Id="rId68" Type="http://schemas.openxmlformats.org/officeDocument/2006/relationships/hyperlink" Target="http://www.sec.gov/Archives/edgar/data/60714/000119312515397856/d22963dex3ii.htm" TargetMode="External"/><Relationship Id="rId69" Type="http://schemas.openxmlformats.org/officeDocument/2006/relationships/hyperlink" Target="http://www.sec.gov/Archives/edgar/data/60714/000119312515415325/d102136dex3ii.htm" TargetMode="External"/><Relationship Id="rId70" Type="http://schemas.openxmlformats.org/officeDocument/2006/relationships/hyperlink" Target="http://www.sec.gov/Archives/edgar/data/60714/000006071411000006/ex43.htm" TargetMode="External"/><Relationship Id="rId71" Type="http://schemas.openxmlformats.org/officeDocument/2006/relationships/hyperlink" Target="http://www.sec.gov/Archives/edgar/data/60714/000119312512474073/d440760dex43.htm" TargetMode="External"/><Relationship Id="rId72" Type="http://schemas.openxmlformats.org/officeDocument/2006/relationships/hyperlink" Target="http://www.sec.gov/Archives/edgar/data/60714/000119312515397856/d22963dex41.htm" TargetMode="External"/><Relationship Id="rId73" Type="http://schemas.openxmlformats.org/officeDocument/2006/relationships/hyperlink" Target="http://www.sec.gov/Archives/edgar/data/60714/000119312518303142/d635267dex41.htm" TargetMode="External"/><Relationship Id="rId74" Type="http://schemas.openxmlformats.org/officeDocument/2006/relationships/hyperlink" Target="http://www.sec.gov/Archives/edgar/data/60714/000119312518316135/d602126dex41.htm" TargetMode="External"/><Relationship Id="rId75" Type="http://schemas.openxmlformats.org/officeDocument/2006/relationships/hyperlink" Target="http://www.sec.gov/Archives/edgar/data/60714/000119312515397856/d22963dex42.htm" TargetMode="External"/><Relationship Id="rId76" Type="http://schemas.openxmlformats.org/officeDocument/2006/relationships/hyperlink" Target="http://www.sec.gov/Archives/edgar/data/60714/000119312518303142/d635267dex42.htm" TargetMode="External"/><Relationship Id="rId77" Type="http://schemas.openxmlformats.org/officeDocument/2006/relationships/hyperlink" Target="http://www.sec.gov/Archives/edgar/data/60714/000006071408000063/ex_41.htm" TargetMode="External"/><Relationship Id="rId78" Type="http://schemas.openxmlformats.org/officeDocument/2006/relationships/hyperlink" Target="http://www.sec.gov/Archives/edgar/data/60714/000006071408000063/ex_43.htm" TargetMode="External"/><Relationship Id="rId79" Type="http://schemas.openxmlformats.org/officeDocument/2006/relationships/hyperlink" Target="http://www.sec.gov/Archives/edgar/data/60714/000119312515397856/d22963dex43.htm" TargetMode="External"/><Relationship Id="rId80" Type="http://schemas.openxmlformats.org/officeDocument/2006/relationships/hyperlink" Target="http://www.sec.gov/Archives/edgar/data/60714/000119312513332936/d583332dex41.htm" TargetMode="External"/><Relationship Id="rId81" Type="http://schemas.openxmlformats.org/officeDocument/2006/relationships/hyperlink" Target="http://www.sec.gov/Archives/edgar/data/60714/000119312516730637/d169793dex41.htm" TargetMode="External"/><Relationship Id="rId85" Type="http://schemas.openxmlformats.org/officeDocument/2006/relationships/hyperlink" Target="http://www.sec.gov/Archives/edgar/data/60714/000119312513332936/d583332dex991.htm" TargetMode="External"/><Relationship Id="rId86" Type="http://schemas.openxmlformats.org/officeDocument/2006/relationships/hyperlink" Target="http://www.sec.gov/Archives/edgar/data/60714/000119312518131457/d576542dex41.htm" TargetMode="External"/><Relationship Id="rId87" Type="http://schemas.openxmlformats.org/officeDocument/2006/relationships/hyperlink" Target="http://www.sec.gov/Archives/edgar/data/60714/000119312506070789/dex102.htm" TargetMode="External"/><Relationship Id="rId88" Type="http://schemas.openxmlformats.org/officeDocument/2006/relationships/hyperlink" Target="http://www.sec.gov/Archives/edgar/data/60714/000119312514380305/d808481dex992.htm" TargetMode="External"/><Relationship Id="rId89" Type="http://schemas.openxmlformats.org/officeDocument/2006/relationships/hyperlink" Target="http://www.sec.gov/Archives/edgar/data/60714/000119312514233234/d743642dex993.htm" TargetMode="External"/><Relationship Id="rId90" Type="http://schemas.openxmlformats.org/officeDocument/2006/relationships/hyperlink" Target="http://www.sec.gov/Archives/edgar/data/60714/000119312516423656/d108521dex103.htm" TargetMode="External"/><Relationship Id="rId91" Type="http://schemas.openxmlformats.org/officeDocument/2006/relationships/hyperlink" Target="http://www.sec.gov/Archives/edgar/data/60714/000156459016013735/lxu-ex108_1305.htm" TargetMode="External"/><Relationship Id="rId92" Type="http://schemas.openxmlformats.org/officeDocument/2006/relationships/hyperlink" Target="http://www.sec.gov/Archives/edgar/data/60714/000119312516634750/d218339dex48.htm" TargetMode="External"/><Relationship Id="rId93" Type="http://schemas.openxmlformats.org/officeDocument/2006/relationships/hyperlink" Target="http://www.sec.gov/Archives/edgar/data/60714/000119312516634750/d218339dex49.htm" TargetMode="External"/><Relationship Id="rId94" Type="http://schemas.openxmlformats.org/officeDocument/2006/relationships/hyperlink" Target="http://www.sec.gov/Archives/edgar/data/60714/000119312516634750/d218339dex410.htm" TargetMode="External"/><Relationship Id="rId95" Type="http://schemas.openxmlformats.org/officeDocument/2006/relationships/hyperlink" Target="http://www.sec.gov/Archives/edgar/data/60714/000119312516634750/d218339dex411.htm" TargetMode="External"/><Relationship Id="rId96" Type="http://schemas.openxmlformats.org/officeDocument/2006/relationships/hyperlink" Target="http://www.sec.gov/Archives/edgar/data/60714/000119312519000948/d684802dex104.htm" TargetMode="External"/><Relationship Id="rId97" Type="http://schemas.openxmlformats.org/officeDocument/2006/relationships/hyperlink" Target="http://www.sec.gov/Archives/edgar/data/60714/000119312519000948/d684802dex105.htm" TargetMode="External"/><Relationship Id="rId98" Type="http://schemas.openxmlformats.org/officeDocument/2006/relationships/hyperlink" Target="http://www.sec.gov/Archives/edgar/data/60714/000156459019004486/lxu-ex1012_319.htm" TargetMode="External"/><Relationship Id="rId99" Type="http://schemas.openxmlformats.org/officeDocument/2006/relationships/hyperlink" Target="http://www.sec.gov/Archives/edgar/data/60714/000156459018024898/lxu-ex104_465.htm" TargetMode="External"/><Relationship Id="rId100" Type="http://schemas.openxmlformats.org/officeDocument/2006/relationships/hyperlink" Target="http://www.sec.gov/Archives/edgar/data/60714/000119312519000948/d684802dex101.htm" TargetMode="External"/><Relationship Id="rId101" Type="http://schemas.openxmlformats.org/officeDocument/2006/relationships/hyperlink" Target="http://www.sec.gov/Archives/edgar/data/60714/000156459016013735/lxu-ex1017_1306.htm" TargetMode="External"/><Relationship Id="rId102" Type="http://schemas.openxmlformats.org/officeDocument/2006/relationships/hyperlink" Target="http://www.sec.gov/Archives/edgar/data/60714/000119312516423587/d114611dex101.htm" TargetMode="External"/><Relationship Id="rId103" Type="http://schemas.openxmlformats.org/officeDocument/2006/relationships/hyperlink" Target="http://www.sec.gov/Archives/edgar/data/60714/000156459018024898/lxu-ex103_466.htm" TargetMode="External"/><Relationship Id="rId107" Type="http://schemas.openxmlformats.org/officeDocument/2006/relationships/hyperlink" Target="http://www.sec.gov/Archives/edgar/data/60714/000156459019004486/lxu-ex1018_318.htm" TargetMode="External"/><Relationship Id="rId108" Type="http://schemas.openxmlformats.org/officeDocument/2006/relationships/hyperlink" Target="http://www.sec.gov/Archives/edgar/data/60714/000156459019004486/lxu-ex1019_317.htm" TargetMode="External"/><Relationship Id="rId109" Type="http://schemas.openxmlformats.org/officeDocument/2006/relationships/hyperlink" Target="http://www.sec.gov/Archives/edgar/data/60714/000119312516423587/d114611dex102.htm" TargetMode="External"/><Relationship Id="rId110" Type="http://schemas.openxmlformats.org/officeDocument/2006/relationships/hyperlink" Target="http://www.sec.gov/Archives/edgar/data/60714/000156459016013735/lxu-ex1025_1714.htm" TargetMode="External"/><Relationship Id="rId111" Type="http://schemas.openxmlformats.org/officeDocument/2006/relationships/hyperlink" Target="http://www.sec.gov/Archives/edgar/data/60714/000156459018024898/lxu-ex105_464.htm" TargetMode="External"/><Relationship Id="rId112" Type="http://schemas.openxmlformats.org/officeDocument/2006/relationships/hyperlink" Target="http://www.sec.gov/Archives/edgar/data/60714/000156459019004486/lxu-ex1023_316.htm" TargetMode="External"/><Relationship Id="rId113" Type="http://schemas.openxmlformats.org/officeDocument/2006/relationships/hyperlink" Target="http://www.sec.gov/Archives/edgar/data/60714/000119312519000948/d684802dex103.htm" TargetMode="External"/><Relationship Id="rId114" Type="http://schemas.openxmlformats.org/officeDocument/2006/relationships/hyperlink" Target="http://www.sec.gov/Archives/edgar/data/60714/000156459016013735/lxu-ex1026_1304.htm" TargetMode="External"/><Relationship Id="rId115" Type="http://schemas.openxmlformats.org/officeDocument/2006/relationships/hyperlink" Target="http://www.sec.gov/Archives/edgar/data/60714/000119312516478483/d150144dex101.htm" TargetMode="External"/><Relationship Id="rId116" Type="http://schemas.openxmlformats.org/officeDocument/2006/relationships/hyperlink" Target="http://www.sec.gov/Archives/edgar/data/60714/000119312516668250/d235105dex101.htm" TargetMode="External"/><Relationship Id="rId117" Type="http://schemas.openxmlformats.org/officeDocument/2006/relationships/hyperlink" Target="http://www.sec.gov/Archives/edgar/data/60714/000119312519036251/d683551dex101.htm" TargetMode="External"/><Relationship Id="rId118" Type="http://schemas.openxmlformats.org/officeDocument/2006/relationships/hyperlink" Target="http://www.sec.gov/Archives/edgar/data/60714/000119312519000948/d684802dex102.htm" TargetMode="External"/><Relationship Id="rId119" Type="http://schemas.openxmlformats.org/officeDocument/2006/relationships/hyperlink" Target="http://www.sec.gov/Archives/edgar/data/60714/000156459016013735/lxu-ex1028_2726.htm" TargetMode="External"/><Relationship Id="rId120" Type="http://schemas.openxmlformats.org/officeDocument/2006/relationships/hyperlink" Target="http://www.sec.gov/Archives/edgar/data/60714/000119312515346822/d84269dex101.htm" TargetMode="External"/><Relationship Id="rId121" Type="http://schemas.openxmlformats.org/officeDocument/2006/relationships/hyperlink" Target="http://www.sec.gov/Archives/edgar/data/60714/000119312515346822/d84269dex102.htm" TargetMode="External"/><Relationship Id="rId122" Type="http://schemas.openxmlformats.org/officeDocument/2006/relationships/hyperlink" Target="http://www.sec.gov/Archives/edgar/data/60714/000119312515397856/d22963dex105.htm" TargetMode="External"/><Relationship Id="rId126" Type="http://schemas.openxmlformats.org/officeDocument/2006/relationships/hyperlink" Target="http://www.sec.gov/Archives/edgar/data/60714/000006071408000052/ex_101.htm" TargetMode="External"/><Relationship Id="rId127" Type="http://schemas.openxmlformats.org/officeDocument/2006/relationships/hyperlink" Target="http://www.sec.gov/Archives/edgar/data/60714/000006071410000017/ex_102.htm" TargetMode="External"/><Relationship Id="rId128" Type="http://schemas.openxmlformats.org/officeDocument/2006/relationships/hyperlink" Target="http://www.sec.gov/Archives/edgar/data/60714/000119312513327258/d537679dex103.htm" TargetMode="External"/><Relationship Id="rId129" Type="http://schemas.openxmlformats.org/officeDocument/2006/relationships/hyperlink" Target="http://www.sec.gov/Archives/edgar/data/60714/000006071402000055/lsb8kex21.htm" TargetMode="External"/><Relationship Id="rId130" Type="http://schemas.openxmlformats.org/officeDocument/2006/relationships/hyperlink" Target="http://www.sec.gov/Archives/edgar/data/60714/000006071410000017/ex_101b.htm" TargetMode="External"/><Relationship Id="rId133" Type="http://schemas.openxmlformats.org/officeDocument/2006/relationships/hyperlink" Target="http://www.sec.gov/Archives/edgar/data/60714/000156459016013735/lxu-ex1049_2728.htm" TargetMode="External"/><Relationship Id="rId134" Type="http://schemas.openxmlformats.org/officeDocument/2006/relationships/hyperlink" Target="http://www.sec.gov/Archives/edgar/data/60714/000156459019038411/lxu-ex101_97.htm" TargetMode="External"/><Relationship Id="rId135" Type="http://schemas.openxmlformats.org/officeDocument/2006/relationships/hyperlink" Target="http://www.sec.gov/Archives/edgar/data/60714/000156459016023298/lxu-ex101_952.htm" TargetMode="External"/><Relationship Id="rId136" Type="http://schemas.openxmlformats.org/officeDocument/2006/relationships/hyperlink" Target="http://www.sec.gov/Archives/edgar/data/60714/000119312516589507/d158530dex101.htm" TargetMode="External"/><Relationship Id="rId137" Type="http://schemas.openxmlformats.org/officeDocument/2006/relationships/hyperlink" Target="http://www.sec.gov/Archives/edgar/data/60714/000119312512493957/d450320dex992.htm" TargetMode="External"/><Relationship Id="rId138" Type="http://schemas.openxmlformats.org/officeDocument/2006/relationships/hyperlink" Target="http://www.sec.gov/Archives/edgar/data/60714/000119312513336457/d584968dex101.htm" TargetMode="External"/><Relationship Id="rId139" Type="http://schemas.openxmlformats.org/officeDocument/2006/relationships/hyperlink" Target="http://www.sec.gov/Archives/edgar/data/60714/000119312513437582/d624909dex991.htm" TargetMode="External"/><Relationship Id="rId140" Type="http://schemas.openxmlformats.org/officeDocument/2006/relationships/hyperlink" Target="http://www.sec.gov/Archives/edgar/data/60714/000119312513437582/d624909dex992.htm" TargetMode="External"/><Relationship Id="rId141" Type="http://schemas.openxmlformats.org/officeDocument/2006/relationships/hyperlink" Target="http://www.sec.gov/Archives/edgar/data/60714/000119312514003788/d654209dex991.htm" TargetMode="External"/><Relationship Id="rId145" Type="http://schemas.openxmlformats.org/officeDocument/2006/relationships/hyperlink" Target="http://www.sec.gov/Archives/edgar/data/60714/000119312515352882/d70894dex101.htm" TargetMode="External"/><Relationship Id="rId146" Type="http://schemas.openxmlformats.org/officeDocument/2006/relationships/hyperlink" Target="http://www.sec.gov/Archives/edgar/data/60714/000119312515161375/d918969dex991.htm" TargetMode="External"/><Relationship Id="rId147" Type="http://schemas.openxmlformats.org/officeDocument/2006/relationships/hyperlink" Target="http://www.sec.gov/Archives/edgar/data/60714/000119312514223976/d737274dex991.htm" TargetMode="External"/><Relationship Id="rId148" Type="http://schemas.openxmlformats.org/officeDocument/2006/relationships/hyperlink" Target="http://www.sec.gov/Archives/edgar/data/60714/000119312514070134/d635174dex49.htm" TargetMode="External"/><Relationship Id="rId149" Type="http://schemas.openxmlformats.org/officeDocument/2006/relationships/hyperlink" Target="http://www.sec.gov/Archives/edgar/data/60714/000119312515225851/d943984dex991.htm" TargetMode="External"/><Relationship Id="rId150" Type="http://schemas.openxmlformats.org/officeDocument/2006/relationships/hyperlink" Target="http://www.sec.gov/Archives/edgar/data/60714/000119312515377933/d95941dex103.htm" TargetMode="External"/><Relationship Id="rId151" Type="http://schemas.openxmlformats.org/officeDocument/2006/relationships/hyperlink" Target="http://www.sec.gov/Archives/edgar/data/60714/000119312517014226/d331616dex101.htm" TargetMode="External"/><Relationship Id="rId152" Type="http://schemas.openxmlformats.org/officeDocument/2006/relationships/hyperlink" Target="http://www.sec.gov/Archives/edgar/data/60714/000119312518123715/d572977dex101.htm" TargetMode="External"/><Relationship Id="rId153" Type="http://schemas.openxmlformats.org/officeDocument/2006/relationships/hyperlink" Target="http://www.sec.gov/Archives/edgar/data/60714/000089914019000267/l28210130b.htm" TargetMode="External"/><Relationship Id="rId154" Type="http://schemas.openxmlformats.org/officeDocument/2006/relationships/hyperlink" Target="http://www.sec.gov/Archives/edgar/data/60714/000156459016013735/lxu-ex1072_2228.htm" TargetMode="External"/><Relationship Id="rId158" Type="http://schemas.openxmlformats.org/officeDocument/2006/relationships/hyperlink" Target="http://www.sec.gov/Archives/edgar/data/60714/000156459016013735/lxu-ex1073_2229.htm" TargetMode="External"/><Relationship Id="rId159" Type="http://schemas.openxmlformats.org/officeDocument/2006/relationships/hyperlink" Target="http://www.sec.gov/Archives/edgar/data/60714/000119312515377933/d95941dex101.htm" TargetMode="External"/><Relationship Id="rId160" Type="http://schemas.openxmlformats.org/officeDocument/2006/relationships/hyperlink" Target="http://www.sec.gov/Archives/edgar/data/60714/000119312515377933/d95941dex102.htm" TargetMode="External"/><Relationship Id="rId161" Type="http://schemas.openxmlformats.org/officeDocument/2006/relationships/hyperlink" Target="http://www.sec.gov/Archives/edgar/data/60714/000119312515377933/d95941dex104.htm" TargetMode="External"/><Relationship Id="rId162" Type="http://schemas.openxmlformats.org/officeDocument/2006/relationships/hyperlink" Target="http://www.sec.gov/Archives/edgar/data/60714/000119312518131457/d576542dex101.htm" TargetMode="External"/><Relationship Id="rId163" Type="http://schemas.openxmlformats.org/officeDocument/2006/relationships/hyperlink" Target="http://www.sec.gov/Archives/edgar/data/60714/000119312515377933/d95941dex105.htm" TargetMode="External"/><Relationship Id="rId164" Type="http://schemas.openxmlformats.org/officeDocument/2006/relationships/hyperlink" Target="http://www.sec.gov/Archives/edgar/data/60714/000119312515397856/d22963dex101.htm" TargetMode="External"/><Relationship Id="rId165" Type="http://schemas.openxmlformats.org/officeDocument/2006/relationships/hyperlink" Target="http://www.sec.gov/Archives/edgar/data/60714/000119312515397856/d22963dex102.htm" TargetMode="External"/><Relationship Id="rId166" Type="http://schemas.openxmlformats.org/officeDocument/2006/relationships/hyperlink" Target="http://www.sec.gov/Archives/edgar/data/60714/000119312515397856/d22963dex103.htm" TargetMode="External"/><Relationship Id="rId167" Type="http://schemas.openxmlformats.org/officeDocument/2006/relationships/hyperlink" Target="http://www.sec.gov/Archives/edgar/data/60714/000119312515397856/d22963dex104.htm" TargetMode="External"/><Relationship Id="rId168" Type="http://schemas.openxmlformats.org/officeDocument/2006/relationships/hyperlink" Target="http://www.sec.gov/Archives/edgar/data/60714/000119312516680812/d242514dex101.htm" TargetMode="External"/><Relationship Id="rId169" Type="http://schemas.openxmlformats.org/officeDocument/2006/relationships/hyperlink" Target="http://www.sec.gov/Archives/edgar/data/60714/000119312518303142/d635267dex101.htm" TargetMode="External"/><Relationship Id="rId170" Type="http://schemas.openxmlformats.org/officeDocument/2006/relationships/hyperlink" Target="http://www.sec.gov/Archives/edgar/data/60714/000119312517170269/d384507dex101.htm" TargetMode="External"/><Relationship Id="rId171" Type="http://schemas.openxmlformats.org/officeDocument/2006/relationships/hyperlink" Target="http://www.sec.gov/Archives/edgar/data/60714/000119312517220264/d421413dex101.htm" TargetMode="External"/><Relationship Id="rId172" Type="http://schemas.openxmlformats.org/officeDocument/2006/relationships/hyperlink" Target="http://www.sec.gov/Archives/edgar/data/60714/000119312517325152/d458883dex101.htm" TargetMode="External"/><Relationship Id="rId173" Type="http://schemas.openxmlformats.org/officeDocument/2006/relationships/hyperlink" Target="http://www.sec.gov/Archives/edgar/data/60714/000119312518303142/d6352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2020-02-25T15:15:27Z</dcterms:created>
  <dcterms:modified xsi:type="dcterms:W3CDTF">2020-02-25T15:15:27Z</dcterms:modified>
</cp:coreProperties>
</file>