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92" w:lineRule="exact"/>
        <w:rPr>
          <w:rFonts w:ascii="MS PGothic" w:cs="MS PGothic" w:eastAsia="MS PGothic" w:hAnsi="MS PGothic"/>
          <w:sz w:val="17"/>
          <w:szCs w:val="17"/>
          <w:color w:val="auto"/>
          <w:highlight w:val="black"/>
        </w:rPr>
      </w:pPr>
    </w:p>
    <w:p>
      <w:pPr>
        <w:ind w:left="364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highlight w:val="black"/>
        </w:rPr>
      </w:pPr>
    </w:p>
    <w:p>
      <w:pPr>
        <w:ind w:left="446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LSB INDUSTRIES, INC.</w:t>
      </w:r>
    </w:p>
    <w:p>
      <w:pPr>
        <w:sectPr>
          <w:pgSz w:w="11900" w:h="16838" w:orient="portrait"/>
          <w:cols w:equalWidth="0" w:num="1">
            <w:col w:w="11240"/>
          </w:cols>
          <w:pgMar w:left="320" w:top="544" w:right="339" w:bottom="1440" w:gutter="0" w:footer="0" w:header="0"/>
        </w:sectPr>
      </w:pPr>
    </w:p>
    <w:p>
      <w:pPr>
        <w:spacing w:after="0" w:line="4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15" w:lineRule="exact"/>
        <w:rPr>
          <w:sz w:val="24"/>
          <w:szCs w:val="24"/>
          <w:color w:val="auto"/>
        </w:rPr>
      </w:pPr>
    </w:p>
    <w:p>
      <w:pPr>
        <w:jc w:val="center"/>
        <w:ind w:right="1960"/>
        <w:spacing w:after="0"/>
        <w:rPr>
          <w:sz w:val="20"/>
          <w:szCs w:val="20"/>
          <w:color w:val="auto"/>
        </w:rPr>
      </w:pPr>
      <w:r>
        <w:rPr>
          <w:rFonts w:ascii="Arial" w:cs="Arial" w:eastAsia="Arial" w:hAnsi="Arial"/>
          <w:sz w:val="10"/>
          <w:szCs w:val="10"/>
          <w:b w:val="1"/>
          <w:bCs w:val="1"/>
          <w:color w:val="auto"/>
        </w:rPr>
        <w:t>(State of or other Jurisdiction</w:t>
      </w:r>
    </w:p>
    <w:p>
      <w:pPr>
        <w:spacing w:after="0" w:line="20" w:lineRule="exact"/>
        <w:rPr>
          <w:sz w:val="24"/>
          <w:szCs w:val="24"/>
          <w:color w:val="auto"/>
        </w:rPr>
      </w:pPr>
    </w:p>
    <w:p>
      <w:pPr>
        <w:jc w:val="center"/>
        <w:ind w:right="196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73-1015226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 w:lineRule="exact"/>
        <w:rPr>
          <w:sz w:val="24"/>
          <w:szCs w:val="24"/>
          <w:color w:val="auto"/>
        </w:rPr>
      </w:pPr>
    </w:p>
    <w:p>
      <w:pPr>
        <w:sectPr>
          <w:pgSz w:w="11900" w:h="16838" w:orient="portrait"/>
          <w:cols w:equalWidth="0" w:num="2">
            <w:col w:w="7480" w:space="520"/>
            <w:col w:w="3240"/>
          </w:cols>
          <w:pgMar w:left="320" w:top="544" w:right="339" w:bottom="144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4400" w:type="dxa"/>
            <w:vAlign w:val="bottom"/>
            <w:gridSpan w:val="2"/>
          </w:tcPr>
          <w:p>
            <w:pPr>
              <w:jc w:val="center"/>
              <w:ind w:left="1045"/>
              <w:spacing w:after="0" w:line="280" w:lineRule="exact"/>
              <w:rPr>
                <w:sz w:val="20"/>
                <w:szCs w:val="20"/>
                <w:color w:val="auto"/>
              </w:rPr>
            </w:pPr>
            <w:r>
              <w:rPr>
                <w:rFonts w:ascii="Arial" w:cs="Arial" w:eastAsia="Arial" w:hAnsi="Arial"/>
                <w:sz w:val="16"/>
                <w:szCs w:val="16"/>
                <w:b w:val="1"/>
                <w:bCs w:val="1"/>
                <w:color w:val="auto"/>
                <w:w w:val="91"/>
              </w:rPr>
              <w:t>3503 NW 63</w:t>
            </w:r>
            <w:r>
              <w:rPr>
                <w:rFonts w:ascii="Arial" w:cs="Arial" w:eastAsia="Arial" w:hAnsi="Arial"/>
                <w:sz w:val="27"/>
                <w:szCs w:val="27"/>
                <w:b w:val="1"/>
                <w:bCs w:val="1"/>
                <w:color w:val="auto"/>
                <w:w w:val="91"/>
                <w:vertAlign w:val="superscript"/>
              </w:rPr>
              <w:t>rd</w:t>
            </w:r>
            <w:r>
              <w:rPr>
                <w:rFonts w:ascii="Arial" w:cs="Arial" w:eastAsia="Arial" w:hAnsi="Arial"/>
                <w:sz w:val="16"/>
                <w:szCs w:val="16"/>
                <w:b w:val="1"/>
                <w:bCs w:val="1"/>
                <w:color w:val="auto"/>
                <w:w w:val="91"/>
              </w:rPr>
              <w:t xml:space="preserve"> Street, Suite 500,</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98"/>
        </w:trPr>
        <w:tc>
          <w:tcPr>
            <w:tcW w:w="4400" w:type="dxa"/>
            <w:vAlign w:val="bottom"/>
            <w:gridSpan w:val="2"/>
          </w:tcPr>
          <w:p>
            <w:pPr>
              <w:jc w:val="center"/>
              <w:ind w:left="1045"/>
              <w:spacing w:after="0"/>
              <w:rPr>
                <w:sz w:val="20"/>
                <w:szCs w:val="20"/>
                <w:color w:val="auto"/>
              </w:rPr>
            </w:pPr>
            <w:r>
              <w:rPr>
                <w:rFonts w:ascii="Arial" w:cs="Arial" w:eastAsia="Arial" w:hAnsi="Arial"/>
                <w:sz w:val="16"/>
                <w:szCs w:val="16"/>
                <w:b w:val="1"/>
                <w:bCs w:val="1"/>
                <w:color w:val="auto"/>
                <w:w w:val="94"/>
              </w:rPr>
              <w:t>Oklahoma City, Oklahoma</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560" w:type="dxa"/>
            <w:vAlign w:val="bottom"/>
          </w:tcPr>
          <w:p>
            <w:pPr>
              <w:jc w:val="right"/>
              <w:ind w:right="2467"/>
              <w:spacing w:after="0"/>
              <w:rPr>
                <w:sz w:val="20"/>
                <w:szCs w:val="20"/>
                <w:color w:val="auto"/>
              </w:rPr>
            </w:pPr>
            <w:r>
              <w:rPr>
                <w:rFonts w:ascii="Arial" w:cs="Arial" w:eastAsia="Arial" w:hAnsi="Arial"/>
                <w:sz w:val="16"/>
                <w:szCs w:val="16"/>
                <w:b w:val="1"/>
                <w:bCs w:val="1"/>
                <w:color w:val="auto"/>
              </w:rPr>
              <w:t>73116</w:t>
            </w:r>
          </w:p>
        </w:tc>
      </w:tr>
      <w:tr>
        <w:trPr>
          <w:trHeight w:val="164"/>
        </w:trPr>
        <w:tc>
          <w:tcPr>
            <w:tcW w:w="4400" w:type="dxa"/>
            <w:vAlign w:val="bottom"/>
            <w:gridSpan w:val="2"/>
          </w:tcPr>
          <w:p>
            <w:pPr>
              <w:jc w:val="center"/>
              <w:ind w:left="1045"/>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60" w:type="dxa"/>
            <w:vAlign w:val="bottom"/>
          </w:tcPr>
          <w:p>
            <w:pPr>
              <w:jc w:val="center"/>
              <w:ind w:right="1867"/>
              <w:spacing w:after="0"/>
              <w:rPr>
                <w:sz w:val="20"/>
                <w:szCs w:val="20"/>
                <w:color w:val="auto"/>
              </w:rPr>
            </w:pPr>
            <w:r>
              <w:rPr>
                <w:rFonts w:ascii="Arial" w:cs="Arial" w:eastAsia="Arial" w:hAnsi="Arial"/>
                <w:sz w:val="13"/>
                <w:szCs w:val="13"/>
                <w:b w:val="1"/>
                <w:bCs w:val="1"/>
                <w:color w:val="auto"/>
                <w:w w:val="90"/>
              </w:rPr>
              <w:t>(Zip Code)</w:t>
            </w:r>
          </w:p>
        </w:tc>
      </w:tr>
      <w:tr>
        <w:trPr>
          <w:trHeight w:val="239"/>
        </w:trPr>
        <w:tc>
          <w:tcPr>
            <w:tcW w:w="11240" w:type="dxa"/>
            <w:vAlign w:val="bottom"/>
            <w:gridSpan w:val="7"/>
          </w:tcPr>
          <w:p>
            <w:pPr>
              <w:ind w:left="3220"/>
              <w:spacing w:after="0"/>
              <w:rPr>
                <w:sz w:val="20"/>
                <w:szCs w:val="20"/>
                <w:color w:val="auto"/>
              </w:rPr>
            </w:pPr>
            <w:r>
              <w:rPr>
                <w:rFonts w:ascii="Arial" w:cs="Arial" w:eastAsia="Arial" w:hAnsi="Arial"/>
                <w:sz w:val="16"/>
                <w:szCs w:val="16"/>
                <w:b w:val="1"/>
                <w:bCs w:val="1"/>
                <w:color w:val="auto"/>
              </w:rPr>
              <w:t>Registrant's Telephone Number, Including Area Code: (405) 235-4546</w:t>
            </w:r>
          </w:p>
        </w:tc>
      </w:tr>
      <w:tr>
        <w:trPr>
          <w:trHeight w:val="241"/>
        </w:trPr>
        <w:tc>
          <w:tcPr>
            <w:tcW w:w="4400" w:type="dxa"/>
            <w:vAlign w:val="bottom"/>
            <w:gridSpan w:val="2"/>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197"/>
        </w:trPr>
        <w:tc>
          <w:tcPr>
            <w:tcW w:w="4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7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2"/>
              </w:rPr>
              <w:t>Trading Symbol(s)</w:t>
            </w:r>
          </w:p>
        </w:tc>
        <w:tc>
          <w:tcPr>
            <w:tcW w:w="4120" w:type="dxa"/>
            <w:vAlign w:val="bottom"/>
            <w:gridSpan w:val="2"/>
          </w:tcPr>
          <w:p>
            <w:pPr>
              <w:jc w:val="center"/>
              <w:ind w:right="847"/>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38"/>
        </w:trPr>
        <w:tc>
          <w:tcPr>
            <w:tcW w:w="42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w w:val="91"/>
              </w:rPr>
              <w:t>Common Stock, Par Value $.10</w:t>
            </w: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rPr>
              <w:t>LXU</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560" w:type="dxa"/>
            <w:vAlign w:val="bottom"/>
            <w:tcBorders>
              <w:top w:val="single" w:sz="8" w:color="auto"/>
            </w:tcBorders>
          </w:tcPr>
          <w:p>
            <w:pPr>
              <w:jc w:val="center"/>
              <w:ind w:right="1407"/>
              <w:spacing w:after="0" w:line="138" w:lineRule="exact"/>
              <w:rPr>
                <w:sz w:val="20"/>
                <w:szCs w:val="20"/>
                <w:color w:val="auto"/>
              </w:rPr>
            </w:pPr>
            <w:r>
              <w:rPr>
                <w:rFonts w:ascii="Arial" w:cs="Arial" w:eastAsia="Arial" w:hAnsi="Arial"/>
                <w:sz w:val="15"/>
                <w:szCs w:val="15"/>
                <w:b w:val="1"/>
                <w:bCs w:val="1"/>
                <w:color w:val="auto"/>
                <w:w w:val="91"/>
              </w:rPr>
              <w:t>New York Stock Exchange</w:t>
            </w:r>
          </w:p>
        </w:tc>
      </w:tr>
      <w:tr>
        <w:trPr>
          <w:trHeight w:val="157"/>
        </w:trPr>
        <w:tc>
          <w:tcPr>
            <w:tcW w:w="4400" w:type="dxa"/>
            <w:vAlign w:val="bottom"/>
            <w:gridSpan w:val="2"/>
          </w:tcPr>
          <w:p>
            <w:pPr>
              <w:jc w:val="center"/>
              <w:ind w:right="100"/>
              <w:spacing w:after="0" w:line="156" w:lineRule="exact"/>
              <w:rPr>
                <w:sz w:val="20"/>
                <w:szCs w:val="20"/>
                <w:color w:val="auto"/>
              </w:rPr>
            </w:pPr>
            <w:r>
              <w:rPr>
                <w:rFonts w:ascii="Arial" w:cs="Arial" w:eastAsia="Arial" w:hAnsi="Arial"/>
                <w:sz w:val="15"/>
                <w:szCs w:val="15"/>
                <w:b w:val="1"/>
                <w:bCs w:val="1"/>
                <w:color w:val="auto"/>
                <w:w w:val="91"/>
              </w:rPr>
              <w:t>Preferred Stock Purchase Rights</w:t>
            </w:r>
          </w:p>
        </w:tc>
        <w:tc>
          <w:tcPr>
            <w:tcW w:w="2720" w:type="dxa"/>
            <w:vAlign w:val="bottom"/>
            <w:gridSpan w:val="3"/>
          </w:tcPr>
          <w:p>
            <w:pPr>
              <w:jc w:val="center"/>
              <w:ind w:right="1020"/>
              <w:spacing w:after="0" w:line="156" w:lineRule="exact"/>
              <w:rPr>
                <w:sz w:val="20"/>
                <w:szCs w:val="20"/>
                <w:color w:val="auto"/>
              </w:rPr>
            </w:pPr>
            <w:r>
              <w:rPr>
                <w:rFonts w:ascii="Arial" w:cs="Arial" w:eastAsia="Arial" w:hAnsi="Arial"/>
                <w:sz w:val="15"/>
                <w:szCs w:val="15"/>
                <w:b w:val="1"/>
                <w:bCs w:val="1"/>
                <w:color w:val="auto"/>
              </w:rPr>
              <w:t>N/A</w:t>
            </w:r>
          </w:p>
        </w:tc>
        <w:tc>
          <w:tcPr>
            <w:tcW w:w="560" w:type="dxa"/>
            <w:vAlign w:val="bottom"/>
          </w:tcPr>
          <w:p>
            <w:pPr>
              <w:spacing w:after="0"/>
              <w:rPr>
                <w:sz w:val="13"/>
                <w:szCs w:val="13"/>
                <w:color w:val="auto"/>
              </w:rPr>
            </w:pPr>
          </w:p>
        </w:tc>
        <w:tc>
          <w:tcPr>
            <w:tcW w:w="3560" w:type="dxa"/>
            <w:vAlign w:val="bottom"/>
          </w:tcPr>
          <w:p>
            <w:pPr>
              <w:jc w:val="center"/>
              <w:ind w:right="1407"/>
              <w:spacing w:after="0" w:line="156" w:lineRule="exact"/>
              <w:rPr>
                <w:sz w:val="20"/>
                <w:szCs w:val="20"/>
                <w:color w:val="auto"/>
              </w:rPr>
            </w:pPr>
            <w:r>
              <w:rPr>
                <w:rFonts w:ascii="Arial" w:cs="Arial" w:eastAsia="Arial" w:hAnsi="Arial"/>
                <w:sz w:val="15"/>
                <w:szCs w:val="15"/>
                <w:b w:val="1"/>
                <w:bCs w:val="1"/>
                <w:color w:val="auto"/>
                <w:w w:val="91"/>
              </w:rPr>
              <w:t>New York Stock Exchange</w:t>
            </w:r>
          </w:p>
        </w:tc>
      </w:tr>
      <w:tr>
        <w:trPr>
          <w:trHeight w:val="16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89"/>
        </w:trPr>
        <w:tc>
          <w:tcPr>
            <w:tcW w:w="7120" w:type="dxa"/>
            <w:vAlign w:val="bottom"/>
            <w:gridSpan w:val="5"/>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w:t>
            </w:r>
            <w:r>
              <w:rPr>
                <w:rFonts w:ascii="MS PGothic" w:cs="MS PGothic" w:eastAsia="MS PGothic" w:hAnsi="MS PGothic"/>
                <w:sz w:val="14"/>
                <w:szCs w:val="14"/>
                <w:color w:val="auto"/>
                <w:w w:val="95"/>
              </w:rPr>
              <w:t>☐</w:t>
            </w:r>
          </w:p>
        </w:tc>
        <w:tc>
          <w:tcPr>
            <w:tcW w:w="56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560" w:type="dxa"/>
            <w:vAlign w:val="bottom"/>
          </w:tcPr>
          <w:p>
            <w:pPr>
              <w:spacing w:after="0"/>
              <w:rPr>
                <w:sz w:val="20"/>
                <w:szCs w:val="20"/>
                <w:color w:val="auto"/>
              </w:rPr>
            </w:pPr>
            <w:r>
              <w:rPr>
                <w:rFonts w:ascii="Arial" w:cs="Arial" w:eastAsia="Arial" w:hAnsi="Arial"/>
                <w:sz w:val="14"/>
                <w:szCs w:val="14"/>
                <w:color w:val="auto"/>
              </w:rPr>
              <w:t>No</w:t>
            </w:r>
          </w:p>
        </w:tc>
      </w:tr>
      <w:tr>
        <w:trPr>
          <w:trHeight w:val="215"/>
        </w:trPr>
        <w:tc>
          <w:tcPr>
            <w:tcW w:w="7120" w:type="dxa"/>
            <w:vAlign w:val="bottom"/>
            <w:gridSpan w:val="5"/>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w:t>
            </w:r>
            <w:r>
              <w:rPr>
                <w:rFonts w:ascii="MS PGothic" w:cs="MS PGothic" w:eastAsia="MS PGothic" w:hAnsi="MS PGothic"/>
                <w:sz w:val="14"/>
                <w:szCs w:val="14"/>
                <w:color w:val="auto"/>
                <w:w w:val="94"/>
              </w:rPr>
              <w:t>☐</w:t>
            </w:r>
          </w:p>
        </w:tc>
        <w:tc>
          <w:tcPr>
            <w:tcW w:w="560" w:type="dxa"/>
            <w:vAlign w:val="bottom"/>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3560" w:type="dxa"/>
            <w:vAlign w:val="bottom"/>
          </w:tcPr>
          <w:p>
            <w:pPr>
              <w:ind w:left="120"/>
              <w:spacing w:after="0"/>
              <w:rPr>
                <w:sz w:val="20"/>
                <w:szCs w:val="20"/>
                <w:color w:val="auto"/>
              </w:rPr>
            </w:pPr>
            <w:r>
              <w:rPr>
                <w:rFonts w:ascii="Arial" w:cs="Arial" w:eastAsia="Arial" w:hAnsi="Arial"/>
                <w:sz w:val="14"/>
                <w:szCs w:val="14"/>
                <w:color w:val="auto"/>
              </w:rPr>
              <w:t>No</w:t>
            </w:r>
          </w:p>
        </w:tc>
      </w:tr>
    </w:tbl>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jc w:val="both"/>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jc w:val="both"/>
        <w:ind w:right="20"/>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17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740" w:type="dxa"/>
            <w:vAlign w:val="bottom"/>
          </w:tcPr>
          <w:p>
            <w:pPr>
              <w:spacing w:after="0"/>
              <w:rPr>
                <w:sz w:val="20"/>
                <w:szCs w:val="20"/>
                <w:color w:val="auto"/>
              </w:rPr>
            </w:pPr>
            <w:r>
              <w:rPr>
                <w:rFonts w:ascii="Arial" w:cs="Arial" w:eastAsia="Arial" w:hAnsi="Arial"/>
                <w:sz w:val="13"/>
                <w:szCs w:val="13"/>
                <w:color w:val="auto"/>
              </w:rPr>
              <w:t>Non-accelerated filer</w:t>
            </w:r>
          </w:p>
        </w:tc>
        <w:tc>
          <w:tcPr>
            <w:tcW w:w="38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7"/>
        </w:trPr>
        <w:tc>
          <w:tcPr>
            <w:tcW w:w="17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98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560"/>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spacing w:after="0" w:line="16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61" w:lineRule="exact"/>
        <w:tabs>
          <w:tab w:leader="none" w:pos="6280" w:val="left"/>
          <w:tab w:leader="none" w:pos="68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p>
    <w:p>
      <w:pPr>
        <w:spacing w:after="0" w:line="23" w:lineRule="exact"/>
        <w:rPr>
          <w:sz w:val="24"/>
          <w:szCs w:val="24"/>
          <w:color w:val="auto"/>
        </w:rPr>
      </w:pPr>
    </w:p>
    <w:p>
      <w:pPr>
        <w:jc w:val="both"/>
        <w:spacing w:after="0" w:line="222" w:lineRule="auto"/>
        <w:rPr>
          <w:sz w:val="20"/>
          <w:szCs w:val="20"/>
          <w:color w:val="auto"/>
        </w:rPr>
      </w:pPr>
      <w:r>
        <w:rPr>
          <w:rFonts w:ascii="Arial" w:cs="Arial" w:eastAsia="Arial" w:hAnsi="Arial"/>
          <w:sz w:val="14"/>
          <w:szCs w:val="14"/>
          <w:color w:val="auto"/>
        </w:rPr>
        <w:t>The aggregate market value of the Registrant’s voting common equity held by non-affiliates of the Registrant, computed by reference to the price at which the voting common stock was last sold as of June 30, 2021, was approximately $141 million. As a result, the Registrant is an accelerated filer as of December 31, 2021. For purposes of this computation, shares of the Registrant’s common stock beneficially owned by each executive officer and director of the Registrant and LSB Funding LLC were deemed to be owned by affiliates of the Registrant as of June 30, 2021. Such determination should not be deemed an admission that such executive officers, directors or entity of our common stock are, in fact, affiliates of the Registrant or affiliates as of the date of this Form 10-K.</w:t>
      </w:r>
    </w:p>
    <w:p>
      <w:pPr>
        <w:jc w:val="center"/>
        <w:spacing w:after="0" w:line="230" w:lineRule="auto"/>
        <w:rPr>
          <w:sz w:val="20"/>
          <w:szCs w:val="20"/>
          <w:color w:val="auto"/>
        </w:rPr>
      </w:pPr>
      <w:r>
        <w:rPr>
          <w:rFonts w:ascii="Arial" w:cs="Arial" w:eastAsia="Arial" w:hAnsi="Arial"/>
          <w:sz w:val="15"/>
          <w:szCs w:val="15"/>
          <w:color w:val="auto"/>
        </w:rPr>
        <w:t>As of February 18, 2022, the Registrant had 89,564,162 shares of common stock outstanding.</w:t>
      </w:r>
    </w:p>
    <w:p>
      <w:pPr>
        <w:jc w:val="center"/>
        <w:spacing w:after="0" w:line="225" w:lineRule="auto"/>
        <w:rPr>
          <w:sz w:val="20"/>
          <w:szCs w:val="20"/>
          <w:color w:val="auto"/>
        </w:rPr>
      </w:pPr>
      <w:r>
        <w:rPr>
          <w:rFonts w:ascii="Arial" w:cs="Arial" w:eastAsia="Arial" w:hAnsi="Arial"/>
          <w:sz w:val="15"/>
          <w:szCs w:val="15"/>
          <w:color w:val="auto"/>
        </w:rPr>
        <w:t>DOCUMENTS INCORPORATED BY REFERENCE</w:t>
      </w:r>
    </w:p>
    <w:p>
      <w:pPr>
        <w:jc w:val="both"/>
        <w:spacing w:after="0" w:line="239" w:lineRule="auto"/>
        <w:rPr>
          <w:sz w:val="20"/>
          <w:szCs w:val="20"/>
          <w:color w:val="auto"/>
        </w:rPr>
      </w:pPr>
      <w:r>
        <w:rPr>
          <w:rFonts w:ascii="Arial" w:cs="Arial" w:eastAsia="Arial" w:hAnsi="Arial"/>
          <w:sz w:val="15"/>
          <w:szCs w:val="15"/>
          <w:color w:val="auto"/>
        </w:rPr>
        <w:t>Portions of the Registrant’s proxy statement for its annual meeting of stockholders will be filed with the Securities and Exchange Commission within 120 days after the end of its 2020 fiscal year, are incorporated by reference in Part III.</w:t>
      </w:r>
    </w:p>
    <w:p>
      <w:pPr>
        <w:spacing w:after="0" w:line="44" w:lineRule="exact"/>
        <w:rPr>
          <w:sz w:val="24"/>
          <w:szCs w:val="24"/>
          <w:color w:val="auto"/>
        </w:rPr>
      </w:pPr>
    </w:p>
    <w:p>
      <w:pPr>
        <w:spacing w:after="0"/>
        <w:tabs>
          <w:tab w:leader="none" w:pos="1380" w:val="left"/>
          <w:tab w:leader="none" w:pos="3260" w:val="left"/>
          <w:tab w:leader="none" w:pos="4640" w:val="left"/>
          <w:tab w:leader="none" w:pos="6880" w:val="left"/>
          <w:tab w:leader="none" w:pos="83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00042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Oklahoma City, OK,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restart"/>
          </w:tcPr>
          <w:p>
            <w:pPr>
              <w:jc w:val="cente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4300" w:type="dxa"/>
            <w:vAlign w:val="bottom"/>
            <w:gridSpan w:val="8"/>
            <w:vMerge w:val="restart"/>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0000EE"/>
            </w:tcBorders>
            <w:gridSpan w:val="2"/>
            <w:vMerge w:val="continue"/>
          </w:tcPr>
          <w:p>
            <w:pPr>
              <w:spacing w:after="0"/>
              <w:rPr>
                <w:sz w:val="14"/>
                <w:szCs w:val="14"/>
                <w:color w:val="auto"/>
              </w:rPr>
            </w:pPr>
          </w:p>
        </w:tc>
        <w:tc>
          <w:tcPr>
            <w:tcW w:w="430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380" w:type="dxa"/>
            <w:vAlign w:val="bottom"/>
            <w:gridSpan w:val="2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120" w:type="dxa"/>
            <w:vAlign w:val="bottom"/>
            <w:gridSpan w:val="2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Unresolved Staff Comments</w:t>
              </w:r>
            </w:hyperlink>
          </w:p>
        </w:tc>
        <w:tc>
          <w:tcPr>
            <w:tcW w:w="698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3.</w:t>
            </w:r>
          </w:p>
        </w:tc>
        <w:tc>
          <w:tcPr>
            <w:tcW w:w="902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3"/>
          </w:tcPr>
          <w:p>
            <w:pPr>
              <w:spacing w:after="0"/>
              <w:rPr>
                <w:sz w:val="20"/>
                <w:szCs w:val="20"/>
                <w:color w:val="auto"/>
              </w:rPr>
            </w:pPr>
            <w:r>
              <w:rPr>
                <w:rFonts w:ascii="Arial" w:cs="Arial" w:eastAsia="Arial" w:hAnsi="Arial"/>
                <w:sz w:val="18"/>
                <w:szCs w:val="18"/>
                <w:color w:val="0000EE"/>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11"/>
          </w:tcPr>
          <w:p>
            <w:pPr>
              <w:jc w:val="center"/>
              <w:ind w:right="4280"/>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5.</w:t>
            </w:r>
          </w:p>
        </w:tc>
        <w:tc>
          <w:tcPr>
            <w:tcW w:w="902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[RESERVED]</w:t>
              </w:r>
            </w:hyperlink>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58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7A.</w:t>
            </w:r>
          </w:p>
        </w:tc>
        <w:tc>
          <w:tcPr>
            <w:tcW w:w="902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8.</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468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w:t>
            </w:r>
          </w:p>
        </w:tc>
        <w:tc>
          <w:tcPr>
            <w:tcW w:w="902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Changes in and Disagreements with Accountants on Accounting and Financial Disclosure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256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260" w:type="dxa"/>
            <w:vAlign w:val="bottom"/>
            <w:gridSpan w:val="1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460" w:type="dxa"/>
            <w:vAlign w:val="bottom"/>
          </w:tcPr>
          <w:p>
            <w:pPr>
              <w:spacing w:after="0"/>
              <w:rPr>
                <w:sz w:val="20"/>
                <w:szCs w:val="20"/>
                <w:color w:val="auto"/>
              </w:rPr>
            </w:pPr>
            <w:r>
              <w:rPr>
                <w:rFonts w:ascii="Arial" w:cs="Arial" w:eastAsia="Arial" w:hAnsi="Arial"/>
                <w:sz w:val="18"/>
                <w:szCs w:val="18"/>
                <w:color w:val="auto"/>
              </w:rPr>
              <w:t>Item 9C.</w:t>
            </w:r>
          </w:p>
        </w:tc>
        <w:tc>
          <w:tcPr>
            <w:tcW w:w="902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Disclosure Regarding Foreign Jurisdictions that Prevent Inspections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6"/>
          </w:tcPr>
          <w:p>
            <w:pPr>
              <w:jc w:val="cente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PART III</w:t>
              </w:r>
            </w:hyperlink>
          </w:p>
        </w:tc>
        <w:tc>
          <w:tcPr>
            <w:tcW w:w="100" w:type="dxa"/>
            <w:vAlign w:val="bottom"/>
            <w:tcBorders>
              <w:top w:val="single" w:sz="8" w:color="0000EE"/>
            </w:tcBorders>
          </w:tcPr>
          <w:p>
            <w:pPr>
              <w:spacing w:after="0"/>
              <w:rPr>
                <w:sz w:val="24"/>
                <w:szCs w:val="24"/>
                <w:color w:val="auto"/>
              </w:rPr>
            </w:pPr>
          </w:p>
        </w:tc>
        <w:tc>
          <w:tcPr>
            <w:tcW w:w="414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40" w:type="dxa"/>
            <w:vAlign w:val="bottom"/>
            <w:gridSpan w:val="13"/>
          </w:tcPr>
          <w:p>
            <w:pPr>
              <w:jc w:val="center"/>
              <w:ind w:right="352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(Items 10, 11, 12, 13, and 14)</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460" w:type="dxa"/>
            <w:vAlign w:val="bottom"/>
          </w:tcPr>
          <w:p>
            <w:pPr>
              <w:spacing w:after="0"/>
              <w:rPr>
                <w:sz w:val="24"/>
                <w:szCs w:val="24"/>
                <w:color w:val="auto"/>
              </w:rPr>
            </w:pPr>
          </w:p>
        </w:tc>
        <w:tc>
          <w:tcPr>
            <w:tcW w:w="9020" w:type="dxa"/>
            <w:vAlign w:val="bottom"/>
            <w:gridSpan w:val="23"/>
          </w:tcPr>
          <w:p>
            <w:pPr>
              <w:spacing w:after="0"/>
              <w:rPr>
                <w:sz w:val="20"/>
                <w:szCs w:val="20"/>
                <w:color w:val="auto"/>
              </w:rPr>
            </w:pPr>
            <w:r>
              <w:rPr>
                <w:rFonts w:ascii="Arial" w:cs="Arial" w:eastAsia="Arial" w:hAnsi="Arial"/>
                <w:sz w:val="18"/>
                <w:szCs w:val="18"/>
                <w:color w:val="auto"/>
                <w:w w:val="97"/>
              </w:rPr>
              <w:t>The information required by Part III, shall be incorporated by reference from our definitive proxy statement to be filed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020" w:type="dxa"/>
            <w:vAlign w:val="bottom"/>
            <w:gridSpan w:val="23"/>
          </w:tcPr>
          <w:p>
            <w:pPr>
              <w:spacing w:after="0"/>
              <w:rPr>
                <w:sz w:val="20"/>
                <w:szCs w:val="20"/>
                <w:color w:val="auto"/>
              </w:rPr>
            </w:pPr>
            <w:r>
              <w:rPr>
                <w:rFonts w:ascii="Arial" w:cs="Arial" w:eastAsia="Arial" w:hAnsi="Arial"/>
                <w:sz w:val="18"/>
                <w:szCs w:val="18"/>
                <w:color w:val="auto"/>
                <w:w w:val="97"/>
              </w:rPr>
              <w:t>pursuant to Regulation 14A which involves the election of directors that we expect to be filed with the Securities and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020" w:type="dxa"/>
            <w:vAlign w:val="bottom"/>
            <w:gridSpan w:val="23"/>
          </w:tcPr>
          <w:p>
            <w:pPr>
              <w:spacing w:after="0"/>
              <w:rPr>
                <w:sz w:val="20"/>
                <w:szCs w:val="20"/>
                <w:color w:val="auto"/>
              </w:rPr>
            </w:pPr>
            <w:r>
              <w:rPr>
                <w:rFonts w:ascii="Arial" w:cs="Arial" w:eastAsia="Arial" w:hAnsi="Arial"/>
                <w:sz w:val="18"/>
                <w:szCs w:val="18"/>
                <w:color w:val="auto"/>
              </w:rPr>
              <w:t>Exchange Commission not later than 120 days after the end of its 2021 fiscal year covered by this report.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00" w:type="dxa"/>
            <w:vAlign w:val="bottom"/>
            <w:gridSpan w:val="12"/>
          </w:tcPr>
          <w:p>
            <w:pPr>
              <w:jc w:val="center"/>
              <w:ind w:right="4240"/>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PART IV</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Exhibits and Financial Statement Schedules</w:t>
              </w:r>
            </w:hyperlink>
          </w:p>
        </w:tc>
        <w:tc>
          <w:tcPr>
            <w:tcW w:w="960" w:type="dxa"/>
            <w:vAlign w:val="bottom"/>
            <w:gridSpan w:val="3"/>
          </w:tcPr>
          <w:p>
            <w:pPr>
              <w:spacing w:after="0"/>
              <w:rPr>
                <w:sz w:val="24"/>
                <w:szCs w:val="24"/>
                <w:color w:val="auto"/>
              </w:rPr>
            </w:pPr>
          </w:p>
        </w:tc>
        <w:tc>
          <w:tcPr>
            <w:tcW w:w="660" w:type="dxa"/>
            <w:vAlign w:val="bottom"/>
            <w:tcBorders>
              <w:top w:val="single" w:sz="8" w:color="0000EE"/>
            </w:tcBorders>
            <w:gridSpan w:val="6"/>
          </w:tcPr>
          <w:p>
            <w:pPr>
              <w:spacing w:after="0"/>
              <w:rPr>
                <w:sz w:val="24"/>
                <w:szCs w:val="24"/>
                <w:color w:val="auto"/>
              </w:rPr>
            </w:pPr>
          </w:p>
        </w:tc>
        <w:tc>
          <w:tcPr>
            <w:tcW w:w="424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68"/>
        </w:trPr>
        <w:tc>
          <w:tcPr>
            <w:tcW w:w="1460" w:type="dxa"/>
            <w:vAlign w:val="bottom"/>
          </w:tcPr>
          <w:p>
            <w:pPr>
              <w:spacing w:after="0"/>
              <w:rPr>
                <w:sz w:val="24"/>
                <w:szCs w:val="24"/>
                <w:color w:val="auto"/>
              </w:rPr>
            </w:pPr>
          </w:p>
        </w:tc>
        <w:tc>
          <w:tcPr>
            <w:tcW w:w="4340" w:type="dxa"/>
            <w:vAlign w:val="bottom"/>
            <w:gridSpan w:val="14"/>
          </w:tcPr>
          <w:p>
            <w:pPr>
              <w:ind w:left="412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was formed in 1968 as an Oklahoma corporation and became a Delaware corporation in 1977. We manufacture and market chemical products for the agricultural, industrial and mining markets. We own and operate three multi plant facilities in El Dorado, Arkansas (the “El Dorado Facility”), Cherokee, Alabama (the “Cherokee Facility”), and Pryor, Oklahoma (the “Pryor Facility”), and we operate a facility on behalf of Covestro LLC (“Covestro”) in Baytown, Texas (the “Baytown Facility”). Our products are sold through distributors and directly to end customers throughout the United States and parts of Mexico and Canada.</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manufactures products for three principal markets:</w:t>
      </w:r>
    </w:p>
    <w:p>
      <w:pPr>
        <w:spacing w:after="0" w:line="11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Agricultural Markets: </w:t>
      </w:r>
      <w:r>
        <w:rPr>
          <w:rFonts w:ascii="Arial" w:cs="Arial" w:eastAsia="Arial" w:hAnsi="Arial"/>
          <w:sz w:val="18"/>
          <w:szCs w:val="18"/>
          <w:color w:val="auto"/>
        </w:rPr>
        <w:t>ammonia, fertilizer grade ammonium nitrate (“AN” and “HDAN”) and urea ammonia nitrate (“UAN”);</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Markets: </w:t>
      </w:r>
      <w:r>
        <w:rPr>
          <w:rFonts w:ascii="Arial" w:cs="Arial" w:eastAsia="Arial" w:hAnsi="Arial"/>
          <w:sz w:val="18"/>
          <w:szCs w:val="18"/>
          <w:color w:val="auto"/>
        </w:rPr>
        <w:t>high purity and commercial grade ammonia, high purity AN, sulfuric acids, concentrated, blended and regular nitric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acid, mixed nitrating acids, carbon dioxide, and diesel exhaust fluid (“DEF”);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Mining Markets: </w:t>
      </w:r>
      <w:r>
        <w:rPr>
          <w:rFonts w:ascii="Arial" w:cs="Arial" w:eastAsia="Arial" w:hAnsi="Arial"/>
          <w:sz w:val="18"/>
          <w:szCs w:val="18"/>
          <w:color w:val="auto"/>
        </w:rPr>
        <w:t>industrial grade AN (“LDAN”) and AN solutions.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products we manufacture at our facilities are primarily derived from natural gas (a raw material feedstock).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highlights representative products and applications in each of our end markets.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tcBorders>
              <w:right w:val="single" w:sz="8" w:color="auto"/>
            </w:tcBorders>
          </w:tcPr>
          <w:p>
            <w:pPr>
              <w:spacing w:after="0"/>
              <w:rPr>
                <w:sz w:val="20"/>
                <w:szCs w:val="20"/>
                <w:color w:val="auto"/>
              </w:rPr>
            </w:pPr>
          </w:p>
        </w:tc>
        <w:tc>
          <w:tcPr>
            <w:tcW w:w="264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End Market</w:t>
            </w:r>
          </w:p>
        </w:tc>
        <w:tc>
          <w:tcPr>
            <w:tcW w:w="23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Products</w:t>
            </w:r>
          </w:p>
        </w:tc>
        <w:tc>
          <w:tcPr>
            <w:tcW w:w="3000" w:type="dxa"/>
            <w:vAlign w:val="bottom"/>
            <w:tcBorders>
              <w:top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Applications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Agricultural</w:t>
            </w:r>
          </w:p>
        </w:tc>
        <w:tc>
          <w:tcPr>
            <w:tcW w:w="2360" w:type="dxa"/>
            <w:vAlign w:val="bottom"/>
            <w:tcBorders>
              <w:right w:val="single" w:sz="8" w:color="auto"/>
            </w:tcBorders>
            <w:shd w:val="clear" w:color="auto" w:fill="CFF0FC"/>
          </w:tcPr>
          <w:p>
            <w:pPr>
              <w:spacing w:after="0"/>
              <w:rPr>
                <w:sz w:val="17"/>
                <w:szCs w:val="17"/>
                <w:color w:val="auto"/>
              </w:rPr>
            </w:pPr>
          </w:p>
        </w:tc>
        <w:tc>
          <w:tcPr>
            <w:tcW w:w="3000" w:type="dxa"/>
            <w:vAlign w:val="bottom"/>
            <w:tcBorders>
              <w:right w:val="single" w:sz="8" w:color="auto"/>
            </w:tcBorders>
            <w:shd w:val="clear" w:color="auto" w:fill="CFF0FC"/>
          </w:tcPr>
          <w:p>
            <w:pPr>
              <w:ind w:left="100"/>
              <w:spacing w:after="0" w:line="201" w:lineRule="exact"/>
              <w:rPr>
                <w:sz w:val="20"/>
                <w:szCs w:val="20"/>
                <w:color w:val="auto"/>
              </w:rPr>
            </w:pPr>
            <w:r>
              <w:rPr>
                <w:rFonts w:ascii="Arial" w:cs="Arial" w:eastAsia="Arial" w:hAnsi="Arial"/>
                <w:sz w:val="18"/>
                <w:szCs w:val="18"/>
                <w:color w:val="auto"/>
                <w:w w:val="96"/>
              </w:rPr>
              <w:t>Fertilizer and fertilizer blends for corn</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64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vMerge w:val="continue"/>
            <w:shd w:val="clear" w:color="auto" w:fill="CFF0FC"/>
          </w:tcPr>
          <w:p>
            <w:pPr>
              <w:spacing w:after="0"/>
              <w:rPr>
                <w:sz w:val="14"/>
                <w:szCs w:val="14"/>
                <w:color w:val="auto"/>
              </w:rPr>
            </w:pPr>
          </w:p>
        </w:tc>
        <w:tc>
          <w:tcPr>
            <w:tcW w:w="236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UAN, HDAN and ammonia</w:t>
            </w:r>
          </w:p>
        </w:tc>
        <w:tc>
          <w:tcPr>
            <w:tcW w:w="300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w w:val="95"/>
              </w:rPr>
              <w:t>and other crops; NPK fertilizer blends</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tcPr>
          <w:p>
            <w:pPr>
              <w:spacing w:after="0"/>
              <w:rPr>
                <w:sz w:val="5"/>
                <w:szCs w:val="5"/>
                <w:color w:val="auto"/>
              </w:rPr>
            </w:pPr>
          </w:p>
        </w:tc>
        <w:tc>
          <w:tcPr>
            <w:tcW w:w="2640" w:type="dxa"/>
            <w:vAlign w:val="bottom"/>
            <w:tcBorders>
              <w:right w:val="single" w:sz="8" w:color="auto"/>
            </w:tcBorders>
            <w:shd w:val="clear" w:color="auto" w:fill="CFF0FC"/>
          </w:tcPr>
          <w:p>
            <w:pPr>
              <w:spacing w:after="0"/>
              <w:rPr>
                <w:sz w:val="5"/>
                <w:szCs w:val="5"/>
                <w:color w:val="auto"/>
              </w:rPr>
            </w:pPr>
          </w:p>
        </w:tc>
        <w:tc>
          <w:tcPr>
            <w:tcW w:w="2360" w:type="dxa"/>
            <w:vAlign w:val="bottom"/>
            <w:tcBorders>
              <w:right w:val="single" w:sz="8" w:color="auto"/>
            </w:tcBorders>
            <w:vMerge w:val="continue"/>
            <w:shd w:val="clear" w:color="auto" w:fill="CFF0FC"/>
          </w:tcPr>
          <w:p>
            <w:pPr>
              <w:spacing w:after="0"/>
              <w:rPr>
                <w:sz w:val="5"/>
                <w:szCs w:val="5"/>
                <w:color w:val="auto"/>
              </w:rPr>
            </w:pPr>
          </w:p>
        </w:tc>
        <w:tc>
          <w:tcPr>
            <w:tcW w:w="3000" w:type="dxa"/>
            <w:vAlign w:val="bottom"/>
            <w:tcBorders>
              <w:right w:val="single" w:sz="8" w:color="auto"/>
            </w:tcBorders>
            <w:vMerge w:val="continue"/>
            <w:shd w:val="clear" w:color="auto" w:fill="CFF0FC"/>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640" w:type="dxa"/>
            <w:vAlign w:val="bottom"/>
            <w:tcBorders>
              <w:right w:val="single" w:sz="8" w:color="auto"/>
            </w:tcBorders>
          </w:tcPr>
          <w:p>
            <w:pPr>
              <w:spacing w:after="0"/>
              <w:rPr>
                <w:sz w:val="13"/>
                <w:szCs w:val="13"/>
                <w:color w:val="auto"/>
              </w:rPr>
            </w:pPr>
          </w:p>
        </w:tc>
        <w:tc>
          <w:tcPr>
            <w:tcW w:w="2640" w:type="dxa"/>
            <w:vAlign w:val="bottom"/>
            <w:tcBorders>
              <w:bottom w:val="single" w:sz="8" w:color="auto"/>
              <w:right w:val="single" w:sz="8" w:color="auto"/>
            </w:tcBorders>
            <w:shd w:val="clear" w:color="auto" w:fill="CFF0FC"/>
          </w:tcPr>
          <w:p>
            <w:pPr>
              <w:spacing w:after="0"/>
              <w:rPr>
                <w:sz w:val="13"/>
                <w:szCs w:val="13"/>
                <w:color w:val="auto"/>
              </w:rPr>
            </w:pPr>
          </w:p>
        </w:tc>
        <w:tc>
          <w:tcPr>
            <w:tcW w:w="2360" w:type="dxa"/>
            <w:vAlign w:val="bottom"/>
            <w:tcBorders>
              <w:bottom w:val="single" w:sz="8" w:color="auto"/>
              <w:right w:val="single" w:sz="8" w:color="auto"/>
            </w:tcBorders>
            <w:shd w:val="clear" w:color="auto" w:fill="CFF0FC"/>
          </w:tcPr>
          <w:p>
            <w:pPr>
              <w:spacing w:after="0"/>
              <w:rPr>
                <w:sz w:val="13"/>
                <w:szCs w:val="13"/>
                <w:color w:val="auto"/>
              </w:rPr>
            </w:pPr>
          </w:p>
        </w:tc>
        <w:tc>
          <w:tcPr>
            <w:tcW w:w="3000" w:type="dxa"/>
            <w:vAlign w:val="bottom"/>
            <w:tcBorders>
              <w:bottom w:val="single" w:sz="8" w:color="auto"/>
              <w:right w:val="single" w:sz="8" w:color="auto"/>
            </w:tcBorders>
            <w:shd w:val="clear" w:color="auto" w:fill="CFF0FC"/>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64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Semi-conductor and polyurethane</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intermediates, ordnance; Pulp and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Nitric acid, metallurgical and</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paper, alum, water treatment, metals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commercial grade ammonia,</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and vanadium processing; Power plant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sulfuric acid, diesel exhaust</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emissions abatement, water treatment,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fluid and other urea solutions,</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refrigerants, metals processing;</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Industrial</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Specialty E-2 ammonium</w:t>
            </w: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Exhaust stream additive, horticulture /</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4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nitrate and CO2</w:t>
            </w:r>
          </w:p>
        </w:tc>
        <w:tc>
          <w:tcPr>
            <w:tcW w:w="3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greenhouse applications; refrigeration</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3000" w:type="dxa"/>
            <w:vAlign w:val="bottom"/>
            <w:tcBorders>
              <w:right w:val="single" w:sz="8" w:color="auto"/>
            </w:tcBorders>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4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shd w:val="clear" w:color="auto" w:fill="CFF0FC"/>
          </w:tcPr>
          <w:p>
            <w:pPr>
              <w:spacing w:after="0"/>
              <w:rPr>
                <w:sz w:val="16"/>
                <w:szCs w:val="16"/>
                <w:color w:val="auto"/>
              </w:rPr>
            </w:pPr>
          </w:p>
        </w:tc>
        <w:tc>
          <w:tcPr>
            <w:tcW w:w="2360" w:type="dxa"/>
            <w:vAlign w:val="bottom"/>
            <w:tcBorders>
              <w:right w:val="single" w:sz="8" w:color="auto"/>
            </w:tcBorders>
            <w:shd w:val="clear" w:color="auto" w:fill="CFF0FC"/>
          </w:tcPr>
          <w:p>
            <w:pPr>
              <w:spacing w:after="0"/>
              <w:rPr>
                <w:sz w:val="16"/>
                <w:szCs w:val="16"/>
                <w:color w:val="auto"/>
              </w:rPr>
            </w:pPr>
          </w:p>
        </w:tc>
        <w:tc>
          <w:tcPr>
            <w:tcW w:w="3000" w:type="dxa"/>
            <w:vAlign w:val="bottom"/>
            <w:tcBorders>
              <w:right w:val="single" w:sz="8" w:color="auto"/>
            </w:tcBorders>
            <w:shd w:val="clear" w:color="auto" w:fill="CFF0FC"/>
          </w:tcPr>
          <w:p>
            <w:pPr>
              <w:ind w:left="100"/>
              <w:spacing w:after="0" w:line="195" w:lineRule="exact"/>
              <w:rPr>
                <w:sz w:val="20"/>
                <w:szCs w:val="20"/>
                <w:color w:val="auto"/>
              </w:rPr>
            </w:pPr>
            <w:r>
              <w:rPr>
                <w:rFonts w:ascii="Arial" w:cs="Arial" w:eastAsia="Arial" w:hAnsi="Arial"/>
                <w:sz w:val="18"/>
                <w:szCs w:val="18"/>
                <w:color w:val="auto"/>
              </w:rPr>
              <w:t>Ammonium nitrate fuel oil (ANFO)</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shd w:val="clear" w:color="auto" w:fill="CFF0FC"/>
          </w:tcPr>
          <w:p>
            <w:pPr>
              <w:spacing w:after="0"/>
              <w:rPr>
                <w:sz w:val="18"/>
                <w:szCs w:val="18"/>
                <w:color w:val="auto"/>
              </w:rPr>
            </w:pPr>
          </w:p>
        </w:tc>
        <w:tc>
          <w:tcPr>
            <w:tcW w:w="2360" w:type="dxa"/>
            <w:vAlign w:val="bottom"/>
            <w:tcBorders>
              <w:right w:val="single" w:sz="8" w:color="auto"/>
            </w:tcBorders>
            <w:shd w:val="clear" w:color="auto" w:fill="CFF0FC"/>
          </w:tcPr>
          <w:p>
            <w:pPr>
              <w:spacing w:after="0"/>
              <w:rPr>
                <w:sz w:val="18"/>
                <w:szCs w:val="18"/>
                <w:color w:val="auto"/>
              </w:rPr>
            </w:pPr>
          </w:p>
        </w:tc>
        <w:tc>
          <w:tcPr>
            <w:tcW w:w="300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and specialty emulsions for mining</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Mining</w:t>
            </w:r>
          </w:p>
        </w:tc>
        <w:tc>
          <w:tcPr>
            <w:tcW w:w="23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LDAN, AN solution and</w:t>
            </w:r>
          </w:p>
        </w:tc>
        <w:tc>
          <w:tcPr>
            <w:tcW w:w="300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4"/>
              </w:rPr>
              <w:t>applications, surface mining, quarries,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4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vMerge w:val="continue"/>
            <w:shd w:val="clear" w:color="auto" w:fill="CFF0FC"/>
          </w:tcPr>
          <w:p>
            <w:pPr>
              <w:spacing w:after="0"/>
              <w:rPr>
                <w:sz w:val="14"/>
                <w:szCs w:val="14"/>
                <w:color w:val="auto"/>
              </w:rPr>
            </w:pPr>
          </w:p>
        </w:tc>
        <w:tc>
          <w:tcPr>
            <w:tcW w:w="236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HDAN</w:t>
            </w:r>
          </w:p>
        </w:tc>
        <w:tc>
          <w:tcPr>
            <w:tcW w:w="300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and construction</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tcPr>
          <w:p>
            <w:pPr>
              <w:spacing w:after="0"/>
              <w:rPr>
                <w:sz w:val="5"/>
                <w:szCs w:val="5"/>
                <w:color w:val="auto"/>
              </w:rPr>
            </w:pPr>
          </w:p>
        </w:tc>
        <w:tc>
          <w:tcPr>
            <w:tcW w:w="2640" w:type="dxa"/>
            <w:vAlign w:val="bottom"/>
            <w:tcBorders>
              <w:right w:val="single" w:sz="8" w:color="auto"/>
            </w:tcBorders>
            <w:shd w:val="clear" w:color="auto" w:fill="CFF0FC"/>
          </w:tcPr>
          <w:p>
            <w:pPr>
              <w:spacing w:after="0"/>
              <w:rPr>
                <w:sz w:val="5"/>
                <w:szCs w:val="5"/>
                <w:color w:val="auto"/>
              </w:rPr>
            </w:pPr>
          </w:p>
        </w:tc>
        <w:tc>
          <w:tcPr>
            <w:tcW w:w="2360" w:type="dxa"/>
            <w:vAlign w:val="bottom"/>
            <w:tcBorders>
              <w:right w:val="single" w:sz="8" w:color="auto"/>
            </w:tcBorders>
            <w:vMerge w:val="continue"/>
            <w:shd w:val="clear" w:color="auto" w:fill="CFF0FC"/>
          </w:tcPr>
          <w:p>
            <w:pPr>
              <w:spacing w:after="0"/>
              <w:rPr>
                <w:sz w:val="5"/>
                <w:szCs w:val="5"/>
                <w:color w:val="auto"/>
              </w:rPr>
            </w:pPr>
          </w:p>
        </w:tc>
        <w:tc>
          <w:tcPr>
            <w:tcW w:w="3000" w:type="dxa"/>
            <w:vAlign w:val="bottom"/>
            <w:tcBorders>
              <w:right w:val="single" w:sz="8" w:color="auto"/>
            </w:tcBorders>
            <w:vMerge w:val="continue"/>
            <w:shd w:val="clear" w:color="auto" w:fill="CFF0FC"/>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4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shd w:val="clear" w:color="auto" w:fill="CFF0FC"/>
          </w:tcPr>
          <w:p>
            <w:pPr>
              <w:spacing w:after="0"/>
              <w:rPr>
                <w:sz w:val="12"/>
                <w:szCs w:val="12"/>
                <w:color w:val="auto"/>
              </w:rPr>
            </w:pPr>
          </w:p>
        </w:tc>
        <w:tc>
          <w:tcPr>
            <w:tcW w:w="2360" w:type="dxa"/>
            <w:vAlign w:val="bottom"/>
            <w:tcBorders>
              <w:bottom w:val="single" w:sz="8" w:color="auto"/>
              <w:right w:val="single" w:sz="8" w:color="auto"/>
            </w:tcBorders>
            <w:shd w:val="clear" w:color="auto" w:fill="CFF0FC"/>
          </w:tcPr>
          <w:p>
            <w:pPr>
              <w:spacing w:after="0"/>
              <w:rPr>
                <w:sz w:val="12"/>
                <w:szCs w:val="12"/>
                <w:color w:val="auto"/>
              </w:rPr>
            </w:pPr>
          </w:p>
        </w:tc>
        <w:tc>
          <w:tcPr>
            <w:tcW w:w="3000" w:type="dxa"/>
            <w:vAlign w:val="bottom"/>
            <w:tcBorders>
              <w:bottom w:val="single" w:sz="8" w:color="auto"/>
              <w:right w:val="single" w:sz="8" w:color="auto"/>
            </w:tcBorders>
            <w:shd w:val="clear" w:color="auto" w:fill="CFF0FC"/>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Arial" w:cs="Arial" w:eastAsia="Arial" w:hAnsi="Arial"/>
                <w:sz w:val="18"/>
                <w:szCs w:val="18"/>
                <w:color w:val="auto"/>
              </w:rPr>
              <w:t>3</w:t>
            </w:r>
          </w:p>
        </w:tc>
        <w:tc>
          <w:tcPr>
            <w:tcW w:w="3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table summarizes net sales information relating to our products: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consolidated net sales: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products</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60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60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our net sales, operating results and total assets for the past three fiscal years, see the Consolidated Financial Statements included in this report.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pursue a strategy of balancing the sale of product as fertilizer into the agriculture markets at spot prices or short duration pre-sales and developing industrial and mining customers that purchase substantial quantities of products, primarily under contractual obligations and/or pricing arrangements that generally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feedstock and/or the changes in demand for our products.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strategy of developing industrial and mining customers helps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remain focused on upgrading margins by maximizing downstream production. Our strategy calls for further development of industrial customers who assume the volatility risk associated with the raw material costs and mitigate the effects of seasonality in the agricultural sector.</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also includes evaluating and pursuing acquisitions of strategic assets or companies, mergers with other companies and investment in additional production capacity where we believe those acquisitions, mergers or expansion of production capacity will enhance the value of the Company and provide appropriate returns.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more detail under “Key Operating Initiatives for 2022” of “Management’s Discussion and Analysis of Financial Condition and Results of Operations” (“MD&amp;A”) contained in Item 7 of this report, we believe our future results of operations and financial condition will depend significantly on our ability to successfully implement the following key initiatives:</w:t>
      </w:r>
    </w:p>
    <w:p>
      <w:pPr>
        <w:spacing w:after="0" w:line="76" w:lineRule="exact"/>
        <w:rPr>
          <w:sz w:val="20"/>
          <w:szCs w:val="20"/>
          <w:color w:val="auto"/>
        </w:rPr>
      </w:pPr>
    </w:p>
    <w:p>
      <w:pPr>
        <w:ind w:left="560" w:hanging="363"/>
        <w:spacing w:after="0" w:line="258"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Investing in Safety and Reliability at our Facilities to further our Progress Towards Becoming a “Best in Class” Chemical Plant Operator Supplying our Customers with Products of the Highest Quality.</w:t>
      </w:r>
    </w:p>
    <w:p>
      <w:pPr>
        <w:spacing w:after="0" w:line="1" w:lineRule="exact"/>
        <w:rPr>
          <w:rFonts w:ascii="Arial" w:cs="Arial" w:eastAsia="Arial" w:hAnsi="Arial"/>
          <w:sz w:val="18"/>
          <w:szCs w:val="18"/>
          <w:color w:val="auto"/>
        </w:rPr>
      </w:pPr>
    </w:p>
    <w:p>
      <w:pPr>
        <w:ind w:left="560" w:hanging="36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 Broadening the Distribution and Optimization of our Product mix.</w:t>
      </w:r>
    </w:p>
    <w:p>
      <w:pPr>
        <w:spacing w:after="0" w:line="9" w:lineRule="exact"/>
        <w:rPr>
          <w:rFonts w:ascii="Arial" w:cs="Arial" w:eastAsia="Arial" w:hAnsi="Arial"/>
          <w:sz w:val="18"/>
          <w:szCs w:val="18"/>
          <w:color w:val="auto"/>
        </w:rPr>
      </w:pPr>
    </w:p>
    <w:p>
      <w:pPr>
        <w:ind w:left="560" w:hanging="36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 and Implementation of a Strategy to Capitalize on Low Carbon Ammonia and Clean Energy Opportunities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60" w:hanging="36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Acquisition of Strategic Assets or Companies.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for our liquidity, we had approximately $143.5 million of combined cash and borrowing capacity at the end of 2021, which we believe provides us with ample liquidity to fund our operations and meet our current obligations. Also see discussions under “Liquidity and Capital Resources” of our MD&amp;A.</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Strategically Located Chemical Assets and Long-Standing Customer Relationships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benefits from highly advantageous locations with logistical and distribution benefits. We have access to the Nustar ammonia pipeline from the U.S. Gulf at our El Dorado Facility, which provides low-cost transportation to distribution points. The El Dorado Facility also has rail access providing favorable freight logistics to our industrial and agricultural customers and cost advantaged when selling a number of our products West of the Mississippi River. Our Cherokee Facility is located east of the Mississippi River, allowing it to reach customers that are not freight logical for others. Our Cherokee Facility sits adjacent to the Tennessee River, providing barge receipt and shipping access, in addition to truck and rail delivery access. Our Pryor Facility is located in the heart of the Southern Plains with close proximity to the Port of Catoosa along with strategic rail and truck delivery access.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Advantaged Raw Material Cost Position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produce ammonia at our El Dorado, Cherokee and Pryor Facilities, which allows us to take advantage of the spread between producing and purchasing ammonia at those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Diversified Sources of Revenue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business serves a broad range of end markets, which we believe diminishes the cyclicality of our financial performance. Our business serves the agricultural, industrial and mining markets. The flexible nature of our production process and storage capability allows us the ability to shift our product mix based on end market demand.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of Multiple Facilities and High Production Capacity</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operate our business through several facilities. Operating multiple facilities diversifies the risk and impact of operational issues that may occur at a single plant, which gives us a strategic advantage over competitors that operate their company through a single facility. Additionally, our competitive production capacity of our combined plants allows us to decrease manufacturing costs, helping us to achieve enhanced margins.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Agricultural Market Conditions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more detail under “Key Industry Factors” of MD&amp;A,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Looking forward to 2022, corn prices for the vast majority of 2021 remained above levels not seen since 2014, and at current prices exceeding $6 per bushel, are significantly above the $4 per bushel level that we believe represents a very favorable level for farmers to earn significant income on their crops. The strong corn prices over the past year have been driven, in part, by a rebound in the production of ethanol, a gasoline additive that represents approximately 40% of total U.S. corn use annually, as miles driven have returned to near pre-pandemic levels. Also supporting the strong corn pricing over the past year has been Chinese demand for corn for use as feed for swine as part of the nation’s efforts to rebuild its swine production in the wake of a virus that dramatically reduced its swine population several years ago. This demand for feed is expected to remain robust as China has moved to large institutional hog farms which consume significant quantities of corn. Globally, corn supplies have been constrained by drought conditions in South America and the Western U.S., which has served to further bolster corn prices. Early forecasts point to U.S. corn acreage to be planted in the 2022-2023 planting season to be approximately 90 to 92 million acres, modestly lower than the 2021-2022 estimate of 93.4 million acres, but still at a very healthy level to support strong demand for fertilizers.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Agricultural Products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produce and sell UAN, HDAN and ammonia, all of which are nitrogen-based fertilizers. We sell these agricultural products to farmers, ranchers, fertilizer dealers and distributors primarily in the ranch land and grain production markets in the U.S. Our nitrogen-based fertilizers are used to grow food crops, biofuel feedstock crops, pasture land for grazing livestock and forage production. We maintain long-term relationships with wholesale agricultural distributors and retailers and also sell directly to agricultural end-users through our network of wholesale and retail distribution centers.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combined with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develop our market position in these areas by emphasizing high quality products, customer service and technical advice.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have an agreement with a third-party purchaser, Coffeyville Resources Nitrogen Fertilizers, LLC, (“CVR”), to market and sell a portion of our UAN. Demand for sales under this agreement is based on the expected needs of the purchaser’s customers. The agreement provides the exclusive right (but not the obligation) to purchase, at market prices, substantially all of the UAN produced at our Pryor Facility. The term of the agreement runs through June 2022, with automatic one-year extensions, subject to a 180-day advance notice of termination from CVR or a 90-day advance notice from us.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most of our agricultural products at the current spot market price in effect at the time of shipment, although we periodically enter into forward sales commitments for some of these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ind w:left="520"/>
        <w:spacing w:after="0"/>
        <w:rPr>
          <w:sz w:val="20"/>
          <w:szCs w:val="20"/>
          <w:color w:val="auto"/>
        </w:rPr>
      </w:pPr>
      <w:r>
        <w:rPr>
          <w:rFonts w:ascii="Arial" w:cs="Arial" w:eastAsia="Arial" w:hAnsi="Arial"/>
          <w:sz w:val="18"/>
          <w:szCs w:val="18"/>
          <w:b w:val="1"/>
          <w:bCs w:val="1"/>
          <w:color w:val="auto"/>
        </w:rPr>
        <w:t>Industrial and Mining Market Conditions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more detail under “Key Industry Factors” of MD&amp;A, in our industrial markets, our sales volumes are typically driven by changes in general economic conditions, energy prices, metals market prices and our contractual arrangements with certain large customers. In our mining markets, our sales volumes are typically driven by changes in the overall North American consumption levels of mining products that can be impacted by weather. Additionally, changes in natural gas prices and demand in renewable power sources, such as wind and solar in the electrical generation sector, will impact demand for our mining products and impact competition within the other sectors of this market.</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Looking forward to 2022, selling prices have continued to improve as the supply of ammonia remains tight due to strong global demand, curtailed global supply due to rising natural gas prices, numerous global unplanned outages and lower than expected product imports. As a result, the Tampa Ammonia benchmark price increased to, and remains at multi-year high levels, which has translated into higher selling prices for our products as many of our industrial contracts are indexed to this benchmark price. Demand trends for the industrial products we sell, primarily nitric acid and ammonia, have remained robust despite disruptions to certain end markets, such as auto manufacturing which has been constrained due to a shortage of microprocessors, as activity in other markets, such as homebuilding and power generation has remained strong. In addition, our sales of nitric acid increased steadily throughout 2021 pursuant to the new long-term nitric acid supply contract discussed below. Demand for our mining products continues to improve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electronic vehicles.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and Mining Products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manufacture and sell industrial acids and other chemical products primarily to the polyurethane intermediates, paper, fibers, emission control, and electronics industries. In addition, we produce and sell blended and regular nitric acid and industrial and high purity ammonia for many specialty applications, including the reduction of air emissions from power plants.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our industrial and mining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2020, one of our subsidiaries, El Dorado Chemical Company (“EDC”) entered into a contract with a customer to supply nitric acid. Under the agreement, EDC will supply between 70,000 to 100,000 tons of nitric acid annually. The initial contract term began in January 2021 and extends through 2027 and includes automatic one-year renewal terms.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EDC and Koch Fertilizer LLC (“Koch Fertilizer”) are parties to an ammonia purchase and sale agreement, under which Koch Fertilizer agreed to purchase, with minimum purchase requirements, a portion of the ammonia that is in excess of EDC’s internal needs. The term of the agreement runs until June 2023, with annual renewal options thereafter.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the Baytown Facility on behalf of Covestro and we believe it is one of the largest and most technologically advanced nitric acid manufacturing units in the U.S. We operate and maintain this facility pursuant to a long-term operating contract. The term of this agreement runs until October 2029 with options for renewal.</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industrial business competes based upon service, price and location of production and distribution sites, product quality and performance and provides inventory management as part of the value-added services offered to certain customers.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produce and sell LDAN, HDAN and AN solution to the mining industry, which are primarily used as AN fuel oil and specialty emulsions for usage in the quarry and the construction industries, for metals mining, and to a lesser extent, for coal mining. We have signed long-term contracts with certain customers that provide for the annual sale of LDAN, which a portion include various natural-gas-based pricing arrangements. One of our customers has a plant located at our El Dorado Facility.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products we manufacture at our facilities are primarily derived from natural gas. This raw material feedstock is a commodity and subject to price fluctuations. Natural gas is the primary raw material for producing ammonia, UAN, nitric acid and acid blends and other products at our El Dorado, Cherokee and Pryor Facilities. For 2021, we purchased approximately 28.3 million MMBtus of natural gas.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chemical facilities’ natural gas feedstock requirements are generally purchased at spot market price. Periodically, we enter into volume purchase commitments and/or forward contracts to lock in the cost of certain of the expected natural gas requirements primarily to match quantities needed to produce product that has been sold forward. At December 31, 2021, we had natural gas contracts of approximately 5.4 million MMBtus, at an average cost of $4.53 per MMBtu. These contracts extend through March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See further discussion relating to the outlook for our business under “Key Industry Factors.”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highly competitive market with many other larger chemical companies, such as Austin Powder Company, CF Industries Holdings, Inc., Chemtrade Logistics L.L.C.; Cornerstone Chemical, Eco Services Operation Corp., a subsidiary of PQ Holding Group, OCI Partners NV, Dyno Nobel, a subsidiary of Incitec Pivot Limited, The Gavilon Group, Helm AG, Koch Industries, Norfalco, Nutrien, Orica Limited; Praxair, Inc., Quad Chemical Corporation, Southern States Chemical, Trammo Inc. and Veolia North America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we employed 545 persons, 180 of whom are represented by unions under agreements, including agreements being negotiated, that expire in July 2022 through July 2024. We believe we have good relationships with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&amp; Management</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success depends on the capabilities and strength of our workforce. Our Human Resources Director is responsible for developing and executing our human capital strategy. This strategy includes the acquisition, development, and retention of talent to deliver on our overall strategy. Our Chief Executive Officer (“CEO”) regularly updates our Board of Directors (“Board”) on the operation and status of these human capital activities including:</w:t>
      </w:r>
    </w:p>
    <w:p>
      <w:pPr>
        <w:spacing w:after="0" w:line="50" w:lineRule="exact"/>
        <w:rPr>
          <w:sz w:val="20"/>
          <w:szCs w:val="20"/>
          <w:color w:val="auto"/>
        </w:rPr>
      </w:pPr>
    </w:p>
    <w:p>
      <w:pPr>
        <w:jc w:val="both"/>
        <w:ind w:left="740" w:hanging="368"/>
        <w:spacing w:after="0" w:line="25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Training &amp; Development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21"/>
          <w:szCs w:val="21"/>
          <w:color w:val="auto"/>
        </w:rPr>
        <w:t>We are committed to the continued development of our employees. Quarterly reviews of</w:t>
      </w:r>
      <w:r>
        <w:rPr>
          <w:rFonts w:ascii="Arial" w:cs="Arial" w:eastAsia="Arial" w:hAnsi="Arial"/>
          <w:sz w:val="18"/>
          <w:szCs w:val="18"/>
          <w:i w:val="1"/>
          <w:iCs w:val="1"/>
          <w:color w:val="auto"/>
        </w:rPr>
        <w:t xml:space="preserve"> </w:t>
      </w:r>
      <w:r>
        <w:rPr>
          <w:rFonts w:ascii="Arial" w:cs="Arial" w:eastAsia="Arial" w:hAnsi="Arial"/>
          <w:sz w:val="21"/>
          <w:szCs w:val="21"/>
          <w:color w:val="auto"/>
        </w:rPr>
        <w:t>operations and talent occur across all operational business units and corporate functions. It is the responsibility of the CEO and the executive staff to review talent data on an annual basis and plan development actions to ensure succession and continuous improvement and growth.</w:t>
      </w:r>
    </w:p>
    <w:p>
      <w:pPr>
        <w:spacing w:after="0" w:line="65" w:lineRule="exact"/>
        <w:rPr>
          <w:rFonts w:ascii="Arial" w:cs="Arial" w:eastAsia="Arial" w:hAnsi="Arial"/>
          <w:sz w:val="18"/>
          <w:szCs w:val="18"/>
          <w:color w:val="auto"/>
        </w:rPr>
      </w:pPr>
    </w:p>
    <w:p>
      <w:pPr>
        <w:jc w:val="both"/>
        <w:ind w:left="740" w:hanging="368"/>
        <w:spacing w:after="0" w:line="262"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Engagement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20"/>
          <w:szCs w:val="20"/>
          <w:color w:val="auto"/>
        </w:rPr>
        <w:t>We believe that we have favorable relations with our employees. Approximately 33% of our employees are</w:t>
      </w:r>
      <w:r>
        <w:rPr>
          <w:rFonts w:ascii="Arial" w:cs="Arial" w:eastAsia="Arial" w:hAnsi="Arial"/>
          <w:sz w:val="17"/>
          <w:szCs w:val="17"/>
          <w:i w:val="1"/>
          <w:iCs w:val="1"/>
          <w:color w:val="auto"/>
        </w:rPr>
        <w:t xml:space="preserve"> </w:t>
      </w:r>
      <w:r>
        <w:rPr>
          <w:rFonts w:ascii="Arial" w:cs="Arial" w:eastAsia="Arial" w:hAnsi="Arial"/>
          <w:sz w:val="20"/>
          <w:szCs w:val="20"/>
          <w:color w:val="auto"/>
        </w:rPr>
        <w:t>represented under collective bargaining agreements. We take proactive measures, such as conducting employee surveys to understand and drive employee engagement. Additionally, we conduct benefit surveys annually in an effort to ensure that any changes to benefits are improvements or add value for employees. Each of our business units conducts roundtable discussions to develop action plans to improve the work environment. We have continued to increase our communication efforts with employees, which our workforce has recognized favorably</w:t>
      </w:r>
      <w:r>
        <w:rPr>
          <w:rFonts w:ascii="Arial" w:cs="Arial" w:eastAsia="Arial" w:hAnsi="Arial"/>
          <w:sz w:val="16"/>
          <w:szCs w:val="16"/>
          <w:color w:val="auto"/>
        </w:rPr>
        <w:t>.</w:t>
      </w:r>
    </w:p>
    <w:p>
      <w:pPr>
        <w:spacing w:after="0" w:line="59" w:lineRule="exact"/>
        <w:rPr>
          <w:rFonts w:ascii="Arial" w:cs="Arial" w:eastAsia="Arial" w:hAnsi="Arial"/>
          <w:sz w:val="17"/>
          <w:szCs w:val="17"/>
          <w:color w:val="auto"/>
        </w:rPr>
      </w:pPr>
    </w:p>
    <w:p>
      <w:pPr>
        <w:jc w:val="both"/>
        <w:ind w:left="740" w:hanging="368"/>
        <w:spacing w:after="0" w:line="25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Health and Safety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20"/>
          <w:szCs w:val="20"/>
          <w:color w:val="auto"/>
        </w:rPr>
        <w:t>Our Health and Safety Management System continues to build to establish a consistent approach to</w:t>
      </w:r>
      <w:r>
        <w:rPr>
          <w:rFonts w:ascii="Arial" w:cs="Arial" w:eastAsia="Arial" w:hAnsi="Arial"/>
          <w:sz w:val="17"/>
          <w:szCs w:val="17"/>
          <w:i w:val="1"/>
          <w:iCs w:val="1"/>
          <w:color w:val="auto"/>
        </w:rPr>
        <w:t xml:space="preserve"> </w:t>
      </w:r>
      <w:r>
        <w:rPr>
          <w:rFonts w:ascii="Arial" w:cs="Arial" w:eastAsia="Arial" w:hAnsi="Arial"/>
          <w:sz w:val="20"/>
          <w:szCs w:val="20"/>
          <w:color w:val="auto"/>
        </w:rPr>
        <w:t xml:space="preserve">enhance the work environment, culture and compliance at each business unit. This system is guided by a newly formed executive committee that provides focus and priority to compliance and industry best practices that protect our employees while performing work within our operations. Each business team is responsible for evaluating its unique operations and applying the defined controls to engage employees and manage injury risk. We use leading and lagging metrics, </w:t>
      </w:r>
      <w:r>
        <w:rPr>
          <w:rFonts w:ascii="Arial" w:cs="Arial" w:eastAsia="Arial" w:hAnsi="Arial"/>
          <w:sz w:val="16"/>
          <w:szCs w:val="16"/>
          <w:color w:val="auto"/>
        </w:rPr>
        <w:t>such as near miss tracking, assigning potential risk consequences to events, incident tracking, and releases</w:t>
      </w:r>
      <w:r>
        <w:rPr>
          <w:rFonts w:ascii="Arial" w:cs="Arial" w:eastAsia="Arial" w:hAnsi="Arial"/>
          <w:sz w:val="20"/>
          <w:szCs w:val="20"/>
          <w:color w:val="auto"/>
        </w:rPr>
        <w:t xml:space="preserve"> to monitor our</w:t>
      </w:r>
    </w:p>
    <w:p>
      <w:pPr>
        <w:spacing w:after="0" w:line="4" w:lineRule="exact"/>
        <w:rPr>
          <w:sz w:val="20"/>
          <w:szCs w:val="20"/>
          <w:color w:val="auto"/>
        </w:rPr>
      </w:pPr>
    </w:p>
    <w:p>
      <w:pPr>
        <w:jc w:val="both"/>
        <w:ind w:left="740"/>
        <w:spacing w:after="0" w:line="232" w:lineRule="auto"/>
        <w:rPr>
          <w:sz w:val="20"/>
          <w:szCs w:val="20"/>
          <w:color w:val="auto"/>
        </w:rPr>
      </w:pPr>
      <w:r>
        <w:rPr>
          <w:rFonts w:ascii="Arial" w:cs="Arial" w:eastAsia="Arial" w:hAnsi="Arial"/>
          <w:sz w:val="22"/>
          <w:szCs w:val="22"/>
          <w:color w:val="auto"/>
        </w:rPr>
        <w:t>performance and effectiveness across our operations and individual business teams</w:t>
      </w:r>
      <w:r>
        <w:rPr>
          <w:rFonts w:ascii="Arial" w:cs="Arial" w:eastAsia="Arial" w:hAnsi="Arial"/>
          <w:sz w:val="17"/>
          <w:szCs w:val="17"/>
          <w:color w:val="auto"/>
        </w:rPr>
        <w:t>. Events are investigated based on risk using</w:t>
      </w:r>
      <w:r>
        <w:rPr>
          <w:rFonts w:ascii="Arial" w:cs="Arial" w:eastAsia="Arial" w:hAnsi="Arial"/>
          <w:sz w:val="22"/>
          <w:szCs w:val="22"/>
          <w:color w:val="auto"/>
        </w:rPr>
        <w:t xml:space="preserve"> </w:t>
      </w:r>
      <w:r>
        <w:rPr>
          <w:rFonts w:ascii="Arial" w:cs="Arial" w:eastAsia="Arial" w:hAnsi="Arial"/>
          <w:sz w:val="17"/>
          <w:szCs w:val="17"/>
          <w:color w:val="auto"/>
        </w:rPr>
        <w:t>root cause analysis tools and corrective actions are tracked to ensure prevention. In addition, the management system includes periodic third-party audits and internal self-assessment to continuously improve.</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Like many other companies, we have experienced challenges resulting from the COVID-19 pandemic and have focused energy and effort on protecting our employees and their families from potential virus exposure while continuing safe and compliant operations. Since the beginning of the pandemic, we established detailed plans and protocols, executed remote work arrangements, and increased communication to employees. To date, our focused actions, which have aligned with the guidance from the Centers for Disease Control and Prevention, have not resulted in any work stoppage</w:t>
      </w:r>
      <w:r>
        <w:rPr>
          <w:rFonts w:ascii="Arial" w:cs="Arial" w:eastAsia="Arial" w:hAnsi="Arial"/>
          <w:sz w:val="16"/>
          <w:szCs w:val="16"/>
          <w:color w:val="auto"/>
        </w:rPr>
        <w:t>.</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Government Laws and Regulations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facilities and operations are subject to numerous federal, state and local laws and regulations, including matters regarding environmental, health and safety, many of which provide for certain performance obligations, substantial fines and criminal sanctions for violations. Certain of these laws and regulations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These laws and regulations (including enforcement policies thereunder) have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both"/>
        <w:spacing w:after="0" w:line="296" w:lineRule="auto"/>
        <w:rPr>
          <w:sz w:val="20"/>
          <w:szCs w:val="20"/>
          <w:color w:val="auto"/>
        </w:rPr>
      </w:pPr>
      <w:r>
        <w:rPr>
          <w:rFonts w:ascii="Arial" w:cs="Arial" w:eastAsia="Arial" w:hAnsi="Arial"/>
          <w:sz w:val="16"/>
          <w:szCs w:val="16"/>
          <w:color w:val="auto"/>
        </w:rPr>
        <w:t>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our subsidiaries have incurred significant expenditures in order to comply with these laws and regulations and are reasonably expected to do so in the future. We will also be obligated to manage certain discharge water outlets and monitor groundwater contaminants at our chemical facilities should we discontinue the operations of a facility.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discussions concerning our risk factors under Item 1A of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available free of charge through our Internet website (</w:t>
      </w:r>
      <w:r>
        <w:rPr>
          <w:rFonts w:ascii="Arial" w:cs="Arial" w:eastAsia="Arial" w:hAnsi="Arial"/>
          <w:sz w:val="18"/>
          <w:szCs w:val="18"/>
          <w:u w:val="single" w:color="auto"/>
          <w:color w:val="auto"/>
        </w:rPr>
        <w:t>www.lsbindustries.com</w:t>
      </w:r>
      <w:r>
        <w:rPr>
          <w:rFonts w:ascii="Arial" w:cs="Arial" w:eastAsia="Arial" w:hAnsi="Arial"/>
          <w:sz w:val="18"/>
          <w:szCs w:val="18"/>
          <w:color w:val="auto"/>
        </w:rPr>
        <w:t>) or by calling Investor Relations (212) 836-9607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in our website does not constitute part of this Annual Report on Form 10-K.</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directors, officers, and beneficial owners of more than 10% of our common stock to file with the SEC reports of holdings and changes in beneficial ownership of our stock. Based solely on a review of copies of the Forms 3, 4 and 5 furnished to us with respect to 2021, or written representations that no Form 5 was required to be filed, we believe that during 2021 all our directors and officers and beneficial owners of more than 10% of our common stock timely filed their required Forms 3, 4, or 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Liquidity</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to service our debt and may be required to take other actions to satisfy the obligations under our debt agreements, which may not be successful.</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make scheduled payments on our debt obligations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 $500 million principal amount of our 6.250% Senior Secured Notes due 2028 (the “New Notes”).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cash flows and capital resources are insufficient to fund our debt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These alternative measures may not be successful, may not be completed on economically attractive terms, or may not be adequate for us to meet our debt obligations when due. Additionally, our debt agreements limit the use of the proceeds from many dispositions of assets or operations. As a result, we may not be permitted to use the proceeds from these dispositions to satisfy our debt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substantial indebtedness level could limit our financial and operating activities, and adversely affect our ability to incur additional debt to fund future needs.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 substantial amount of indebtedness. As a result, this level could, among other things:</w:t>
      </w:r>
    </w:p>
    <w:p>
      <w:pPr>
        <w:spacing w:after="0" w:line="117" w:lineRule="exact"/>
        <w:rPr>
          <w:sz w:val="20"/>
          <w:szCs w:val="20"/>
          <w:color w:val="auto"/>
        </w:rPr>
      </w:pPr>
    </w:p>
    <w:p>
      <w:pPr>
        <w:ind w:left="1000" w:hanging="493"/>
        <w:spacing w:after="0" w:line="25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the payment of principal and interest, thereby reducing the funds available for operations and future business opportunities;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including our repurchase obligations;</w:t>
      </w:r>
    </w:p>
    <w:p>
      <w:pPr>
        <w:spacing w:after="0" w:line="9"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adjust to changing economic, business and competitive conditions;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with competitors who may have less indebtedness or greater access to financing;</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vulnerable to an increase in interest rates, a downturn in our operating performance or a decline in general economic conditions; and</w:t>
      </w:r>
    </w:p>
    <w:p>
      <w:pPr>
        <w:ind w:left="1000" w:hanging="493"/>
        <w:spacing w:after="0" w:line="260"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susceptible to changes in credit ratings, which could affect our ability to obtain financing in the future and increase the cost of such financing.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liquidity, operating results and financial condition.</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debt agreements and the Exchange Agreement contain covenants and restrictions that could restrict or limit our financial and business operations.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debt agreements and the Exchange Agreement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These covenants and other restrictions limit our ability to, among other things:</w:t>
      </w:r>
    </w:p>
    <w:p>
      <w:pPr>
        <w:spacing w:after="0" w:line="76"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make other restricted payments;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 or certain capital expenditures;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repay, repurchase or modify certain subordinated and other material debt.</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Working Capital Revolver Loan also contains certain affirmative covenants and requires the borrowers to comply with a fixed charge coverage ratio (as defined in the Working Capital Revolver Loan) if their excess availability (as defined in the Working Capital Revolver Loan) falls below a certain level.</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certain failures to make payments when due on, or the acceleration of, significant indebtedness constitutes a default under some of our debt instruments, including the indenture governing the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age of our chemical manufacturing facilities increases the risk for unplanned downtime, which may be significant.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U.S. laws and policies affecting foreign trade and investment.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liquidity, operating results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a holding company with no significant operations or material assets other than the equity interests it holds in its subsidiaries and conducts all of its operations through its subsidiaries. As a result, LSB’s ability to meet its obligations depends, in large part, on the operating performance and cash flows of its subsidiaries, which will be affected by general economic, industry, financial, competitive, operating and other factors beyond our control, and the ability of its subsidiaries to make distributions and pay dividends to LSB.</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LSB’s subsidiaries is a separate and distinct legal entity and, under certain circumstances, legal and contractual restrictions, as well as the financial condition and operating requirements of such subsidiaries, may limit LSB’s ability to obtain cash from its subsidiaries. Any payment of dividends, distributions, loans or advances to LSB by its subsidiaries could also be subject to taxes or restrictions on dividends or transfers under applicable local law in the jurisdictions in which LSB’s subsidiaries operate.</w:t>
      </w:r>
    </w:p>
    <w:p>
      <w:pPr>
        <w:spacing w:after="0" w:line="75"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Pandemics or disease outbreaks, such as COVID-19, have and may in the future disrupt our business, which could adversely affect our financial performance.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COVID-19 has evolved into a global pandemic and the full extent of its impact will depend on future developments that are uncertain and cannot be accurately predicted, including new information that may emerge concerning the COVID-19 pandemic and the actions to contain the COVID-19 pandemic or treat its impact. Currently, all of the facilities we own and operate have been designated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and therefore, our facilities are remaining in operation despite the evolving global health crisis resulting from the COVID-19 pandemic. However, if additional mandatory closures of businesses are imposed by the federal, state and local governments to control the spread of the virus, these closures could disrupt the operations of our management, business and finance teams. In addition, a significant downturn in global economic growth, or recessionary conditions in major geographic regions, may lead to reduced demand for a portion or all our products. Legislative, regulatory, judicial or social influences related to the COVID-19 pandemic may affect our financial performance and our ability to conduct our business.</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extended period of remote work arrangements due to the COVID-19 pandemic could exacerbate cybersecurity risks. Our business depends on the proper functioning and availability of our information technology platform, including communications and data processing systems. We are also required to effect electronic transmissions with third parties including clients, vendors and others with whom we do business, and with our Board. We believe we have implemented appropriate security measures, controls and procedures to safeguard our information technology systems and to prevent unauthorized access to such systems and any data processed or stored in such systems, and we periodically evaluate and test the adequacy of such systems, measures, controls and procedures and perform third-party risk assessments; however, there can be no guarantee that such systems, measures, controls and procedures will be effective, that we will be able to establish secure capabilities with all of third parties, or that third parties will have appropriate controls in place to protect the confidentiality of our information. Security breaches could expose us to a risk of loss or misuse of our information, litigation and potential liability.</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Omicron variant of COVID-19 began to spread rapidly across the globe in the fourth quarter of fiscal year 2021 and began to affect our business, as well as our customers’ and suppliers’ business in similar ways as the initial surge of COVID-19. In addition, inflation and supply chain disruptions, in part exacerbated by the spread of the Omicron variant, have impacted companies and consumers in the United States. We have begun to experience increased inventory shipping costs and could see annual price increases from some of our vendors. In light of these trends, our management has taken, and will continue to take, a number of steps aimed to mitigate the impact of the Omicron variant, supply chain disruptions and inflation.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COVID-19 pandemic continues to impact communities, our business operations could be disrupted or delayed, and our business, financial condition, and results of operations could be adversely affected.</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Terrorist attacks and other acts of violence or war, and natural disasters (such as hurricanes, etc.), have negatively affected and could negatively affect U.S. and foreign companies, the financial markets, the industries where we operate, our operations and our profitability.</w:t>
      </w:r>
    </w:p>
    <w:p>
      <w:pPr>
        <w:spacing w:after="0" w:line="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Terrorist attacks in the U.S and elsewhere and natural disasters (such as hurricanes or pandemic health crises)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business, financial condition and results of operations.</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major factor underlying the current high level of demand for our nitrogen-based fertilizer products is the production of ethanol. A decrease in ethanol production or an increase in ethanol imports could have a material adverse effect on our results of operations, financial condition and ability to make cash distributions.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than current incentive programs. Therefore, a decrease in ethanol production or an increase in ethanol imports could have a material adverse effect on our overall business, results of operations, financial condition and liquidity.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We are reliant on a limited number of key facilities.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nitrogen production is concentrated in four separate complexes. The suspension of operations at any of these complexes could adversely affect our ability to produce our products and fulfill our commitments and could have a material adverse effect on liquidity, financial condition, results of operations and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can adversely affect 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Many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our agricultural sales and our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may adversely affect our business</w:t>
      </w:r>
      <w:r>
        <w:rPr>
          <w:rFonts w:ascii="Arial" w:cs="Arial" w:eastAsia="Arial" w:hAnsi="Arial"/>
          <w:sz w:val="18"/>
          <w:szCs w:val="18"/>
          <w:color w:val="auto"/>
        </w:rPr>
        <w: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 the course of the past several years, global climate conditions have become increasingly inconsistent, volatile and unpredictable. Many of the regions in which we do business have experienced excessive moisture, cold, drought and/or heat of an unprecedented nature at various times of the year. In some cases, these conditions have either reduced or obviated the need for our products, particularly in the agriculture space, whether pre-plant, at-plant, post-emergent or at harvest. Due to the unpredictable nature of these conditions, growers and distributors appear to have become increasingly conservative in procurement practices and the accumulation of inventory. Further, the random nature of climactic change has made it increasingly difficult to forecast market demand and, consequently, financial performance, from year-to-year. There is no guarantee that climate change will abate in the near future, and it is possible that such change will continue to hinder our ability to forecast sales performance with accuracy and otherwise adversely affect our financial performance.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customers are sensitive to adverse economic cycles.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can be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could adversely affect our operating results, liquidity, financial condition and capital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intense competition in the markets we serve.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of imported agricultural products could adversely affect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Russia, Ukraine and Trinidad have substantial capacity to produce and export fertilizers. Producers in these countries also benefit from below-market prices for natural gas, due to government regulation and other factors.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producers in China have substantial capacity to produce and export urea. Depending on various factors, including prevailing prices from other exporters, the price of coal, and the price of China’s export tariff, higher volumes of urea from China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could be imported into the U.S. at prices that could have an adverse effect on the selling prices of other nitrogen products, including the nitrogen products we manufacture and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sales is dependent upon a limited number of customers.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2021, ten customers accounted for approximately 47% of our consolidated net sales. The loss of, or a material reduction in purchase levels by, one or more of these customers could have a material adverse effect on our business, results of operations, financial condition and liquidity if we are unable to replace a customer with other sales on substantially similar terms.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change in the volume of products that our customers purchase on a forward basis, or the percentage of our sales volume that is sold to our customers on a forward basis, could increase our exposure to fluctuations in our profit margins and materially adversely affect our business, financial condition, results of operations and cash flows.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our customers from time-to-time, the opportunity to purchase products from us on a forward basis at prices and delivery dates we propose. Under our forward sales programs, customers generally make an initial cash down payment at the time of order and pay the remaining portion of the contract sales under their usual invoice terms when the performance obligation is satisfied. Forward sales improve our liquidity due to the cash payments received from customers in advance of shipment of the product and allow us to improve our production scheduling and planning and the utilization of our manufacturing and distribution assets. Any cash payments received in advance from customers in connection with forward sales are reflected on our consolidated balance sheets as a current liability until the related performance obligations are satisfied, which can take up to several months. We believe the ability to purchase products on a forward basis is most appealing to our customers during periods of generally increasing prices for nitrogen fertilizers. Our customers may be less willing or even unwilling to purchase products on a forward basis during periods of generally decreasing or stable prices or during periods of relatively high fertilizer prices due to the expectation of lower prices in the future or limited capital resources. In periods of rising fertilizer prices, selling our nitrogen fertilizers on a forward basis may result in lower profit margins than if we had not sold fertilizer on a forward basis. Conversely, in periods of declining fertilizer prices, selling our nitrogen fertilizers on a forward basis may result in higher profit margins than if we had not sold fertilizer on a forward basis. In addition, fixing the selling prices of our products, often months in advance of their ultimate delivery to customers, typically causes our reported selling prices and margins to differ from spot market prices and margins available at the time the performance obligation is satisfied.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typically subject to considerable price volatility, and recent global supply chain disruptions and increased inflation in the United States have led to further heightened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business, financial condition, liquidity and results of operations.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price of natural gas in North America and worldwide has been volatile in recent years and had declined on average due in part to the development of significant natural gas reserves, including shale gas, and the rapid improvement in shale gas extraction techniques, such as hydraulic fracturing and horizontal drilling. However, recent disruptions in the global supply chain and increased inflation in the United States have led to reduced availability and increased prices of natural gas in the fourth quarter of fiscal year 2021, and they may continue to have an impact in the near term in fiscal year 2022.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business,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business is subject to risks involving derivatives and the risk that our hedging activities might not be effective.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utilize natural gas derivatives to hedge our financial exposure to the price volatility of natural gas, the principal raw material used in the production of nitrogen-based products. We may use futures, financial swaps and option contracts traded in the over-the-counter markets or on exchanges to hedge our risk. Our use of derivatives can result in volatility in reported earnings due to the unrealized mark-to-market adjustments that occur from changes in the value of the derivatives that do not qualify for, or to which we do not apply, hedge accounting. To the extent that our derivative positions lose value, we may be required to post collateral with our counterparties, adversely affecting our liquidity. We have also used fixed-price, physical purchase and sales contracts to hedge our exposure to natural gas price volatility. Hedging arrangements are imperfect and unhedged risks will always exist. In addition, our hedging activities may themselves give rise to various risks that could adversely affect us. For example, we are exposed to counterparty credit risk when our derivatives are in a net asset position. The counterparties to our derivatives are multi-national commercial banks, major financial institutions or large energy companies. Our liquidity could be negatively impacted by a counterparty default on settlement of one or more of our derivative financial instruments or by the trigger of any cross-default provisions or credit support requirements. Additionally, the International Swaps and Derivative Association master netting arrangements for most of our derivative instruments contain credit-risk-related contingent features, such as cross-default and/or acceleration provisions and credit support requirements. In the event of certain defaults or a credit ratings downgrade, our counterparty may request early termination and net settlement of certain derivative trades or may require us to collateralize derivatives in a net liability position. At other times we may not utilize derivatives or derivative strategies to hedge certain risks or to reduce the financial exposure of price volatility. As a result, we may not prevent certain material adverse impacts that could have been mitigated through the use of derivative strategies.</w:t>
      </w:r>
    </w:p>
    <w:p>
      <w:pPr>
        <w:spacing w:after="0" w:line="5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transportation and distribution activities rely on third-party providers, which subject us to risks and uncertainties beyond our control that may adversely affect our operations.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technological innovation could affect our business.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 risks could adversely affect our business.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we continue to increase our dependence on information technologies to conduct our operations, including as a result of remote work environments due to COVID-19, the risks associated with cyber security also increase. We rely on our enterprise resource planning software (“ERP”) and other information systems, among other things, to manage our manufacturing, supply chain, accounting and financial functions. Additionally, third parties on whose systems we place significant reliance for the conduct of our business are also subject to cyber security risks.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business, results of operations, liquidity and financial condition</w:t>
      </w:r>
      <w:r>
        <w:rPr>
          <w:rFonts w:ascii="Arial" w:cs="Arial" w:eastAsia="Arial" w:hAnsi="Arial"/>
          <w:sz w:val="15"/>
          <w:szCs w:val="15"/>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We may engage in certain strategic transactions which may adversely affect our financial condition.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important part of our business strategy is the acquisition of strategic assets or companies. Our management is currently evaluating and pursing certain such opportunities, and from time to time separately provides indications of interest in respect of similar transactions, which may be significant. Any such discussions may or may not result in the consummation of a transaction, and we may not be able to identify or complete any of these potential acquisitions. We cannot predict the effect, if any, that any announcement or consummation of a transaction would have on the price of our securities. While the documents governing our indebtedness include certain restrictions on our ability to finance any acquisitions of new assets, such restrictions contain various exceptions and limitations.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guarantee that any such transactions will be successful or, even if consummated, improve our operating results. We may incur costs, breakage fees or other expenses in connection with any such transactions or may not be able to obtain the necessary financing for such transactions on acceptable terms. Accordingly, any such transactions may ultimately have a material adverse effect on our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 addition, any future acquisitions could present a number of risks, including:</w:t>
      </w:r>
    </w:p>
    <w:p>
      <w:pPr>
        <w:spacing w:after="0" w:line="23"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of using management time and resources to pursue acquisitions that are not successfully completed;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of incorrect assumptions regarding the future results of acquired operations or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of failing to integrate the operations or management of any acquired operations or assets successfully and timely;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of diversion of management’s attention from existing operations or other priorities.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are unsuccessful in integrating acquisitions in a timely and cost-effective manner, our financial condition and results of operations could be adversely affected.</w:t>
      </w:r>
    </w:p>
    <w:p>
      <w:pPr>
        <w:spacing w:after="0" w:line="58"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Legal, Regulatory and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and the production and handling of our products involve significant risks and hazards.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operations are subject to hazards inherent in the manufacture, transportation, storage and distribution of chemical products, including some products that are highly toxic and corrosive. These hazards include, among other things, explosions; fires; severe weather and natural disasters; train derailments, collisions, vessel groundings and other transportation and maritime incidents; leaks and ruptures involving storage tanks, pipelines and rail cars; spills, discharges and releases of toxic or hazardous substances or gases; deliberate sabotage and terrorist incidents; mechanical failures; unscheduled plant downtime; labor difficulties and other risks. Some of these hazards can cause bodily injury and loss of life, severe damage to or destruction of property and equipment and environmental damage and may result in suspension of operations for an extended period of time and/or the imposition of civil or criminal penalties and liabilities. We periodically experience minor releases of ammonia related to leaks from our equipment. Similar events may occur in the future. As a result, such events could have a material adverse effect on our results of operations and financial condition.</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adequate insurance.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9 to the Consolidated Financial Statements included in this report.</w:t>
      </w:r>
    </w:p>
    <w:p>
      <w:pPr>
        <w:spacing w:after="0" w:line="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U.S. Environmental Protection Agency (“EPA”) finalized revisions to its Risk Management Program (“RMP”). The revisions include new requirements for certain facilities to perform hazard analyses, third-party auditing, incident investigations and root cause analyses, emergency response exercises, and to publicly share chemical and process information. Compliance with many of the rule’s new requirements will be required beginning in 2021. The EPA temporarily delayed the rule’s effective date however, the delay was subsequently vacated with an immediate effective date. On December 3, 2018, the EPA published a final rule that incorporates amendments to the RMP under 40 CFR Part 68. However, on November 21, 2019, EPA finalized its Risk Management Program Reconsideration Rule which rescinded third-party auditing, incident investigation and root cause analysis, and the public sharing of specific chemical and process information. The passage of the Reconsideration Rule has reduced the potential negative effect on the profitability of our AN business compared to the January 2017 RMP amendments. The Occupational Safety and Health Administration (“OSHA”) is likewise considering changes to its Process Safety Management standards. In addition, DHS,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7"/>
          <w:szCs w:val="17"/>
          <w:color w:val="auto"/>
        </w:rPr>
        <w:t>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The EPA is currently reviewing the Clean Power Plan however, it could result in increased electricity costs due to increased requirements for use of alternative energy sources, and a decreased demand for coal-generated electricity.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The federal government and some of the states and localities in which we operate have enacted certain climate change laws and regulations and/or have begun regulating carbon footprints and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spacing w:after="0" w:line="67"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Debt</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Despite our current levels of debt, we may still incur more debt ranking senior or equal in right of payment with our existing obligations, including secured debt, which would increase the risks described herein.</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agreements relating to our debt, including the Senior Secured Notes Indenture and the credit agreement governing our Working Capital Revolver Loan, limit but do not prohibit our ability to incur additional debt, including additional secured debt. Notwithstanding the fact that the Senior Secured Notes Indenture and the credit agreement governing our Working Capital Revolver Loan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spacing w:after="0" w:line="282" w:lineRule="auto"/>
        <w:rPr>
          <w:sz w:val="20"/>
          <w:szCs w:val="20"/>
          <w:color w:val="auto"/>
        </w:rPr>
      </w:pPr>
      <w:r>
        <w:rPr>
          <w:rFonts w:ascii="Arial" w:cs="Arial" w:eastAsia="Arial" w:hAnsi="Arial"/>
          <w:sz w:val="18"/>
          <w:szCs w:val="18"/>
          <w:b w:val="1"/>
          <w:bCs w:val="1"/>
          <w:color w:val="auto"/>
        </w:rPr>
        <w:t>Borrowings under our Working Capital Revolver Loan bear interest at a variable rate, which subjects us to interest rate risk and could cause our debt service obligations to increase.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borrowings under our Working Capital Revolver Loan are at variable rates of interest and expose us to interest rate risk. If interest rates increase, our debt service obligations on this variable rate indebtedness would increase even though the amount borrowed remained the same. Although we may enter into interest rate swaps to reduce interest rate volatility, we cannot provide assurances that we will be able to do so or that such swaps will be effective.</w:t>
      </w:r>
    </w:p>
    <w:p>
      <w:pPr>
        <w:spacing w:after="0" w:line="75"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could negatively affect our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performance has been and will continue to be dependent upon the efforts of our principal executive officers. We cannot ensure that our principal executive officers will continue to be available. Although we have employment agreements with certain of our principal executive officers, including Mark T. Behrman and Cheryl A. Maguire, we do not have employment agreements with all of our key personnel. The loss of any of our principal executive officers could have a material adverse effect on us. We believe that our future success will depend in large part on our continued ability to attract and retain highly skilled and qualified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collective bargaining agreements with certain employees.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Approximately 33% of our employees are covered by collective bargaining agreements. We may not be able to renew our collective bargaining agreements on terms similar to current terms or renegotiate collective bargaining agreements on terms acceptable to us. The prolonged failure to renew or renegotiate a collective bargaining agreement could result in work stoppages. Additionally, if a collective bargaining agreement is negotiated at higher-than-anticipated cost, absorbing those costs or passing them through to customers in the form of higher prices may make us less competitive.</w:t>
      </w:r>
    </w:p>
    <w:p>
      <w:pPr>
        <w:spacing w:after="0" w:line="45" w:lineRule="exact"/>
        <w:rPr>
          <w:sz w:val="20"/>
          <w:szCs w:val="20"/>
          <w:color w:val="auto"/>
        </w:rPr>
      </w:pPr>
    </w:p>
    <w:p>
      <w:pPr>
        <w:ind w:left="800" w:hanging="792"/>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our stockholders control a significant amount of our voting stock, and their interests could conflict with interests of other stockholders.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LSB Funding LLC (“LSB Funding”), our largest voting shareholder, owned approximately 54 million shares of our common stock, which represent approximately 61% of the voting power of our common stock as of December 31, 2021, an aggregate of approximately 50 million shares of which were issued to LSB Funding in connection with the Exchange Transaction and the Special Dividend. As a result, LSB Funding could significantly influence our business and affairs if it chooses to use its significant voting power to do so. For instance, LSB Funding would be able to significantly affect most matters brought before the stockholders, including the election of all directors and the approval of mergers and other business combination transactions.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 Board Representation and Standstill Agreement, as amended, LSB Funding has the right to designate three directors on our Board, subject to reduction in certain circumstances. This is in addition to their ability to vote generally in the election of directors. As a result, LSB Funding has significant influence over the election of directors to our Board.</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interests of LSB Funding may conflict with interests of other stockholders. As a result of the voting power and board designation rights of LSB Funding, the ability of other stockholders to influence our management and policies could be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authorized and unissued (including shares held in treasury) approximately 60.2 million shares of common stock and approximately 5.2 million shares of preferred stock as of December 31, 2021. These unissued shares could be used by our management to make it more difficult, and thereby discourage an attempt to acquire control of us.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provisions and agreements may discourage a third-party tender offer, proxy contest, or other attempts to acquire control of us and could have the effect of making it more difficult to remove incumbent management. In addition, LSB Funding and the Golsen Holders have significant voting power and rights to designate board representatives, all of which may further discourage a third-party tender offer, proxy contest, or other attempts to acquire control of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62" w:lineRule="exact"/>
        <w:rPr>
          <w:sz w:val="20"/>
          <w:szCs w:val="20"/>
          <w:color w:val="auto"/>
        </w:rPr>
      </w:pPr>
    </w:p>
    <w:p>
      <w:pPr>
        <w:ind w:left="1000" w:hanging="493"/>
        <w:spacing w:after="0" w:line="25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such time the Board of the corporation approved the business combination that results in the stockholder becoming an invested stockholder;</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acquirer owned at least 85% of the outstanding voting stock of such company prior to commencement of the transaction;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two-thirds of the stockholders, other than the acquirer, vote to approve the business combination after approval thereof by the Board; or</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stockholders of the corporation amend its articles of incorporation or by-laws electing not to be governed by this provision.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paid cash dividends on our outstanding common stock in many years.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 Our Board of Directors (the “Board”) has not made a decision whether or not to pay dividends on our common stock in 2022. In addition, there are certain limitations contained in our loan agreements that may limit our ability to pay dividends on our outstanding common stock.</w:t>
      </w:r>
    </w:p>
    <w:p>
      <w:pPr>
        <w:spacing w:after="0" w:line="7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sales of substantial amounts of our common stock, preferred stock or equity-related securities in the public market, or the perception that such sales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or the availability of shares of common stock for future sale will have on the trading price of our common stock. Such future sales could also significantly reduce the percentage ownership and voting power of our existing common stockholders.</w:t>
      </w:r>
    </w:p>
    <w:p>
      <w:pPr>
        <w:spacing w:after="0" w:line="76"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Deterioration of global market and economic conditions could have a material adverse effect on our business, financial condition, results of operations and cash flow.</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63"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22"/>
          <w:szCs w:val="22"/>
          <w:color w:val="auto"/>
        </w:rPr>
        <w:t>our ability to invest in projects that will generate the best returns for our stockholders</w:t>
      </w:r>
    </w:p>
    <w:p>
      <w:pPr>
        <w:spacing w:after="0" w:line="105"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belief that competition is based upon service, price, location of production and distribution sites, and product quality and performance;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volumes at our production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the ongoing COVID-19 pandemic and related response;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6"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of increases in prices of raw materials;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increases resulting from increased inflation;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including the effects of climate change;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supply chain disruptions;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described in “Risk Factors” contained in this report.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Arkansas Department of Environmental Quality.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AN</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Ammonium nitrate.</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Asset retirement obligation.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ASC</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Accounting Standard Codification.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Accounting Standard Update.</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Board</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Board of Directors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A consent administrative order.</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Coronavirus Aid, Relief, and Economic Security Act.</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CEO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Chevron Environmental Management Company.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CoC</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Change of Control</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Covestro L.L.C.</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novel coronavirus disease of 2019.</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Coffeyville Resources Nitrogen Fertilizers, L.L.C.</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D&amp;A</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DEF</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Diesel Exhaust Fluid.</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DHS</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U.S. Department of Homeland Security.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El Dorado Ammonia L.L.C.</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El Dorado Chemical Company.</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EDN</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El Dorado Nitrogen L.L.C.</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U.S. Energy Information Administration</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w w:val="98"/>
              </w:rPr>
              <w:t>Environmental and Health Laws</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97"/>
        </w:trPr>
        <w:tc>
          <w:tcPr>
            <w:tcW w:w="270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   The U.S. Environmental Protection Agency.</w:t>
            </w:r>
          </w:p>
        </w:tc>
      </w:tr>
      <w:tr>
        <w:trPr>
          <w:trHeight w:val="513"/>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80" w:type="dxa"/>
            <w:vAlign w:val="bottom"/>
          </w:tcPr>
          <w:p>
            <w:pPr>
              <w:ind w:left="2480"/>
              <w:spacing w:after="0"/>
              <w:rPr>
                <w:sz w:val="20"/>
                <w:szCs w:val="20"/>
                <w:color w:val="auto"/>
              </w:rPr>
            </w:pPr>
            <w:r>
              <w:rPr>
                <w:rFonts w:ascii="Arial" w:cs="Arial" w:eastAsia="Arial" w:hAnsi="Arial"/>
                <w:sz w:val="18"/>
                <w:szCs w:val="18"/>
                <w:color w:val="auto"/>
              </w:rPr>
              <w:t>22</w:t>
            </w:r>
          </w:p>
        </w:tc>
      </w:tr>
      <w:tr>
        <w:trPr>
          <w:trHeight w:val="115"/>
        </w:trPr>
        <w:tc>
          <w:tcPr>
            <w:tcW w:w="2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Environmental Use Control.</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Exchange Agreement</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w w:val="98"/>
              </w:rPr>
              <w:t>-   A Securities Exchange Agreement between LSB Funding L.L.C. and affiliate of Eldridge L.L.C. and LSB.</w:t>
            </w: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Exchange Transaction</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w w:val="97"/>
              </w:rPr>
              <w:t>-   The exchange of shares of the Series E and Series F Redeemable Preferred for shares of common stock</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pursuant to the Exchange Agreement.</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Financial Accounting Standards Board.</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U.S. Generally Accepted Accounting Principles.</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w w:val="91"/>
              </w:rPr>
              <w:t>-   Jack E. Golsen, Barry H. Golsen and certain of their related parties, as defined in the Board Representation and</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Standstill Agreement, as amended.</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w w:val="98"/>
              </w:rPr>
              <w:t>-   LSB Funding L.L.C., the holder of all of the shares of the Series E and Series F Redeemable Preferred.</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The agreement governing the 6.25% Senior Secured Notes.</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J. Golsen</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Jack E. Golsen.</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The Kansas Department of Health and Environment.</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Koch Fertilizer</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Koch Fertilizer L.L.C.</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Leidos Constructors L.L.C.</w:t>
            </w: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w w:val="97"/>
              </w:rPr>
              <w:t>-   The Series E Redeemable Preferred liquidation preference of $1,000 per share plus accrued and unpaid</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dividends plus the participation rights value.</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LSB Industries, Inc.</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LSB Funding L.L.C.</w:t>
            </w: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w w:val="95"/>
              </w:rPr>
              <w:t>-   Management’s Discussion and Analysis of Financial Condition and Results of Operations found in Item 7 of</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this report.</w:t>
            </w:r>
          </w:p>
        </w:tc>
      </w:tr>
      <w:tr>
        <w:trPr>
          <w:trHeight w:val="283"/>
        </w:trPr>
        <w:tc>
          <w:tcPr>
            <w:tcW w:w="234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w w:val="92"/>
              </w:rPr>
              <w:t>-   The senior secured notes issued on October 14, 2021 with an interest rate of 6.250%, which mature in October</w:t>
            </w:r>
          </w:p>
        </w:tc>
      </w:tr>
      <w:tr>
        <w:trPr>
          <w:trHeight w:val="230"/>
        </w:trPr>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2028.</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NOL</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Net Operating Loss.</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A note in the accompanying notes to the consolidated financial statements.</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National Pollutant Discharge Elimination.</w:t>
            </w:r>
          </w:p>
        </w:tc>
      </w:tr>
      <w:tr>
        <w:trPr>
          <w:trHeight w:val="266"/>
        </w:trPr>
        <w:tc>
          <w:tcPr>
            <w:tcW w:w="2340" w:type="dxa"/>
            <w:vAlign w:val="bottom"/>
          </w:tcPr>
          <w:p>
            <w:pPr>
              <w:spacing w:after="0"/>
              <w:rPr>
                <w:sz w:val="20"/>
                <w:szCs w:val="20"/>
                <w:color w:val="auto"/>
              </w:rPr>
            </w:pPr>
            <w:r>
              <w:rPr>
                <w:rFonts w:ascii="Arial" w:cs="Arial" w:eastAsia="Arial" w:hAnsi="Arial"/>
                <w:sz w:val="18"/>
                <w:szCs w:val="18"/>
                <w:b w:val="1"/>
                <w:bCs w:val="1"/>
                <w:color w:val="auto"/>
              </w:rPr>
              <w:t>NPK</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Compound fertilizer products which are a solid granular fertilizer product for which the nutrient content is a</w:t>
            </w:r>
          </w:p>
        </w:tc>
      </w:tr>
      <w:tr>
        <w:trPr>
          <w:trHeight w:val="216"/>
        </w:trPr>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7"/>
                <w:szCs w:val="17"/>
                <w:color w:val="auto"/>
              </w:rPr>
              <w:t>combination of nitrogen, phosphorus, and potassium.</w:t>
            </w:r>
          </w:p>
        </w:tc>
      </w:tr>
      <w:tr>
        <w:trPr>
          <w:trHeight w:val="301"/>
        </w:trPr>
        <w:tc>
          <w:tcPr>
            <w:tcW w:w="234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The Oklahoma Department of Environmental Quality.</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Old Notes</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The notes issued on April 28, 2018 with an interest rate of 9.625%, which mature in May 2023.</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PAR</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Permit Appeal Resolution</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PBRS</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Performance-based restricted stock.</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Pryor Chemical Company.</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Plant, property and equipment.</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PPP</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Paycheck Protection Program</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Retirement Date</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Date of retirement of Jack E. Golsen as Executive Chairman of the Board, December 31, 2017.</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RFS</w:t>
            </w:r>
          </w:p>
        </w:tc>
        <w:tc>
          <w:tcPr>
            <w:tcW w:w="8900" w:type="dxa"/>
            <w:vAlign w:val="bottom"/>
            <w:gridSpan w:val="2"/>
          </w:tcPr>
          <w:p>
            <w:pPr>
              <w:ind w:left="540"/>
              <w:spacing w:after="0"/>
              <w:rPr>
                <w:sz w:val="20"/>
                <w:szCs w:val="20"/>
                <w:color w:val="auto"/>
              </w:rPr>
            </w:pPr>
            <w:r>
              <w:rPr>
                <w:rFonts w:ascii="Arial" w:cs="Arial" w:eastAsia="Arial" w:hAnsi="Arial"/>
                <w:sz w:val="18"/>
                <w:szCs w:val="18"/>
                <w:color w:val="auto"/>
              </w:rPr>
              <w:t>-   Federal renewable fuel standards.</w:t>
            </w:r>
          </w:p>
        </w:tc>
      </w:tr>
      <w:tr>
        <w:trPr>
          <w:trHeight w:val="513"/>
        </w:trPr>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Pr>
          <w:p>
            <w:pPr>
              <w:ind w:left="2480"/>
              <w:spacing w:after="0"/>
              <w:rPr>
                <w:sz w:val="20"/>
                <w:szCs w:val="20"/>
                <w:color w:val="auto"/>
              </w:rPr>
            </w:pPr>
            <w:r>
              <w:rPr>
                <w:rFonts w:ascii="Arial" w:cs="Arial" w:eastAsia="Arial" w:hAnsi="Arial"/>
                <w:sz w:val="18"/>
                <w:szCs w:val="18"/>
                <w:color w:val="auto"/>
              </w:rPr>
              <w:t>23</w:t>
            </w:r>
          </w:p>
        </w:tc>
      </w:tr>
      <w:tr>
        <w:trPr>
          <w:trHeight w:val="115"/>
        </w:trPr>
        <w:tc>
          <w:tcPr>
            <w:tcW w:w="2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RMP</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Risk Management Program.</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RSU</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Restricted stock unit.</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SBA</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U.S. Small Business Administration.</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The U.S. Securities and Exchange Commission.</w:t>
            </w: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Secured Financing due 2023</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3"/>
              </w:rPr>
              <w:t>-   A secured financing arrangement between EDC and an affiliate of LSB Funding L.L.C. which matures in June</w:t>
            </w:r>
          </w:p>
        </w:tc>
      </w:tr>
      <w:tr>
        <w:trPr>
          <w:trHeight w:val="230"/>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2023.</w:t>
            </w:r>
          </w:p>
        </w:tc>
      </w:tr>
      <w:tr>
        <w:trPr>
          <w:trHeight w:val="279"/>
        </w:trPr>
        <w:tc>
          <w:tcPr>
            <w:tcW w:w="2780" w:type="dxa"/>
            <w:vAlign w:val="bottom"/>
          </w:tcPr>
          <w:p>
            <w:pPr>
              <w:spacing w:after="0"/>
              <w:rPr>
                <w:sz w:val="20"/>
                <w:szCs w:val="20"/>
                <w:color w:val="auto"/>
              </w:rPr>
            </w:pPr>
            <w:r>
              <w:rPr>
                <w:rFonts w:ascii="Arial" w:cs="Arial" w:eastAsia="Arial" w:hAnsi="Arial"/>
                <w:sz w:val="18"/>
                <w:szCs w:val="18"/>
                <w:b w:val="1"/>
                <w:bCs w:val="1"/>
                <w:color w:val="auto"/>
                <w:w w:val="92"/>
              </w:rPr>
              <w:t>Secured Financing Agreement due</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8"/>
              </w:rPr>
              <w:t>-   A secured financing arrangement between EDA and an affiliate of LSB Funding L.L.C. which matures in</w:t>
            </w:r>
          </w:p>
        </w:tc>
      </w:t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August 2025.</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w w:val="91"/>
              </w:rPr>
              <w:t>Secured Loan Agreement due 2025</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2"/>
              </w:rPr>
              <w:t>-   A secured loan agreement between EDC and an affiliate of LSB Funding L.L.C. which matures in March 2025.</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w w:val="91"/>
              </w:rPr>
              <w:t>Secured Promissory Note due 2021</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A secured promissory note between EDC and a lender which, matured in March 2021.</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Senior secured notes with a stated interest rate of 9.625%, which were redeemed in October 2021.</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2"/>
              </w:rPr>
              <w:t>-   The 14% Series E Redeemable Preferred stock with participating rights and liquidating distributions based on a</w:t>
            </w:r>
          </w:p>
        </w:tc>
      </w:tr>
      <w:tr>
        <w:trPr>
          <w:trHeight w:val="230"/>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certain number of shares of our common stock.</w:t>
            </w: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7"/>
              </w:rPr>
              <w:t>-   The Series F Redeemable Preferred stock with one share to vote as a single class on all matters with our</w:t>
            </w:r>
          </w:p>
        </w:tc>
      </w:tr>
      <w:tr>
        <w:trPr>
          <w:trHeight w:val="230"/>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common stock equal to 456,225 shares of our common stock.</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Selling, general and administrative expense.</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Special Dividend</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A stock split in the form of a common stock dividend declared by our Board.</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Special Meeting</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Meeting of our stockholders held during the third quarter of 2021.</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Transition Agreement</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An agreement between Jack E. Golsen and LSB, dated June 30, 2017.</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A planned major maintenance activity.</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Urea ammonia nitrate.</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United States.</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USDA</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United States Department of Agriculture.</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100"/>
              <w:spacing w:after="0"/>
              <w:rPr>
                <w:sz w:val="20"/>
                <w:szCs w:val="20"/>
                <w:color w:val="auto"/>
              </w:rPr>
            </w:pPr>
            <w:r>
              <w:rPr>
                <w:rFonts w:ascii="Arial" w:cs="Arial" w:eastAsia="Arial" w:hAnsi="Arial"/>
                <w:sz w:val="18"/>
                <w:szCs w:val="18"/>
                <w:color w:val="auto"/>
              </w:rPr>
              <w:t>West Fertilizer Company.</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Working Capital Revolver Loan</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Our secured revolving credit facility.</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2005 Agreement</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A death benefit agreement with Jack E. Golsen.</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2008 Plan</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The 2008 Incentive Stock Plan.</w:t>
            </w:r>
          </w:p>
        </w:tc>
      </w:tr>
      <w:tr>
        <w:trPr>
          <w:trHeight w:val="297"/>
        </w:trPr>
        <w:tc>
          <w:tcPr>
            <w:tcW w:w="2780" w:type="dxa"/>
            <w:vAlign w:val="bottom"/>
          </w:tcPr>
          <w:p>
            <w:pPr>
              <w:spacing w:after="0"/>
              <w:rPr>
                <w:sz w:val="20"/>
                <w:szCs w:val="20"/>
                <w:color w:val="auto"/>
              </w:rPr>
            </w:pPr>
            <w:r>
              <w:rPr>
                <w:rFonts w:ascii="Arial" w:cs="Arial" w:eastAsia="Arial" w:hAnsi="Arial"/>
                <w:sz w:val="18"/>
                <w:szCs w:val="18"/>
                <w:b w:val="1"/>
                <w:bCs w:val="1"/>
                <w:color w:val="auto"/>
              </w:rPr>
              <w:t>2016 Plan</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rPr>
              <w:t>-   The 2016 Long Term Incentive Plan.</w:t>
            </w: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2020 Crop</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4"/>
              </w:rPr>
              <w:t>-   Corn crop marketing year (September 1 - August 31), which began in 2019 and ended in 2020 and primarily</w:t>
            </w:r>
          </w:p>
        </w:tc>
      </w:tr>
      <w:tr>
        <w:trPr>
          <w:trHeight w:val="230"/>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relates to corn planted and harvested in 2019.</w:t>
            </w: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2021 Crop</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4"/>
              </w:rPr>
              <w:t>-   Corn crop marketing year (September 1 - August 31), which began in 2020 and ended in 2021 and primarily</w:t>
            </w:r>
          </w:p>
        </w:tc>
      </w:tr>
      <w:tr>
        <w:trPr>
          <w:trHeight w:val="230"/>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relates to corn planted and harvested in 2020.</w:t>
            </w: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2022 Crop</w:t>
            </w:r>
          </w:p>
        </w:tc>
        <w:tc>
          <w:tcPr>
            <w:tcW w:w="8460" w:type="dxa"/>
            <w:vAlign w:val="bottom"/>
            <w:gridSpan w:val="2"/>
          </w:tcPr>
          <w:p>
            <w:pPr>
              <w:ind w:left="100"/>
              <w:spacing w:after="0"/>
              <w:rPr>
                <w:sz w:val="20"/>
                <w:szCs w:val="20"/>
                <w:color w:val="auto"/>
              </w:rPr>
            </w:pPr>
            <w:r>
              <w:rPr>
                <w:rFonts w:ascii="Arial" w:cs="Arial" w:eastAsia="Arial" w:hAnsi="Arial"/>
                <w:sz w:val="18"/>
                <w:szCs w:val="18"/>
                <w:color w:val="auto"/>
                <w:w w:val="93"/>
              </w:rPr>
              <w:t>-   Corn crop marketing year (September 1 - August 31), which began in 2021 and will end in 2022 and primarily</w:t>
            </w:r>
          </w:p>
        </w:tc>
      </w:tr>
      <w:tr>
        <w:trPr>
          <w:trHeight w:val="230"/>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relates to corn planted and harvested in 2021.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significant properties for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El Dorado</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Cherokee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Baytown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Chemical</w:t>
            </w:r>
          </w:p>
        </w:tc>
        <w:tc>
          <w:tcPr>
            <w:tcW w:w="0" w:type="dxa"/>
            <w:vAlign w:val="bottom"/>
          </w:tcPr>
          <w:p>
            <w:pPr>
              <w:spacing w:after="0"/>
              <w:rPr>
                <w:sz w:val="1"/>
                <w:szCs w:val="1"/>
                <w:color w:val="auto"/>
              </w:rPr>
            </w:pPr>
          </w:p>
        </w:tc>
      </w:tr>
      <w:tr>
        <w:trPr>
          <w:trHeight w:val="148"/>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Facility</w:t>
            </w:r>
          </w:p>
        </w:tc>
        <w:tc>
          <w:tcPr>
            <w:tcW w:w="13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Pryor Facility</w:t>
            </w:r>
          </w:p>
        </w:tc>
        <w:tc>
          <w:tcPr>
            <w:tcW w:w="12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Facility</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Facility</w:t>
            </w:r>
          </w:p>
        </w:tc>
        <w:tc>
          <w:tcPr>
            <w:tcW w:w="1220" w:type="dxa"/>
            <w:vAlign w:val="bottom"/>
            <w:gridSpan w:val="2"/>
            <w:vMerge w:val="continue"/>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Centers</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Location</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El Dorado, AR</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Cherokee, AL</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Pryor, OK</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Baytown, TX</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Plant Area (acres)</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Site Area (acres)</w:t>
            </w:r>
          </w:p>
        </w:tc>
        <w:tc>
          <w:tcPr>
            <w:tcW w:w="10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9"/>
              </w:rPr>
              <w:t>(B)</w:t>
            </w: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Site Status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Operating</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Agreement</w:t>
            </w:r>
          </w:p>
        </w:tc>
        <w:tc>
          <w:tcPr>
            <w:tcW w:w="112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5"/>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Ammonia Production Capacity (tons)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9"/>
              </w:rPr>
              <w:t>Not</w:t>
            </w: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493,000 (C)</w:t>
            </w: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188,000 (D)</w:t>
            </w:r>
          </w:p>
        </w:tc>
        <w:tc>
          <w:tcPr>
            <w:tcW w:w="12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246,000 (E)</w:t>
            </w: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6"/>
              </w:rPr>
              <w:t>Applicable</w:t>
            </w: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line="258"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distribute our agricultural products through 10 wholesale and retail distribution centers, with 9 of the centers located in Texas (8 of which we own and 1 of which we lease); and 1 center located in Missouri (owned).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located within a chemical production complex owned by Covestro.</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ammonia production capacity is based on optimal 1,350 tons per day of production for the year. The El Dorado Facility did not perform a Turnaround during 2021.</w:t>
      </w:r>
    </w:p>
    <w:p>
      <w:pPr>
        <w:ind w:left="500" w:hanging="492"/>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ammonia production capacity is based on 515 tons per day of production for the year but excludes 40 Turnaround days during 2021.</w:t>
      </w:r>
    </w:p>
    <w:p>
      <w:pPr>
        <w:spacing w:after="0" w:line="20" w:lineRule="exact"/>
        <w:rPr>
          <w:rFonts w:ascii="Arial" w:cs="Arial" w:eastAsia="Arial" w:hAnsi="Arial"/>
          <w:sz w:val="17"/>
          <w:szCs w:val="17"/>
          <w:color w:val="auto"/>
        </w:rPr>
      </w:pPr>
    </w:p>
    <w:p>
      <w:pPr>
        <w:ind w:left="500" w:hanging="492"/>
        <w:spacing w:after="0" w:line="26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ammonia production capacity is based on 675 tons per day of production for the year. The Pryor Facility did not perform a Turnaround during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2021, our facilities produced approximately 765,000 tons of ammonia.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our real property and equipment located at our chemical facilities are being used to secure our long-term debt. All of the properties utilized by our businesses are suitable and adequate to meet the current needs of that business and relate to domestic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Legal Matters under Note 9 to the Consolidated Financial Statements included in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trading on the New York Stock Exchange under the symbol “LXU.”</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February 18, 2022, we had approximately 361 record holders of our common stock. This number does not include investors whose ownership is recorded in the name of their brokerage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Discussions relating to our equity compensation plans under Item 12 of Part III are incorporated by reference to our definitive proxy statement which we intend to file with the SEC on or before April 29,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Unregistered Securities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unregistered sales of equity securities in 2021 that have not been previously reported in a Quarterly Report on Form 10-Q or Current Report on Form 8-K.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MD&amp;A should be read in conjunction with a review of the other Items included in this Form 10-K and our December 31, 2021 consolidated financial statements included elsewhere in this report. A reference to a “Note” relates to a note in the accompanying notes to the consolidated financial statements. Certain statements contained in this MD&amp;A may be deemed to be forward-looking statements. See “Special Note Regarding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our subsidiaries, we manufacture and sell chemical products for the agricultural, mining, and industrial markets. We own and operate three multi plant facilities in Cherokee, Alabama, El Dorado, Arkansas and Pryor, Oklahoma, and operate a facility on behalf of Covestro in Baytown, Texas. Our products are sold through distributors and directly to end customers, primarily throughout the U.S. and parts of Mexico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expect our future results of operations and financial condition to benefit from following key initiatives:</w:t>
      </w:r>
    </w:p>
    <w:p>
      <w:pPr>
        <w:spacing w:after="0" w:line="117" w:lineRule="exact"/>
        <w:rPr>
          <w:sz w:val="20"/>
          <w:szCs w:val="20"/>
          <w:color w:val="auto"/>
        </w:rPr>
      </w:pPr>
    </w:p>
    <w:p>
      <w:pPr>
        <w:ind w:left="420" w:hanging="277"/>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&amp;Safety and Reliability at our Facilities to further our Progress Towards Becoming a “Best in Class” Chemical Plant Operator while Supplying our Customers with Products of the Highest Quality.</w:t>
      </w:r>
    </w:p>
    <w:p>
      <w:pPr>
        <w:spacing w:after="0" w:line="75" w:lineRule="exact"/>
        <w:rPr>
          <w:rFonts w:ascii="Arial" w:cs="Arial" w:eastAsia="Arial" w:hAnsi="Arial"/>
          <w:sz w:val="18"/>
          <w:szCs w:val="18"/>
          <w:color w:val="auto"/>
        </w:rPr>
      </w:pPr>
    </w:p>
    <w:p>
      <w:pPr>
        <w:jc w:val="both"/>
        <w:ind w:left="940" w:hanging="271"/>
        <w:spacing w:after="0" w:line="255"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believe that our operational progress over the past several years represents proof that high safety standards not only enable us to protect what matters, which is the well-being of our employees, but also translates into improved plant performance. With that in mind, in 2022 we remain acutely focused on our efforts to further the progress we’ve made in creating a high performing safety culture as we advance the safety programs, we have underway and implement new ones. Additionally, we will be investing capital at all three of our facilities to further promote safe and reliable operations in order to build upon the success we have had in implementing enhanced safety programs during the last three years.</w:t>
      </w:r>
    </w:p>
    <w:p>
      <w:pPr>
        <w:spacing w:after="0" w:line="84" w:lineRule="exact"/>
        <w:rPr>
          <w:rFonts w:ascii="Arial" w:cs="Arial" w:eastAsia="Arial" w:hAnsi="Arial"/>
          <w:sz w:val="18"/>
          <w:szCs w:val="18"/>
          <w:color w:val="auto"/>
        </w:rPr>
      </w:pPr>
    </w:p>
    <w:p>
      <w:pPr>
        <w:jc w:val="both"/>
        <w:ind w:left="940" w:hanging="271"/>
        <w:spacing w:after="0" w:line="255"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have several initiatives currently underway focused on further improving the reliability of our plants which we expect will allow us to produce greater volumes of product for sale, lower our cost of production and increase our overall profitability. These initiatives are focused on operations excellence through enhancements in leadership at certain of our facilities, bolstering our operating procedures, leveraging the technology investments we’ve made for the purpose of advancing the optimization of our asset health monitoring through asset care excellence maintenance programs. Additionally, our product quality program continues to focus on providing products to our customers that meet the highest quality standards.</w:t>
      </w:r>
    </w:p>
    <w:p>
      <w:pPr>
        <w:spacing w:after="0" w:line="84" w:lineRule="exact"/>
        <w:rPr>
          <w:rFonts w:ascii="Arial" w:cs="Arial" w:eastAsia="Arial" w:hAnsi="Arial"/>
          <w:sz w:val="18"/>
          <w:szCs w:val="18"/>
          <w:color w:val="auto"/>
        </w:rPr>
      </w:pPr>
    </w:p>
    <w:p>
      <w:pPr>
        <w:jc w:val="both"/>
        <w:ind w:left="420" w:hanging="277"/>
        <w:spacing w:after="0" w:line="263"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and Optimization of our Product mix. </w:t>
      </w:r>
      <w:r>
        <w:rPr>
          <w:rFonts w:ascii="Arial" w:cs="Arial" w:eastAsia="Arial" w:hAnsi="Arial"/>
          <w:sz w:val="18"/>
          <w:szCs w:val="18"/>
          <w:color w:val="auto"/>
        </w:rPr>
        <w:t>Over the course of 2021 we were successful in maximizing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capacity of our plants, and plan to continue to expand the distribution of our products by partnering with customers to take product into different markets while also focusing our efforts to upgrade our margins through the optimization of our product mix.</w:t>
      </w:r>
    </w:p>
    <w:p>
      <w:pPr>
        <w:spacing w:after="0" w:line="75" w:lineRule="exact"/>
        <w:rPr>
          <w:rFonts w:ascii="Arial" w:cs="Arial" w:eastAsia="Arial" w:hAnsi="Arial"/>
          <w:sz w:val="18"/>
          <w:szCs w:val="18"/>
          <w:color w:val="auto"/>
        </w:rPr>
      </w:pPr>
    </w:p>
    <w:p>
      <w:pPr>
        <w:jc w:val="both"/>
        <w:ind w:left="940" w:hanging="271"/>
        <w:spacing w:after="0" w:line="259"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first quarter of 2021, we commenced a new long-term nitric acid supply contract with a customer under which we agreed to supply between 70,000 to 100,000 tons of nitric acid per year. We progressively ramped the volume of product supplied to the customer over the course of 2021, and in 2022, we will recognize a full year of sales under this agreement putting us in a sold-out position for nitric acid at our El Dorado facility and achieving our objective to fully utilize our production capacity for this product.</w:t>
      </w:r>
    </w:p>
    <w:p>
      <w:pPr>
        <w:spacing w:after="0" w:line="78" w:lineRule="exact"/>
        <w:rPr>
          <w:rFonts w:ascii="Arial" w:cs="Arial" w:eastAsia="Arial" w:hAnsi="Arial"/>
          <w:sz w:val="18"/>
          <w:szCs w:val="18"/>
          <w:color w:val="auto"/>
        </w:rPr>
      </w:pPr>
    </w:p>
    <w:p>
      <w:pPr>
        <w:jc w:val="both"/>
        <w:ind w:left="940" w:hanging="271"/>
        <w:spacing w:after="0" w:line="279" w:lineRule="auto"/>
        <w:tabs>
          <w:tab w:leader="none" w:pos="9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We are targeting $10 million to $15 million of capital for margin enhancement projects in 2022 to optimize our storage and distribution capability. Additionally, we are evaluating opportunities to upgrade more of the ammonia we produce into higher value downstream products in order to capture additional margin. We also believe we have opportunities to increase our production volume of certain products through debottlenecking projects and will be analyzing the potential returns from these investments over the course of the year.</w:t>
      </w:r>
    </w:p>
    <w:p>
      <w:pPr>
        <w:spacing w:after="0" w:line="63" w:lineRule="exact"/>
        <w:rPr>
          <w:rFonts w:ascii="Arial" w:cs="Arial" w:eastAsia="Arial" w:hAnsi="Arial"/>
          <w:sz w:val="17"/>
          <w:szCs w:val="17"/>
          <w:color w:val="auto"/>
        </w:rPr>
      </w:pPr>
    </w:p>
    <w:p>
      <w:pPr>
        <w:jc w:val="both"/>
        <w:ind w:left="420" w:hanging="277"/>
        <w:spacing w:after="0" w:line="290"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Development and Implementation of a Strategy to Capitalize on Low Carbon Ammonia and Clean Energy Opportunities. </w:t>
      </w:r>
      <w:r>
        <w:rPr>
          <w:rFonts w:ascii="Arial" w:cs="Arial" w:eastAsia="Arial" w:hAnsi="Arial"/>
          <w:sz w:val="16"/>
          <w:szCs w:val="16"/>
          <w:color w:val="auto"/>
        </w:rPr>
        <w:t>The reduction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greenhouse gas emissions, particularly related to carbon dioxide, has been, and, we expect will increasingly become a global environmental priority as part of efforts to stem the deleterious effects of climate change. There is increasing evidence from a variety of industry studies to indicate that ammonia can play a significant role in making meaningful progress towards this objective. As a result, we are currently in the process of formulating a strategy to become a producer and marketer of blue and green ammonia and other derivative products over the coming years. Blue ammonia is produced using natural gas and conventional processes but includes the additional stage where the CO2 emissions are captured and permanently stored in deep underground rock formations, resulting in a low carbon emission product that can be sold at a premium to agricultural, industrial, mining, power generation and marine customers seeking to reduce their carbon footprint and potentially capitalize 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ind w:left="420" w:right="20"/>
        <w:spacing w:after="0" w:line="308" w:lineRule="auto"/>
        <w:rPr>
          <w:sz w:val="20"/>
          <w:szCs w:val="20"/>
          <w:color w:val="auto"/>
        </w:rPr>
      </w:pPr>
      <w:r>
        <w:rPr>
          <w:rFonts w:ascii="Arial" w:cs="Arial" w:eastAsia="Arial" w:hAnsi="Arial"/>
          <w:sz w:val="17"/>
          <w:szCs w:val="17"/>
          <w:color w:val="auto"/>
        </w:rPr>
        <w:t>government incentives. Green ammonia is ammonia produced using renewable energy to power electrolyzers that extract hydrogen from water, resulting in the zero-carbon production of ammonia that, we believe can, also be sold at a premium to a variety of industries around the world.</w:t>
      </w:r>
    </w:p>
    <w:p>
      <w:pPr>
        <w:spacing w:after="0" w:line="38"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Ammonia has been increasingly emerging as one of the most viable alternatives to serve as a hydrogen-based energy source for a variety of applications given its higher energy density and ease of storage relative to hydrogen gas. Blue and green ammonia can be used as zero carbon fuel in the maritime sector, a carbon free fertilizer and as a coal substitute in power generation. If ammonia were to be used for energy consumption globally, some studies have indicated that future demand could equate to five times the amount of current global annual production of ammonia, or approximately 50 times the current seaborne trade. We believe we are well-positioned to capitalize on this opportunity and be market leaders given our potential to retrofit our existing plants rather than investing in greenfield projects, thereby reducing the time to market and the upfront capital expenditures, enhancing the economic attractiveness to such investments. With that said, we will also consider investing in greenfield projects that have the potential to offer attractive returns</w:t>
      </w:r>
    </w:p>
    <w:p>
      <w:pPr>
        <w:spacing w:after="0" w:line="84" w:lineRule="exact"/>
        <w:rPr>
          <w:sz w:val="20"/>
          <w:szCs w:val="20"/>
          <w:color w:val="auto"/>
        </w:rPr>
      </w:pPr>
    </w:p>
    <w:p>
      <w:pPr>
        <w:jc w:val="both"/>
        <w:ind w:left="420" w:hanging="277"/>
        <w:spacing w:after="0" w:line="269"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Pursue Acquisitions of Strategic Assets or Companies. </w:t>
      </w:r>
      <w:r>
        <w:rPr>
          <w:rFonts w:ascii="Arial" w:cs="Arial" w:eastAsia="Arial" w:hAnsi="Arial"/>
          <w:sz w:val="17"/>
          <w:szCs w:val="17"/>
          <w:color w:val="auto"/>
        </w:rPr>
        <w:t>We are actively engaged in evaluating and pursuing various opportunities to acquire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companies (including through mergers), where we believe those acquisitions will enhance the value of the Company and provide attractive returns. Targets under consideration could provide us with geographic expansion, extend an existing product line, add a new product line, leverage our existing ammonia production capabilities, or complement our existing business lines, among other accretive opportunities. We are considering options across our agricultural, industrial and mining business. The opportunities we consider as meeting our investment criteria generally range in value from $200 million to $500 million, although we may consider other attractive opportunities outside of this range. We are also evaluating investments that would add additional production capacity in business lines where we believe the returns will be attractive. We may choose to finance any of the foregoing through the incurrence of additional indebtedness (including through loans or the issuance of debt securities) or the issuance of equity, in each case subject to financial analysis that we believe would support an increase to shareholder value and favorable market conditions at the time of issuance.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successfully implement any or all of these initiatives. In addition, the consummation of any acquisition opportunity is subject to the negotiation of definitive documentation with any counterparties and, if applicable, regulatory approvals, as well as the satisfaction of negotiated closing conditions, none of which can be assured, and there can be no guarantee that any opportunity we choose to pursue will ultimately be consummated. Even if we successfully implement the initiatives, they may not achieve the results that we expect or desire.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 Transaction and Special Common Stock Dividend</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2021, we closed a Securities Exchange Transaction (the “Exchange Transaction”) with LSB Funding LLC (the “Holder”), an affiliate of Eldridge, in which we exchanged the shares of Series E and Series F Redeemable Preferred Stock held by the Holder for shares of our common stock. In summary, we exchanged the approximately $310 million liquidation preference of preferred stock held by the Holder into our common stock based on an exchange price of $6.16, which was equal to the 30-day volume weighted average price as of the date of the Exchange Agreement. However, the exchange consideration paid under the Exchange Agreement was reduced by approximately 1.2 million shares, which shares were included in the Special Dividend and received by the Holder. In connection with the transaction, on October 8, 2021, our common stockholders, including the Holder, received the Special Dividend in the form of 0.30 shares of our common stock for every share owned as of the September 24, 2021, the Special Dividend record date. The main benefit of the exchange is that it relieved our Company and our common stockholders from the expensive, compounding burden of the preferred stock dividend, improving the current capital structure.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Cost of Capital through Debt Refinancing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Exchange Transaction discussed above prompted the major credit rating agencies, Moody’s and S&amp;P, to upgrade their credit ratings on our debt, which combined with the favorable credit markets, enabled us to complete a refinancing of our senior notes on significantly improved terms, reducing our cost of capital, bolstering our liquidity and extending the maturity of our debt. More specifically, on October 14, 2021, we closed on an offering of $500 million of senior secured notes due 2028, bearing an interest rate of 6.250%, which we used to redeem our $435 million of 9.625% senior notes that were due to mature in 2023, with the balance being used to enhance the liquidity of our balance sheet and for general corporate purposes. The reduction of the rate of interest on our outstanding notes by more than 300 basis points represents a meaningful reduction in our annual cash interest expense and puts us in a position to more aggressively pursue our key operating initiatives discussed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Continued Improvement in Product Sales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prices for all of our major products improved over the course of 2021 as compared to the prior year driven by a combination of supply and demand factors. With respect to our agricultural business, corn prices for the vast majority of 2021 sat above levels not seen since 2014, and the current prices exceeding $6 per bushel, are significantly above the $4 per bushel level that we believe represents a very favorable level for farmers to earn significant income on their crops. The strong corn prices over the past year have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91" w:lineRule="auto"/>
        <w:rPr>
          <w:sz w:val="20"/>
          <w:szCs w:val="20"/>
          <w:color w:val="auto"/>
        </w:rPr>
      </w:pPr>
      <w:r>
        <w:rPr>
          <w:rFonts w:ascii="Arial" w:cs="Arial" w:eastAsia="Arial" w:hAnsi="Arial"/>
          <w:sz w:val="16"/>
          <w:szCs w:val="16"/>
          <w:color w:val="auto"/>
        </w:rPr>
        <w:t>been driven, in part, by a rebound in the production of ethanol, a gasoline additive that represents approximately 40% of total U.S. corn use annually, as miles driven have returned to near pre-pandemic levels. Also supporting the strong corn pricing over the past year has been Chinese demand for corn for use as feed for swine as part of the nation’s efforts to rebuild its swine production in the wake of a virus that dramatically reduced its swine population several years ago. This demand for feed is expected to remain robust as China has moved to large institutional hog farms which consume significant quantities of corn. Globally, corn supplies have been constrained by drought conditions in South America and the Western U.S., which has served to further bolster corn prices. Early forecasts point to U.S. corn acreage to be planted in the 2022-2023 planting season to be approximately 90 to 92 million acres, modestly lower than the 2021-2022 estimate of 93.4 million acres, but still at a very healthy level to support strong demand for fertilizers.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strong corn pricing, which has prompted farmers to increase fertilizer purchases in order to maximize yields, a series of supply related factors that unfolded over the course of 2021 have served to create a global shortage of ammonia, driving the strong increase in the prices for nitrogen products. This began in February 2021, as winter storm Uri and the resultant severe cold weather experienced in many areas of the U.S. caused many nitrogen producers to idle their plants resulting in a tightening in the supply of nitrogen products headed into the spring planting season. Exacerbating this supply constraint, during the third quarter of 2021 a number of ammonia facilities underwent turnarounds that were originally scheduled for third quarter of 2020 but were postponed due to the COVID-19 pandemic. Additionally, in late August, Hurricane Ida, a Category 4 storm caused production along the U.S. Gulf coast to be shut down for a period of time, further reducing production. Also supporting the strength in fertilizer prices has been the significant increase in the cost of natural gas, the primary feedstock for production of ammonia, which has prompted various producers to cease operations of some facilities, particularly in Europe where natural gas prices have surged to more than $30 per MMBtu, rendering some ammonia plants uneconomical to operate. The resultant decrease in global production of ammonia has fueled further strength in nitrogen-based fertilizer prices, which have thus far materially outstripped the impact to production costs of rising natural gas prices in the U.S. The factors discussed above have led to continued strong pricing into the first quarter of 2022, which we expect to support continued favorable pricing levels over the balance of the year.</w:t>
      </w:r>
    </w:p>
    <w:p>
      <w:pPr>
        <w:spacing w:after="0" w:line="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for our industrial and mining products, selling prices have continued to improve as the supply of ammonia remains tight due to strong global demand, curtailed global supply due to rising natural gas prices, numerous global unplanned outages and lower than expected product imports. As a result, the Tampa Ammonia benchmark price increased to, and remains at multi-year high levels, which have translated into higher selling prices for our products as many of our industrial contracts are indexed to this benchmark price. Demand trends for the industrial products we sell, primarily nitric acid and ammonia, have remained robust despite disruptions to certain end markets, such as auto manufacturing which has been constrained due to a shortage of microprocessors, as activity in other markets, such as homebuilding and power generation has remained strong. In addition, our sales of nitric acid increased steadily throughout 2021 pursuant to the new long-term nitric acid supply contract discussed above. Demand for our mining products continues to improve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Nitric Acid Supply Contract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October 2020, EDC entered into a new long-term nitric acid supply contract with a customer. Under the agreement, EDC agreed to supply between 70,000 to 100,000 tons of nitric acid annually, with sales that began in the first quarter of 2021. The initial contract term extends through 2027 but includes automatic one-year renewal terms unless terminated by either party pursuant to the terms of the contract.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PPP Loan Forgiven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we entered into a federally guaranteed Paycheck Protection Program (“PPP”) loan for $10 million with a lender pursuant to a new loan program through the U.S. Small Business Administration (“SBA”) as the result of the PPP established by the Coronavirus Aid, Relief, and Economic Security (“CARES”) Act and amended by the Paycheck Protection Program Flexibility Act of 2020. We have used all of the proceeds from the PPP loan for payroll, rent, utilities, and other specified costs that qualify for loan forgiveness. In April 2021, we submitted the PPP loan forgiveness application to the lender. In June 2021, the PPP loan was fully forgiven by the SBA and lender.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Winter Storm Uri, Natural Gas Curtailment and Settlement of Natural Gas Contracts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12, 2021, the Pryor Facility was taken out of service due to extreme cold weather associated with the winter storm Uri that caused a surge in natural gas prices in the region, along with the curtailment of gas distribution by the operator of the pipeline that supplies natural gas to the facility. On February 21, 2021, this facility began a phased restart and the facility’s ammonia plant was in production shortly thereafter.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Also, as a result of unprecedented cold weather conditions, on February 17, 2021, the primary natural gas supplier to our El Dorado Facility asserted a claim of force majeure and materially restricted the supply of gas to the facility. However, effective February 23, 2021, the force majeure was lifted, and the facility’s ammonia plant was in production shortly thereafter.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weather across the middle of the country improved and temperatures warmed, natural gas prices normalized, and supply were restored to levels required for full operation of our facilities.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Notably, our Cherokee Facility was not materially impacted by the extreme cold weather and related natural gas price and supply issues and operated at targeted levels throughout February 2021.</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the first quarter of 2021, we settled all of our natural gas forward contracts and certain volume purchase commitments outstanding at that time. As a result of the settlement of these natural gas contracts, we were able to significantly mitigate the impact from lost production, lost sales and higher costs resulting from the impact of the natural gas shortage caused by winter storm Uri.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E2E2E"/>
        </w:rPr>
        <w:t>price at which our agricultural products are ultimately sold depends on numerous factors, including the supply and demand for nitrogen fertilizers</w:t>
      </w:r>
      <w:r>
        <w:rPr>
          <w:rFonts w:ascii="Arial" w:cs="Arial" w:eastAsia="Arial" w:hAnsi="Arial"/>
          <w:sz w:val="18"/>
          <w:szCs w:val="18"/>
          <w:color w:val="auto"/>
        </w:rPr>
        <w:t xml:space="preserve"> </w:t>
      </w:r>
      <w:r>
        <w:rPr>
          <w:rFonts w:ascii="Arial" w:cs="Arial" w:eastAsia="Arial" w:hAnsi="Arial"/>
          <w:sz w:val="18"/>
          <w:szCs w:val="18"/>
          <w:color w:val="2E2E2E"/>
        </w:rPr>
        <w:t>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2021 as noted in the table below, the USDA estimates the number of acres of corn planted in the U.S. was approximately 93 million acres, up 3% compared to the 2020 planting season. In addition, the USDA estimates the U.S ending stocks for the 2022 Crop will be approximately 39 million metric tons, a 25% increase from the 2021 Crop. The USDA also is estimating a record yield for the 2022 Crop, up approximately 3% from a year ago.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February estimates are associated with the corn market: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2022 Crop</w:t>
            </w: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2021 Crop</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2020 Crop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(2021 Harvest)</w:t>
            </w: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(2020 Harvest)</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Percentage</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(2019 Harvest)</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Percentage</w:t>
            </w:r>
          </w:p>
        </w:tc>
      </w:tr>
      <w:tr>
        <w:trPr>
          <w:trHeight w:val="171"/>
        </w:trPr>
        <w:tc>
          <w:tcPr>
            <w:tcW w:w="388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Report (1)</w:t>
            </w:r>
          </w:p>
        </w:tc>
        <w:tc>
          <w:tcPr>
            <w:tcW w:w="2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February Report (1)</w:t>
            </w: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Change (2)</w:t>
            </w:r>
          </w:p>
        </w:tc>
        <w:tc>
          <w:tcPr>
            <w:tcW w:w="18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February Report (1)</w:t>
            </w:r>
          </w:p>
        </w:tc>
        <w:tc>
          <w:tcPr>
            <w:tcW w:w="2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Change (3)</w:t>
            </w:r>
          </w:p>
        </w:tc>
        <w:tc>
          <w:tcPr>
            <w:tcW w:w="220" w:type="dxa"/>
            <w:vAlign w:val="bottom"/>
            <w:tcBorders>
              <w:bottom w:val="single" w:sz="8" w:color="CFF0FC"/>
            </w:tcBorders>
          </w:tcPr>
          <w:p>
            <w:pPr>
              <w:spacing w:after="0"/>
              <w:rPr>
                <w:sz w:val="14"/>
                <w:szCs w:val="14"/>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80" w:type="dxa"/>
            <w:vAlign w:val="bottom"/>
          </w:tcPr>
          <w:p>
            <w:pPr>
              <w:jc w:val="right"/>
              <w:spacing w:after="0"/>
              <w:rPr>
                <w:sz w:val="20"/>
                <w:szCs w:val="20"/>
                <w:color w:val="auto"/>
              </w:rPr>
            </w:pPr>
            <w:r>
              <w:rPr>
                <w:rFonts w:ascii="Arial" w:cs="Arial" w:eastAsia="Arial" w:hAnsi="Arial"/>
                <w:sz w:val="18"/>
                <w:szCs w:val="18"/>
                <w:color w:val="auto"/>
              </w:rPr>
              <w:t>177.0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48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15,115</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14,111</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8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1480" w:type="dxa"/>
            <w:vAlign w:val="bottom"/>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29" w:lineRule="exact"/>
        <w:rPr>
          <w:sz w:val="20"/>
          <w:szCs w:val="20"/>
          <w:color w:val="auto"/>
        </w:rPr>
      </w:pPr>
    </w:p>
    <w:p>
      <w:pPr>
        <w:jc w:val="both"/>
        <w:ind w:left="540" w:hanging="262"/>
        <w:spacing w:after="0" w:line="25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obtained from WASDE report dated February 9, 2022 (“February Report”) for the 2021/2022 (“2022 Crop”), 2020/2021 (“2021 Crop”) and 2019/2020 (“2020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540" w:hanging="26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2021 Crop amounts.</w:t>
      </w:r>
    </w:p>
    <w:p>
      <w:pPr>
        <w:spacing w:after="0" w:line="9" w:lineRule="exact"/>
        <w:rPr>
          <w:rFonts w:ascii="Arial" w:cs="Arial" w:eastAsia="Arial" w:hAnsi="Arial"/>
          <w:sz w:val="18"/>
          <w:szCs w:val="18"/>
          <w:color w:val="auto"/>
        </w:rPr>
      </w:pPr>
    </w:p>
    <w:p>
      <w:pPr>
        <w:ind w:left="540" w:hanging="26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percentage change between the 2022 Crop amounts compared to the 2020 Crop amounts.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current USDA corn outlook for the U.S. is for slightly higher production, higher food, seed and industrial use, ethanol and larger ending stocks. From a demand perspective, corn prices remain well above historical 5-year averages and remain significantly higher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301" w:lineRule="auto"/>
        <w:rPr>
          <w:sz w:val="20"/>
          <w:szCs w:val="20"/>
          <w:color w:val="auto"/>
        </w:rPr>
      </w:pPr>
      <w:r>
        <w:rPr>
          <w:rFonts w:ascii="Arial" w:cs="Arial" w:eastAsia="Arial" w:hAnsi="Arial"/>
          <w:sz w:val="16"/>
          <w:szCs w:val="16"/>
          <w:color w:val="auto"/>
        </w:rPr>
        <w:t>than $4 per bushel, the level that we believe represent a key threshold as it relates to favorable farmer economics. In addition, domestic corn demand to produce ethanol has rebounded to pre-pandemic levels as the continued roll-out of vaccines has allowed for the re-opening of the vast majority of the U.S. economy, promoting increased mobility and a return to historical levels of gasoline consumption. Most gasoline has 10% ethanol content. Ethanol is commonly made from corn and ethanol production is the largest user of U.S. corn, currently representing roughly 36% of total U.S. corn demand.</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available U.S. supply of ammonia and other nitrogen products has tightened in 2021, primarily as the result of higher demand for such products, in addition to the idling of many nitrogen plants in February 2021 due to the severe cold weather and ongoing industry downtime caused the lingering problems of that event coupled with more turnaround activity in 2021 as many companies chose to delay turnarounds in 2020 as a result of the pandemic and lost production from several hurricane events in 2021. The significant increase in the cost of natural gas, the primary feedstock for production of ammonia, which has prompted various producers to cease operations of some facilities further reducing supplies, particularly in Europe where natural gas prices have surged to more than $30 per MMBtu, rendering some ammonia plants uneconomical to operate.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factors discussed above, we have experienced a price rally for fertilizers during 2021, and we expect these price levels will continue into the 2022 spring planting season.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Mining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According to the American Chemistry Council, the U.S. economic indicators are improving and pointing towards continued improvement in the markets we serve. Our sales prices generally vary with the market price of ammonia or natural gas, as applicable, in our pricing arrangements with customers. See discussion above concerning a new long-term nitric acid supply contract under “Business Developments-2021.”</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mining products are LDAN and AN solution, which are primary 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Demand for our mining products continues to improve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annual volume of natural gas we purchased and the average cost per MMBtu:</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9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2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Costs for transporting nitrogen-based products can be significant relative to their selling price. We continue to evaluate the recent rising costs of rail and truck freight domestically. Since the Magellan ammonia pipeline was permanently shut down in 2020, certain Oklahoma and Texas producers that relied on the pipeline to transport their ammonia are relying on other transportation modes, primarily trucks, but also rail and barge transport. As a result of increases in demand for available trucks to transport ammonia, primarily during the spring and fall planting seasons, higher transportation costs have and could continue to impact our margins, if we were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Key Operational Factors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The financial effects of planned downtime at our plants, including Turnarounds (primarily associated with our ammonia plants),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a planned Turnaround during 2021 with the next ammonia plant Turnaround planned in the third quarter of 2024.</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El Dorado and Pryor Facilities are currently on a three-year ammonia plant Turnaround cycle with both currently scheduled for their next ammonia plant Turnarounds in the third quarter of 2022.</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ammonia production in 2021 was 765,000 tons. For 2022, we are targeting total ammonia production of approximately 780,000 tons to 800,000 tons despite a 30-day Turnaround at our Pryor Facility and a 24-day Turnaround at our El Dorado Facility, which will lower ammonia production during the third quarter by approximately 50,000 tons.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 over year improvement in ammonia production for 2022.</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for 2021</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2021 were $556.2 million compared to $351.3 million for 2020. Our consolidated operating income for 2021 was $101.0 million compared to an operating loss of $15.5 million for 2020. The items affecting our operating results are discussed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2021 average agricultural selling prices for our ammonia, UAN, and HDAN increased 111%, 87% and 46%, respectively, compared to 2020. As discussed above under “Business Developments-2021,” increased demand, higher corn prices and tighter supplies of nitrogen products contributed to the improved pricing.</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2021 average industrial selling prices for most of our products were also higher compared to the same period of 2020, primarily driven by the $359 per metric ton increase in the Tampa Ammonia benchmark price, as many of our industrial contracts are indexed to the Tampa Ammonia benchmark price.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Activities (2021 only)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 Turnaround is performed, overall results are negatively impacted. This impact includes lost contribution margin from lost sales, lost fixed cost absorption from lower production, and increased costs associated with repairs and maintenance. The effects of our Turnaround, exclusive of the impacts due to lost ammonia production during the downtime, are shown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vMerge w:val="restart"/>
          </w:tcPr>
          <w:p>
            <w:pPr>
              <w:jc w:val="center"/>
              <w:ind w:right="280"/>
              <w:spacing w:after="0"/>
              <w:rPr>
                <w:sz w:val="20"/>
                <w:szCs w:val="20"/>
                <w:color w:val="auto"/>
              </w:rPr>
            </w:pPr>
            <w:r>
              <w:rPr>
                <w:rFonts w:ascii="Arial" w:cs="Arial" w:eastAsia="Arial" w:hAnsi="Arial"/>
                <w:sz w:val="18"/>
                <w:szCs w:val="18"/>
                <w:color w:val="auto"/>
                <w:w w:val="89"/>
              </w:rPr>
              <w:t>Turnaround Expense</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Estimated Lost Ammonia</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0"/>
              </w:rPr>
              <w:t>Turnaround</w:t>
            </w:r>
          </w:p>
        </w:tc>
        <w:tc>
          <w:tcPr>
            <w:tcW w:w="1860" w:type="dxa"/>
            <w:vAlign w:val="bottom"/>
            <w:gridSpan w:val="3"/>
            <w:vMerge w:val="continue"/>
          </w:tcPr>
          <w:p>
            <w:pPr>
              <w:spacing w:after="0"/>
              <w:rPr>
                <w:sz w:val="10"/>
                <w:szCs w:val="10"/>
                <w:color w:val="auto"/>
              </w:rPr>
            </w:pPr>
          </w:p>
        </w:tc>
        <w:tc>
          <w:tcPr>
            <w:tcW w:w="19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Production</w:t>
            </w: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2021 Related Period</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Downtime</w:t>
            </w:r>
          </w:p>
        </w:tc>
        <w:tc>
          <w:tcPr>
            <w:tcW w:w="16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(In Thousands)</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Tons)</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Cherokee</w:t>
            </w:r>
          </w:p>
        </w:tc>
        <w:tc>
          <w:tcPr>
            <w:tcW w:w="16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3</w:t>
            </w:r>
            <w:r>
              <w:rPr>
                <w:rFonts w:ascii="Arial" w:cs="Arial" w:eastAsia="Arial" w:hAnsi="Arial"/>
                <w:sz w:val="15"/>
                <w:szCs w:val="15"/>
                <w:color w:val="auto"/>
                <w:w w:val="91"/>
              </w:rPr>
              <w:t>rd</w:t>
            </w:r>
            <w:r>
              <w:rPr>
                <w:rFonts w:ascii="Arial" w:cs="Arial" w:eastAsia="Arial" w:hAnsi="Arial"/>
                <w:sz w:val="18"/>
                <w:szCs w:val="18"/>
                <w:color w:val="auto"/>
                <w:w w:val="91"/>
              </w:rPr>
              <w:t xml:space="preserve"> Quarter</w:t>
            </w:r>
          </w:p>
        </w:tc>
        <w:tc>
          <w:tcPr>
            <w:tcW w:w="1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40 days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28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left="200"/>
        <w:spacing w:after="0"/>
        <w:rPr>
          <w:sz w:val="20"/>
          <w:szCs w:val="20"/>
          <w:color w:val="auto"/>
        </w:rPr>
      </w:pPr>
      <w:r>
        <w:rPr>
          <w:rFonts w:ascii="Arial" w:cs="Arial" w:eastAsia="Arial" w:hAnsi="Arial"/>
          <w:sz w:val="18"/>
          <w:szCs w:val="18"/>
          <w:b w:val="1"/>
          <w:bCs w:val="1"/>
          <w:i w:val="1"/>
          <w:iCs w:val="1"/>
          <w:color w:val="auto"/>
        </w:rPr>
        <w:t>Settlement of Natural Gas Contracts (2021 only)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under “Business Developments-2021”, we settled all of our natural gas forward contracts and certain volume purchase commitments and recognized a realized gain of approximately $6.8 million, which is classified as a reduction to cost of sales. As a result of the settlement of these natural gas contracts, we were able to significantly mitigate the impact from lost production, lost sales and higher costs resulting from the impact of the natural gas shortage caused by the February cold weather event.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of Control and Special Dividend (2021 only)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result of the Exchange Transaction discussed above under “Business Developments-2021” and in Note 2, Eldridge held over 60% of our outstanding shares of common stock on the closing date of the Exchange Transaction. As a result, a change of control (“CoC”) event occurred as defined in certain agreements, including stock-based awards and cash-based awards. As a result, additional expense was recognized due to the CoC event. In addition, pursuant to anti-dilutive terms included in the cash-based awards, the number of units of cash-based awards increased due to the Special Dividend, also resulting in additional expense being recognized. In summary, we recognized approximately $5.0 million in additional expense, of which $1.2 million is classified as cost of sales and $3.8 million is classified as SG&amp;A.</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on Extinguishments of Debt (2021 only)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above under “Business Developments-2021” and in Note 5, we redeemed all of the Senior Secured Notes due 2023 and recognized a loss on extinguishment of debt of approximately $20.3 million. Partially offsetting this loss was a gain on extinguishment of debt of $10 million associated with the PPP loan that was fully forgiven by the SBA and lender.</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Settlements with Certain Vendors (2020 only)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2020, EDC and certain vendors mediated settlements totaling $7.6 million for EDC to recover certain costs associated with our new nitric acid plant at our El Dorado Facility. The construction of this plant was completed and began production in 2016. Of the $7.6 million, approximately $5.7 million is classified as a reduction to cost of sales and approximately $1.9 million is classified as a reduction to PP&amp;E. The recovery amount was applied against the original classification of the underlying costs.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Fees-Leidos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2021 and 2020, certain legal fees were approximately $1.9 million and $5.7 million, respectively. These fees relate to claims we are pursuing against Leidos to recover damages and losses associated with the construction of the ammonia plant at the El Dorado Facility as discussed in footnote B of Note 9. Due to the impact from the COVID-19 pandemic, the trial date has been delayed, which resulted in reduced costs in 2021. We are awaiting a new trial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Results of Operations should be read in conjunction with our consolidated financial statements for the years ended December 31, 2021 and 2020 and accompanying notes and the discussions under “Overview” and “Liquidity and Capital Resources” included in this MD&amp;A. You should carefully review and consider the information in the MD&amp;A of our 2020 Form 10-K, filed with the SEC on February 25, 2021, for an understanding of our results of operations and liquidity discussions and analysis comparing 2020 to 2019.</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u w:val="single" w:color="auto"/>
          <w:color w:val="auto"/>
        </w:rPr>
        <w:t>Year Ended December 31, 2021 Compared to Year Ended December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color w:val="auto"/>
                <w:w w:val="94"/>
              </w:rPr>
              <w:t>(Dollars In Thousands)</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Agricultural products</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264,502</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180,036</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84,466</w:t>
            </w: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291,737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171,280</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120,457</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3"/>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sales</w:t>
            </w:r>
          </w:p>
        </w:tc>
        <w:tc>
          <w:tcPr>
            <w:tcW w:w="7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556,239</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351,316</w:t>
            </w:r>
          </w:p>
        </w:tc>
        <w:tc>
          <w:tcPr>
            <w:tcW w:w="3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204,923</w:t>
            </w:r>
          </w:p>
        </w:tc>
        <w:tc>
          <w:tcPr>
            <w:tcW w:w="32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136,555</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(68,583)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(69,500)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(9,953)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(9,877)</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 xml:space="preserve">Recovery from settlements with certain vendors </w:t>
            </w:r>
            <w:r>
              <w:rPr>
                <w:rFonts w:ascii="Arial" w:cs="Arial" w:eastAsia="Arial" w:hAnsi="Arial"/>
                <w:sz w:val="14"/>
                <w:szCs w:val="14"/>
                <w:color w:val="auto"/>
              </w:rPr>
              <w:t>(3)</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(5,664)</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7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138,979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121,931</w:t>
            </w: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32,084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(596)</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(15,535)</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116,583</w:t>
            </w: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(1,737)</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Net loss on extinguishments of debt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10,259</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net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(4,556)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(4,749)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(61,911)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105,456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(4)</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vMerge w:val="restart"/>
            <w:shd w:val="clear" w:color="auto" w:fill="CFF0FC"/>
          </w:tcPr>
          <w:p>
            <w:pPr>
              <w:ind w:left="140"/>
              <w:spacing w:after="0"/>
              <w:rPr>
                <w:sz w:val="20"/>
                <w:szCs w:val="20"/>
                <w:color w:val="auto"/>
              </w:rPr>
            </w:pPr>
            <w:r>
              <w:rPr>
                <w:rFonts w:ascii="Arial" w:cs="Arial" w:eastAsia="Arial" w:hAnsi="Arial"/>
                <w:sz w:val="18"/>
                <w:szCs w:val="18"/>
                <w:color w:val="auto"/>
              </w:rPr>
              <w:t>Adjusted gross profit percentage (4)</w:t>
            </w: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Represents a non-GAAP measure since the amount excludes unallocated depreciation and amortization, Turnaround expenses and a recovery from settlements.</w:t>
      </w:r>
    </w:p>
    <w:p>
      <w:pPr>
        <w:spacing w:after="0" w:line="33" w:lineRule="exact"/>
        <w:rPr>
          <w:rFonts w:ascii="Arial" w:cs="Arial" w:eastAsia="Arial" w:hAnsi="Arial"/>
          <w:sz w:val="15"/>
          <w:szCs w:val="15"/>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 discussion above under “Items Affecting Comparability of Results.”</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a percentage of total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Product (tons sold)</w:t>
            </w:r>
          </w:p>
        </w:tc>
        <w:tc>
          <w:tcPr>
            <w:tcW w:w="406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Change</w:t>
            </w:r>
          </w:p>
        </w:tc>
        <w:tc>
          <w:tcPr>
            <w:tcW w:w="1360" w:type="dxa"/>
            <w:vAlign w:val="bottom"/>
            <w:gridSpan w:val="3"/>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5240" w:type="dxa"/>
            <w:vAlign w:val="bottom"/>
            <w:tcBorders>
              <w:top w:val="single" w:sz="8" w:color="CFF0FC"/>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440,270</w:t>
            </w: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498,738</w:t>
            </w: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(58,468)</w:t>
            </w: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265,918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292,679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(26,761)</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40" w:type="dxa"/>
            <w:vAlign w:val="bottom"/>
            <w:tcBorders>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70,331</w:t>
            </w:r>
          </w:p>
        </w:tc>
        <w:tc>
          <w:tcPr>
            <w:tcW w:w="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97,367</w:t>
            </w:r>
          </w:p>
        </w:tc>
        <w:tc>
          <w:tcPr>
            <w:tcW w:w="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(27,036)</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240" w:type="dxa"/>
            <w:vAlign w:val="bottom"/>
            <w:gridSpan w:val="3"/>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(4,519)</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right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790,024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906,808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(116,784)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line="20" w:lineRule="exact"/>
              <w:rPr>
                <w:sz w:val="1"/>
                <w:szCs w:val="1"/>
                <w:color w:val="auto"/>
              </w:rPr>
            </w:pPr>
          </w:p>
        </w:tc>
      </w:tr>
      <w:tr>
        <w:trPr>
          <w:trHeight w:val="417"/>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Gross Average Selling Prices (price per ton)</w:t>
            </w:r>
          </w:p>
        </w:tc>
        <w:tc>
          <w:tcPr>
            <w:tcW w:w="300" w:type="dxa"/>
            <w:vAlign w:val="bottom"/>
          </w:tcPr>
          <w:p>
            <w:pPr>
              <w:spacing w:after="0"/>
              <w:rPr>
                <w:sz w:val="13"/>
                <w:szCs w:val="13"/>
                <w:color w:val="auto"/>
              </w:rPr>
            </w:pPr>
          </w:p>
        </w:tc>
        <w:tc>
          <w:tcPr>
            <w:tcW w:w="106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4"/>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1360" w:type="dxa"/>
            <w:vAlign w:val="bottom"/>
            <w:gridSpan w:val="3"/>
          </w:tcPr>
          <w:p>
            <w:pPr>
              <w:jc w:val="right"/>
              <w:ind w:right="54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680" w:type="dxa"/>
            <w:vAlign w:val="bottom"/>
            <w:tcBorders>
              <w:top w:val="single" w:sz="8" w:color="auto"/>
            </w:tcBorders>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2560" w:type="dxa"/>
            <w:vAlign w:val="bottom"/>
            <w:tcBorders>
              <w:right w:val="single" w:sz="8" w:color="CFF0FC"/>
            </w:tcBorders>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80" w:type="dxa"/>
            <w:vAlign w:val="bottom"/>
            <w:gridSpan w:val="2"/>
            <w:vMerge w:val="continue"/>
            <w:shd w:val="clear" w:color="auto" w:fill="CFF0FC"/>
          </w:tcPr>
          <w:p>
            <w:pPr>
              <w:spacing w:after="0"/>
              <w:rPr>
                <w:sz w:val="18"/>
                <w:szCs w:val="18"/>
                <w:color w:val="auto"/>
              </w:rPr>
            </w:pPr>
          </w:p>
        </w:tc>
        <w:tc>
          <w:tcPr>
            <w:tcW w:w="2560" w:type="dxa"/>
            <w:vAlign w:val="bottom"/>
            <w:tcBorders>
              <w:right w:val="single" w:sz="8" w:color="CFF0FC"/>
            </w:tcBorders>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281</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right w:val="single" w:sz="8" w:color="CFF0FC"/>
            </w:tcBorders>
            <w:vMerge w:val="continue"/>
            <w:shd w:val="clear" w:color="auto" w:fill="CFF0FC"/>
          </w:tcPr>
          <w:p>
            <w:pPr>
              <w:spacing w:after="0"/>
              <w:rPr>
                <w:sz w:val="18"/>
                <w:szCs w:val="18"/>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2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240" w:type="dxa"/>
            <w:vAlign w:val="bottom"/>
            <w:tcBorders>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485</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right w:val="single" w:sz="8" w:color="CFF0FC"/>
            </w:tcBorders>
            <w:shd w:val="clear" w:color="auto" w:fill="CFF0FC"/>
          </w:tcPr>
          <w:p>
            <w:pPr>
              <w:spacing w:after="0"/>
              <w:rPr>
                <w:sz w:val="19"/>
                <w:szCs w:val="19"/>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and mining products, the following table indicates key operating metrics of our major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11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Product (tons sold)</w:t>
            </w:r>
          </w:p>
        </w:tc>
        <w:tc>
          <w:tcPr>
            <w:tcW w:w="3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gridSpan w:val="2"/>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234,258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269,485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vMerge w:val="continue"/>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AN, Nitric Acid and Other</w:t>
            </w:r>
          </w:p>
        </w:tc>
        <w:tc>
          <w:tcPr>
            <w:tcW w:w="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442,066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303,787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138,279</w:t>
            </w:r>
          </w:p>
        </w:tc>
        <w:tc>
          <w:tcPr>
            <w:tcW w:w="2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676,324</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573,272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103,052</w:t>
            </w:r>
          </w:p>
        </w:tc>
        <w:tc>
          <w:tcPr>
            <w:tcW w:w="2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Tampa Ammonia Benchmark (price per metric ton)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Agricultural product sales increased driven primarily by higher sales prices for all of our agricultural products partially offset by lower sales volumes of our products resulting from lower production, including ammonia, due to the February 2021 weather event, the completion of a Turnaround at our Cherokee Facility during 2021, and product mix shifts to our industrial and mining products. As discussed above under “Business Developments-2021,” increased demand, higher corn prices, and tighter supplies of nitrogen products contributed to the improved pricing.</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Industrial product sales increased primarily from higher sales prices due primarily to higher Tampa Ammonia benchmark pricing and higher nitric acid sales volume due in part to sales beginning in 2021 pursuant to the new long-term nitric acid supply agreement, and product mix shifts. The average Tampa Ammonia pricing was approximately $359 per ton higher compared to the same period in 2020.</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Mining products sales improved driven by primarily from increased sales volumes. Demand for our mining products improved as quarry and construction activity has been elevated due to robust levels of residential, commercial and civil infrastructure buildout along with strong demand for precious metals, including expectations for rising copper production to support the growing domestic production of electric vehicles. Also, certain mining sales contracts are linked to natural gas indexes and as the cost of natural gas increases, the pricing for these products increase accordingly.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in the table above, we recognized a gross profit of $139 million for 2021 compared to $17 million for the same period in 2020, or a $122 million improvement. Overall, our gross profit percentage was 25% for 2021 compared to 5% for 2020. Our adjusted gross profit percentage increased to 39% for 2021 from 23% for 2020.</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gross profit was primarily driven by higher sales prices for our products coupled with an overall increase in sales volume of upgraded industrial and mining products partially offset by lower volumes of our agricultural products. The improvement in gross profit was also partially offset by the net impact of the February weather disruption and overall higher average natural gas costs, which averaged $3.51 per MMBtu for 2021 as compared to $2.09 per MMBtu for 2020 and the impact of the Turnaround completed at our Cherokee Facility as discussed above under “Turnaround Activities”. Also, 2020 included settlements with certain vendors resulting in a recovery of approximately $5.7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SG&amp;A expenses were $38.0 million for 2021, an increase of $5.9 million compared to 2020. The net increase was primarily driven by approximately $3.8 million of expense due to CoC and anti-dilutive provisions included in certain agreements as discussed above under “Change of Control and Special Dividend.”, approximately $5.4 million associated with short and long-term compensation incentives and other payroll related costs partially offset by lower professional fees of $4.0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2021 was $49.4 million compared to $51.1 million for 2020. The decrease relates primarily to the interest expense incurred in 2020 associated with a litigation judgment discussed in footnote (B) of Note 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on Extinguishments of Debt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above under “Business Developments-2021” and in Note 5, during 2021, we redeemed all of the Senior Secured Notes due 2023 and recognized a loss on extinguishment of debt of approximately $20.3 million. Partially offsetting this loss was a gain on extinguishment of debt of $10 million associated with the PPP loan that was fully forgiven by the SBA and lender.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Non-operating other expense for 2021 was $2.4 million (minimal for 2020). This change primarily relates to the change in fair value of the embedded derivative included in the Series E Redeemable Preferred prior to its extinguishment through the completion of the Exchange Transaction discussed above under “Business Developments-2021”.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benefit for income taxes for 2021 was $4.6 million compared to $4.7 million for 2020. The resulting effective tax rate for 2021 was (11.7)% on pre-tax income compared to 7.1% for 2020 on pre-tax loss. For 2021, the negative effective tax rate on pre-tax income was driven by the benefit from the exclusion of PPP Loan forgiveness income from taxable income, tax credits, and the impact of adjustments made to valuation allowances, partially offset by the impact of state law changes. For 2020, the effective tax rate was impacted by adjustments made to our valuation allowances. Also see discussion in Note 8.</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Change</w:t>
            </w:r>
          </w:p>
        </w:tc>
      </w:tr>
      <w:tr>
        <w:trPr>
          <w:trHeight w:val="156"/>
        </w:trPr>
        <w:tc>
          <w:tcPr>
            <w:tcW w:w="4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jc w:val="right"/>
              <w:ind w:right="660"/>
              <w:spacing w:after="0" w:line="155" w:lineRule="exact"/>
              <w:rPr>
                <w:sz w:val="20"/>
                <w:szCs w:val="20"/>
                <w:color w:val="auto"/>
              </w:rPr>
            </w:pPr>
            <w:r>
              <w:rPr>
                <w:rFonts w:ascii="Arial" w:cs="Arial" w:eastAsia="Arial" w:hAnsi="Arial"/>
                <w:sz w:val="14"/>
                <w:szCs w:val="14"/>
                <w:color w:val="auto"/>
                <w:w w:val="97"/>
              </w:rPr>
              <w:t>(In Thousands)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87,627</w:t>
            </w:r>
          </w:p>
        </w:tc>
        <w:tc>
          <w:tcPr>
            <w:tcW w:w="1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(2,513)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90,140</w:t>
            </w:r>
          </w:p>
        </w:tc>
        <w:tc>
          <w:tcPr>
            <w:tcW w:w="100" w:type="dxa"/>
            <w:vAlign w:val="bottom"/>
            <w:shd w:val="clear" w:color="auto" w:fill="CFF0FC"/>
          </w:tcPr>
          <w:p>
            <w:pPr>
              <w:spacing w:after="0"/>
              <w:rPr>
                <w:sz w:val="21"/>
                <w:szCs w:val="2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(34,694)</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(28,426)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(6,268)</w:t>
            </w: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12,947</w:t>
            </w:r>
          </w:p>
        </w:tc>
        <w:tc>
          <w:tcPr>
            <w:tcW w:w="1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(11,465)</w:t>
            </w: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was $87.6 million for 2021 compared to net cash used of $2.5 million for 2020, a change of $90.1 million.</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2021, net cash provided is the result of a net income of $43.5 million plus adjustments of $68.7 million for depreciation and amortization of PP&amp;E, net loss on extinguishments of debt of $10.3 and other adjustments of $8.4 million and net cash used of $43.3 million primarily from our working capital, including accounts receivable.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2020, net cash provided is the result of a net loss of $61.9 million plus adjustments of $69.6 million for depreciation and amortization of PP&amp;E, and other adjustments of $9.4 million less an adjustment of $4.8 million for deferred taxes and net cash used of approximately $14.8 million primarily from our working capital, including accounts payable, accounts receivable and prepaid deposits.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investing activities was $34.7 million for 2021 compared to $28.4 million for 2020, a change of $6.3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2021 and 2020, net cash used relates primarily to expenditures for PP&amp;E.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$12.9 million for 2021 compared to $24.4 million for 2020, a change of $11.5 million.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2021, net cash provided primarily consists of proceeds of $500 million from the New Notes, $16.7 million from insurance premium short-term financing partially offset by $435 million redemption of the Old Notes, payments of debt-related costs of $27.3 million, payments on other long-term debt and short-term financing of $28.0 million, payments of costs of $7.4 million related to the Exchange Transaction, and payments of $6.1 million for other financing activities.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2020, net cash provided primarily consists of proceeds of $57.2 million from other long-term debt and insurance premium short-term financing partially offset by payments on other long-term debt and short-term financing of $32.3 million and payments of $0.5 million for other financing activities.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ind w:left="38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The following is our total current cash, long-term debt and stockholders’ equity:</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5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8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tcPr>
          <w:p>
            <w:pPr>
              <w:jc w:val="right"/>
              <w:ind w:right="107"/>
              <w:spacing w:after="0" w:line="155" w:lineRule="exact"/>
              <w:rPr>
                <w:sz w:val="20"/>
                <w:szCs w:val="20"/>
                <w:color w:val="auto"/>
              </w:rPr>
            </w:pPr>
            <w:r>
              <w:rPr>
                <w:rFonts w:ascii="Arial" w:cs="Arial" w:eastAsia="Arial" w:hAnsi="Arial"/>
                <w:sz w:val="14"/>
                <w:szCs w:val="14"/>
                <w:color w:val="auto"/>
              </w:rPr>
              <w:t>(In Millions)</w:t>
            </w: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Revolving credit facility and long-term debt:</w:t>
            </w:r>
          </w:p>
        </w:tc>
        <w:tc>
          <w:tcPr>
            <w:tcW w:w="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 xml:space="preserve">Senior Secured Notes due 2028 </w:t>
            </w:r>
            <w:r>
              <w:rPr>
                <w:rFonts w:ascii="Arial" w:cs="Arial" w:eastAsia="Arial" w:hAnsi="Arial"/>
                <w:sz w:val="14"/>
                <w:szCs w:val="14"/>
                <w:color w:val="auto"/>
              </w:rPr>
              <w:t>(1)</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Senior Secured Notes due 2023 </w:t>
            </w:r>
            <w:r>
              <w:rPr>
                <w:rFonts w:ascii="Arial" w:cs="Arial" w:eastAsia="Arial" w:hAnsi="Arial"/>
                <w:sz w:val="14"/>
                <w:szCs w:val="14"/>
                <w:color w:val="auto"/>
              </w:rPr>
              <w:t>(1)</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Secured Financing due 2023</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Loan Agreement due 2025</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Secured Financing Agreement due 2025</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Unsecured Loan Agreement due 2022 </w:t>
            </w:r>
            <w:r>
              <w:rPr>
                <w:rFonts w:ascii="Arial" w:cs="Arial" w:eastAsia="Arial" w:hAnsi="Arial"/>
                <w:sz w:val="14"/>
                <w:szCs w:val="14"/>
                <w:color w:val="auto"/>
              </w:rPr>
              <w:t>(1)</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Secured Promissory Note due 2021</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527.6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(2)</w:t>
            </w: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460.5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discussions above under “Business Developments-2021 relating to the debt agreement.</w:t>
      </w:r>
    </w:p>
    <w:p>
      <w:pPr>
        <w:spacing w:after="0" w:line="23" w:lineRule="exact"/>
        <w:rPr>
          <w:rFonts w:ascii="Arial" w:cs="Arial" w:eastAsia="Arial" w:hAnsi="Arial"/>
          <w:sz w:val="18"/>
          <w:szCs w:val="18"/>
          <w:color w:val="auto"/>
        </w:rPr>
      </w:pPr>
    </w:p>
    <w:p>
      <w:pPr>
        <w:ind w:left="380" w:right="20" w:hanging="372"/>
        <w:spacing w:after="0" w:line="260"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discussion above under “Business Developments-2021” and Note 2 relating to the Exchange Transaction associated with the Series E and Series F redeemable preferred stock.</w:t>
      </w:r>
    </w:p>
    <w:p>
      <w:pPr>
        <w:spacing w:after="0" w:line="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December 31, 2021, our Working Capital Revolver Loan was undrawn and had approximately $61.3 million of availability.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implementation of our strategy, we may pursue acquisitions of strategic assets or companies (including through mergers), or additional investment in our production capacity, for which we may require additional funds. We may choose to finance any of the foregoing through the incurrence of additional indebtedness (including through loans or the issuance of debt securities) [or the issuance of equity], in each case subject to market conditions.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capital expenditures to be approximately $65 million for 2022, which includes approximately $15 million for margin enhancement projects. The remaining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under “Loan Agreements,” the Working Capital Revolver Loan requires, among other things, that we meet certain financial covenants. The Working Capital Revolver Loan does not include financial covenant requirements unless a defined covenant trigger event has occurred and is continuing. As of December 31, 2021,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Senior Secured Notes due 2028 </w:t>
      </w:r>
      <w:r>
        <w:rPr>
          <w:rFonts w:ascii="Arial" w:cs="Arial" w:eastAsia="Arial" w:hAnsi="Arial"/>
          <w:sz w:val="15"/>
          <w:szCs w:val="15"/>
          <w:color w:val="auto"/>
        </w:rPr>
        <w:t>– LSB has $500 million aggregate principal amount of the 6.25% Senior Secured Notes outstanding, as discussed in footnote</w:t>
      </w:r>
    </w:p>
    <w:p>
      <w:pPr>
        <w:spacing w:after="0" w:line="61" w:lineRule="exact"/>
        <w:rPr>
          <w:sz w:val="20"/>
          <w:szCs w:val="20"/>
          <w:color w:val="auto"/>
        </w:rPr>
      </w:pPr>
    </w:p>
    <w:p>
      <w:pPr>
        <w:ind w:firstLine="8"/>
        <w:spacing w:after="0" w:line="262" w:lineRule="auto"/>
        <w:tabs>
          <w:tab w:leader="none" w:pos="2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Note 7. Interest is to be paid semiannually on May 15</w:t>
      </w:r>
      <w:r>
        <w:rPr>
          <w:rFonts w:ascii="Arial" w:cs="Arial" w:eastAsia="Arial" w:hAnsi="Arial"/>
          <w:sz w:val="15"/>
          <w:szCs w:val="15"/>
          <w:color w:val="auto"/>
        </w:rPr>
        <w:t>th</w:t>
      </w:r>
      <w:r>
        <w:rPr>
          <w:rFonts w:ascii="Arial" w:cs="Arial" w:eastAsia="Arial" w:hAnsi="Arial"/>
          <w:sz w:val="18"/>
          <w:szCs w:val="18"/>
          <w:color w:val="auto"/>
        </w:rPr>
        <w:t xml:space="preserve"> and October 15</w:t>
      </w:r>
      <w:r>
        <w:rPr>
          <w:rFonts w:ascii="Arial" w:cs="Arial" w:eastAsia="Arial" w:hAnsi="Arial"/>
          <w:sz w:val="15"/>
          <w:szCs w:val="15"/>
          <w:color w:val="auto"/>
        </w:rPr>
        <w:t>th</w:t>
      </w:r>
      <w:r>
        <w:rPr>
          <w:rFonts w:ascii="Arial" w:cs="Arial" w:eastAsia="Arial" w:hAnsi="Arial"/>
          <w:sz w:val="18"/>
          <w:szCs w:val="18"/>
          <w:color w:val="auto"/>
        </w:rPr>
        <w:t>. Due to the redemption of the Old Notes, our interest expense is expected to decrease as compared to 2021.</w:t>
      </w:r>
    </w:p>
    <w:p>
      <w:pPr>
        <w:spacing w:after="0" w:line="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Secured Loan Agreement due 2025 - </w:t>
      </w:r>
      <w:r>
        <w:rPr>
          <w:rFonts w:ascii="Arial" w:cs="Arial" w:eastAsia="Arial" w:hAnsi="Arial"/>
          <w:sz w:val="18"/>
          <w:szCs w:val="18"/>
          <w:color w:val="auto"/>
        </w:rPr>
        <w:t>EDC is party to a secured loan agreement with an affiliate of LSB Funding. Principal and interest are payable in 60</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through March 2025.</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Secured Financing Agreement due 2025 – </w:t>
      </w:r>
      <w:r>
        <w:rPr>
          <w:rFonts w:ascii="Arial" w:cs="Arial" w:eastAsia="Arial" w:hAnsi="Arial"/>
          <w:sz w:val="18"/>
          <w:szCs w:val="18"/>
          <w:color w:val="auto"/>
        </w:rPr>
        <w:t>EDA is party to a secured financing agreement with an affiliate of LSB Funding. Principal and interest are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60 equal monthly installments with a final balloon payment of approximately $5 million due in August 2025.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December 31, 2021, the Working Capital Revolver Loan was undrawn and the net credit available for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Working Capital Revolver Loan was approximately $61.3 million, based on our eligible collateral, less outstanding standby letters of credit as of that date. Also see discussion above under “Compliance with Long-Term Debt Covenants.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Expenditures – 2021</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2021, capital expenditures relating to PP&amp;E were $35.1 million, which expenditures include approximately $0.6 million associated with maintaining compliance with environmental laws, regulations and guidelines. The capital expenditures were funded primarily from cash and working capital.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annual capital expenditures for 2022.</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numerous federal, state and local laws and regulations, including matters regarding environmental, health and safety matters. As a result, we incurred expenses of $3.4 million in 2021 in connection with environmental projects. For 2022, we expect to incur expenses ranging from $3.8 million to $4.2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above under “Business Developments-2021” and Notes 1 and 2 regarding the common stock Special Dividend.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See discussion under Notes 12 and 14 regarding the conversion and payment of the accumulated dividends during 2021 relating to the Series D 6% cumulative convertible Class C preferred stock (the “Series D Preferred”) and Series B 12% cumulative convertible Class C Preferred Stock (the “Series B Preferred”).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2021, we have agreed to indemnify the sureties for payments, up to $9.7 million, made by them in respect of such bonds. All of these insurance bonds are expected to expire or be renewed in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aggregate contractual obligations are summarized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Payments Due in the Year Ending December 31,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6"/>
        </w:trPr>
        <w:tc>
          <w:tcPr>
            <w:tcW w:w="4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72"/>
              <w:spacing w:after="0" w:line="155" w:lineRule="exact"/>
              <w:rPr>
                <w:sz w:val="20"/>
                <w:szCs w:val="20"/>
                <w:color w:val="auto"/>
              </w:rPr>
            </w:pPr>
            <w:r>
              <w:rPr>
                <w:rFonts w:ascii="Arial" w:cs="Arial" w:eastAsia="Arial" w:hAnsi="Arial"/>
                <w:sz w:val="14"/>
                <w:szCs w:val="14"/>
                <w:b w:val="1"/>
                <w:bCs w:val="1"/>
                <w:color w:val="auto"/>
                <w:w w:val="89"/>
              </w:rPr>
              <w:t>2024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1"/>
              </w:rPr>
              <w:t>(In Thousands)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Senior Secured Notes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500,000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537,366</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payments on long-term debt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225,326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9,692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Firm purchase commitments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Natural gas pipeline commitment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contractual obligations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Other contractual obligations included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noncurrent accrued and other liabilities (4)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901,180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146,352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565,587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40" w:hanging="468"/>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estimated interest payments are based on interest rates at December 31, 2021, which debt is all fixed interest rate debt.</w:t>
      </w:r>
    </w:p>
    <w:p>
      <w:pPr>
        <w:spacing w:after="0" w:line="23" w:lineRule="exact"/>
        <w:rPr>
          <w:rFonts w:ascii="Arial" w:cs="Arial" w:eastAsia="Arial" w:hAnsi="Arial"/>
          <w:sz w:val="18"/>
          <w:szCs w:val="18"/>
          <w:color w:val="auto"/>
        </w:rPr>
      </w:pPr>
    </w:p>
    <w:p>
      <w:pPr>
        <w:ind w:left="840" w:hanging="468"/>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include only the budgeted amounts at December 31, 2021.</w:t>
      </w:r>
    </w:p>
    <w:p>
      <w:pPr>
        <w:spacing w:after="0" w:line="9" w:lineRule="exact"/>
        <w:rPr>
          <w:rFonts w:ascii="Arial" w:cs="Arial" w:eastAsia="Arial" w:hAnsi="Arial"/>
          <w:sz w:val="18"/>
          <w:szCs w:val="18"/>
          <w:color w:val="auto"/>
        </w:rPr>
      </w:pPr>
    </w:p>
    <w:p>
      <w:pPr>
        <w:ind w:left="840" w:hanging="468"/>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proportionate share of the minimum costs to ensure capacity relating to a gathering and pipeline system.</w:t>
      </w:r>
    </w:p>
    <w:p>
      <w:pPr>
        <w:spacing w:after="0" w:line="9" w:lineRule="exact"/>
        <w:rPr>
          <w:rFonts w:ascii="Arial" w:cs="Arial" w:eastAsia="Arial" w:hAnsi="Arial"/>
          <w:sz w:val="18"/>
          <w:szCs w:val="18"/>
          <w:color w:val="auto"/>
        </w:rPr>
      </w:pPr>
    </w:p>
    <w:p>
      <w:pPr>
        <w:ind w:left="840" w:hanging="468"/>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future cash flows relating to the death benefit is based on estimates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adopted and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2021, could change in the near term. The more critical areas of financial reporting affected by management's judgment, estimates and assumptions include the following:</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 various legal matters that require management to make estimates and assumptions as discussed in Note 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the actual costs could be significantly different than our estimates.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Regulatory Compliance </w:t>
      </w:r>
      <w:r>
        <w:rPr>
          <w:rFonts w:ascii="Arial" w:cs="Arial" w:eastAsia="Arial" w:hAnsi="Arial"/>
          <w:sz w:val="17"/>
          <w:szCs w:val="17"/>
          <w:color w:val="auto"/>
        </w:rPr>
        <w:t>– As discussed under “Government Laws and Regulations” in Item 1 of this report, we are subject to numerous federal, state, and</w:t>
      </w:r>
      <w:r>
        <w:rPr>
          <w:rFonts w:ascii="Arial" w:cs="Arial" w:eastAsia="Arial" w:hAnsi="Arial"/>
          <w:sz w:val="17"/>
          <w:szCs w:val="17"/>
          <w:b w:val="1"/>
          <w:bCs w:val="1"/>
          <w:color w:val="auto"/>
        </w:rPr>
        <w:t xml:space="preserve"> </w:t>
      </w:r>
      <w:r>
        <w:rPr>
          <w:rFonts w:ascii="Arial" w:cs="Arial" w:eastAsia="Arial" w:hAnsi="Arial"/>
          <w:sz w:val="17"/>
          <w:szCs w:val="17"/>
          <w:color w:val="auto"/>
        </w:rPr>
        <w:t>local laws and regulations, including matters regarding environmental, health and safety matters.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matters discussed under footnote A of Note 9. At December 31, 2021 and 2020, liabilities totaling $0.5 million have been accrued relating to these matters. It is also reasonably possible that the estimates and assumptions utilized as of December 31, 2021 could change in the near term. Actual results could differ materially from these estimates and judgments, as additional information becomes known.</w:t>
      </w:r>
    </w:p>
    <w:p>
      <w:pPr>
        <w:spacing w:after="0" w:line="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Income Tax – </w:t>
      </w:r>
      <w:r>
        <w:rPr>
          <w:rFonts w:ascii="Arial" w:cs="Arial" w:eastAsia="Arial" w:hAnsi="Arial"/>
          <w:sz w:val="16"/>
          <w:szCs w:val="16"/>
          <w:color w:val="auto"/>
        </w:rPr>
        <w:t>As discussed under “Income Taxes” in Note 1 and in Note 8, income taxes are accounted for under the asset and liability method.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At December 31, 2021 and 2020, our valuation allowance on deferred tax assets was $47.0 million and $64.7 million, respectively.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Series E and Series F Redeemable Preferred </w:t>
      </w:r>
      <w:r>
        <w:rPr>
          <w:rFonts w:ascii="Arial" w:cs="Arial" w:eastAsia="Arial" w:hAnsi="Arial"/>
          <w:sz w:val="18"/>
          <w:szCs w:val="18"/>
          <w:color w:val="auto"/>
        </w:rPr>
        <w:t>- As discussed in Note 1, the Series E and Series F Redeemable Preferred Stocks, prior to their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as discussed in Note 2, were redeemable outside our control and therefore were historically classified as temporary/mezzanine equity. These redeemable preferred stocks were recorded at fair value upon issuance, net of issuance costs or discounts. In addition, certain embedded features included in the Series E Redeemable Preferred required bifurcation and were classified as derivative liabilities. The carrying values of the redeemable preferred stocks were being increased by periodic accretions (including the amount for dividends earned but not yet declared or paid) using the interest method so that the carrying amount would equal the redemption value as of the earliest possible redemption date by the holder (October 25, 2023). The accretion was recorded to retained earnings.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2, in July 2021, we entered into the Exchange Agreement with the Holder, an affiliate of Eldridge, which Exchange Agreement was voted on and approved by our stockholders at the Special Meeting held in September 2021. Pursuant to the terms of the Exchange Agreement, the Holder exchanged all of the shares of the Series E and Series F Redeemable Preferred into our common stock based on the Liquidation Preference and an exchange price of $6.16, which is equal to the 30-day volume weighted average price as of the date of the Exchange Agreement. The Liquidation Preference primarily consists of $1,000 per share of Series E Redeemable Preferred plus accrued and unpaid dividends plus the participation rights value. However, the exchange consideration paid under the Exchange Agreement would be reduced by approximately 1.2 million shares, which shares were included in the Special Dividend and received by the Holder.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On September 27, 2021, the closing of the Exchange Agreement occurred, and the Exchange Transaction was consummated. Pursuant to the terms of the Exchange Agreement, the Holder exchanged all of the shares of the Series E and Series F Redeemable Preferred for approximately 49.1 million shares of our common stock.</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total fair value of the approximately 49.1 million shares of common stock issued was approximately $531.1 million (based on the average per share price on the date of closing). The fair value of the common stock issued was in excess of the Series E and Series F Redeemable Preferred carrying amount, net of the bifurcated embedded derivative and unamortized issuance costs, by approximately $231.8 million and is treated as a deemed dividend. Because we were in an accumulated deficit position on the closing date, the deemed dividend was charged to capital in excess of par value.</w:t>
      </w:r>
    </w:p>
    <w:p>
      <w:pPr>
        <w:spacing w:after="0" w:line="45" w:lineRule="exact"/>
        <w:rPr>
          <w:sz w:val="20"/>
          <w:szCs w:val="20"/>
          <w:color w:val="auto"/>
        </w:rPr>
      </w:pPr>
    </w:p>
    <w:p>
      <w:pPr>
        <w:ind w:right="3940"/>
        <w:spacing w:after="0" w:line="377" w:lineRule="auto"/>
        <w:rPr>
          <w:sz w:val="20"/>
          <w:szCs w:val="20"/>
          <w:color w:val="auto"/>
        </w:rPr>
      </w:pPr>
      <w:r>
        <w:rPr>
          <w:rFonts w:ascii="Arial" w:cs="Arial" w:eastAsia="Arial" w:hAnsi="Arial"/>
          <w:sz w:val="18"/>
          <w:szCs w:val="18"/>
          <w:b w:val="1"/>
          <w:bCs w:val="1"/>
          <w:u w:val="single" w:color="auto"/>
          <w:color w:val="auto"/>
        </w:rPr>
        <w:t>ITEM 7A. QUANTITATIVE AND QUALITATIVE DISCLOSURES ABOUT MARKET RISK General</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of operations and operating cash flows are affected by changes in market prices of ammonia and natural gas and changes in market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December 31, 2021, we had no embedded losses associated with sales commitments with firm sales prices.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December 31, 2021, we had no outstanding natural gas contracts, which are accounted for on a mark-to-market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December 31, 2021, we had no outstanding borrowings on this credit facility and no other variable rate borrowings. We currently do not hedge our interest rate risk associated with these variable interest loans.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principal amounts by maturity date and weighted-average interest rates for the periods presented for our debt agreements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0"/>
              </w:rPr>
              <w:t>Years ending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Thereafter</w:t>
            </w: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2022</w:t>
            </w:r>
          </w:p>
        </w:tc>
        <w:tc>
          <w:tcPr>
            <w:tcW w:w="1060" w:type="dxa"/>
            <w:vAlign w:val="bottom"/>
          </w:tcPr>
          <w:p>
            <w:pPr>
              <w:jc w:val="right"/>
              <w:ind w:right="381"/>
              <w:spacing w:after="0" w:line="155" w:lineRule="exact"/>
              <w:rPr>
                <w:sz w:val="20"/>
                <w:szCs w:val="20"/>
                <w:color w:val="auto"/>
              </w:rPr>
            </w:pPr>
            <w:r>
              <w:rPr>
                <w:rFonts w:ascii="Arial" w:cs="Arial" w:eastAsia="Arial" w:hAnsi="Arial"/>
                <w:sz w:val="14"/>
                <w:szCs w:val="14"/>
                <w:b w:val="1"/>
                <w:bCs w:val="1"/>
                <w:color w:val="auto"/>
              </w:rPr>
              <w:t>2023</w:t>
            </w:r>
          </w:p>
        </w:tc>
        <w:tc>
          <w:tcPr>
            <w:tcW w:w="1100" w:type="dxa"/>
            <w:vAlign w:val="bottom"/>
          </w:tcPr>
          <w:p>
            <w:pPr>
              <w:jc w:val="center"/>
              <w:ind w:right="136"/>
              <w:spacing w:after="0" w:line="155" w:lineRule="exact"/>
              <w:rPr>
                <w:sz w:val="20"/>
                <w:szCs w:val="20"/>
                <w:color w:val="auto"/>
              </w:rPr>
            </w:pPr>
            <w:r>
              <w:rPr>
                <w:rFonts w:ascii="Arial" w:cs="Arial" w:eastAsia="Arial" w:hAnsi="Arial"/>
                <w:sz w:val="14"/>
                <w:szCs w:val="14"/>
                <w:b w:val="1"/>
                <w:bCs w:val="1"/>
                <w:color w:val="auto"/>
                <w:w w:val="89"/>
              </w:rPr>
              <w:t>2024</w:t>
            </w:r>
          </w:p>
        </w:tc>
        <w:tc>
          <w:tcPr>
            <w:tcW w:w="200" w:type="dxa"/>
            <w:vAlign w:val="bottom"/>
          </w:tcPr>
          <w:p>
            <w:pPr>
              <w:spacing w:after="0"/>
              <w:rPr>
                <w:sz w:val="13"/>
                <w:szCs w:val="13"/>
                <w:color w:val="auto"/>
              </w:rPr>
            </w:pPr>
          </w:p>
        </w:tc>
        <w:tc>
          <w:tcPr>
            <w:tcW w:w="80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62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2"/>
          </w:tcPr>
          <w:p>
            <w:pPr>
              <w:jc w:val="center"/>
              <w:ind w:left="741"/>
              <w:spacing w:after="0" w:line="155" w:lineRule="exact"/>
              <w:rPr>
                <w:sz w:val="20"/>
                <w:szCs w:val="20"/>
                <w:color w:val="auto"/>
              </w:rPr>
            </w:pPr>
            <w:r>
              <w:rPr>
                <w:rFonts w:ascii="Arial" w:cs="Arial" w:eastAsia="Arial" w:hAnsi="Arial"/>
                <w:sz w:val="14"/>
                <w:szCs w:val="14"/>
                <w:color w:val="auto"/>
                <w:w w:val="94"/>
              </w:rPr>
              <w:t>(Dollars In Thousands)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Expected maturities of long-term debt (1):</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Arial" w:cs="Arial" w:eastAsia="Arial" w:hAnsi="Arial"/>
                <w:sz w:val="18"/>
                <w:szCs w:val="18"/>
                <w:color w:val="auto"/>
              </w:rPr>
              <w:t>Fixed interest rate debt</w:t>
            </w: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   9,454</w:t>
            </w:r>
          </w:p>
        </w:tc>
        <w:tc>
          <w:tcPr>
            <w:tcW w:w="1060" w:type="dxa"/>
            <w:vAlign w:val="bottom"/>
          </w:tcPr>
          <w:p>
            <w:pPr>
              <w:jc w:val="right"/>
              <w:ind w:right="141"/>
              <w:spacing w:after="0"/>
              <w:rPr>
                <w:sz w:val="20"/>
                <w:szCs w:val="20"/>
                <w:color w:val="auto"/>
              </w:rPr>
            </w:pPr>
            <w:r>
              <w:rPr>
                <w:rFonts w:ascii="Arial" w:cs="Arial" w:eastAsia="Arial" w:hAnsi="Arial"/>
                <w:sz w:val="18"/>
                <w:szCs w:val="18"/>
                <w:color w:val="auto"/>
              </w:rPr>
              <w:t>$  10,900</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   7,427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9,585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$ 500,000</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$ 537,366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6.25%</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6.25%</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The debt balances and weighted-average interest rate are based on the aggregate amount of debt outstanding as of December 31, 2021.</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and 2020, we did not have any financial instruments with fair values materially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58" w:lineRule="exact"/>
        <w:rPr>
          <w:sz w:val="20"/>
          <w:szCs w:val="20"/>
          <w:color w:val="auto"/>
        </w:rPr>
      </w:pPr>
    </w:p>
    <w:p>
      <w:pPr>
        <w:ind w:right="1040"/>
        <w:spacing w:after="0" w:line="407"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2021, that have materially affected, or are reasonably likely to materially affect, our internal control over financial reporting.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assessed the effectiveness of our internal control over financial reporting as of December 31, 2021. In making this assessment, it used the criteria set forth by the Committee of Sponsoring Organizations of the Treadway Commission in Internal Control - Integrated Framework (2013 Framework). Based on our assessment, we believe that, as of December 31, 2021, our internal control over financial reporting is effective based on those criteria.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audited LSB Industries, Inc.’s internal control over financial reporting as of December 31, 2021, based on criteria established in Internal Control —Integrated Framework issued by the Committee of Sponsoring Organizations of the Treadway Commission (2013 framework) (the COSO criteria). In our opinion, LSB Industries, Inc. (the Company) maintained, in all material respects, effective internal control over financial reporting as of December 31, 2021, based on the COSO criteria.</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February 24, 2022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2960"/>
        <w:spacing w:after="0" w:line="407" w:lineRule="auto"/>
        <w:rPr>
          <w:sz w:val="20"/>
          <w:szCs w:val="20"/>
          <w:color w:val="auto"/>
        </w:rPr>
      </w:pPr>
      <w:r>
        <w:rPr>
          <w:rFonts w:ascii="Arial" w:cs="Arial" w:eastAsia="Arial" w:hAnsi="Arial"/>
          <w:sz w:val="18"/>
          <w:szCs w:val="18"/>
          <w:b w:val="1"/>
          <w:bCs w:val="1"/>
          <w:u w:val="single" w:color="auto"/>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10, Item 11, Item 12, Item 13 and Item 14 are incorporated by reference to our definitive proxy statement which we intend to file with the SEC on or before April 29, 2022.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20" w:type="dxa"/>
            <w:vAlign w:val="bottom"/>
            <w:gridSpan w:val="6"/>
          </w:tcPr>
          <w:p>
            <w:pPr>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0680" w:type="dxa"/>
            <w:vAlign w:val="bottom"/>
            <w:gridSpan w:val="1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04"/>
        </w:trPr>
        <w:tc>
          <w:tcPr>
            <w:tcW w:w="2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(a) (1) Financial Statements</w:t>
            </w:r>
          </w:p>
        </w:tc>
        <w:tc>
          <w:tcPr>
            <w:tcW w:w="3360" w:type="dxa"/>
            <w:vAlign w:val="bottom"/>
            <w:tcBorders>
              <w:top w:val="single" w:sz="8" w:color="auto"/>
            </w:tcBorders>
            <w:gridSpan w:val="7"/>
          </w:tcPr>
          <w:p>
            <w:pPr>
              <w:spacing w:after="0"/>
              <w:rPr>
                <w:sz w:val="24"/>
                <w:szCs w:val="24"/>
                <w:color w:val="auto"/>
              </w:rPr>
            </w:pPr>
          </w:p>
        </w:tc>
        <w:tc>
          <w:tcPr>
            <w:tcW w:w="51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680" w:type="dxa"/>
            <w:vAlign w:val="bottom"/>
            <w:gridSpan w:val="13"/>
          </w:tcPr>
          <w:p>
            <w:pPr>
              <w:spacing w:after="0"/>
              <w:rPr>
                <w:sz w:val="20"/>
                <w:szCs w:val="20"/>
                <w:color w:val="auto"/>
              </w:rPr>
            </w:pPr>
            <w:r>
              <w:rPr>
                <w:rFonts w:ascii="Arial" w:cs="Arial" w:eastAsia="Arial" w:hAnsi="Arial"/>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90"/>
        </w:trPr>
        <w:tc>
          <w:tcPr>
            <w:tcW w:w="10680" w:type="dxa"/>
            <w:vAlign w:val="bottom"/>
            <w:gridSpan w:val="1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44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 at December 31, 2021 and 2020</w:t>
              </w:r>
            </w:hyperlink>
          </w:p>
        </w:tc>
        <w:tc>
          <w:tcPr>
            <w:tcW w:w="624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318"/>
        </w:trPr>
        <w:tc>
          <w:tcPr>
            <w:tcW w:w="10680" w:type="dxa"/>
            <w:vAlign w:val="bottom"/>
            <w:gridSpan w:val="1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 for each of the three years in the period ended December 31, 2021</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8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Stockholders' Equity for each of the three years in the period ended December 31, 2021</w:t>
              </w:r>
            </w:hyperlink>
          </w:p>
        </w:tc>
        <w:tc>
          <w:tcPr>
            <w:tcW w:w="2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318"/>
        </w:trPr>
        <w:tc>
          <w:tcPr>
            <w:tcW w:w="10680" w:type="dxa"/>
            <w:vAlign w:val="bottom"/>
            <w:gridSpan w:val="1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 for each of the three years in the period ended December 31, 2021</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318"/>
        </w:trPr>
        <w:tc>
          <w:tcPr>
            <w:tcW w:w="3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4520" w:type="dxa"/>
            <w:vAlign w:val="bottom"/>
            <w:tcBorders>
              <w:top w:val="single" w:sz="8" w:color="0000EE"/>
            </w:tcBorders>
            <w:gridSpan w:val="7"/>
          </w:tcPr>
          <w:p>
            <w:pPr>
              <w:spacing w:after="0"/>
              <w:rPr>
                <w:sz w:val="24"/>
                <w:szCs w:val="24"/>
                <w:color w:val="auto"/>
              </w:rPr>
            </w:pPr>
          </w:p>
        </w:tc>
        <w:tc>
          <w:tcPr>
            <w:tcW w:w="30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F-10</w:t>
            </w:r>
          </w:p>
        </w:tc>
      </w:tr>
      <w:tr>
        <w:trPr>
          <w:trHeight w:val="317"/>
        </w:trPr>
        <w:tc>
          <w:tcPr>
            <w:tcW w:w="27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Quarterly Financial Data (Unaudited)</w:t>
              </w:r>
            </w:hyperlink>
          </w:p>
        </w:tc>
        <w:tc>
          <w:tcPr>
            <w:tcW w:w="796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F-37</w:t>
            </w:r>
          </w:p>
        </w:tc>
      </w:tr>
      <w:tr>
        <w:trPr>
          <w:trHeight w:val="682"/>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(a) (2) Financial Statement Schedule</w:t>
            </w:r>
          </w:p>
        </w:tc>
        <w:tc>
          <w:tcPr>
            <w:tcW w:w="786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344"/>
        </w:trPr>
        <w:tc>
          <w:tcPr>
            <w:tcW w:w="10680" w:type="dxa"/>
            <w:vAlign w:val="bottom"/>
            <w:gridSpan w:val="13"/>
          </w:tcPr>
          <w:p>
            <w:pPr>
              <w:spacing w:after="0"/>
              <w:rPr>
                <w:sz w:val="20"/>
                <w:szCs w:val="20"/>
                <w:color w:val="auto"/>
              </w:rPr>
            </w:pPr>
            <w:r>
              <w:rPr>
                <w:rFonts w:ascii="Arial" w:cs="Arial" w:eastAsia="Arial" w:hAnsi="Arial"/>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391"/>
        </w:trPr>
        <w:tc>
          <w:tcPr>
            <w:tcW w:w="10680" w:type="dxa"/>
            <w:vAlign w:val="bottom"/>
            <w:gridSpan w:val="1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II - Valuation and Qualifying Accounts</w:t>
              </w:r>
            </w:hyperlink>
          </w:p>
        </w:tc>
        <w:tc>
          <w:tcPr>
            <w:tcW w:w="560" w:type="dxa"/>
            <w:vAlign w:val="bottom"/>
          </w:tcPr>
          <w:p>
            <w:pPr>
              <w:ind w:left="160"/>
              <w:spacing w:after="0"/>
              <w:rPr>
                <w:sz w:val="20"/>
                <w:szCs w:val="20"/>
                <w:color w:val="auto"/>
              </w:rPr>
            </w:pPr>
            <w:r>
              <w:rPr>
                <w:rFonts w:ascii="Arial" w:cs="Arial" w:eastAsia="Arial" w:hAnsi="Arial"/>
                <w:sz w:val="18"/>
                <w:szCs w:val="18"/>
                <w:color w:val="auto"/>
              </w:rPr>
              <w:t>F-39</w:t>
            </w:r>
          </w:p>
        </w:tc>
      </w:tr>
      <w:tr>
        <w:trPr>
          <w:trHeight w:val="20"/>
        </w:trPr>
        <w:tc>
          <w:tcPr>
            <w:tcW w:w="2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(a)(3)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tcPr>
          <w:p>
            <w:pPr>
              <w:spacing w:after="0"/>
              <w:rPr>
                <w:sz w:val="17"/>
                <w:szCs w:val="17"/>
                <w:color w:val="auto"/>
              </w:rPr>
            </w:pPr>
          </w:p>
        </w:tc>
        <w:tc>
          <w:tcPr>
            <w:tcW w:w="42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Incorporated by Reference to the Following</w:t>
            </w:r>
          </w:p>
        </w:tc>
      </w:tr>
      <w:tr>
        <w:trPr>
          <w:trHeight w:val="210"/>
        </w:trPr>
        <w:tc>
          <w:tcPr>
            <w:tcW w:w="1420" w:type="dxa"/>
            <w:vAlign w:val="bottom"/>
            <w:gridSpan w:val="2"/>
          </w:tcPr>
          <w:p>
            <w:pPr>
              <w:ind w:left="100"/>
              <w:spacing w:after="0"/>
              <w:rPr>
                <w:sz w:val="20"/>
                <w:szCs w:val="20"/>
                <w:color w:val="auto"/>
              </w:rPr>
            </w:pPr>
            <w:r>
              <w:rPr>
                <w:rFonts w:ascii="Arial" w:cs="Arial" w:eastAsia="Arial" w:hAnsi="Arial"/>
                <w:sz w:val="18"/>
                <w:szCs w:val="18"/>
                <w:color w:val="auto"/>
              </w:rPr>
              <w:t>3(i).1</w:t>
            </w:r>
          </w:p>
        </w:tc>
        <w:tc>
          <w:tcPr>
            <w:tcW w:w="5520" w:type="dxa"/>
            <w:vAlign w:val="bottom"/>
            <w:gridSpan w:val="15"/>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Restated Certificate of Incorporation of LSB Industries, Inc., dated January</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3(i).1 to the Company’s Form 10-K filed on</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21, 1977, as amended August 27, 1987</w:t>
              </w:r>
            </w:hyperlink>
          </w:p>
        </w:tc>
        <w:tc>
          <w:tcPr>
            <w:tcW w:w="270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February 28, 2013</w:t>
            </w:r>
          </w:p>
        </w:tc>
      </w:tr>
      <w:tr>
        <w:trPr>
          <w:trHeight w:val="237"/>
        </w:trPr>
        <w:tc>
          <w:tcPr>
            <w:tcW w:w="1420" w:type="dxa"/>
            <w:vAlign w:val="bottom"/>
            <w:gridSpan w:val="2"/>
          </w:tcPr>
          <w:p>
            <w:pPr>
              <w:ind w:left="100"/>
              <w:spacing w:after="0"/>
              <w:rPr>
                <w:sz w:val="20"/>
                <w:szCs w:val="20"/>
                <w:color w:val="auto"/>
              </w:rPr>
            </w:pPr>
            <w:r>
              <w:rPr>
                <w:rFonts w:ascii="Arial" w:cs="Arial" w:eastAsia="Arial" w:hAnsi="Arial"/>
                <w:sz w:val="18"/>
                <w:szCs w:val="18"/>
                <w:color w:val="auto"/>
              </w:rPr>
              <w:t>3(i).2</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7"/>
              </w:rPr>
            </w:pPr>
            <w:hyperlink r:id="rId65">
              <w:r>
                <w:rPr>
                  <w:rFonts w:ascii="Arial" w:cs="Arial" w:eastAsia="Arial" w:hAnsi="Arial"/>
                  <w:sz w:val="18"/>
                  <w:szCs w:val="18"/>
                  <w:color w:val="0000EE"/>
                  <w:w w:val="97"/>
                </w:rPr>
                <w:t>Certificate of Amendment to the Restated Certificate of Incorporation of</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1"/>
              </w:rPr>
              <w:t>Exhibit 3(i).2 to the Company’s Registration Statement on</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LSB Industries, dated September 23, 2021</w:t>
              </w:r>
            </w:hyperlink>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From S-3 filed on November 16, 2021</w:t>
            </w:r>
          </w:p>
        </w:tc>
      </w:tr>
      <w:tr>
        <w:trPr>
          <w:trHeight w:val="20"/>
        </w:trPr>
        <w:tc>
          <w:tcPr>
            <w:tcW w:w="1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gridSpan w:val="2"/>
          </w:tcPr>
          <w:p>
            <w:pPr>
              <w:ind w:left="100"/>
              <w:spacing w:after="0"/>
              <w:rPr>
                <w:sz w:val="20"/>
                <w:szCs w:val="20"/>
                <w:color w:val="auto"/>
              </w:rPr>
            </w:pPr>
            <w:r>
              <w:rPr>
                <w:rFonts w:ascii="Arial" w:cs="Arial" w:eastAsia="Arial" w:hAnsi="Arial"/>
                <w:sz w:val="18"/>
                <w:szCs w:val="18"/>
                <w:color w:val="auto"/>
              </w:rPr>
              <w:t>3(ii).1</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Second Amended and Restated Bylaws of LSB Industries, Inc., dated July</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3.1 to the Company’s Form 8-K filed July 19,</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66">
              <w:r>
                <w:rPr>
                  <w:rFonts w:ascii="Arial" w:cs="Arial" w:eastAsia="Arial" w:hAnsi="Arial"/>
                  <w:sz w:val="18"/>
                  <w:szCs w:val="18"/>
                  <w:color w:val="0000EE"/>
                  <w:w w:val="85"/>
                </w:rPr>
                <w:t>19, 2021</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2021</w:t>
            </w:r>
          </w:p>
        </w:tc>
      </w:tr>
      <w:tr>
        <w:trPr>
          <w:trHeight w:val="263"/>
        </w:trPr>
        <w:tc>
          <w:tcPr>
            <w:tcW w:w="1420" w:type="dxa"/>
            <w:vAlign w:val="bottom"/>
            <w:gridSpan w:val="2"/>
          </w:tcPr>
          <w:p>
            <w:pPr>
              <w:ind w:left="180"/>
              <w:spacing w:after="0"/>
              <w:rPr>
                <w:sz w:val="20"/>
                <w:szCs w:val="20"/>
                <w:color w:val="auto"/>
              </w:rPr>
            </w:pPr>
            <w:r>
              <w:rPr>
                <w:rFonts w:ascii="Arial" w:cs="Arial" w:eastAsia="Arial" w:hAnsi="Arial"/>
                <w:sz w:val="18"/>
                <w:szCs w:val="18"/>
                <w:color w:val="auto"/>
              </w:rPr>
              <w:t>4.1(P)</w:t>
            </w:r>
          </w:p>
        </w:tc>
        <w:tc>
          <w:tcPr>
            <w:tcW w:w="5520" w:type="dxa"/>
            <w:vAlign w:val="bottom"/>
            <w:gridSpan w:val="15"/>
          </w:tcPr>
          <w:p>
            <w:pPr>
              <w:spacing w:after="0"/>
              <w:rPr>
                <w:sz w:val="20"/>
                <w:szCs w:val="20"/>
                <w:color w:val="auto"/>
              </w:rPr>
            </w:pPr>
            <w:r>
              <w:rPr>
                <w:rFonts w:ascii="Arial" w:cs="Arial" w:eastAsia="Arial" w:hAnsi="Arial"/>
                <w:sz w:val="18"/>
                <w:szCs w:val="18"/>
                <w:color w:val="auto"/>
              </w:rPr>
              <w:t>Specimen Certificate for the Company’s Series B Preferred Stock</w:t>
            </w: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2"/>
              </w:rPr>
              <w:t>Exhibit 4.27 to the Company’s Registration Statement on</w:t>
            </w:r>
          </w:p>
        </w:tc>
      </w:tr>
      <w:tr>
        <w:trPr>
          <w:trHeight w:val="230"/>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Form S-3 No. 33-9848</w:t>
            </w: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5520" w:type="dxa"/>
            <w:vAlign w:val="bottom"/>
            <w:gridSpan w:val="15"/>
          </w:tcPr>
          <w:p>
            <w:pPr>
              <w:spacing w:after="0"/>
              <w:rPr>
                <w:rFonts w:ascii="Arial" w:cs="Arial" w:eastAsia="Arial" w:hAnsi="Arial"/>
                <w:sz w:val="18"/>
                <w:szCs w:val="18"/>
                <w:color w:val="0000EE"/>
                <w:w w:val="97"/>
              </w:rPr>
            </w:pPr>
            <w:hyperlink r:id="rId67">
              <w:r>
                <w:rPr>
                  <w:rFonts w:ascii="Arial" w:cs="Arial" w:eastAsia="Arial" w:hAnsi="Arial"/>
                  <w:sz w:val="18"/>
                  <w:szCs w:val="18"/>
                  <w:color w:val="0000EE"/>
                  <w:w w:val="97"/>
                </w:rPr>
                <w:t>Specimen  Certificate  for  the  Company’s  Series  D  6%  Cumulative,</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4.3 to the Company’s Form 10-K filed March 3,</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Convertible Class C Preferred Stock</w:t>
              </w:r>
            </w:hyperlink>
          </w:p>
        </w:tc>
        <w:tc>
          <w:tcPr>
            <w:tcW w:w="28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2011</w:t>
            </w:r>
          </w:p>
        </w:tc>
      </w:tr>
      <w:tr>
        <w:trPr>
          <w:trHeight w:val="237"/>
        </w:trPr>
        <w:tc>
          <w:tcPr>
            <w:tcW w:w="1300" w:type="dxa"/>
            <w:vAlign w:val="bottom"/>
          </w:tcPr>
          <w:p>
            <w:pPr>
              <w:ind w:left="1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5520" w:type="dxa"/>
            <w:vAlign w:val="bottom"/>
            <w:gridSpan w:val="15"/>
          </w:tcPr>
          <w:p>
            <w:pPr>
              <w:spacing w:after="0"/>
              <w:rPr>
                <w:rFonts w:ascii="Arial" w:cs="Arial" w:eastAsia="Arial" w:hAnsi="Arial"/>
                <w:sz w:val="18"/>
                <w:szCs w:val="18"/>
                <w:color w:val="0000EE"/>
              </w:rPr>
            </w:pPr>
            <w:hyperlink r:id="rId68">
              <w:r>
                <w:rPr>
                  <w:rFonts w:ascii="Arial" w:cs="Arial" w:eastAsia="Arial" w:hAnsi="Arial"/>
                  <w:sz w:val="18"/>
                  <w:szCs w:val="18"/>
                  <w:color w:val="0000EE"/>
                </w:rPr>
                <w:t>Specimen Certificate for the Company’s Common Stock</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4"/>
              </w:rPr>
              <w:t>Exhibit 4.3 to the Company’s Registration Statement on</w:t>
            </w:r>
          </w:p>
        </w:tc>
      </w:tr>
      <w:tr>
        <w:trPr>
          <w:trHeight w:val="237"/>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Form S-3 ASR filed November 16, 2012</w:t>
            </w: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95"/>
              </w:rPr>
            </w:pPr>
            <w:hyperlink r:id="rId69">
              <w:r>
                <w:rPr>
                  <w:rFonts w:ascii="Arial" w:cs="Arial" w:eastAsia="Arial" w:hAnsi="Arial"/>
                  <w:sz w:val="18"/>
                  <w:szCs w:val="18"/>
                  <w:color w:val="0000EE"/>
                  <w:w w:val="95"/>
                </w:rPr>
                <w:t>Certificate of Designations of Series E Cumulative Redeemable Class C</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4.1 to the Company’s Form 8-K filed December</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Preferred Stock of LSB Industries, Inc., dated as of December 4, 2015</w:t>
              </w:r>
            </w:hyperlink>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8, 2015</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300" w:type="dxa"/>
            <w:vAlign w:val="bottom"/>
          </w:tcPr>
          <w:p>
            <w:pPr>
              <w:ind w:left="1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Certificate of Designations of Series E-1 Cumulative Redeemable Class C</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4.1 to the Company’s Form 8-K filed October 19,</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Preferred Stock of LSB Industries, Inc., dated as of October 18, 2018</w:t>
              </w:r>
            </w:hyperlink>
          </w:p>
        </w:tc>
        <w:tc>
          <w:tcPr>
            <w:tcW w:w="480" w:type="dxa"/>
            <w:vAlign w:val="bottom"/>
            <w:gridSpan w:val="4"/>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2018</w:t>
            </w:r>
          </w:p>
        </w:tc>
      </w:tr>
      <w:tr>
        <w:trPr>
          <w:trHeight w:val="291"/>
        </w:trPr>
        <w:tc>
          <w:tcPr>
            <w:tcW w:w="1300" w:type="dxa"/>
            <w:vAlign w:val="bottom"/>
          </w:tcPr>
          <w:p>
            <w:pPr>
              <w:ind w:left="1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520" w:type="dxa"/>
            <w:vAlign w:val="bottom"/>
            <w:gridSpan w:val="15"/>
          </w:tcPr>
          <w:p>
            <w:pPr>
              <w:spacing w:after="0"/>
              <w:rPr>
                <w:rFonts w:ascii="Arial" w:cs="Arial" w:eastAsia="Arial" w:hAnsi="Arial"/>
                <w:sz w:val="18"/>
                <w:szCs w:val="18"/>
                <w:color w:val="0000EE"/>
                <w:w w:val="97"/>
              </w:rPr>
            </w:pPr>
            <w:hyperlink r:id="rId71">
              <w:r>
                <w:rPr>
                  <w:rFonts w:ascii="Arial" w:cs="Arial" w:eastAsia="Arial" w:hAnsi="Arial"/>
                  <w:sz w:val="18"/>
                  <w:szCs w:val="18"/>
                  <w:color w:val="0000EE"/>
                  <w:w w:val="97"/>
                </w:rPr>
                <w:t>Certificate of Correction to Certificate of Designations of the Series E-1</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4.1 to the Company’s Form 8-K filed November</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71">
              <w:r>
                <w:rPr>
                  <w:rFonts w:ascii="Arial" w:cs="Arial" w:eastAsia="Arial" w:hAnsi="Arial"/>
                  <w:sz w:val="18"/>
                  <w:szCs w:val="18"/>
                  <w:color w:val="0000EE"/>
                  <w:w w:val="95"/>
                </w:rPr>
                <w:t>Cumulative Redeemable Class C Preferred Stock of LSB Industries, Inc.</w:t>
              </w:r>
            </w:hyperlink>
          </w:p>
        </w:tc>
        <w:tc>
          <w:tcPr>
            <w:tcW w:w="20" w:type="dxa"/>
            <w:vAlign w:val="bottom"/>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2, 2018</w:t>
            </w:r>
          </w:p>
        </w:tc>
      </w:tr>
      <w:tr>
        <w:trPr>
          <w:trHeight w:val="20"/>
        </w:trPr>
        <w:tc>
          <w:tcPr>
            <w:tcW w:w="142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37"/>
        </w:trPr>
        <w:tc>
          <w:tcPr>
            <w:tcW w:w="1420" w:type="dxa"/>
            <w:vAlign w:val="bottom"/>
            <w:gridSpan w:val="2"/>
          </w:tcPr>
          <w:p>
            <w:pPr>
              <w:ind w:left="180"/>
              <w:spacing w:after="0"/>
              <w:rPr>
                <w:sz w:val="20"/>
                <w:szCs w:val="20"/>
                <w:color w:val="auto"/>
              </w:rPr>
            </w:pPr>
            <w:r>
              <w:rPr>
                <w:rFonts w:ascii="Arial" w:cs="Arial" w:eastAsia="Arial" w:hAnsi="Arial"/>
                <w:sz w:val="18"/>
                <w:szCs w:val="18"/>
                <w:color w:val="auto"/>
              </w:rPr>
              <w:t>4.7(a)</w:t>
            </w:r>
          </w:p>
        </w:tc>
        <w:tc>
          <w:tcPr>
            <w:tcW w:w="5520" w:type="dxa"/>
            <w:vAlign w:val="bottom"/>
            <w:gridSpan w:val="15"/>
          </w:tcPr>
          <w:p>
            <w:pPr>
              <w:spacing w:after="0"/>
              <w:rPr>
                <w:rFonts w:ascii="Arial" w:cs="Arial" w:eastAsia="Arial" w:hAnsi="Arial"/>
                <w:sz w:val="18"/>
                <w:szCs w:val="18"/>
                <w:color w:val="0000EE"/>
                <w:w w:val="95"/>
              </w:rPr>
            </w:pPr>
            <w:hyperlink w:anchor="page93">
              <w:r>
                <w:rPr>
                  <w:rFonts w:ascii="Arial" w:cs="Arial" w:eastAsia="Arial" w:hAnsi="Arial"/>
                  <w:sz w:val="18"/>
                  <w:szCs w:val="18"/>
                  <w:color w:val="0000EE"/>
                  <w:w w:val="95"/>
                </w:rPr>
                <w:t>Certificate of Amendment to Certificate of Designations of the Series E-1</w:t>
              </w:r>
            </w:hyperlink>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w:anchor="page93">
              <w:r>
                <w:rPr>
                  <w:rFonts w:ascii="Arial" w:cs="Arial" w:eastAsia="Arial" w:hAnsi="Arial"/>
                  <w:sz w:val="18"/>
                  <w:szCs w:val="18"/>
                  <w:color w:val="0000EE"/>
                  <w:w w:val="95"/>
                </w:rPr>
                <w:t>Cumulative Redeemable Class C Preferred Stock of LSB Industries, Inc.</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300" w:type="dxa"/>
            <w:vAlign w:val="bottom"/>
          </w:tcPr>
          <w:p>
            <w:pPr>
              <w:ind w:left="1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96"/>
              </w:rPr>
            </w:pPr>
            <w:hyperlink r:id="rId72">
              <w:r>
                <w:rPr>
                  <w:rFonts w:ascii="Arial" w:cs="Arial" w:eastAsia="Arial" w:hAnsi="Arial"/>
                  <w:sz w:val="18"/>
                  <w:szCs w:val="18"/>
                  <w:color w:val="0000EE"/>
                  <w:w w:val="96"/>
                </w:rPr>
                <w:t>Certificate of Designations of Series F Cumulative Redeemable Class C</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4.2  to  the  Company’s  Form  8-K  filed</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w w:val="98"/>
              </w:rPr>
            </w:pPr>
            <w:hyperlink r:id="rId72">
              <w:r>
                <w:rPr>
                  <w:rFonts w:ascii="Arial" w:cs="Arial" w:eastAsia="Arial" w:hAnsi="Arial"/>
                  <w:sz w:val="18"/>
                  <w:szCs w:val="18"/>
                  <w:color w:val="0000EE"/>
                  <w:w w:val="98"/>
                </w:rPr>
                <w:t>Preferred Stock of LSB Industries, Inc., dated as of December 4, 2015</w:t>
              </w:r>
            </w:hyperlink>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December 8, 2015</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300" w:type="dxa"/>
            <w:vAlign w:val="bottom"/>
          </w:tcPr>
          <w:p>
            <w:pPr>
              <w:ind w:left="1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5520" w:type="dxa"/>
            <w:vAlign w:val="bottom"/>
            <w:gridSpan w:val="15"/>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Certificate of Designations of Series F-1 Redeemable Class C Preferred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4.2 to the Company’s Form 8-K filed October 19,</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Stock of LSB Industries, Inc., dated as of October 18, 2018</w:t>
              </w:r>
            </w:hyperlink>
          </w:p>
        </w:tc>
        <w:tc>
          <w:tcPr>
            <w:tcW w:w="12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2018</w:t>
            </w:r>
          </w:p>
        </w:tc>
      </w:tr>
      <w:tr>
        <w:trPr>
          <w:trHeight w:val="236"/>
        </w:trPr>
        <w:tc>
          <w:tcPr>
            <w:tcW w:w="1300" w:type="dxa"/>
            <w:vAlign w:val="bottom"/>
          </w:tcPr>
          <w:p>
            <w:pPr>
              <w:ind w:left="1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5520" w:type="dxa"/>
            <w:vAlign w:val="bottom"/>
            <w:gridSpan w:val="15"/>
          </w:tcPr>
          <w:p>
            <w:pPr>
              <w:spacing w:after="0"/>
              <w:rPr>
                <w:rFonts w:ascii="Arial" w:cs="Arial" w:eastAsia="Arial" w:hAnsi="Arial"/>
                <w:sz w:val="18"/>
                <w:szCs w:val="18"/>
                <w:color w:val="0000EE"/>
                <w:w w:val="97"/>
              </w:rPr>
            </w:pPr>
            <w:hyperlink r:id="rId74">
              <w:r>
                <w:rPr>
                  <w:rFonts w:ascii="Arial" w:cs="Arial" w:eastAsia="Arial" w:hAnsi="Arial"/>
                  <w:sz w:val="18"/>
                  <w:szCs w:val="18"/>
                  <w:color w:val="0000EE"/>
                  <w:w w:val="97"/>
                </w:rPr>
                <w:t>Certificate of Designations of Series G Class C Preferred Stock of LSB</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3.1 to the Company’s Form 8-K filed July 6, 2020</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Industries, Inc., as filed with the Secretary of State of the State of Delaware</w:t>
              </w:r>
            </w:hyperlink>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on July 6, 2020</w:t>
              </w:r>
            </w:hyperlink>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300" w:type="dxa"/>
            <w:vAlign w:val="bottom"/>
          </w:tcPr>
          <w:p>
            <w:pPr>
              <w:ind w:left="18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5520" w:type="dxa"/>
            <w:vAlign w:val="bottom"/>
            <w:gridSpan w:val="15"/>
          </w:tcPr>
          <w:p>
            <w:pPr>
              <w:spacing w:after="0"/>
              <w:rPr>
                <w:rFonts w:ascii="Arial" w:cs="Arial" w:eastAsia="Arial" w:hAnsi="Arial"/>
                <w:sz w:val="18"/>
                <w:szCs w:val="18"/>
                <w:color w:val="0000EE"/>
                <w:w w:val="97"/>
              </w:rPr>
            </w:pPr>
            <w:hyperlink r:id="rId75">
              <w:r>
                <w:rPr>
                  <w:rFonts w:ascii="Arial" w:cs="Arial" w:eastAsia="Arial" w:hAnsi="Arial"/>
                  <w:sz w:val="18"/>
                  <w:szCs w:val="18"/>
                  <w:color w:val="0000EE"/>
                  <w:w w:val="97"/>
                </w:rPr>
                <w:t>Section 382 Rights Agreement, dated as of July 6, 2020, between LSB</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4.1 to the Company’s Form 8-K filed July 6, 2020</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75">
              <w:r>
                <w:rPr>
                  <w:rFonts w:ascii="Arial" w:cs="Arial" w:eastAsia="Arial" w:hAnsi="Arial"/>
                  <w:sz w:val="18"/>
                  <w:szCs w:val="18"/>
                  <w:color w:val="0000EE"/>
                  <w:w w:val="89"/>
                </w:rPr>
                <w:t>Industries, Inc. and Computershare Trust Company, N.A., as rights agent</w:t>
              </w:r>
            </w:hyperlink>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36"/>
        </w:trPr>
        <w:tc>
          <w:tcPr>
            <w:tcW w:w="1300" w:type="dxa"/>
            <w:vAlign w:val="bottom"/>
          </w:tcPr>
          <w:p>
            <w:pPr>
              <w:ind w:left="18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Indenture, dated August 7, 2013, among LSB Industries, Inc., the guarantors</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4.1 to the Company’s Form 8-K filed August 14,</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named therein and UMB Bank, n.a., as trustee</w:t>
              </w:r>
            </w:hyperlink>
          </w:p>
        </w:tc>
        <w:tc>
          <w:tcPr>
            <w:tcW w:w="2200" w:type="dxa"/>
            <w:vAlign w:val="bottom"/>
            <w:gridSpan w:val="7"/>
          </w:tcPr>
          <w:p>
            <w:pPr>
              <w:spacing w:after="0"/>
              <w:rPr>
                <w:sz w:val="17"/>
                <w:szCs w:val="17"/>
                <w:color w:val="auto"/>
              </w:rPr>
            </w:pPr>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2013</w:t>
            </w:r>
          </w:p>
        </w:tc>
      </w:tr>
      <w:tr>
        <w:trPr>
          <w:trHeight w:val="236"/>
        </w:trPr>
        <w:tc>
          <w:tcPr>
            <w:tcW w:w="1300" w:type="dxa"/>
            <w:vAlign w:val="bottom"/>
          </w:tcPr>
          <w:p>
            <w:pPr>
              <w:ind w:left="18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First Supplemental Indenture, dated as of September 7, 2016, by and among</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4.1 to the Company’s Form 8-K filed October 4,</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LSB Industries, Inc., the guarantors party thereto and UMB Bank, n.a., as</w:t>
              </w:r>
            </w:hyperlink>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77">
              <w:r>
                <w:rPr>
                  <w:rFonts w:ascii="Arial" w:cs="Arial" w:eastAsia="Arial" w:hAnsi="Arial"/>
                  <w:sz w:val="18"/>
                  <w:szCs w:val="18"/>
                  <w:color w:val="0000EE"/>
                  <w:w w:val="87"/>
                </w:rPr>
                <w:t>trustee and notes collateral agent</w:t>
              </w:r>
            </w:hyperlink>
          </w:p>
        </w:tc>
        <w:tc>
          <w:tcPr>
            <w:tcW w:w="31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37"/>
        </w:trPr>
        <w:tc>
          <w:tcPr>
            <w:tcW w:w="1300" w:type="dxa"/>
            <w:vAlign w:val="bottom"/>
          </w:tcPr>
          <w:p>
            <w:pPr>
              <w:ind w:left="18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Intercreditor Agreement, dated August 7, 2013, by and among Wells Fargo</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99.1 to the Company’s Form 8-K filed August 14,</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Capital Finance, Inc., as agent and UMB Bank, n.a., as collateral agent, and</w:t>
              </w:r>
            </w:hyperlink>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2013</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460" w:type="dxa"/>
            <w:vAlign w:val="bottom"/>
            <w:tcBorders>
              <w:left w:val="single" w:sz="8" w:color="0000EE"/>
            </w:tcBorders>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acknowledged and agreed to by LSB Industries, Inc. and the other grantors</w:t>
              </w:r>
            </w:hyperlink>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78">
              <w:r>
                <w:rPr>
                  <w:rFonts w:ascii="Arial" w:cs="Arial" w:eastAsia="Arial" w:hAnsi="Arial"/>
                  <w:sz w:val="18"/>
                  <w:szCs w:val="18"/>
                  <w:color w:val="0000EE"/>
                  <w:w w:val="86"/>
                </w:rPr>
                <w:t>named therein</w:t>
              </w:r>
            </w:hyperlink>
          </w:p>
        </w:tc>
        <w:tc>
          <w:tcPr>
            <w:tcW w:w="44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36"/>
        </w:trPr>
        <w:tc>
          <w:tcPr>
            <w:tcW w:w="1300" w:type="dxa"/>
            <w:vAlign w:val="bottom"/>
          </w:tcPr>
          <w:p>
            <w:pPr>
              <w:ind w:left="18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5520" w:type="dxa"/>
            <w:vAlign w:val="bottom"/>
            <w:gridSpan w:val="15"/>
          </w:tcPr>
          <w:p>
            <w:pPr>
              <w:spacing w:after="0"/>
              <w:rPr>
                <w:rFonts w:ascii="Arial" w:cs="Arial" w:eastAsia="Arial" w:hAnsi="Arial"/>
                <w:sz w:val="18"/>
                <w:szCs w:val="18"/>
                <w:color w:val="0000EE"/>
                <w:w w:val="99"/>
              </w:rPr>
            </w:pPr>
            <w:hyperlink r:id="rId79">
              <w:r>
                <w:rPr>
                  <w:rFonts w:ascii="Arial" w:cs="Arial" w:eastAsia="Arial" w:hAnsi="Arial"/>
                  <w:sz w:val="18"/>
                  <w:szCs w:val="18"/>
                  <w:color w:val="0000EE"/>
                  <w:w w:val="99"/>
                </w:rPr>
                <w:t>Indenture, dated as of April 25, 2018, among LSB Industries, Inc., the</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9"/>
              </w:rPr>
              <w:t>Exhibit 4.1 to the Company’s Form 8-K filed April 25,</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7"/>
            <w:shd w:val="clear" w:color="auto" w:fill="0000EE"/>
          </w:tcPr>
          <w:p>
            <w:pPr>
              <w:spacing w:after="0" w:line="20" w:lineRule="exact"/>
              <w:rPr>
                <w:sz w:val="1"/>
                <w:szCs w:val="1"/>
                <w:color w:val="auto"/>
              </w:rPr>
            </w:pPr>
          </w:p>
        </w:tc>
        <w:tc>
          <w:tcPr>
            <w:tcW w:w="2460" w:type="dxa"/>
            <w:vAlign w:val="bottom"/>
            <w:tcBorders>
              <w:left w:val="single" w:sz="8" w:color="0000EE"/>
            </w:tcBorders>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79">
              <w:r>
                <w:rPr>
                  <w:rFonts w:ascii="Arial" w:cs="Arial" w:eastAsia="Arial" w:hAnsi="Arial"/>
                  <w:sz w:val="18"/>
                  <w:szCs w:val="18"/>
                  <w:color w:val="0000EE"/>
                  <w:w w:val="97"/>
                </w:rPr>
                <w:t>subsidiary  guarantors  party  thereto  and  Wilmington  Trust,  National</w:t>
              </w:r>
            </w:hyperlink>
          </w:p>
        </w:tc>
        <w:tc>
          <w:tcPr>
            <w:tcW w:w="4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5"/>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Association, as trustee and collateral agent.</w:t>
              </w:r>
            </w:hyperlink>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553" w:right="339" w:bottom="1440" w:gutter="0" w:footer="0" w:header="0"/>
        </w:sectPr>
      </w:pPr>
    </w:p>
    <w:p>
      <w:pPr>
        <w:ind w:left="180"/>
        <w:spacing w:after="0"/>
        <w:rPr>
          <w:sz w:val="20"/>
          <w:szCs w:val="20"/>
          <w:color w:val="auto"/>
        </w:rPr>
      </w:pPr>
      <w:r>
        <w:rPr>
          <w:rFonts w:ascii="Arial" w:cs="Arial" w:eastAsia="Arial" w:hAnsi="Arial"/>
          <w:sz w:val="18"/>
          <w:szCs w:val="18"/>
          <w:color w:val="auto"/>
        </w:rPr>
        <w:t>4.16</w:t>
      </w:r>
    </w:p>
    <w:p>
      <w:pPr>
        <w:spacing w:after="0" w:line="23" w:lineRule="exact"/>
        <w:rPr>
          <w:sz w:val="20"/>
          <w:szCs w:val="20"/>
          <w:color w:val="auto"/>
        </w:rPr>
      </w:pPr>
    </w:p>
    <w:p>
      <w:pPr>
        <w:jc w:val="right"/>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Form of 9.625% Senior Secured Notes due 2023 (included in Exhibit 4.1).</w:t>
        </w:r>
      </w:hyperlink>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Exhibit 4.2 to the Company’s Form 8-K filed April 25, 2018</w:t>
      </w:r>
    </w:p>
    <w:p>
      <w:pPr>
        <w:sectPr>
          <w:pgSz w:w="11900" w:h="16838" w:orient="portrait"/>
          <w:cols w:equalWidth="0" w:num="2">
            <w:col w:w="6760" w:space="280"/>
            <w:col w:w="4200"/>
          </w:cols>
          <w:pgMar w:left="320" w:top="553" w:right="339" w:bottom="1440" w:gutter="0" w:footer="0" w:header="0"/>
          <w:type w:val="continuous"/>
        </w:sectPr>
      </w:pPr>
    </w:p>
    <w:bookmarkStart w:id="46" w:name="page47"/>
    <w:bookmarkEnd w:id="46"/>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20" w:type="dxa"/>
            <w:vAlign w:val="bottom"/>
          </w:tcPr>
          <w:p>
            <w:pPr>
              <w:ind w:left="180"/>
              <w:spacing w:after="0" w:line="174" w:lineRule="exact"/>
              <w:rPr>
                <w:sz w:val="20"/>
                <w:szCs w:val="20"/>
                <w:color w:val="auto"/>
              </w:rPr>
            </w:pPr>
            <w:r>
              <w:rPr>
                <w:rFonts w:ascii="Arial" w:cs="Arial" w:eastAsia="Arial" w:hAnsi="Arial"/>
                <w:sz w:val="18"/>
                <w:szCs w:val="18"/>
                <w:color w:val="auto"/>
              </w:rPr>
              <w:t>4.17(a)</w:t>
            </w:r>
          </w:p>
        </w:tc>
        <w:tc>
          <w:tcPr>
            <w:tcW w:w="5520" w:type="dxa"/>
            <w:vAlign w:val="bottom"/>
            <w:tcBorders>
              <w:bottom w:val="single" w:sz="8" w:color="0000EE"/>
            </w:tcBorders>
            <w:gridSpan w:val="24"/>
          </w:tcPr>
          <w:p>
            <w:pPr>
              <w:spacing w:after="0" w:line="174"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Description of Registrant’s Securities Registered Pursuant to Section 12 of</w:t>
              </w:r>
            </w:hyperlink>
          </w:p>
        </w:tc>
        <w:tc>
          <w:tcPr>
            <w:tcW w:w="38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96"/>
        </w:trPr>
        <w:tc>
          <w:tcPr>
            <w:tcW w:w="1420" w:type="dxa"/>
            <w:vAlign w:val="bottom"/>
          </w:tcPr>
          <w:p>
            <w:pPr>
              <w:spacing w:after="0"/>
              <w:rPr>
                <w:sz w:val="17"/>
                <w:szCs w:val="17"/>
                <w:color w:val="auto"/>
              </w:rPr>
            </w:pPr>
          </w:p>
        </w:tc>
        <w:tc>
          <w:tcPr>
            <w:tcW w:w="5520" w:type="dxa"/>
            <w:vAlign w:val="bottom"/>
            <w:gridSpan w:val="2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the Securities Exchange Act of 1934</w:t>
              </w:r>
            </w:hyperlink>
          </w:p>
        </w:tc>
        <w:tc>
          <w:tcPr>
            <w:tcW w:w="38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w:t>
            </w:r>
          </w:p>
        </w:tc>
        <w:tc>
          <w:tcPr>
            <w:tcW w:w="5520" w:type="dxa"/>
            <w:vAlign w:val="bottom"/>
            <w:gridSpan w:val="24"/>
          </w:tcPr>
          <w:p>
            <w:pPr>
              <w:spacing w:after="0"/>
              <w:rPr>
                <w:rFonts w:ascii="Arial" w:cs="Arial" w:eastAsia="Arial" w:hAnsi="Arial"/>
                <w:sz w:val="18"/>
                <w:szCs w:val="18"/>
                <w:color w:val="0000EE"/>
              </w:rPr>
            </w:pPr>
            <w:hyperlink r:id="rId82">
              <w:r>
                <w:rPr>
                  <w:rFonts w:ascii="Arial" w:cs="Arial" w:eastAsia="Arial" w:hAnsi="Arial"/>
                  <w:sz w:val="18"/>
                  <w:szCs w:val="18"/>
                  <w:color w:val="0000EE"/>
                </w:rPr>
                <w:t>Form of Death Benefit Plan Agreement, dated April 1, 1981</w:t>
              </w:r>
            </w:hyperlink>
          </w:p>
        </w:tc>
        <w:tc>
          <w:tcPr>
            <w:tcW w:w="3880" w:type="dxa"/>
            <w:vAlign w:val="bottom"/>
          </w:tcPr>
          <w:p>
            <w:pPr>
              <w:ind w:left="100"/>
              <w:spacing w:after="0"/>
              <w:rPr>
                <w:sz w:val="20"/>
                <w:szCs w:val="20"/>
                <w:color w:val="auto"/>
              </w:rPr>
            </w:pPr>
            <w:r>
              <w:rPr>
                <w:rFonts w:ascii="Arial" w:cs="Arial" w:eastAsia="Arial" w:hAnsi="Arial"/>
                <w:sz w:val="18"/>
                <w:szCs w:val="18"/>
                <w:color w:val="auto"/>
              </w:rPr>
              <w:t>Exhibit  10.2  to  the  Company’s  Form  10-K</w:t>
            </w:r>
          </w:p>
        </w:tc>
        <w:tc>
          <w:tcPr>
            <w:tcW w:w="420" w:type="dxa"/>
            <w:vAlign w:val="bottom"/>
          </w:tcPr>
          <w:p>
            <w:pPr>
              <w:ind w:left="80"/>
              <w:spacing w:after="0"/>
              <w:rPr>
                <w:sz w:val="20"/>
                <w:szCs w:val="20"/>
                <w:color w:val="auto"/>
              </w:rPr>
            </w:pPr>
            <w:r>
              <w:rPr>
                <w:rFonts w:ascii="Arial" w:cs="Arial" w:eastAsia="Arial" w:hAnsi="Arial"/>
                <w:sz w:val="18"/>
                <w:szCs w:val="18"/>
                <w:color w:val="auto"/>
                <w:w w:val="96"/>
              </w:rPr>
              <w:t>filed</w:t>
            </w:r>
          </w:p>
        </w:tc>
      </w:tr>
      <w:tr>
        <w:trPr>
          <w:trHeight w:val="237"/>
        </w:trPr>
        <w:tc>
          <w:tcPr>
            <w:tcW w:w="1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March 31, 2006</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10.2*</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LSB Industries, Inc. Outside Directors Stock Purchase Plan, dated May 24,</w:t>
              </w:r>
            </w:hyperlink>
          </w:p>
        </w:tc>
        <w:tc>
          <w:tcPr>
            <w:tcW w:w="3880" w:type="dxa"/>
            <w:vAlign w:val="bottom"/>
          </w:tcPr>
          <w:p>
            <w:pPr>
              <w:ind w:left="100"/>
              <w:spacing w:after="0"/>
              <w:rPr>
                <w:sz w:val="20"/>
                <w:szCs w:val="20"/>
                <w:color w:val="auto"/>
              </w:rPr>
            </w:pPr>
            <w:r>
              <w:rPr>
                <w:rFonts w:ascii="Arial" w:cs="Arial" w:eastAsia="Arial" w:hAnsi="Arial"/>
                <w:sz w:val="18"/>
                <w:szCs w:val="18"/>
                <w:color w:val="auto"/>
              </w:rPr>
              <w:t>Exhibit  99.2  to  the  Company’s  Form  8-K</w:t>
            </w:r>
          </w:p>
        </w:tc>
        <w:tc>
          <w:tcPr>
            <w:tcW w:w="420" w:type="dxa"/>
            <w:vAlign w:val="bottom"/>
          </w:tcPr>
          <w:p>
            <w:pPr>
              <w:ind w:left="8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83">
              <w:r>
                <w:rPr>
                  <w:rFonts w:ascii="Arial" w:cs="Arial" w:eastAsia="Arial" w:hAnsi="Arial"/>
                  <w:sz w:val="18"/>
                  <w:szCs w:val="18"/>
                  <w:color w:val="0000EE"/>
                  <w:w w:val="84"/>
                </w:rPr>
                <w:t>1999</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October 23, 2014</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10.3*</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LSB Industries, Inc. 2008 Incentive Stock Plan, effective June 5, 2008, as</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99.3 to the Company’s Form 8-K filed June 11,</w:t>
            </w:r>
          </w:p>
        </w:tc>
      </w:tr>
      <w:tr>
        <w:trPr>
          <w:trHeight w:val="196"/>
        </w:trPr>
        <w:tc>
          <w:tcPr>
            <w:tcW w:w="1420" w:type="dxa"/>
            <w:vAlign w:val="bottom"/>
          </w:tcPr>
          <w:p>
            <w:pPr>
              <w:spacing w:after="0"/>
              <w:rPr>
                <w:sz w:val="17"/>
                <w:szCs w:val="17"/>
                <w:color w:val="auto"/>
              </w:rPr>
            </w:pPr>
          </w:p>
        </w:tc>
        <w:tc>
          <w:tcPr>
            <w:tcW w:w="38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amended by First Amendment, effective June 5, 2014</w:t>
              </w:r>
            </w:hyperlink>
          </w:p>
        </w:tc>
        <w:tc>
          <w:tcPr>
            <w:tcW w:w="1660" w:type="dxa"/>
            <w:vAlign w:val="bottom"/>
            <w:gridSpan w:val="6"/>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2014</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10.4*</w:t>
            </w:r>
          </w:p>
        </w:tc>
        <w:tc>
          <w:tcPr>
            <w:tcW w:w="5520" w:type="dxa"/>
            <w:vAlign w:val="bottom"/>
            <w:gridSpan w:val="24"/>
          </w:tcPr>
          <w:p>
            <w:pPr>
              <w:spacing w:after="0"/>
              <w:rPr>
                <w:rFonts w:ascii="Arial" w:cs="Arial" w:eastAsia="Arial" w:hAnsi="Arial"/>
                <w:sz w:val="18"/>
                <w:szCs w:val="18"/>
                <w:color w:val="0000EE"/>
              </w:rPr>
            </w:pPr>
            <w:hyperlink r:id="rId85">
              <w:r>
                <w:rPr>
                  <w:rFonts w:ascii="Arial" w:cs="Arial" w:eastAsia="Arial" w:hAnsi="Arial"/>
                  <w:sz w:val="18"/>
                  <w:szCs w:val="18"/>
                  <w:color w:val="0000EE"/>
                </w:rPr>
                <w:t>Form of Restricted Stock Agreement</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10.3 to the Company’s Form 8-K filed January 8,</w:t>
            </w:r>
          </w:p>
        </w:tc>
      </w:tr>
      <w:tr>
        <w:trPr>
          <w:trHeight w:val="237"/>
        </w:trPr>
        <w:tc>
          <w:tcPr>
            <w:tcW w:w="1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10.5*</w:t>
            </w:r>
          </w:p>
        </w:tc>
        <w:tc>
          <w:tcPr>
            <w:tcW w:w="5520" w:type="dxa"/>
            <w:vAlign w:val="bottom"/>
            <w:gridSpan w:val="24"/>
          </w:tcPr>
          <w:p>
            <w:pPr>
              <w:spacing w:after="0"/>
              <w:rPr>
                <w:rFonts w:ascii="Arial" w:cs="Arial" w:eastAsia="Arial" w:hAnsi="Arial"/>
                <w:sz w:val="18"/>
                <w:szCs w:val="18"/>
                <w:color w:val="0000EE"/>
              </w:rPr>
            </w:pPr>
            <w:hyperlink r:id="rId86">
              <w:r>
                <w:rPr>
                  <w:rFonts w:ascii="Arial" w:cs="Arial" w:eastAsia="Arial" w:hAnsi="Arial"/>
                  <w:sz w:val="18"/>
                  <w:szCs w:val="18"/>
                  <w:color w:val="0000EE"/>
                </w:rPr>
                <w:t>Form of Incentive Stock Option Agreement for 2008 Plan</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4"/>
              </w:rPr>
              <w:t>Exhibit 10.8 to the Company’s Form 10-K filed February</w:t>
            </w:r>
          </w:p>
        </w:tc>
      </w:tr>
      <w:tr>
        <w:trPr>
          <w:trHeight w:val="237"/>
        </w:trPr>
        <w:tc>
          <w:tcPr>
            <w:tcW w:w="1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29, 2016</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10.6*</w:t>
            </w:r>
          </w:p>
        </w:tc>
        <w:tc>
          <w:tcPr>
            <w:tcW w:w="5520" w:type="dxa"/>
            <w:vAlign w:val="bottom"/>
            <w:gridSpan w:val="24"/>
          </w:tcPr>
          <w:p>
            <w:pPr>
              <w:spacing w:after="0"/>
              <w:rPr>
                <w:rFonts w:ascii="Arial" w:cs="Arial" w:eastAsia="Arial" w:hAnsi="Arial"/>
                <w:sz w:val="18"/>
                <w:szCs w:val="18"/>
                <w:color w:val="0000EE"/>
              </w:rPr>
            </w:pPr>
            <w:hyperlink r:id="rId87">
              <w:r>
                <w:rPr>
                  <w:rFonts w:ascii="Arial" w:cs="Arial" w:eastAsia="Arial" w:hAnsi="Arial"/>
                  <w:sz w:val="18"/>
                  <w:szCs w:val="18"/>
                  <w:color w:val="0000EE"/>
                </w:rPr>
                <w:t>LSB Industries, Inc. 2016 Long Term Incentive Plan</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9"/>
              </w:rPr>
              <w:t>Exhibit 4.8 to the Company’s Form S-8 filed June 28,</w:t>
            </w:r>
          </w:p>
        </w:tc>
      </w:tr>
      <w:tr>
        <w:trPr>
          <w:trHeight w:val="237"/>
        </w:trPr>
        <w:tc>
          <w:tcPr>
            <w:tcW w:w="1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10.7*</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Form of LSB Industries, Inc. 2016 Long Term Incentive Plan Stock Option</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9"/>
              </w:rPr>
              <w:t>Exhibit 4.9 to the Company’s Form S-8 filed June 28,</w:t>
            </w:r>
          </w:p>
        </w:tc>
      </w:tr>
      <w:tr>
        <w:trPr>
          <w:trHeight w:val="196"/>
        </w:trPr>
        <w:tc>
          <w:tcPr>
            <w:tcW w:w="142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Agreement</w:t>
              </w:r>
            </w:hyperlink>
          </w:p>
        </w:tc>
        <w:tc>
          <w:tcPr>
            <w:tcW w:w="4720" w:type="dxa"/>
            <w:vAlign w:val="bottom"/>
            <w:gridSpan w:val="21"/>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10.8*</w:t>
            </w:r>
          </w:p>
        </w:tc>
        <w:tc>
          <w:tcPr>
            <w:tcW w:w="5520" w:type="dxa"/>
            <w:vAlign w:val="bottom"/>
            <w:gridSpan w:val="24"/>
          </w:tcPr>
          <w:p>
            <w:pPr>
              <w:spacing w:after="0"/>
              <w:rPr>
                <w:rFonts w:ascii="Arial" w:cs="Arial" w:eastAsia="Arial" w:hAnsi="Arial"/>
                <w:sz w:val="18"/>
                <w:szCs w:val="18"/>
                <w:color w:val="0000EE"/>
                <w:w w:val="97"/>
              </w:rPr>
            </w:pPr>
            <w:hyperlink r:id="rId89">
              <w:r>
                <w:rPr>
                  <w:rFonts w:ascii="Arial" w:cs="Arial" w:eastAsia="Arial" w:hAnsi="Arial"/>
                  <w:sz w:val="18"/>
                  <w:szCs w:val="18"/>
                  <w:color w:val="0000EE"/>
                  <w:w w:val="97"/>
                </w:rPr>
                <w:t>Form of LSB Industries, Inc. 2016 Long Term Incentive Plan Restricted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4.10 to the Company’s Form S-8 filed June 28,</w:t>
            </w:r>
          </w:p>
        </w:tc>
      </w:tr>
      <w:tr>
        <w:trPr>
          <w:trHeight w:val="196"/>
        </w:trPr>
        <w:tc>
          <w:tcPr>
            <w:tcW w:w="14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Stock Unit Agreement (Director Award)</w:t>
              </w:r>
            </w:hyperlink>
          </w:p>
        </w:tc>
        <w:tc>
          <w:tcPr>
            <w:tcW w:w="260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10.9*</w:t>
            </w:r>
          </w:p>
        </w:tc>
        <w:tc>
          <w:tcPr>
            <w:tcW w:w="5520" w:type="dxa"/>
            <w:vAlign w:val="bottom"/>
            <w:gridSpan w:val="24"/>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Form of LSB Industries, Inc. 2016 Long Term Incentive Plan Restricted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6"/>
              </w:rPr>
              <w:t>Exhibit 4.11 to the Company’s Form S-8 filed June 28,</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Stock Agreement</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10.10*</w:t>
            </w:r>
          </w:p>
        </w:tc>
        <w:tc>
          <w:tcPr>
            <w:tcW w:w="5520" w:type="dxa"/>
            <w:vAlign w:val="bottom"/>
            <w:gridSpan w:val="24"/>
          </w:tcPr>
          <w:p>
            <w:pPr>
              <w:spacing w:after="0"/>
              <w:rPr>
                <w:rFonts w:ascii="Arial" w:cs="Arial" w:eastAsia="Arial" w:hAnsi="Arial"/>
                <w:sz w:val="18"/>
                <w:szCs w:val="18"/>
                <w:color w:val="0000EE"/>
                <w:w w:val="95"/>
              </w:rPr>
            </w:pPr>
            <w:hyperlink r:id="rId91">
              <w:r>
                <w:rPr>
                  <w:rFonts w:ascii="Arial" w:cs="Arial" w:eastAsia="Arial" w:hAnsi="Arial"/>
                  <w:sz w:val="18"/>
                  <w:szCs w:val="18"/>
                  <w:color w:val="0000EE"/>
                  <w:w w:val="95"/>
                </w:rPr>
                <w:t>Form of Time-Based Restricted Stock Agreement of LSB Industries, Inc.</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10.4 to the Company’s Form 8-K filed January 3,</w:t>
            </w:r>
          </w:p>
        </w:tc>
      </w:tr>
      <w:tr>
        <w:trPr>
          <w:trHeight w:val="237"/>
        </w:trPr>
        <w:tc>
          <w:tcPr>
            <w:tcW w:w="1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r>
      <w:tr>
        <w:trPr>
          <w:trHeight w:val="216"/>
        </w:trPr>
        <w:tc>
          <w:tcPr>
            <w:tcW w:w="1420" w:type="dxa"/>
            <w:vAlign w:val="bottom"/>
          </w:tcPr>
          <w:p>
            <w:pPr>
              <w:ind w:left="100"/>
              <w:spacing w:after="0"/>
              <w:rPr>
                <w:sz w:val="20"/>
                <w:szCs w:val="20"/>
                <w:color w:val="auto"/>
              </w:rPr>
            </w:pPr>
            <w:r>
              <w:rPr>
                <w:rFonts w:ascii="Arial" w:cs="Arial" w:eastAsia="Arial" w:hAnsi="Arial"/>
                <w:sz w:val="18"/>
                <w:szCs w:val="18"/>
                <w:color w:val="auto"/>
              </w:rPr>
              <w:t>10.11*</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Performance-Based Restricted Stock Agreement of LSB Industries,</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10.5 to the Company’s Form 8-K filed January 3,</w:t>
            </w:r>
          </w:p>
        </w:tc>
      </w:tr>
      <w:tr>
        <w:trPr>
          <w:trHeight w:val="196"/>
        </w:trPr>
        <w:tc>
          <w:tcPr>
            <w:tcW w:w="1420" w:type="dxa"/>
            <w:vAlign w:val="bottom"/>
          </w:tcPr>
          <w:p>
            <w:pPr>
              <w:spacing w:after="0"/>
              <w:rPr>
                <w:sz w:val="17"/>
                <w:szCs w:val="17"/>
                <w:color w:val="auto"/>
              </w:rPr>
            </w:pPr>
          </w:p>
        </w:tc>
        <w:tc>
          <w:tcPr>
            <w:tcW w:w="5520" w:type="dxa"/>
            <w:vAlign w:val="bottom"/>
            <w:gridSpan w:val="2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Inc.</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10.12*</w:t>
            </w:r>
          </w:p>
        </w:tc>
        <w:tc>
          <w:tcPr>
            <w:tcW w:w="5520" w:type="dxa"/>
            <w:vAlign w:val="bottom"/>
            <w:gridSpan w:val="24"/>
          </w:tcPr>
          <w:p>
            <w:pPr>
              <w:spacing w:after="0"/>
              <w:rPr>
                <w:rFonts w:ascii="Arial" w:cs="Arial" w:eastAsia="Arial" w:hAnsi="Arial"/>
                <w:sz w:val="18"/>
                <w:szCs w:val="18"/>
                <w:color w:val="0000EE"/>
                <w:w w:val="96"/>
              </w:rPr>
            </w:pPr>
            <w:hyperlink r:id="rId93">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10.12  to  the  Company’s  Form  10-K  filed</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between LSB Industries, Inc. and Mark Behrman</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10.13*</w:t>
            </w:r>
          </w:p>
        </w:tc>
        <w:tc>
          <w:tcPr>
            <w:tcW w:w="5520" w:type="dxa"/>
            <w:vAlign w:val="bottom"/>
            <w:gridSpan w:val="24"/>
          </w:tcPr>
          <w:p>
            <w:pPr>
              <w:spacing w:after="0"/>
              <w:rPr>
                <w:rFonts w:ascii="Arial" w:cs="Arial" w:eastAsia="Arial" w:hAnsi="Arial"/>
                <w:sz w:val="18"/>
                <w:szCs w:val="18"/>
                <w:color w:val="0000EE"/>
                <w:w w:val="96"/>
              </w:rPr>
            </w:pPr>
            <w:hyperlink r:id="rId94">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10.4 to the Company’s Form 10-Q filed October</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between LSB Industries, Inc. and Mark Behrman</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24, 2018</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10.14*</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7"/>
              </w:rPr>
            </w:pPr>
            <w:hyperlink r:id="rId95">
              <w:r>
                <w:rPr>
                  <w:rFonts w:ascii="Arial" w:cs="Arial" w:eastAsia="Arial" w:hAnsi="Arial"/>
                  <w:sz w:val="18"/>
                  <w:szCs w:val="18"/>
                  <w:color w:val="0000EE"/>
                  <w:w w:val="97"/>
                </w:rPr>
                <w:t>Employment  Agreement,  dated  December  30,  2018,  between  LSB</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10.1 to the Company’s Form 8-K filed January 3,</w:t>
            </w:r>
          </w:p>
        </w:tc>
      </w:tr>
      <w:tr>
        <w:trPr>
          <w:trHeight w:val="196"/>
        </w:trPr>
        <w:tc>
          <w:tcPr>
            <w:tcW w:w="1420" w:type="dxa"/>
            <w:vAlign w:val="bottom"/>
          </w:tcPr>
          <w:p>
            <w:pPr>
              <w:spacing w:after="0"/>
              <w:rPr>
                <w:sz w:val="17"/>
                <w:szCs w:val="17"/>
                <w:color w:val="auto"/>
              </w:rPr>
            </w:pPr>
          </w:p>
        </w:tc>
        <w:tc>
          <w:tcPr>
            <w:tcW w:w="27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Industries, Inc. and Mark T. Behrman</w:t>
              </w:r>
            </w:hyperlink>
          </w:p>
        </w:tc>
        <w:tc>
          <w:tcPr>
            <w:tcW w:w="2820" w:type="dxa"/>
            <w:vAlign w:val="bottom"/>
            <w:gridSpan w:val="16"/>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10.15*</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Restricted Stock Agreement by and between LSB Industries, Inc. and Mark</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10.17  to  the  Company’s  Form  10-K  filed</w:t>
            </w:r>
          </w:p>
        </w:tc>
      </w:tr>
      <w:tr>
        <w:trPr>
          <w:trHeight w:val="196"/>
        </w:trPr>
        <w:tc>
          <w:tcPr>
            <w:tcW w:w="142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Behrman, dated as of December 31, 2015</w:t>
              </w:r>
            </w:hyperlink>
          </w:p>
        </w:tc>
        <w:tc>
          <w:tcPr>
            <w:tcW w:w="2540" w:type="dxa"/>
            <w:vAlign w:val="bottom"/>
            <w:gridSpan w:val="14"/>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29, 2016</w:t>
            </w:r>
          </w:p>
        </w:tc>
        <w:tc>
          <w:tcPr>
            <w:tcW w:w="420" w:type="dxa"/>
            <w:vAlign w:val="bottom"/>
          </w:tcPr>
          <w:p>
            <w:pPr>
              <w:spacing w:after="0"/>
              <w:rPr>
                <w:sz w:val="17"/>
                <w:szCs w:val="17"/>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10.16*</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Employment Agreement by and between LSB Industries, Inc. and Daniel 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4"/>
              </w:rPr>
              <w:t>Exhibit 10.1 to the Company’s Form 8-K/A filed January</w:t>
            </w:r>
          </w:p>
        </w:tc>
      </w:tr>
      <w:tr>
        <w:trPr>
          <w:trHeight w:val="196"/>
        </w:trPr>
        <w:tc>
          <w:tcPr>
            <w:tcW w:w="1420" w:type="dxa"/>
            <w:vAlign w:val="bottom"/>
          </w:tcPr>
          <w:p>
            <w:pPr>
              <w:spacing w:after="0"/>
              <w:rPr>
                <w:sz w:val="17"/>
                <w:szCs w:val="17"/>
                <w:color w:val="auto"/>
              </w:rPr>
            </w:pPr>
          </w:p>
        </w:tc>
        <w:tc>
          <w:tcPr>
            <w:tcW w:w="5520" w:type="dxa"/>
            <w:vAlign w:val="bottom"/>
            <w:gridSpan w:val="24"/>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Greenwell, dated as of December 31, 2015</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7, 2016</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6"/>
        </w:trPr>
        <w:tc>
          <w:tcPr>
            <w:tcW w:w="1420" w:type="dxa"/>
            <w:vAlign w:val="bottom"/>
          </w:tcPr>
          <w:p>
            <w:pPr>
              <w:ind w:left="100"/>
              <w:spacing w:after="0"/>
              <w:rPr>
                <w:sz w:val="20"/>
                <w:szCs w:val="20"/>
                <w:color w:val="auto"/>
              </w:rPr>
            </w:pPr>
            <w:r>
              <w:rPr>
                <w:rFonts w:ascii="Arial" w:cs="Arial" w:eastAsia="Arial" w:hAnsi="Arial"/>
                <w:sz w:val="18"/>
                <w:szCs w:val="18"/>
                <w:color w:val="auto"/>
              </w:rPr>
              <w:t>10.17*</w:t>
            </w:r>
          </w:p>
        </w:tc>
        <w:tc>
          <w:tcPr>
            <w:tcW w:w="5520" w:type="dxa"/>
            <w:vAlign w:val="bottom"/>
            <w:gridSpan w:val="24"/>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10.3 to the Company’s Form 10-Q filed October</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between LSB Industries, Inc. and Daniel D. Greenwell</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24, 2018</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10.18*</w:t>
            </w:r>
          </w:p>
        </w:tc>
        <w:tc>
          <w:tcPr>
            <w:tcW w:w="5520" w:type="dxa"/>
            <w:vAlign w:val="bottom"/>
            <w:gridSpan w:val="24"/>
          </w:tcPr>
          <w:p>
            <w:pPr>
              <w:spacing w:after="0"/>
              <w:rPr>
                <w:rFonts w:ascii="Arial" w:cs="Arial" w:eastAsia="Arial" w:hAnsi="Arial"/>
                <w:sz w:val="18"/>
                <w:szCs w:val="18"/>
                <w:color w:val="0000EE"/>
                <w:w w:val="96"/>
              </w:rPr>
            </w:pPr>
            <w:hyperlink r:id="rId99">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10.18  to  the  Company’s  Form  10-K  filed</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between LSB Industries, Inc. and Daniel D. Greenwell</w:t>
              </w:r>
            </w:hyperlink>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10.19*</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General Release Agreement by and between LSB Industries, Inc. and Daniel</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10.19  to  the  Company’s  Form  10-K  filed</w:t>
            </w:r>
          </w:p>
        </w:tc>
      </w:tr>
      <w:tr>
        <w:trPr>
          <w:trHeight w:val="196"/>
        </w:trPr>
        <w:tc>
          <w:tcPr>
            <w:tcW w:w="1420" w:type="dxa"/>
            <w:vAlign w:val="bottom"/>
          </w:tcPr>
          <w:p>
            <w:pPr>
              <w:spacing w:after="0"/>
              <w:rPr>
                <w:sz w:val="17"/>
                <w:szCs w:val="17"/>
                <w:color w:val="auto"/>
              </w:rPr>
            </w:pPr>
          </w:p>
        </w:tc>
        <w:tc>
          <w:tcPr>
            <w:tcW w:w="5520" w:type="dxa"/>
            <w:vAlign w:val="bottom"/>
            <w:gridSpan w:val="2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D. Greenwell, dated as of January 14, 2019</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10.20*</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Restricted Stock Agreement by and between LSB Industries, Inc.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10.2  to  the  Company’s  Form  8-K/A  filed</w:t>
            </w:r>
          </w:p>
        </w:tc>
      </w:tr>
      <w:tr>
        <w:trPr>
          <w:trHeight w:val="196"/>
        </w:trPr>
        <w:tc>
          <w:tcPr>
            <w:tcW w:w="1420" w:type="dxa"/>
            <w:vAlign w:val="bottom"/>
          </w:tcPr>
          <w:p>
            <w:pPr>
              <w:spacing w:after="0"/>
              <w:rPr>
                <w:sz w:val="17"/>
                <w:szCs w:val="17"/>
                <w:color w:val="auto"/>
              </w:rPr>
            </w:pPr>
          </w:p>
        </w:tc>
        <w:tc>
          <w:tcPr>
            <w:tcW w:w="38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Daniel D. Greenwell, dated as of December 31, 2015</w:t>
              </w:r>
            </w:hyperlink>
          </w:p>
        </w:tc>
        <w:tc>
          <w:tcPr>
            <w:tcW w:w="1700" w:type="dxa"/>
            <w:vAlign w:val="bottom"/>
            <w:gridSpan w:val="7"/>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January 7, 2016</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10.21*</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Employment Agreement by and between LSB Industries, Inc. and Michael</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10.25  to  the  Company’s  Form  10-K  filed</w:t>
            </w:r>
          </w:p>
        </w:tc>
      </w:tr>
      <w:tr>
        <w:trPr>
          <w:trHeight w:val="196"/>
        </w:trPr>
        <w:tc>
          <w:tcPr>
            <w:tcW w:w="142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Foster, dated as of January 5, 2016</w:t>
              </w:r>
            </w:hyperlink>
          </w:p>
        </w:tc>
        <w:tc>
          <w:tcPr>
            <w:tcW w:w="3020" w:type="dxa"/>
            <w:vAlign w:val="bottom"/>
            <w:gridSpan w:val="19"/>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29, 2016</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10.22*</w:t>
            </w:r>
          </w:p>
        </w:tc>
        <w:tc>
          <w:tcPr>
            <w:tcW w:w="5520" w:type="dxa"/>
            <w:vAlign w:val="bottom"/>
            <w:gridSpan w:val="24"/>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5"/>
              </w:rPr>
              <w:t>Exhibit 10.5 to the Company’s Form 10-Q filed October</w:t>
            </w:r>
          </w:p>
        </w:tc>
      </w:tr>
      <w:tr>
        <w:trPr>
          <w:trHeight w:val="196"/>
        </w:trPr>
        <w:tc>
          <w:tcPr>
            <w:tcW w:w="14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between LSB Industries, Inc. and Michael J. Foster</w:t>
              </w:r>
            </w:hyperlink>
          </w:p>
        </w:tc>
        <w:tc>
          <w:tcPr>
            <w:tcW w:w="18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24, 2018</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10.23*</w:t>
            </w:r>
          </w:p>
        </w:tc>
        <w:tc>
          <w:tcPr>
            <w:tcW w:w="5520" w:type="dxa"/>
            <w:vAlign w:val="bottom"/>
            <w:gridSpan w:val="24"/>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Notice  Period  Extension  Regarding  Employment  Agreement  by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10.23  to  the  Company’s  Form  10-K  filed</w:t>
            </w:r>
          </w:p>
        </w:tc>
      </w:tr>
      <w:tr>
        <w:trPr>
          <w:trHeight w:val="196"/>
        </w:trPr>
        <w:tc>
          <w:tcPr>
            <w:tcW w:w="14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between LSB Industries, Inc. and Michael J. Foster</w:t>
              </w:r>
            </w:hyperlink>
          </w:p>
        </w:tc>
        <w:tc>
          <w:tcPr>
            <w:tcW w:w="18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26, 2019</w:t>
            </w:r>
          </w:p>
        </w:tc>
        <w:tc>
          <w:tcPr>
            <w:tcW w:w="420" w:type="dxa"/>
            <w:vAlign w:val="bottom"/>
          </w:tcPr>
          <w:p>
            <w:pPr>
              <w:spacing w:after="0"/>
              <w:rPr>
                <w:sz w:val="17"/>
                <w:szCs w:val="17"/>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10.24*</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7"/>
              </w:rPr>
            </w:pPr>
            <w:hyperlink r:id="rId105">
              <w:r>
                <w:rPr>
                  <w:rFonts w:ascii="Arial" w:cs="Arial" w:eastAsia="Arial" w:hAnsi="Arial"/>
                  <w:sz w:val="18"/>
                  <w:szCs w:val="18"/>
                  <w:color w:val="0000EE"/>
                  <w:w w:val="97"/>
                </w:rPr>
                <w:t>Employment  Agreement,  dated  December  30,  2018,  between  LSB</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w w:val="93"/>
              </w:rPr>
              <w:t>Exhibit 10.3 to the Company’s Form 8-K filed January 3,</w:t>
            </w:r>
          </w:p>
        </w:tc>
      </w:tr>
      <w:tr>
        <w:trPr>
          <w:trHeight w:val="196"/>
        </w:trPr>
        <w:tc>
          <w:tcPr>
            <w:tcW w:w="1420" w:type="dxa"/>
            <w:vAlign w:val="bottom"/>
          </w:tcPr>
          <w:p>
            <w:pPr>
              <w:spacing w:after="0"/>
              <w:rPr>
                <w:sz w:val="17"/>
                <w:szCs w:val="17"/>
                <w:color w:val="auto"/>
              </w:rPr>
            </w:pPr>
          </w:p>
        </w:tc>
        <w:tc>
          <w:tcPr>
            <w:tcW w:w="5520" w:type="dxa"/>
            <w:vAlign w:val="bottom"/>
            <w:gridSpan w:val="24"/>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Industries, Inc. and Michael J. Foster</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660" w:type="dxa"/>
            <w:vAlign w:val="bottom"/>
            <w:gridSpan w:val="7"/>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237"/>
        </w:trPr>
        <w:tc>
          <w:tcPr>
            <w:tcW w:w="1420" w:type="dxa"/>
            <w:vAlign w:val="bottom"/>
          </w:tcPr>
          <w:p>
            <w:pPr>
              <w:ind w:left="100"/>
              <w:spacing w:after="0"/>
              <w:rPr>
                <w:sz w:val="20"/>
                <w:szCs w:val="20"/>
                <w:color w:val="auto"/>
              </w:rPr>
            </w:pPr>
            <w:r>
              <w:rPr>
                <w:rFonts w:ascii="Arial" w:cs="Arial" w:eastAsia="Arial" w:hAnsi="Arial"/>
                <w:sz w:val="18"/>
                <w:szCs w:val="18"/>
                <w:color w:val="auto"/>
              </w:rPr>
              <w:t>10.25*</w:t>
            </w:r>
          </w:p>
        </w:tc>
        <w:tc>
          <w:tcPr>
            <w:tcW w:w="5520" w:type="dxa"/>
            <w:vAlign w:val="bottom"/>
            <w:tcBorders>
              <w:bottom w:val="single" w:sz="8" w:color="0000EE"/>
            </w:tcBorders>
            <w:gridSpan w:val="24"/>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Restricted Stock Agreement by and between LSB Industries, Inc. and</w:t>
              </w:r>
            </w:hyperlink>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Exhibit  10.26  to  the  Company’s  Form  10-K  filed</w:t>
            </w:r>
          </w:p>
        </w:tc>
      </w:tr>
      <w:tr>
        <w:trPr>
          <w:trHeight w:val="196"/>
        </w:trPr>
        <w:tc>
          <w:tcPr>
            <w:tcW w:w="1420" w:type="dxa"/>
            <w:vAlign w:val="bottom"/>
          </w:tcPr>
          <w:p>
            <w:pPr>
              <w:spacing w:after="0"/>
              <w:rPr>
                <w:sz w:val="17"/>
                <w:szCs w:val="17"/>
                <w:color w:val="auto"/>
              </w:rPr>
            </w:pPr>
          </w:p>
        </w:tc>
        <w:tc>
          <w:tcPr>
            <w:tcW w:w="5520" w:type="dxa"/>
            <w:vAlign w:val="bottom"/>
            <w:gridSpan w:val="2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Michael Foster, dated as of January 5, 2016</w:t>
              </w:r>
            </w:hyperlink>
          </w:p>
        </w:tc>
        <w:tc>
          <w:tcPr>
            <w:tcW w:w="3880" w:type="dxa"/>
            <w:vAlign w:val="bottom"/>
          </w:tcPr>
          <w:p>
            <w:pPr>
              <w:ind w:left="100"/>
              <w:spacing w:after="0" w:line="196" w:lineRule="exact"/>
              <w:rPr>
                <w:sz w:val="20"/>
                <w:szCs w:val="20"/>
                <w:color w:val="auto"/>
              </w:rPr>
            </w:pPr>
            <w:r>
              <w:rPr>
                <w:rFonts w:ascii="Arial" w:cs="Arial" w:eastAsia="Arial" w:hAnsi="Arial"/>
                <w:sz w:val="18"/>
                <w:szCs w:val="18"/>
                <w:color w:val="auto"/>
              </w:rPr>
              <w:t>February 29, 2016</w:t>
            </w:r>
          </w:p>
        </w:tc>
        <w:tc>
          <w:tcPr>
            <w:tcW w:w="420" w:type="dxa"/>
            <w:vAlign w:val="bottom"/>
          </w:tcPr>
          <w:p>
            <w:pPr>
              <w:spacing w:after="0"/>
              <w:rPr>
                <w:sz w:val="17"/>
                <w:szCs w:val="17"/>
                <w:color w:val="auto"/>
              </w:rPr>
            </w:pPr>
          </w:p>
        </w:tc>
      </w:tr>
      <w:tr>
        <w:trPr>
          <w:trHeight w:val="493"/>
        </w:trPr>
        <w:tc>
          <w:tcPr>
            <w:tcW w:w="1420" w:type="dxa"/>
            <w:vAlign w:val="bottom"/>
          </w:tcPr>
          <w:p>
            <w:pPr>
              <w:spacing w:after="0"/>
              <w:rPr>
                <w:sz w:val="24"/>
                <w:szCs w:val="24"/>
                <w:color w:val="auto"/>
              </w:rPr>
            </w:pPr>
          </w:p>
        </w:tc>
        <w:tc>
          <w:tcPr>
            <w:tcW w:w="3120" w:type="dxa"/>
            <w:vAlign w:val="bottom"/>
            <w:tcBorders>
              <w:top w:val="single" w:sz="8" w:color="0000EE"/>
            </w:tcBorders>
            <w:gridSpan w:val="13"/>
          </w:tcPr>
          <w:p>
            <w:pPr>
              <w:spacing w:after="0"/>
              <w:rPr>
                <w:sz w:val="24"/>
                <w:szCs w:val="24"/>
                <w:color w:val="auto"/>
              </w:rPr>
            </w:pPr>
          </w:p>
        </w:tc>
        <w:tc>
          <w:tcPr>
            <w:tcW w:w="1200" w:type="dxa"/>
            <w:vAlign w:val="bottom"/>
            <w:gridSpan w:val="8"/>
          </w:tcPr>
          <w:p>
            <w:pPr>
              <w:jc w:val="right"/>
              <w:ind w:right="20"/>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47" w:name="page48"/>
    <w:bookmarkEnd w:id="47"/>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tbl>
      <w:tblPr>
        <w:tblLayout w:type="fixed"/>
        <w:tblInd w:w="100" w:type="dxa"/>
        <w:tblCellMar>
          <w:top w:w="0" w:type="dxa"/>
          <w:left w:w="0" w:type="dxa"/>
          <w:bottom w:w="0" w:type="dxa"/>
          <w:right w:w="0" w:type="dxa"/>
        </w:tblCellMar>
      </w:tblPr>
      <w:tr>
        <w:trPr>
          <w:trHeight w:val="174"/>
        </w:trPr>
        <w:tc>
          <w:tcPr>
            <w:tcW w:w="1320" w:type="dxa"/>
            <w:vAlign w:val="bottom"/>
          </w:tcPr>
          <w:p>
            <w:pPr>
              <w:spacing w:after="0" w:line="174" w:lineRule="exact"/>
              <w:rPr>
                <w:sz w:val="20"/>
                <w:szCs w:val="20"/>
                <w:color w:val="auto"/>
              </w:rPr>
            </w:pPr>
            <w:r>
              <w:rPr>
                <w:rFonts w:ascii="Arial" w:cs="Arial" w:eastAsia="Arial" w:hAnsi="Arial"/>
                <w:sz w:val="18"/>
                <w:szCs w:val="18"/>
                <w:color w:val="auto"/>
              </w:rPr>
              <w:t>10.26*</w:t>
            </w:r>
          </w:p>
        </w:tc>
        <w:tc>
          <w:tcPr>
            <w:tcW w:w="5560" w:type="dxa"/>
            <w:vAlign w:val="bottom"/>
            <w:gridSpan w:val="15"/>
          </w:tcPr>
          <w:p>
            <w:pPr>
              <w:spacing w:after="0" w:line="174" w:lineRule="exact"/>
              <w:rPr>
                <w:rFonts w:ascii="Arial" w:cs="Arial" w:eastAsia="Arial" w:hAnsi="Arial"/>
                <w:sz w:val="18"/>
                <w:szCs w:val="18"/>
                <w:color w:val="0000EE"/>
                <w:w w:val="97"/>
              </w:rPr>
            </w:pPr>
            <w:hyperlink r:id="rId110">
              <w:r>
                <w:rPr>
                  <w:rFonts w:ascii="Arial" w:cs="Arial" w:eastAsia="Arial" w:hAnsi="Arial"/>
                  <w:sz w:val="18"/>
                  <w:szCs w:val="18"/>
                  <w:color w:val="0000EE"/>
                  <w:w w:val="97"/>
                </w:rPr>
                <w:t>Employment Agreement by and between LSB Industries, Inc. and John</w:t>
              </w:r>
            </w:hyperlink>
          </w:p>
        </w:tc>
        <w:tc>
          <w:tcPr>
            <w:tcW w:w="4260" w:type="dxa"/>
            <w:vAlign w:val="bottom"/>
          </w:tcPr>
          <w:p>
            <w:pPr>
              <w:ind w:left="60"/>
              <w:spacing w:after="0" w:line="174" w:lineRule="exact"/>
              <w:rPr>
                <w:sz w:val="20"/>
                <w:szCs w:val="20"/>
                <w:color w:val="auto"/>
              </w:rPr>
            </w:pPr>
            <w:r>
              <w:rPr>
                <w:rFonts w:ascii="Arial" w:cs="Arial" w:eastAsia="Arial" w:hAnsi="Arial"/>
                <w:sz w:val="18"/>
                <w:szCs w:val="18"/>
                <w:color w:val="auto"/>
                <w:w w:val="95"/>
              </w:rPr>
              <w:t>Exhibit 10.1 to the Company’s Form 8-K filed August 2,</w:t>
            </w:r>
          </w:p>
        </w:tc>
      </w:tr>
      <w:tr>
        <w:trPr>
          <w:trHeight w:val="196"/>
        </w:trPr>
        <w:tc>
          <w:tcPr>
            <w:tcW w:w="13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Diesch, executed as of July 21, 2016</w:t>
              </w:r>
            </w:hyperlink>
          </w:p>
        </w:tc>
        <w:tc>
          <w:tcPr>
            <w:tcW w:w="2860" w:type="dxa"/>
            <w:vAlign w:val="bottom"/>
            <w:tcBorders>
              <w:top w:val="single" w:sz="8" w:color="0000EE"/>
            </w:tcBorders>
            <w:gridSpan w:val="9"/>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10.27*</w:t>
            </w:r>
          </w:p>
        </w:tc>
        <w:tc>
          <w:tcPr>
            <w:tcW w:w="5560" w:type="dxa"/>
            <w:vAlign w:val="bottom"/>
            <w:gridSpan w:val="15"/>
          </w:tcPr>
          <w:p>
            <w:pPr>
              <w:spacing w:after="0"/>
              <w:rPr>
                <w:rFonts w:ascii="Arial" w:cs="Arial" w:eastAsia="Arial" w:hAnsi="Arial"/>
                <w:sz w:val="18"/>
                <w:szCs w:val="18"/>
                <w:color w:val="0000EE"/>
                <w:w w:val="97"/>
              </w:rPr>
            </w:pPr>
            <w:hyperlink r:id="rId111">
              <w:r>
                <w:rPr>
                  <w:rFonts w:ascii="Arial" w:cs="Arial" w:eastAsia="Arial" w:hAnsi="Arial"/>
                  <w:sz w:val="18"/>
                  <w:szCs w:val="18"/>
                  <w:color w:val="0000EE"/>
                  <w:w w:val="97"/>
                </w:rPr>
                <w:t>Employment Agreement by and between LSB Industries, Inc. and John</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6"/>
              </w:rPr>
              <w:t>Exhibit 10.1 to the Company’s Form 8-K filed February</w:t>
            </w:r>
          </w:p>
        </w:tc>
      </w:tr>
      <w:tr>
        <w:trPr>
          <w:trHeight w:val="196"/>
        </w:trPr>
        <w:tc>
          <w:tcPr>
            <w:tcW w:w="13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Diesch, executed as of February 8, 2019</w:t>
              </w:r>
            </w:hyperlink>
          </w:p>
        </w:tc>
        <w:tc>
          <w:tcPr>
            <w:tcW w:w="260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11, 2019</w:t>
            </w: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10.28*</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7"/>
              </w:rPr>
            </w:pPr>
            <w:hyperlink r:id="rId112">
              <w:r>
                <w:rPr>
                  <w:rFonts w:ascii="Arial" w:cs="Arial" w:eastAsia="Arial" w:hAnsi="Arial"/>
                  <w:sz w:val="18"/>
                  <w:szCs w:val="18"/>
                  <w:color w:val="0000EE"/>
                  <w:w w:val="97"/>
                </w:rPr>
                <w:t>Employment  Agreement,  dated  December  30,  2018,  between  LSB</w:t>
              </w:r>
            </w:hyperlink>
          </w:p>
        </w:tc>
        <w:tc>
          <w:tcPr>
            <w:tcW w:w="40" w:type="dxa"/>
            <w:vAlign w:val="bottom"/>
            <w:gridSpan w:val="2"/>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10.2 to the Company’s Form 8-K filed January 3,</w:t>
            </w: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Industries, Inc. and Cheryl Maguire</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2019</w:t>
            </w: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10.29*</w:t>
            </w:r>
          </w:p>
        </w:tc>
        <w:tc>
          <w:tcPr>
            <w:tcW w:w="5560" w:type="dxa"/>
            <w:vAlign w:val="bottom"/>
            <w:gridSpan w:val="15"/>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Employment Agreement, dated December 20, 2019 and to be effective not</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10.30  to  the  Company’s  Form  10-K  filed</w:t>
            </w:r>
          </w:p>
        </w:tc>
      </w:tr>
      <w:tr>
        <w:trPr>
          <w:trHeight w:val="196"/>
        </w:trPr>
        <w:tc>
          <w:tcPr>
            <w:tcW w:w="132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later than February 3, 2020, between LSB Industries, Inc. and John Burns</w:t>
              </w:r>
            </w:hyperlink>
          </w:p>
        </w:tc>
        <w:tc>
          <w:tcPr>
            <w:tcW w:w="200" w:type="dxa"/>
            <w:vAlign w:val="bottom"/>
            <w:tcBorders>
              <w:top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February 25, 2019</w:t>
            </w: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10.30*</w:t>
            </w:r>
          </w:p>
        </w:tc>
        <w:tc>
          <w:tcPr>
            <w:tcW w:w="5560" w:type="dxa"/>
            <w:vAlign w:val="bottom"/>
            <w:gridSpan w:val="15"/>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Severance and Change in Control Agreement, dated April 6, 2020, between</w:t>
              </w:r>
            </w:hyperlink>
          </w:p>
        </w:tc>
        <w:tc>
          <w:tcPr>
            <w:tcW w:w="4260" w:type="dxa"/>
            <w:vAlign w:val="bottom"/>
          </w:tcPr>
          <w:p>
            <w:pPr>
              <w:ind w:left="60"/>
              <w:spacing w:after="0"/>
              <w:rPr>
                <w:sz w:val="20"/>
                <w:szCs w:val="20"/>
                <w:color w:val="auto"/>
              </w:rPr>
            </w:pPr>
            <w:r>
              <w:rPr>
                <w:rFonts w:ascii="Arial" w:cs="Arial" w:eastAsia="Arial" w:hAnsi="Arial"/>
                <w:sz w:val="18"/>
                <w:szCs w:val="18"/>
                <w:color w:val="auto"/>
                <w:w w:val="97"/>
              </w:rPr>
              <w:t>Exhibit 10.1 to the Company’s Form 10-Q filed May 7,</w:t>
            </w:r>
          </w:p>
        </w:tc>
      </w:tr>
      <w:tr>
        <w:trPr>
          <w:trHeight w:val="196"/>
        </w:trPr>
        <w:tc>
          <w:tcPr>
            <w:tcW w:w="13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LSB Industries, Inc. and Kristy Carver</w:t>
              </w:r>
            </w:hyperlink>
          </w:p>
        </w:tc>
        <w:tc>
          <w:tcPr>
            <w:tcW w:w="2720" w:type="dxa"/>
            <w:vAlign w:val="bottom"/>
            <w:tcBorders>
              <w:top w:val="single" w:sz="8" w:color="0000EE"/>
            </w:tcBorders>
            <w:gridSpan w:val="7"/>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2020</w:t>
            </w: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10.31*</w:t>
            </w:r>
          </w:p>
        </w:tc>
        <w:tc>
          <w:tcPr>
            <w:tcW w:w="5560" w:type="dxa"/>
            <w:vAlign w:val="bottom"/>
            <w:gridSpan w:val="15"/>
          </w:tcPr>
          <w:p>
            <w:pPr>
              <w:spacing w:after="0"/>
              <w:rPr>
                <w:rFonts w:ascii="Arial" w:cs="Arial" w:eastAsia="Arial" w:hAnsi="Arial"/>
                <w:sz w:val="18"/>
                <w:szCs w:val="18"/>
                <w:color w:val="0000EE"/>
              </w:rPr>
            </w:pPr>
            <w:hyperlink r:id="rId115">
              <w:r>
                <w:rPr>
                  <w:rFonts w:ascii="Arial" w:cs="Arial" w:eastAsia="Arial" w:hAnsi="Arial"/>
                  <w:sz w:val="18"/>
                  <w:szCs w:val="18"/>
                  <w:color w:val="0000EE"/>
                </w:rPr>
                <w:t>Form of Retention Bonus Agreement</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10.28  to  the  Company’s  Form  10-K  filed</w:t>
            </w:r>
          </w:p>
        </w:tc>
      </w:tr>
      <w:tr>
        <w:trPr>
          <w:trHeight w:val="237"/>
        </w:trPr>
        <w:tc>
          <w:tcPr>
            <w:tcW w:w="1320" w:type="dxa"/>
            <w:vAlign w:val="bottom"/>
          </w:tcPr>
          <w:p>
            <w:pPr>
              <w:spacing w:after="0"/>
              <w:rPr>
                <w:sz w:val="20"/>
                <w:szCs w:val="20"/>
                <w:color w:val="auto"/>
              </w:rPr>
            </w:pPr>
          </w:p>
        </w:tc>
        <w:tc>
          <w:tcPr>
            <w:tcW w:w="24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February 29, 2016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10.32</w:t>
            </w:r>
          </w:p>
        </w:tc>
        <w:tc>
          <w:tcPr>
            <w:tcW w:w="5560" w:type="dxa"/>
            <w:vAlign w:val="bottom"/>
            <w:gridSpan w:val="15"/>
          </w:tcPr>
          <w:p>
            <w:pPr>
              <w:spacing w:after="0"/>
              <w:rPr>
                <w:rFonts w:ascii="Arial" w:cs="Arial" w:eastAsia="Arial" w:hAnsi="Arial"/>
                <w:sz w:val="18"/>
                <w:szCs w:val="18"/>
                <w:color w:val="0000EE"/>
                <w:w w:val="95"/>
              </w:rPr>
            </w:pPr>
            <w:hyperlink r:id="rId116">
              <w:r>
                <w:rPr>
                  <w:rFonts w:ascii="Arial" w:cs="Arial" w:eastAsia="Arial" w:hAnsi="Arial"/>
                  <w:sz w:val="18"/>
                  <w:szCs w:val="18"/>
                  <w:color w:val="0000EE"/>
                  <w:w w:val="95"/>
                </w:rPr>
                <w:t>Indemnification Agreement, dated October 14, 2015, by and between the</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10.1  to  the  Company’s  Form  8-K  filed</w:t>
            </w: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6"/>
              </w:rPr>
            </w:pPr>
            <w:hyperlink r:id="rId116">
              <w:r>
                <w:rPr>
                  <w:rFonts w:ascii="Arial" w:cs="Arial" w:eastAsia="Arial" w:hAnsi="Arial"/>
                  <w:sz w:val="18"/>
                  <w:szCs w:val="18"/>
                  <w:color w:val="0000EE"/>
                  <w:w w:val="96"/>
                </w:rPr>
                <w:t>Company and Jack E. Golsen, together with a schedule identifying other</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October 19, 2015</w:t>
            </w: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substantially identical agreements between the Company and each of the</w:t>
              </w:r>
            </w:hyperlink>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other directors identified on the schedule</w:t>
              </w:r>
            </w:hyperlink>
          </w:p>
        </w:tc>
        <w:tc>
          <w:tcPr>
            <w:tcW w:w="256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10.33</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5"/>
              </w:rPr>
            </w:pPr>
            <w:hyperlink r:id="rId117">
              <w:r>
                <w:rPr>
                  <w:rFonts w:ascii="Arial" w:cs="Arial" w:eastAsia="Arial" w:hAnsi="Arial"/>
                  <w:sz w:val="18"/>
                  <w:szCs w:val="18"/>
                  <w:color w:val="0000EE"/>
                  <w:w w:val="95"/>
                </w:rPr>
                <w:t>Indemnification Agreement, dated October 14, 2015 by and between the</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8"/>
              </w:rPr>
              <w:t>Exhibit 10.2 to the Company’s Form 8-K filed October</w:t>
            </w: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Company and David M. Shear, together with a schedule identifying other</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19, 2015</w:t>
            </w: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substantially identical agreements between the Company and each of its</w:t>
              </w:r>
            </w:hyperlink>
          </w:p>
        </w:tc>
        <w:tc>
          <w:tcPr>
            <w:tcW w:w="4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executive officers identified on the schedule</w:t>
              </w:r>
            </w:hyperlink>
          </w:p>
        </w:tc>
        <w:tc>
          <w:tcPr>
            <w:tcW w:w="2380" w:type="dxa"/>
            <w:vAlign w:val="bottom"/>
            <w:gridSpan w:val="7"/>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10.34</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Indemnification Agreement, dated as of December 4, 2015, by and between</w:t>
              </w:r>
            </w:hyperlink>
          </w:p>
        </w:tc>
        <w:tc>
          <w:tcPr>
            <w:tcW w:w="40" w:type="dxa"/>
            <w:vAlign w:val="bottom"/>
            <w:gridSpan w:val="2"/>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10.5 to the Company’s Form 8-K filed December</w:t>
            </w: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LSB Industries, Inc. and Jonathan S. Bobb, together with a schedule</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8, 2015</w:t>
            </w: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identifying other substantially identical agreements between the Company</w:t>
              </w:r>
            </w:hyperlink>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and each of the other directors identified on the schedule</w:t>
              </w:r>
            </w:hyperlink>
          </w:p>
        </w:tc>
        <w:tc>
          <w:tcPr>
            <w:tcW w:w="1420" w:type="dxa"/>
            <w:vAlign w:val="bottom"/>
            <w:tcBorders>
              <w:top w:val="single" w:sz="8" w:color="0000EE"/>
            </w:tcBorders>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10.35</w:t>
            </w:r>
          </w:p>
        </w:tc>
        <w:tc>
          <w:tcPr>
            <w:tcW w:w="5560" w:type="dxa"/>
            <w:vAlign w:val="bottom"/>
            <w:gridSpan w:val="15"/>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Asset Purchase Agreement, dated as of December 6, 2002, by and among</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2.1  to  the  Company’s  Form  8-K  dated</w:t>
            </w: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680" w:type="dxa"/>
            <w:vAlign w:val="bottom"/>
            <w:gridSpan w:val="9"/>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8"/>
              </w:rPr>
            </w:pPr>
            <w:hyperlink r:id="rId119">
              <w:r>
                <w:rPr>
                  <w:rFonts w:ascii="Arial" w:cs="Arial" w:eastAsia="Arial" w:hAnsi="Arial"/>
                  <w:sz w:val="18"/>
                  <w:szCs w:val="18"/>
                  <w:color w:val="0000EE"/>
                  <w:w w:val="98"/>
                </w:rPr>
                <w:t>Energetic Systems Inc. LLC, UTeC Corporation, LLC, SEC Investment</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December 27, 2002</w:t>
            </w: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680" w:type="dxa"/>
            <w:vAlign w:val="bottom"/>
            <w:gridSpan w:val="9"/>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r:id="rId119">
              <w:r>
                <w:rPr>
                  <w:rFonts w:ascii="Arial" w:cs="Arial" w:eastAsia="Arial" w:hAnsi="Arial"/>
                  <w:sz w:val="18"/>
                  <w:szCs w:val="18"/>
                  <w:color w:val="0000EE"/>
                  <w:w w:val="99"/>
                </w:rPr>
                <w:t>Corp.  LLC,  DetaCorp  Inc.  LLC,  Energetic  Properties,  LLC,  Slurry</w:t>
              </w:r>
            </w:hyperlink>
          </w:p>
        </w:tc>
        <w:tc>
          <w:tcPr>
            <w:tcW w:w="4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Explosive Corporation, Universal Tech Corporation, El Dorado Chemical</w:t>
              </w:r>
            </w:hyperlink>
          </w:p>
        </w:tc>
        <w:tc>
          <w:tcPr>
            <w:tcW w:w="42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680" w:type="dxa"/>
            <w:vAlign w:val="bottom"/>
            <w:gridSpan w:val="9"/>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Company, LSB Chemical Corp., LSB Industries, Inc. and Slurry Explosive</w:t>
              </w:r>
            </w:hyperlink>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Manufacturing Corporation, LLC</w:t>
              </w:r>
            </w:hyperlink>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10.36</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Exhibits and Disclosure Letters to the Asset Purchase Agreement, dated as</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Exhibit  10.1b  to  the  Company’s  Form  10-Q  filed</w:t>
            </w: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6"/>
              </w:rPr>
            </w:pPr>
            <w:hyperlink r:id="rId120">
              <w:r>
                <w:rPr>
                  <w:rFonts w:ascii="Arial" w:cs="Arial" w:eastAsia="Arial" w:hAnsi="Arial"/>
                  <w:sz w:val="18"/>
                  <w:szCs w:val="18"/>
                  <w:color w:val="0000EE"/>
                  <w:w w:val="96"/>
                </w:rPr>
                <w:t>of December 6, 2002, by and among Energetic Systems Inc. LLC, UTeC</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August 6, 2010</w:t>
            </w:r>
          </w:p>
        </w:tc>
      </w:tr>
      <w:tr>
        <w:trPr>
          <w:trHeight w:val="20"/>
        </w:trPr>
        <w:tc>
          <w:tcPr>
            <w:tcW w:w="1320" w:type="dxa"/>
            <w:vAlign w:val="bottom"/>
          </w:tcPr>
          <w:p>
            <w:pPr>
              <w:spacing w:after="0" w:line="20" w:lineRule="exact"/>
              <w:rPr>
                <w:sz w:val="1"/>
                <w:szCs w:val="1"/>
                <w:color w:val="auto"/>
              </w:rPr>
            </w:pPr>
          </w:p>
        </w:tc>
        <w:tc>
          <w:tcPr>
            <w:tcW w:w="5080" w:type="dxa"/>
            <w:vAlign w:val="bottom"/>
            <w:gridSpan w:val="10"/>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w w:val="97"/>
              </w:rPr>
            </w:pPr>
            <w:hyperlink r:id="rId120">
              <w:r>
                <w:rPr>
                  <w:rFonts w:ascii="Arial" w:cs="Arial" w:eastAsia="Arial" w:hAnsi="Arial"/>
                  <w:sz w:val="18"/>
                  <w:szCs w:val="18"/>
                  <w:color w:val="0000EE"/>
                  <w:w w:val="97"/>
                </w:rPr>
                <w:t>Corporation,  LLC,  SEC  Investment  Corp.  LLC,  DetaCorp  Inc.  LLC,</w:t>
              </w:r>
            </w:hyperlink>
          </w:p>
        </w:tc>
        <w:tc>
          <w:tcPr>
            <w:tcW w:w="42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080" w:type="dxa"/>
            <w:vAlign w:val="bottom"/>
            <w:gridSpan w:val="10"/>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Energetic Properties, LLC, Slurry Explosive Corporation, Universal Tech</w:t>
              </w:r>
            </w:hyperlink>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120">
              <w:r>
                <w:rPr>
                  <w:rFonts w:ascii="Arial" w:cs="Arial" w:eastAsia="Arial" w:hAnsi="Arial"/>
                  <w:sz w:val="18"/>
                  <w:szCs w:val="18"/>
                  <w:color w:val="0000EE"/>
                  <w:w w:val="97"/>
                </w:rPr>
                <w:t>Corporation, El Dorado Chemical Company, LSB Chemical Corp., LSB</w:t>
              </w:r>
            </w:hyperlink>
          </w:p>
        </w:tc>
        <w:tc>
          <w:tcPr>
            <w:tcW w:w="40" w:type="dxa"/>
            <w:vAlign w:val="bottom"/>
            <w:gridSpan w:val="2"/>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5"/>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Industries, Inc. and Slurry Explosive Manufacturing Corporation, LLC</w:t>
              </w:r>
            </w:hyperlink>
          </w:p>
        </w:tc>
        <w:tc>
          <w:tcPr>
            <w:tcW w:w="42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420" w:hanging="1313"/>
        <w:spacing w:after="0" w:line="258" w:lineRule="auto"/>
        <w:tabs>
          <w:tab w:leader="none" w:pos="1400" w:val="left"/>
        </w:tabs>
        <w:rPr>
          <w:rFonts w:ascii="Arial" w:cs="Arial" w:eastAsia="Arial" w:hAnsi="Arial"/>
          <w:sz w:val="18"/>
          <w:szCs w:val="18"/>
          <w:color w:val="0000EE"/>
        </w:rPr>
      </w:pPr>
      <w:r>
        <w:rPr>
          <w:rFonts w:ascii="Arial" w:cs="Arial" w:eastAsia="Arial" w:hAnsi="Arial"/>
          <w:sz w:val="18"/>
          <w:szCs w:val="18"/>
          <w:color w:val="auto"/>
        </w:rPr>
        <w:t>10.37</w:t>
      </w:r>
      <w:r>
        <w:rPr>
          <w:sz w:val="20"/>
          <w:szCs w:val="20"/>
          <w:color w:val="auto"/>
        </w:rPr>
        <w:tab/>
      </w:r>
      <w:hyperlink r:id="rId121">
        <w:r>
          <w:rPr>
            <w:rFonts w:ascii="Arial" w:cs="Arial" w:eastAsia="Arial" w:hAnsi="Arial"/>
            <w:sz w:val="18"/>
            <w:szCs w:val="18"/>
            <w:u w:val="single" w:color="auto"/>
            <w:color w:val="0000EE"/>
          </w:rPr>
          <w:t xml:space="preserve">Ammonia Purchase and Sale Agreement by and between El Dorado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10.49 to the Company’s Form 10-K filed</w:t>
      </w:r>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Chemical Company and Koch Fertilizer, LLC, dated as of November 2,</w:t>
        </w:r>
        <w:r>
          <w:rPr>
            <w:rFonts w:ascii="Arial" w:cs="Arial" w:eastAsia="Arial" w:hAnsi="Arial"/>
            <w:sz w:val="18"/>
            <w:szCs w:val="18"/>
            <w:color w:val="0000EE"/>
          </w:rPr>
          <w:t xml:space="preserve"> </w:t>
        </w:r>
      </w:hyperlink>
      <w:r>
        <w:rPr>
          <w:rFonts w:ascii="Arial" w:cs="Arial" w:eastAsia="Arial" w:hAnsi="Arial"/>
          <w:sz w:val="18"/>
          <w:szCs w:val="18"/>
          <w:color w:val="000000"/>
        </w:rPr>
        <w:t>February</w:t>
      </w:r>
      <w:r>
        <w:rPr>
          <w:rFonts w:ascii="Arial" w:cs="Arial" w:eastAsia="Arial" w:hAnsi="Arial"/>
          <w:sz w:val="18"/>
          <w:szCs w:val="18"/>
          <w:color w:val="0000EE"/>
        </w:rPr>
        <w:t xml:space="preserve"> </w:t>
      </w:r>
      <w:r>
        <w:rPr>
          <w:rFonts w:ascii="Arial" w:cs="Arial" w:eastAsia="Arial" w:hAnsi="Arial"/>
          <w:sz w:val="18"/>
          <w:szCs w:val="18"/>
          <w:color w:val="000000"/>
        </w:rPr>
        <w:t>29, 2016</w:t>
      </w:r>
    </w:p>
    <w:tbl>
      <w:tblPr>
        <w:tblLayout w:type="fixed"/>
        <w:tblInd w:w="0" w:type="dxa"/>
        <w:tblCellMar>
          <w:top w:w="0" w:type="dxa"/>
          <w:left w:w="0" w:type="dxa"/>
          <w:bottom w:w="0" w:type="dxa"/>
          <w:right w:w="0" w:type="dxa"/>
        </w:tblCellMar>
      </w:tblPr>
      <w:tr>
        <w:trPr>
          <w:trHeight w:val="177"/>
        </w:trPr>
        <w:tc>
          <w:tcPr>
            <w:tcW w:w="1780" w:type="dxa"/>
            <w:vAlign w:val="bottom"/>
            <w:gridSpan w:val="2"/>
          </w:tcPr>
          <w:p>
            <w:pPr>
              <w:jc w:val="right"/>
              <w:spacing w:after="0" w:line="177" w:lineRule="exact"/>
              <w:rPr>
                <w:rFonts w:ascii="Arial" w:cs="Arial" w:eastAsia="Arial" w:hAnsi="Arial"/>
                <w:sz w:val="18"/>
                <w:szCs w:val="18"/>
                <w:color w:val="0000EE"/>
              </w:rPr>
            </w:pPr>
            <w:hyperlink r:id="rId121">
              <w:r>
                <w:rPr>
                  <w:rFonts w:ascii="Arial" w:cs="Arial" w:eastAsia="Arial" w:hAnsi="Arial"/>
                  <w:sz w:val="18"/>
                  <w:szCs w:val="18"/>
                  <w:color w:val="0000EE"/>
                </w:rPr>
                <w:t>2015</w:t>
              </w:r>
            </w:hyperlink>
          </w:p>
        </w:tc>
        <w:tc>
          <w:tcPr>
            <w:tcW w:w="9460" w:type="dxa"/>
            <w:vAlign w:val="bottom"/>
            <w:vMerge w:val="restart"/>
          </w:tcPr>
          <w:p>
            <w:pPr>
              <w:ind w:left="526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w w:val="98"/>
              </w:rPr>
              <w:t>HAS BEEN OMITTED AS IT IS THE SUBJECT OF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w w:val="97"/>
              </w:rPr>
              <w:t>COMMISSION ORDER CF #33502, DATED APRIL 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2016, GRANTING REQUEST BY THE COMPANY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tcPr>
          <w:p>
            <w:pPr>
              <w:ind w:left="526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513"/>
        </w:trPr>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tcPr>
          <w:p>
            <w:pPr>
              <w:ind w:left="37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48" w:name="page49"/>
    <w:bookmarkEnd w:id="48"/>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20" w:type="dxa"/>
            <w:vAlign w:val="bottom"/>
          </w:tcPr>
          <w:p>
            <w:pPr>
              <w:jc w:val="right"/>
              <w:ind w:right="830"/>
              <w:spacing w:after="0" w:line="174" w:lineRule="exact"/>
              <w:rPr>
                <w:sz w:val="20"/>
                <w:szCs w:val="20"/>
                <w:color w:val="auto"/>
              </w:rPr>
            </w:pPr>
            <w:r>
              <w:rPr>
                <w:rFonts w:ascii="Arial" w:cs="Arial" w:eastAsia="Arial" w:hAnsi="Arial"/>
                <w:sz w:val="18"/>
                <w:szCs w:val="18"/>
                <w:color w:val="auto"/>
              </w:rPr>
              <w:t>10.38</w:t>
            </w:r>
          </w:p>
        </w:tc>
        <w:tc>
          <w:tcPr>
            <w:tcW w:w="5520" w:type="dxa"/>
            <w:vAlign w:val="bottom"/>
            <w:tcBorders>
              <w:bottom w:val="single" w:sz="8" w:color="0000EE"/>
            </w:tcBorders>
            <w:gridSpan w:val="15"/>
          </w:tcPr>
          <w:p>
            <w:pPr>
              <w:spacing w:after="0" w:line="174"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Second Amendment to Ammonia Purchase and Sale Agreement Between</w:t>
              </w:r>
            </w:hyperlink>
          </w:p>
        </w:tc>
        <w:tc>
          <w:tcPr>
            <w:tcW w:w="40" w:type="dxa"/>
            <w:vAlign w:val="bottom"/>
            <w:gridSpan w:val="3"/>
          </w:tcPr>
          <w:p>
            <w:pPr>
              <w:spacing w:after="0"/>
              <w:rPr>
                <w:sz w:val="15"/>
                <w:szCs w:val="15"/>
                <w:color w:val="auto"/>
              </w:rPr>
            </w:pPr>
          </w:p>
        </w:tc>
        <w:tc>
          <w:tcPr>
            <w:tcW w:w="4260" w:type="dxa"/>
            <w:vAlign w:val="bottom"/>
            <w:gridSpan w:val="4"/>
          </w:tcPr>
          <w:p>
            <w:pPr>
              <w:ind w:left="60"/>
              <w:spacing w:after="0" w:line="174" w:lineRule="exact"/>
              <w:rPr>
                <w:sz w:val="20"/>
                <w:szCs w:val="20"/>
                <w:color w:val="auto"/>
              </w:rPr>
            </w:pPr>
            <w:r>
              <w:rPr>
                <w:rFonts w:ascii="Arial" w:cs="Arial" w:eastAsia="Arial" w:hAnsi="Arial"/>
                <w:sz w:val="18"/>
                <w:szCs w:val="18"/>
                <w:color w:val="auto"/>
                <w:w w:val="95"/>
              </w:rPr>
              <w:t>Exhibit 10.1 to the Company’s Form 10-Q filed October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Koch</w:t>
              </w:r>
            </w:hyperlink>
          </w:p>
        </w:tc>
        <w:tc>
          <w:tcPr>
            <w:tcW w:w="5040" w:type="dxa"/>
            <w:vAlign w:val="bottom"/>
            <w:tcBorders>
              <w:bottom w:val="single" w:sz="8" w:color="0000EE"/>
            </w:tcBorders>
            <w:gridSpan w:val="13"/>
          </w:tcPr>
          <w:p>
            <w:pPr>
              <w:jc w:val="right"/>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Fertilizer, LLC  and El Dorado Chemical Company, dated as of</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29, 2019</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September 30, 2019</w:t>
              </w:r>
            </w:hyperlink>
          </w:p>
        </w:tc>
        <w:tc>
          <w:tcPr>
            <w:tcW w:w="4260" w:type="dxa"/>
            <w:vAlign w:val="bottom"/>
            <w:gridSpan w:val="4"/>
            <w:vMerge w:val="restart"/>
          </w:tcPr>
          <w:p>
            <w:pPr>
              <w:ind w:left="60"/>
              <w:spacing w:after="0"/>
              <w:rPr>
                <w:sz w:val="20"/>
                <w:szCs w:val="20"/>
                <w:color w:val="auto"/>
              </w:rPr>
            </w:pPr>
            <w:r>
              <w:rPr>
                <w:rFonts w:ascii="Arial" w:cs="Arial" w:eastAsia="Arial" w:hAnsi="Arial"/>
                <w:sz w:val="18"/>
                <w:szCs w:val="18"/>
                <w:color w:val="auto"/>
              </w:rPr>
              <w:t>CERTAIN CONFIDENTIAL INFORMATION WITHIN</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960" w:type="dxa"/>
            <w:vAlign w:val="bottom"/>
            <w:tcBorders>
              <w:top w:val="single" w:sz="8" w:color="0000EE"/>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THIS EXHIBIT HAS BEEN OMITTED.</w:t>
            </w:r>
          </w:p>
        </w:tc>
        <w:tc>
          <w:tcPr>
            <w:tcW w:w="0" w:type="dxa"/>
            <w:vAlign w:val="bottom"/>
          </w:tcPr>
          <w:p>
            <w:pPr>
              <w:spacing w:after="0"/>
              <w:rPr>
                <w:sz w:val="1"/>
                <w:szCs w:val="1"/>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10.39</w:t>
            </w:r>
          </w:p>
        </w:tc>
        <w:tc>
          <w:tcPr>
            <w:tcW w:w="5540" w:type="dxa"/>
            <w:vAlign w:val="bottom"/>
            <w:tcBorders>
              <w:bottom w:val="single" w:sz="8" w:color="0000EE"/>
            </w:tcBorders>
            <w:gridSpan w:val="17"/>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Urea Ammonium Nitrate Purchase and Sale Agreement dated as of March</w:t>
              </w:r>
            </w:hyperlink>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2"/>
              </w:rPr>
              <w:t>Exhibit 10.1 to the Company’s Form 10-Q filed August 8,</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3, 2016 and effective as of June 1, 2016 between Coffeyville Resources</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Nitrogen Fertilizers, LLC and Pryor Chemical Company</w:t>
              </w:r>
            </w:hyperlink>
          </w:p>
        </w:tc>
        <w:tc>
          <w:tcPr>
            <w:tcW w:w="4260" w:type="dxa"/>
            <w:vAlign w:val="bottom"/>
            <w:gridSpan w:val="4"/>
            <w:vMerge w:val="restart"/>
          </w:tcPr>
          <w:p>
            <w:pPr>
              <w:ind w:left="6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96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58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8"/>
              </w:rPr>
              <w:t>HAS BEEN OMITTED AS IT IS THE SUBJECT OF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6"/>
              </w:rPr>
              <w:t>COMMISSION ORDER CF #33783. DATED AUGUST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6"/>
              </w:rPr>
              <w:t>30, 2016, GRANTING REQUEST BY THE COMPANY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Arial" w:cs="Arial" w:eastAsia="Arial" w:hAnsi="Arial"/>
                <w:sz w:val="18"/>
                <w:szCs w:val="18"/>
                <w:color w:val="auto"/>
                <w:w w:val="99"/>
              </w:rPr>
              <w:t>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AND</w:t>
            </w:r>
          </w:p>
        </w:tc>
        <w:tc>
          <w:tcPr>
            <w:tcW w:w="1060" w:type="dxa"/>
            <w:vAlign w:val="bottom"/>
          </w:tcPr>
          <w:p>
            <w:pPr>
              <w:ind w:left="60"/>
              <w:spacing w:after="0"/>
              <w:rPr>
                <w:sz w:val="20"/>
                <w:szCs w:val="20"/>
                <w:color w:val="auto"/>
              </w:rPr>
            </w:pPr>
            <w:r>
              <w:rPr>
                <w:rFonts w:ascii="Arial" w:cs="Arial" w:eastAsia="Arial" w:hAnsi="Arial"/>
                <w:sz w:val="18"/>
                <w:szCs w:val="18"/>
                <w:color w:val="auto"/>
                <w:w w:val="96"/>
              </w:rPr>
              <w:t>EXCHANGE</w:t>
            </w:r>
          </w:p>
        </w:tc>
        <w:tc>
          <w:tcPr>
            <w:tcW w:w="1360" w:type="dxa"/>
            <w:vAlign w:val="bottom"/>
          </w:tcPr>
          <w:p>
            <w:pPr>
              <w:ind w:left="200"/>
              <w:spacing w:after="0"/>
              <w:rPr>
                <w:sz w:val="20"/>
                <w:szCs w:val="20"/>
                <w:color w:val="auto"/>
              </w:rPr>
            </w:pPr>
            <w:r>
              <w:rPr>
                <w:rFonts w:ascii="Arial" w:cs="Arial" w:eastAsia="Arial" w:hAnsi="Arial"/>
                <w:sz w:val="18"/>
                <w:szCs w:val="18"/>
                <w:color w:val="auto"/>
                <w:w w:val="96"/>
              </w:rPr>
              <w:t>COMMISSION</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21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10.40</w:t>
            </w:r>
          </w:p>
        </w:tc>
        <w:tc>
          <w:tcPr>
            <w:tcW w:w="480" w:type="dxa"/>
            <w:vAlign w:val="bottom"/>
            <w:tcBorders>
              <w:bottom w:val="single" w:sz="8" w:color="0000EE"/>
            </w:tcBorders>
            <w:gridSpan w:val="3"/>
          </w:tcPr>
          <w:p>
            <w:pPr>
              <w:spacing w:after="0"/>
              <w:rPr>
                <w:rFonts w:ascii="Arial" w:cs="Arial" w:eastAsia="Arial" w:hAnsi="Arial"/>
                <w:sz w:val="18"/>
                <w:szCs w:val="18"/>
                <w:color w:val="0000EE"/>
              </w:rPr>
            </w:pPr>
            <w:hyperlink r:id="rId127">
              <w:r>
                <w:rPr>
                  <w:rFonts w:ascii="Arial" w:cs="Arial" w:eastAsia="Arial" w:hAnsi="Arial"/>
                  <w:sz w:val="18"/>
                  <w:szCs w:val="18"/>
                  <w:color w:val="0000EE"/>
                </w:rPr>
                <w:t>Stock</w:t>
              </w:r>
            </w:hyperlink>
          </w:p>
        </w:tc>
        <w:tc>
          <w:tcPr>
            <w:tcW w:w="5040" w:type="dxa"/>
            <w:vAlign w:val="bottom"/>
            <w:tcBorders>
              <w:bottom w:val="single" w:sz="8" w:color="0000EE"/>
            </w:tcBorders>
            <w:gridSpan w:val="12"/>
          </w:tcPr>
          <w:p>
            <w:pPr>
              <w:jc w:val="right"/>
              <w:spacing w:after="0"/>
              <w:rPr>
                <w:rFonts w:ascii="Arial" w:cs="Arial" w:eastAsia="Arial" w:hAnsi="Arial"/>
                <w:sz w:val="18"/>
                <w:szCs w:val="18"/>
                <w:color w:val="0000EE"/>
                <w:w w:val="98"/>
              </w:rPr>
            </w:pPr>
            <w:hyperlink r:id="rId127">
              <w:r>
                <w:rPr>
                  <w:rFonts w:ascii="Arial" w:cs="Arial" w:eastAsia="Arial" w:hAnsi="Arial"/>
                  <w:sz w:val="18"/>
                  <w:szCs w:val="18"/>
                  <w:color w:val="0000EE"/>
                  <w:w w:val="98"/>
                </w:rPr>
                <w:t>Purchase  Agreement  by  and  among  Consolidated  Industries</w:t>
              </w:r>
            </w:hyperlink>
          </w:p>
        </w:tc>
        <w:tc>
          <w:tcPr>
            <w:tcW w:w="40" w:type="dxa"/>
            <w:vAlign w:val="bottom"/>
            <w:gridSpan w:val="3"/>
          </w:tcPr>
          <w:p>
            <w:pPr>
              <w:spacing w:after="0"/>
              <w:rPr>
                <w:sz w:val="18"/>
                <w:szCs w:val="18"/>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8"/>
              </w:rPr>
              <w:t>Exhibit 10.1 to the Company’s Form 8-K filed May 13,</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L.L.C.</w:t>
              </w:r>
            </w:hyperlink>
          </w:p>
        </w:tc>
        <w:tc>
          <w:tcPr>
            <w:tcW w:w="5040" w:type="dxa"/>
            <w:vAlign w:val="bottom"/>
            <w:tcBorders>
              <w:bottom w:val="single" w:sz="8" w:color="0000EE"/>
            </w:tcBorders>
            <w:gridSpan w:val="13"/>
          </w:tcPr>
          <w:p>
            <w:pPr>
              <w:jc w:val="right"/>
              <w:spacing w:after="0" w:line="196"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The Climate Control Group, Inc., NIBE Energy Systems Inc. and,</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solely for purposes of Sections 6.8, 6.19 and 11.15 therein, LSB Industries,</w:t>
              </w:r>
            </w:hyperlink>
          </w:p>
        </w:tc>
        <w:tc>
          <w:tcPr>
            <w:tcW w:w="4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Inc., and solely for purposes of Section 11.16 therein, NIBE Industrier AB</w:t>
              </w:r>
            </w:hyperlink>
          </w:p>
        </w:tc>
        <w:tc>
          <w:tcPr>
            <w:tcW w:w="4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(publ), dated as of May 11, 2016.</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10.41</w:t>
            </w:r>
          </w:p>
        </w:tc>
        <w:tc>
          <w:tcPr>
            <w:tcW w:w="5560" w:type="dxa"/>
            <w:vAlign w:val="bottom"/>
            <w:gridSpan w:val="18"/>
          </w:tcPr>
          <w:p>
            <w:pPr>
              <w:spacing w:after="0"/>
              <w:rPr>
                <w:rFonts w:ascii="Arial" w:cs="Arial" w:eastAsia="Arial" w:hAnsi="Arial"/>
                <w:sz w:val="18"/>
                <w:szCs w:val="18"/>
                <w:color w:val="0000EE"/>
                <w:w w:val="95"/>
              </w:rPr>
            </w:pPr>
            <w:hyperlink r:id="rId128">
              <w:r>
                <w:rPr>
                  <w:rFonts w:ascii="Arial" w:cs="Arial" w:eastAsia="Arial" w:hAnsi="Arial"/>
                  <w:sz w:val="18"/>
                  <w:szCs w:val="18"/>
                  <w:color w:val="0000EE"/>
                  <w:w w:val="95"/>
                </w:rPr>
                <w:t>Contract on the supply of Basic Engineering Package, Detail Engineering</w:t>
              </w:r>
            </w:hyperlink>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Exhibit  99.2  to  the  Company’s  Form  8-K  filed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Package, Tagged Major Equipment and related Advisory Services, between</w:t>
              </w:r>
            </w:hyperlink>
          </w:p>
        </w:tc>
        <w:tc>
          <w:tcPr>
            <w:tcW w:w="40" w:type="dxa"/>
            <w:vAlign w:val="bottom"/>
            <w:gridSpan w:val="4"/>
          </w:tcPr>
          <w:p>
            <w:pPr>
              <w:spacing w:after="0"/>
              <w:rPr>
                <w:sz w:val="17"/>
                <w:szCs w:val="17"/>
                <w:color w:val="auto"/>
              </w:rPr>
            </w:pPr>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December 6, 2012</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Weatherly Inc. and El Dorado Chemical Company, dated November 30,</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28">
              <w:r>
                <w:rPr>
                  <w:rFonts w:ascii="Arial" w:cs="Arial" w:eastAsia="Arial" w:hAnsi="Arial"/>
                  <w:sz w:val="18"/>
                  <w:szCs w:val="18"/>
                  <w:color w:val="0000EE"/>
                  <w:w w:val="84"/>
                </w:rPr>
                <w:t>2012</w:t>
              </w:r>
            </w:hyperlink>
          </w:p>
        </w:tc>
        <w:tc>
          <w:tcPr>
            <w:tcW w:w="1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10.42</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3"/>
              </w:rPr>
            </w:pPr>
            <w:hyperlink r:id="rId129">
              <w:r>
                <w:rPr>
                  <w:rFonts w:ascii="Arial" w:cs="Arial" w:eastAsia="Arial" w:hAnsi="Arial"/>
                  <w:sz w:val="18"/>
                  <w:szCs w:val="18"/>
                  <w:color w:val="0000EE"/>
                  <w:w w:val="93"/>
                </w:rPr>
                <w:t>Engineering, Procurement and Construction Agreement, dated August 12,</w:t>
              </w:r>
            </w:hyperlink>
          </w:p>
        </w:tc>
        <w:tc>
          <w:tcPr>
            <w:tcW w:w="40" w:type="dxa"/>
            <w:vAlign w:val="bottom"/>
            <w:gridSpan w:val="3"/>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3"/>
              </w:rPr>
              <w:t>Exhibit 10.1 to the Company’s Form 8-K filed August 15,</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2013, between El Dorado Ammonia L.L.C. and SAIC Constructors, LLC</w:t>
              </w:r>
            </w:hyperlink>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2013</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10.43</w:t>
            </w:r>
          </w:p>
        </w:tc>
        <w:tc>
          <w:tcPr>
            <w:tcW w:w="5560" w:type="dxa"/>
            <w:vAlign w:val="bottom"/>
            <w:gridSpan w:val="18"/>
          </w:tcPr>
          <w:p>
            <w:pPr>
              <w:spacing w:after="0"/>
              <w:rPr>
                <w:rFonts w:ascii="Arial" w:cs="Arial" w:eastAsia="Arial" w:hAnsi="Arial"/>
                <w:sz w:val="18"/>
                <w:szCs w:val="18"/>
                <w:color w:val="0000EE"/>
                <w:w w:val="98"/>
              </w:rPr>
            </w:pPr>
            <w:hyperlink r:id="rId130">
              <w:r>
                <w:rPr>
                  <w:rFonts w:ascii="Arial" w:cs="Arial" w:eastAsia="Arial" w:hAnsi="Arial"/>
                  <w:sz w:val="18"/>
                  <w:szCs w:val="18"/>
                  <w:color w:val="0000EE"/>
                  <w:w w:val="98"/>
                </w:rPr>
                <w:t>Construction Agreement-DMW2, dated November 6, 2013, between El</w:t>
              </w:r>
            </w:hyperlink>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Exhibit  99.1  to  the  Company’s  Form  8-K  filed</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Dorado Chemical Company and SAIC Constructors, LLC</w:t>
              </w:r>
            </w:hyperlink>
          </w:p>
        </w:tc>
        <w:tc>
          <w:tcPr>
            <w:tcW w:w="60" w:type="dxa"/>
            <w:vAlign w:val="bottom"/>
            <w:gridSpan w:val="5"/>
          </w:tcPr>
          <w:p>
            <w:pPr>
              <w:spacing w:after="0"/>
              <w:rPr>
                <w:sz w:val="17"/>
                <w:szCs w:val="17"/>
                <w:color w:val="auto"/>
              </w:rPr>
            </w:pPr>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November 12, 2013</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10.44</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Construction Agreement – NACSAC, dated November 6, 2013, between El</w:t>
              </w:r>
            </w:hyperlink>
          </w:p>
        </w:tc>
        <w:tc>
          <w:tcPr>
            <w:tcW w:w="40" w:type="dxa"/>
            <w:vAlign w:val="bottom"/>
            <w:gridSpan w:val="4"/>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3"/>
              </w:rPr>
              <w:t>Exhibit 99.2 to the Company’s Form 8-K filed November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Dorado Chemical Company and SAIC Constructors, LLC</w:t>
              </w:r>
            </w:hyperlink>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12, 2013</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10.45</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Engineering, Procurement and Construction Agreement, dated December</w:t>
              </w:r>
            </w:hyperlink>
          </w:p>
        </w:tc>
        <w:tc>
          <w:tcPr>
            <w:tcW w:w="40" w:type="dxa"/>
            <w:vAlign w:val="bottom"/>
            <w:gridSpan w:val="3"/>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3"/>
              </w:rPr>
              <w:t>Exhibit 99.1 to the Company’s Form 8-K filed January 7,</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31, 2013, between El Dorado Chemical Company and SAIC Constructors,</w:t>
              </w:r>
            </w:hyperlink>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2014</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LLC</w:t>
              </w:r>
            </w:hyperlink>
          </w:p>
        </w:tc>
        <w:tc>
          <w:tcPr>
            <w:tcW w:w="140" w:type="dxa"/>
            <w:vAlign w:val="bottom"/>
            <w:tcBorders>
              <w:top w:val="single" w:sz="8" w:color="0000EE"/>
            </w:tcBorders>
            <w:gridSpan w:val="2"/>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10.46</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Engineering, Procurement and Construction Contract, Amendment No. 1</w:t>
              </w:r>
            </w:hyperlink>
          </w:p>
        </w:tc>
        <w:tc>
          <w:tcPr>
            <w:tcW w:w="40" w:type="dxa"/>
            <w:vAlign w:val="bottom"/>
            <w:gridSpan w:val="4"/>
          </w:tcPr>
          <w:p>
            <w:pPr>
              <w:spacing w:after="0"/>
              <w:rPr>
                <w:sz w:val="20"/>
                <w:szCs w:val="20"/>
                <w:color w:val="auto"/>
              </w:rPr>
            </w:pPr>
          </w:p>
        </w:tc>
        <w:tc>
          <w:tcPr>
            <w:tcW w:w="1160" w:type="dxa"/>
            <w:vAlign w:val="bottom"/>
          </w:tcPr>
          <w:p>
            <w:pPr>
              <w:ind w:left="60"/>
              <w:spacing w:after="0"/>
              <w:rPr>
                <w:sz w:val="20"/>
                <w:szCs w:val="20"/>
                <w:color w:val="auto"/>
              </w:rPr>
            </w:pPr>
            <w:r>
              <w:rPr>
                <w:rFonts w:ascii="Arial" w:cs="Arial" w:eastAsia="Arial" w:hAnsi="Arial"/>
                <w:sz w:val="18"/>
                <w:szCs w:val="18"/>
                <w:color w:val="auto"/>
              </w:rPr>
              <w:t>Exhibit  10.1</w:t>
            </w:r>
          </w:p>
        </w:tc>
        <w:tc>
          <w:tcPr>
            <w:tcW w:w="680" w:type="dxa"/>
            <w:vAlign w:val="bottom"/>
          </w:tcPr>
          <w:p>
            <w:pPr>
              <w:jc w:val="center"/>
              <w:spacing w:after="0"/>
              <w:rPr>
                <w:sz w:val="20"/>
                <w:szCs w:val="20"/>
                <w:color w:val="auto"/>
              </w:rPr>
            </w:pPr>
            <w:r>
              <w:rPr>
                <w:rFonts w:ascii="Arial" w:cs="Arial" w:eastAsia="Arial" w:hAnsi="Arial"/>
                <w:sz w:val="18"/>
                <w:szCs w:val="18"/>
                <w:color w:val="auto"/>
              </w:rPr>
              <w:t>to  the</w:t>
            </w:r>
          </w:p>
        </w:tc>
        <w:tc>
          <w:tcPr>
            <w:tcW w:w="1060" w:type="dxa"/>
            <w:vAlign w:val="bottom"/>
          </w:tcPr>
          <w:p>
            <w:pPr>
              <w:ind w:left="100"/>
              <w:spacing w:after="0"/>
              <w:rPr>
                <w:sz w:val="20"/>
                <w:szCs w:val="20"/>
                <w:color w:val="auto"/>
              </w:rPr>
            </w:pPr>
            <w:r>
              <w:rPr>
                <w:rFonts w:ascii="Arial" w:cs="Arial" w:eastAsia="Arial" w:hAnsi="Arial"/>
                <w:sz w:val="18"/>
                <w:szCs w:val="18"/>
                <w:color w:val="auto"/>
              </w:rPr>
              <w:t>Company’s</w:t>
            </w:r>
          </w:p>
        </w:tc>
        <w:tc>
          <w:tcPr>
            <w:tcW w:w="1360" w:type="dxa"/>
            <w:vAlign w:val="bottom"/>
          </w:tcPr>
          <w:p>
            <w:pPr>
              <w:ind w:left="20"/>
              <w:spacing w:after="0"/>
              <w:rPr>
                <w:sz w:val="20"/>
                <w:szCs w:val="20"/>
                <w:color w:val="auto"/>
              </w:rPr>
            </w:pPr>
            <w:r>
              <w:rPr>
                <w:rFonts w:ascii="Arial" w:cs="Arial" w:eastAsia="Arial" w:hAnsi="Arial"/>
                <w:sz w:val="18"/>
                <w:szCs w:val="18"/>
                <w:color w:val="auto"/>
              </w:rPr>
              <w:t>Form  8-K  filed</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133">
              <w:r>
                <w:rPr>
                  <w:rFonts w:ascii="Arial" w:cs="Arial" w:eastAsia="Arial" w:hAnsi="Arial"/>
                  <w:sz w:val="18"/>
                  <w:szCs w:val="18"/>
                  <w:color w:val="0000EE"/>
                  <w:w w:val="97"/>
                </w:rPr>
                <w:t>dated October 20, 2015, by and between El Dorado Ammonia LLC and</w:t>
              </w:r>
            </w:hyperlink>
          </w:p>
        </w:tc>
        <w:tc>
          <w:tcPr>
            <w:tcW w:w="40" w:type="dxa"/>
            <w:vAlign w:val="bottom"/>
            <w:gridSpan w:val="3"/>
          </w:tcPr>
          <w:p>
            <w:pPr>
              <w:spacing w:after="0"/>
              <w:rPr>
                <w:sz w:val="17"/>
                <w:szCs w:val="17"/>
                <w:color w:val="auto"/>
              </w:rPr>
            </w:pPr>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October 26, 2015</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SAIC Constructors, LLC</w:t>
              </w:r>
            </w:hyperlink>
          </w:p>
        </w:tc>
        <w:tc>
          <w:tcPr>
            <w:tcW w:w="3760" w:type="dxa"/>
            <w:vAlign w:val="bottom"/>
            <w:gridSpan w:val="12"/>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10.47</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Settlement Agreement, dated April 26, 2015, by and among the Company</w:t>
              </w:r>
            </w:hyperlink>
          </w:p>
        </w:tc>
        <w:tc>
          <w:tcPr>
            <w:tcW w:w="40" w:type="dxa"/>
            <w:vAlign w:val="bottom"/>
            <w:gridSpan w:val="4"/>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7"/>
              </w:rPr>
              <w:t>Exhibit 99.1 to the Company’s Form 8-K filed April 30,</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and Starboard Value LP and its certain affiliates and associates</w:t>
              </w:r>
            </w:hyperlink>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10.48</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Consent Decree, dated May 28, 2014, by and among, LSB Industries, Inc.,</w:t>
              </w:r>
            </w:hyperlink>
          </w:p>
        </w:tc>
        <w:tc>
          <w:tcPr>
            <w:tcW w:w="40" w:type="dxa"/>
            <w:vAlign w:val="bottom"/>
            <w:gridSpan w:val="4"/>
          </w:tcPr>
          <w:p>
            <w:pPr>
              <w:spacing w:after="0"/>
              <w:rPr>
                <w:sz w:val="20"/>
                <w:szCs w:val="20"/>
                <w:color w:val="auto"/>
              </w:rPr>
            </w:pPr>
          </w:p>
        </w:tc>
        <w:tc>
          <w:tcPr>
            <w:tcW w:w="4260" w:type="dxa"/>
            <w:vAlign w:val="bottom"/>
            <w:gridSpan w:val="4"/>
          </w:tcPr>
          <w:p>
            <w:pPr>
              <w:ind w:left="60"/>
              <w:spacing w:after="0"/>
              <w:rPr>
                <w:sz w:val="20"/>
                <w:szCs w:val="20"/>
                <w:color w:val="auto"/>
              </w:rPr>
            </w:pPr>
            <w:r>
              <w:rPr>
                <w:rFonts w:ascii="Arial" w:cs="Arial" w:eastAsia="Arial" w:hAnsi="Arial"/>
                <w:sz w:val="18"/>
                <w:szCs w:val="18"/>
                <w:color w:val="auto"/>
                <w:w w:val="99"/>
              </w:rPr>
              <w:t>Exhibit 99.1 to the Company’s Form 8-K filed June 3,</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35">
              <w:r>
                <w:rPr>
                  <w:rFonts w:ascii="Arial" w:cs="Arial" w:eastAsia="Arial" w:hAnsi="Arial"/>
                  <w:sz w:val="18"/>
                  <w:szCs w:val="18"/>
                  <w:color w:val="0000EE"/>
                  <w:w w:val="94"/>
                </w:rPr>
                <w:t>El Dorado Chemical Co., Cherokee Nitrogen Co., Pryor Chemical Co., El</w:t>
              </w:r>
            </w:hyperlink>
          </w:p>
        </w:tc>
        <w:tc>
          <w:tcPr>
            <w:tcW w:w="40" w:type="dxa"/>
            <w:vAlign w:val="bottom"/>
            <w:gridSpan w:val="2"/>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2014</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Dorado  Nitrogen,  L.P.,  the  U.S.  Department  of  Justice,  the  U.S.</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Environmental   Protection   Agency,   the   Alabama   Department   of</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w w:val="98"/>
              </w:rPr>
            </w:pPr>
            <w:hyperlink r:id="rId135">
              <w:r>
                <w:rPr>
                  <w:rFonts w:ascii="Arial" w:cs="Arial" w:eastAsia="Arial" w:hAnsi="Arial"/>
                  <w:sz w:val="18"/>
                  <w:szCs w:val="18"/>
                  <w:color w:val="0000EE"/>
                  <w:w w:val="98"/>
                </w:rPr>
                <w:t>Environmental   Management,   and   the   Oklahoma   Department   of</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Environment Quality</w:t>
              </w:r>
            </w:hyperlink>
          </w:p>
        </w:tc>
        <w:tc>
          <w:tcPr>
            <w:tcW w:w="3980" w:type="dxa"/>
            <w:vAlign w:val="bottom"/>
            <w:tcBorders>
              <w:top w:val="single" w:sz="8" w:color="0000EE"/>
            </w:tcBorders>
            <w:gridSpan w:val="8"/>
          </w:tcPr>
          <w:p>
            <w:pPr>
              <w:spacing w:after="0"/>
              <w:rPr>
                <w:sz w:val="17"/>
                <w:szCs w:val="17"/>
                <w:color w:val="auto"/>
              </w:rPr>
            </w:pPr>
          </w:p>
        </w:tc>
        <w:tc>
          <w:tcPr>
            <w:tcW w:w="6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10.49</w:t>
            </w:r>
          </w:p>
        </w:tc>
        <w:tc>
          <w:tcPr>
            <w:tcW w:w="5560" w:type="dxa"/>
            <w:vAlign w:val="bottom"/>
            <w:gridSpan w:val="18"/>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Second  Amended  and  Restated  Loan  and  Security  Agreement,  dated</w:t>
              </w:r>
            </w:hyperlink>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Exhibit  4.9  to  the  Company’s  Form  10-K  filed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December 31, 2013, by and among LSB Industries, Inc., each of its</w:t>
              </w:r>
            </w:hyperlink>
          </w:p>
        </w:tc>
        <w:tc>
          <w:tcPr>
            <w:tcW w:w="18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February 27, 2014</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8"/>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subsidiaries that are signatories thereto, the lenders signatories thereto, and</w:t>
              </w:r>
            </w:hyperlink>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Wells Fargo Capital Finance, LLC</w:t>
              </w:r>
            </w:hyperlink>
          </w:p>
        </w:tc>
        <w:tc>
          <w:tcPr>
            <w:tcW w:w="6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4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gridSpan w:val="5"/>
          </w:tcPr>
          <w:p>
            <w:pPr>
              <w:spacing w:after="0"/>
              <w:rPr>
                <w:sz w:val="24"/>
                <w:szCs w:val="24"/>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49" w:name="page50"/>
    <w:bookmarkEnd w:id="49"/>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20" w:type="dxa"/>
            <w:vAlign w:val="bottom"/>
          </w:tcPr>
          <w:p>
            <w:pPr>
              <w:jc w:val="right"/>
              <w:ind w:right="830"/>
              <w:spacing w:after="0" w:line="174" w:lineRule="exact"/>
              <w:rPr>
                <w:sz w:val="20"/>
                <w:szCs w:val="20"/>
                <w:color w:val="auto"/>
              </w:rPr>
            </w:pPr>
            <w:r>
              <w:rPr>
                <w:rFonts w:ascii="Arial" w:cs="Arial" w:eastAsia="Arial" w:hAnsi="Arial"/>
                <w:sz w:val="18"/>
                <w:szCs w:val="18"/>
                <w:color w:val="auto"/>
              </w:rPr>
              <w:t>10.50</w:t>
            </w:r>
          </w:p>
        </w:tc>
        <w:tc>
          <w:tcPr>
            <w:tcW w:w="5520" w:type="dxa"/>
            <w:vAlign w:val="bottom"/>
            <w:tcBorders>
              <w:bottom w:val="single" w:sz="8" w:color="0000EE"/>
            </w:tcBorders>
            <w:gridSpan w:val="13"/>
          </w:tcPr>
          <w:p>
            <w:pPr>
              <w:spacing w:after="0" w:line="174"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Amendment No. 1 to the Second Amended and Restated Loan and Security</w:t>
              </w:r>
            </w:hyperlink>
          </w:p>
        </w:tc>
        <w:tc>
          <w:tcPr>
            <w:tcW w:w="40" w:type="dxa"/>
            <w:vAlign w:val="bottom"/>
          </w:tcPr>
          <w:p>
            <w:pPr>
              <w:spacing w:after="0"/>
              <w:rPr>
                <w:sz w:val="15"/>
                <w:szCs w:val="15"/>
                <w:color w:val="auto"/>
              </w:rPr>
            </w:pPr>
          </w:p>
        </w:tc>
        <w:tc>
          <w:tcPr>
            <w:tcW w:w="4260" w:type="dxa"/>
            <w:vAlign w:val="bottom"/>
            <w:gridSpan w:val="8"/>
          </w:tcPr>
          <w:p>
            <w:pPr>
              <w:ind w:left="60"/>
              <w:spacing w:after="0" w:line="174" w:lineRule="exact"/>
              <w:rPr>
                <w:sz w:val="20"/>
                <w:szCs w:val="20"/>
                <w:color w:val="auto"/>
              </w:rPr>
            </w:pPr>
            <w:r>
              <w:rPr>
                <w:rFonts w:ascii="Arial" w:cs="Arial" w:eastAsia="Arial" w:hAnsi="Arial"/>
                <w:sz w:val="18"/>
                <w:szCs w:val="18"/>
                <w:color w:val="auto"/>
                <w:w w:val="96"/>
              </w:rPr>
              <w:t>Exhibit 99.1 to the Company’s Form 8-K filed June 17,</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Agreement, dated as of June 11, 2015, by and among LSB Industries, Inc.</w:t>
              </w:r>
            </w:hyperlink>
          </w:p>
        </w:tc>
        <w:tc>
          <w:tcPr>
            <w:tcW w:w="40" w:type="dxa"/>
            <w:vAlign w:val="bottom"/>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rPr>
              <w:t>2015</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4"/>
              </w:rPr>
            </w:pPr>
            <w:hyperlink r:id="rId140">
              <w:r>
                <w:rPr>
                  <w:rFonts w:ascii="Arial" w:cs="Arial" w:eastAsia="Arial" w:hAnsi="Arial"/>
                  <w:sz w:val="18"/>
                  <w:szCs w:val="18"/>
                  <w:color w:val="0000EE"/>
                  <w:w w:val="94"/>
                </w:rPr>
                <w:t>its  subsidiaries  identified  on  the  signature  pages  thereof,  the  lenders</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identified on the signature pages thereof and Wells Fargo Capital Finance,</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LLC, as the arranger and administrative agent for the Lenders</w:t>
              </w:r>
            </w:hyperlink>
          </w:p>
        </w:tc>
        <w:tc>
          <w:tcPr>
            <w:tcW w:w="1060" w:type="dxa"/>
            <w:vAlign w:val="bottom"/>
            <w:tcBorders>
              <w:top w:val="single" w:sz="8" w:color="0000EE"/>
            </w:tcBorders>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10.51</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Amendment No. 2 to the Second Amended and Restated Loan and Security</w:t>
              </w:r>
            </w:hyperlink>
          </w:p>
        </w:tc>
        <w:tc>
          <w:tcPr>
            <w:tcW w:w="40" w:type="dxa"/>
            <w:vAlign w:val="bottom"/>
          </w:tcPr>
          <w:p>
            <w:pPr>
              <w:spacing w:after="0"/>
              <w:rPr>
                <w:sz w:val="20"/>
                <w:szCs w:val="20"/>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10.3  to  the  Company’s  Form  8-K  filed</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Agreement, dated as of November 9, 2015, by and among LSB Industries,</w:t>
              </w:r>
            </w:hyperlink>
          </w:p>
        </w:tc>
        <w:tc>
          <w:tcPr>
            <w:tcW w:w="40" w:type="dxa"/>
            <w:vAlign w:val="bottom"/>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1"/>
              </w:rPr>
              <w:t>November 16, 2015</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Inc., its subsidiaries identified on the signature pages thereof, the lenders</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identified on the signature pages thereof, and Wells Fargo Capital Finance,</w:t>
              </w:r>
            </w:hyperlink>
          </w:p>
        </w:tc>
        <w:tc>
          <w:tcPr>
            <w:tcW w:w="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4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LLC, as the arranger and administrative agent for the Lenders</w:t>
              </w:r>
            </w:hyperlink>
          </w:p>
        </w:tc>
        <w:tc>
          <w:tcPr>
            <w:tcW w:w="112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10.52</w:t>
            </w:r>
          </w:p>
        </w:tc>
        <w:tc>
          <w:tcPr>
            <w:tcW w:w="5520" w:type="dxa"/>
            <w:vAlign w:val="bottom"/>
            <w:tcBorders>
              <w:bottom w:val="single" w:sz="8" w:color="0000EE"/>
            </w:tcBorders>
            <w:gridSpan w:val="13"/>
          </w:tcPr>
          <w:p>
            <w:pPr>
              <w:spacing w:after="0"/>
              <w:rPr>
                <w:rFonts w:ascii="Arial" w:cs="Arial" w:eastAsia="Arial" w:hAnsi="Arial"/>
                <w:sz w:val="18"/>
                <w:szCs w:val="18"/>
                <w:color w:val="0000EE"/>
                <w:w w:val="95"/>
              </w:rPr>
            </w:pPr>
            <w:hyperlink r:id="rId142">
              <w:r>
                <w:rPr>
                  <w:rFonts w:ascii="Arial" w:cs="Arial" w:eastAsia="Arial" w:hAnsi="Arial"/>
                  <w:sz w:val="18"/>
                  <w:szCs w:val="18"/>
                  <w:color w:val="0000EE"/>
                  <w:w w:val="95"/>
                </w:rPr>
                <w:t>Third Amended and Restated Loan and Security Agreement, dated as of</w:t>
              </w:r>
            </w:hyperlink>
          </w:p>
        </w:tc>
        <w:tc>
          <w:tcPr>
            <w:tcW w:w="4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Exhibit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10.1</w:t>
            </w:r>
          </w:p>
        </w:tc>
        <w:tc>
          <w:tcPr>
            <w:tcW w:w="340" w:type="dxa"/>
            <w:vAlign w:val="bottom"/>
          </w:tcPr>
          <w:p>
            <w:pPr>
              <w:ind w:left="60"/>
              <w:spacing w:after="0"/>
              <w:rPr>
                <w:sz w:val="20"/>
                <w:szCs w:val="20"/>
                <w:color w:val="auto"/>
              </w:rPr>
            </w:pPr>
            <w:r>
              <w:rPr>
                <w:rFonts w:ascii="Arial" w:cs="Arial" w:eastAsia="Arial" w:hAnsi="Arial"/>
                <w:sz w:val="18"/>
                <w:szCs w:val="18"/>
                <w:color w:val="auto"/>
              </w:rPr>
              <w:t>to</w:t>
            </w:r>
          </w:p>
        </w:tc>
        <w:tc>
          <w:tcPr>
            <w:tcW w:w="340" w:type="dxa"/>
            <w:vAlign w:val="bottom"/>
          </w:tcPr>
          <w:p>
            <w:pPr>
              <w:ind w:left="20"/>
              <w:spacing w:after="0"/>
              <w:rPr>
                <w:sz w:val="20"/>
                <w:szCs w:val="20"/>
                <w:color w:val="auto"/>
              </w:rPr>
            </w:pPr>
            <w:r>
              <w:rPr>
                <w:rFonts w:ascii="Arial" w:cs="Arial" w:eastAsia="Arial" w:hAnsi="Arial"/>
                <w:sz w:val="18"/>
                <w:szCs w:val="18"/>
                <w:color w:val="auto"/>
              </w:rPr>
              <w:t>the</w:t>
            </w:r>
          </w:p>
        </w:tc>
        <w:tc>
          <w:tcPr>
            <w:tcW w:w="960" w:type="dxa"/>
            <w:vAlign w:val="bottom"/>
          </w:tcPr>
          <w:p>
            <w:pPr>
              <w:ind w:left="80"/>
              <w:spacing w:after="0"/>
              <w:rPr>
                <w:sz w:val="20"/>
                <w:szCs w:val="20"/>
                <w:color w:val="auto"/>
              </w:rPr>
            </w:pPr>
            <w:r>
              <w:rPr>
                <w:rFonts w:ascii="Arial" w:cs="Arial" w:eastAsia="Arial" w:hAnsi="Arial"/>
                <w:sz w:val="18"/>
                <w:szCs w:val="18"/>
                <w:color w:val="auto"/>
                <w:w w:val="95"/>
              </w:rPr>
              <w:t>Company’s</w:t>
            </w:r>
          </w:p>
        </w:tc>
        <w:tc>
          <w:tcPr>
            <w:tcW w:w="540" w:type="dxa"/>
            <w:vAlign w:val="bottom"/>
          </w:tcPr>
          <w:p>
            <w:pPr>
              <w:ind w:left="100"/>
              <w:spacing w:after="0"/>
              <w:rPr>
                <w:sz w:val="20"/>
                <w:szCs w:val="20"/>
                <w:color w:val="auto"/>
              </w:rPr>
            </w:pPr>
            <w:r>
              <w:rPr>
                <w:rFonts w:ascii="Arial" w:cs="Arial" w:eastAsia="Arial" w:hAnsi="Arial"/>
                <w:sz w:val="18"/>
                <w:szCs w:val="18"/>
                <w:color w:val="auto"/>
                <w:w w:val="99"/>
              </w:rPr>
              <w:t>Form</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400" w:type="dxa"/>
            <w:vAlign w:val="bottom"/>
          </w:tcPr>
          <w:p>
            <w:pPr>
              <w:ind w:left="6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January 17, 2017, by and among LSB Industries, Inc., the subsidiaries of</w:t>
              </w:r>
            </w:hyperlink>
          </w:p>
        </w:tc>
        <w:tc>
          <w:tcPr>
            <w:tcW w:w="40" w:type="dxa"/>
            <w:vAlign w:val="bottom"/>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January 20, 2017</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LSB Industries, Inc. party thereto, the lenders party thereto, and Wells Fargo</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Capital Finance, LLC, as the arranger and administrative agent.</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10.53</w:t>
            </w:r>
          </w:p>
        </w:tc>
        <w:tc>
          <w:tcPr>
            <w:tcW w:w="5520" w:type="dxa"/>
            <w:vAlign w:val="bottom"/>
            <w:tcBorders>
              <w:bottom w:val="single" w:sz="8" w:color="0000EE"/>
            </w:tcBorders>
            <w:gridSpan w:val="12"/>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First Amendment to Third Amended and Restated Loan and Security</w:t>
              </w:r>
            </w:hyperlink>
          </w:p>
        </w:tc>
        <w:tc>
          <w:tcPr>
            <w:tcW w:w="40" w:type="dxa"/>
            <w:vAlign w:val="bottom"/>
            <w:gridSpan w:val="2"/>
          </w:tcPr>
          <w:p>
            <w:pPr>
              <w:spacing w:after="0"/>
              <w:rPr>
                <w:sz w:val="20"/>
                <w:szCs w:val="20"/>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w w:val="97"/>
              </w:rPr>
              <w:t>Exhibit 10.1 to the Company’s Form 8-K filed April 20,</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Agreement, dated as of April 16, 2018, by and among Wells Fargo Capital</w:t>
              </w:r>
            </w:hyperlink>
          </w:p>
        </w:tc>
        <w:tc>
          <w:tcPr>
            <w:tcW w:w="40" w:type="dxa"/>
            <w:vAlign w:val="bottom"/>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Finance, LLC, as the arranger and administrative agent, the lenders party</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thereto, LSB Industries, Inc. and its subsidiaries identified on the signature</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pages thereto as borrowers and the Company’s subsidiaries identified on the</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43">
              <w:r>
                <w:rPr>
                  <w:rFonts w:ascii="Arial" w:cs="Arial" w:eastAsia="Arial" w:hAnsi="Arial"/>
                  <w:sz w:val="18"/>
                  <w:szCs w:val="18"/>
                  <w:color w:val="0000EE"/>
                  <w:w w:val="86"/>
                </w:rPr>
                <w:t>signature pages thereto as guarantors.</w:t>
              </w:r>
            </w:hyperlink>
          </w:p>
        </w:tc>
        <w:tc>
          <w:tcPr>
            <w:tcW w:w="286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10.54</w:t>
            </w:r>
          </w:p>
        </w:tc>
        <w:tc>
          <w:tcPr>
            <w:tcW w:w="5560" w:type="dxa"/>
            <w:vAlign w:val="bottom"/>
            <w:gridSpan w:val="14"/>
          </w:tcPr>
          <w:p>
            <w:pPr>
              <w:spacing w:after="0"/>
              <w:rPr>
                <w:rFonts w:ascii="Arial" w:cs="Arial" w:eastAsia="Arial" w:hAnsi="Arial"/>
                <w:sz w:val="18"/>
                <w:szCs w:val="18"/>
                <w:color w:val="0000EE"/>
                <w:w w:val="96"/>
              </w:rPr>
            </w:pPr>
            <w:hyperlink r:id="rId144">
              <w:r>
                <w:rPr>
                  <w:rFonts w:ascii="Arial" w:cs="Arial" w:eastAsia="Arial" w:hAnsi="Arial"/>
                  <w:sz w:val="18"/>
                  <w:szCs w:val="18"/>
                  <w:color w:val="0000EE"/>
                  <w:w w:val="96"/>
                </w:rPr>
                <w:t>Second Amendment to Third Amended and Restated Loan and Security</w:t>
              </w:r>
            </w:hyperlink>
          </w:p>
        </w:tc>
        <w:tc>
          <w:tcPr>
            <w:tcW w:w="4260" w:type="dxa"/>
            <w:vAlign w:val="bottom"/>
            <w:gridSpan w:val="8"/>
          </w:tcPr>
          <w:p>
            <w:pPr>
              <w:ind w:left="60"/>
              <w:spacing w:after="0"/>
              <w:rPr>
                <w:sz w:val="20"/>
                <w:szCs w:val="20"/>
                <w:color w:val="auto"/>
              </w:rPr>
            </w:pPr>
            <w:r>
              <w:rPr>
                <w:rFonts w:ascii="Arial" w:cs="Arial" w:eastAsia="Arial" w:hAnsi="Arial"/>
                <w:sz w:val="18"/>
                <w:szCs w:val="18"/>
                <w:color w:val="auto"/>
                <w:w w:val="98"/>
              </w:rPr>
              <w:t>Exhibit 4.1 to the Company’s Form 8-K filed February</w:t>
            </w: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144">
              <w:r>
                <w:rPr>
                  <w:rFonts w:ascii="Arial" w:cs="Arial" w:eastAsia="Arial" w:hAnsi="Arial"/>
                  <w:sz w:val="18"/>
                  <w:szCs w:val="18"/>
                  <w:color w:val="0000EE"/>
                  <w:w w:val="97"/>
                </w:rPr>
                <w:t>Agreement, dated as of February 26, 2019, by and among Wells Fargo</w:t>
              </w:r>
            </w:hyperlink>
          </w:p>
        </w:tc>
        <w:tc>
          <w:tcPr>
            <w:tcW w:w="40" w:type="dxa"/>
            <w:vAlign w:val="bottom"/>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w w:val="91"/>
              </w:rPr>
              <w:t>28, 2019</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Capital Finance, LLC, as the arranger and administrative agent, the lenders</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party thereto, LSB Industries, Inc. and its subsidiaries identified on the</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signature  pages  thereto  as  borrowers  and  the  Company’s  subsidiaries</w:t>
              </w:r>
            </w:hyperlink>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identified on the signature pages thereto as guarantors.</w:t>
              </w:r>
            </w:hyperlink>
          </w:p>
        </w:tc>
        <w:tc>
          <w:tcPr>
            <w:tcW w:w="158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10.55</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Third Amendment to Third Amended and Restated Loan and Security</w:t>
              </w:r>
            </w:hyperlink>
          </w:p>
        </w:tc>
        <w:tc>
          <w:tcPr>
            <w:tcW w:w="40" w:type="dxa"/>
            <w:vAlign w:val="bottom"/>
            <w:gridSpan w:val="2"/>
          </w:tcPr>
          <w:p>
            <w:pPr>
              <w:spacing w:after="0"/>
              <w:rPr>
                <w:sz w:val="20"/>
                <w:szCs w:val="20"/>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w w:val="97"/>
              </w:rPr>
              <w:t>Exhibit 10.3 to the Company’s Form 10-Q filed May 7,</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Agreement, dated as of April 20, 2020, by and among Wells Fargo Capital</w:t>
              </w:r>
            </w:hyperlink>
          </w:p>
        </w:tc>
        <w:tc>
          <w:tcPr>
            <w:tcW w:w="40" w:type="dxa"/>
            <w:vAlign w:val="bottom"/>
          </w:tcPr>
          <w:p>
            <w:pPr>
              <w:spacing w:after="0"/>
              <w:rPr>
                <w:sz w:val="17"/>
                <w:szCs w:val="17"/>
                <w:color w:val="auto"/>
              </w:rPr>
            </w:pP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rPr>
              <w:t>2020</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Finance, LLC, as the arranger and administrative agent, the lenders party</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thereto, LSB Industries, Inc. and its subsidiaries identified on the signature</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pages thereto as borrowers and the Company’s subsidiaries identified on the</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66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signature pages thereto as guarantors</w:t>
              </w:r>
            </w:hyperlink>
          </w:p>
        </w:tc>
        <w:tc>
          <w:tcPr>
            <w:tcW w:w="290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10.56</w:t>
            </w:r>
          </w:p>
        </w:tc>
        <w:tc>
          <w:tcPr>
            <w:tcW w:w="5560" w:type="dxa"/>
            <w:vAlign w:val="bottom"/>
            <w:gridSpan w:val="14"/>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Consent and Fourth Amendment to Third Amended and Restated Loan and</w:t>
              </w:r>
            </w:hyperlink>
          </w:p>
        </w:tc>
        <w:tc>
          <w:tcPr>
            <w:tcW w:w="4260" w:type="dxa"/>
            <w:vAlign w:val="bottom"/>
            <w:gridSpan w:val="8"/>
          </w:tcPr>
          <w:p>
            <w:pPr>
              <w:ind w:left="60"/>
              <w:spacing w:after="0"/>
              <w:rPr>
                <w:sz w:val="20"/>
                <w:szCs w:val="20"/>
                <w:color w:val="auto"/>
              </w:rPr>
            </w:pPr>
            <w:r>
              <w:rPr>
                <w:rFonts w:ascii="Arial" w:cs="Arial" w:eastAsia="Arial" w:hAnsi="Arial"/>
                <w:sz w:val="18"/>
                <w:szCs w:val="18"/>
                <w:color w:val="auto"/>
                <w:w w:val="92"/>
              </w:rPr>
              <w:t>Exhibit 10.1 to the Company’s Form 8-K filed September</w:t>
            </w: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60" w:type="dxa"/>
            <w:vAlign w:val="bottom"/>
            <w:gridSpan w:val="14"/>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Security Agreement, dated as of September 22, 2021, by and among Wells</w:t>
              </w:r>
            </w:hyperlink>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w w:val="91"/>
              </w:rPr>
              <w:t>27, 2021</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Fargo Capital Finance, LLC, as the arranger and administrative agent, the</w:t>
              </w:r>
            </w:hyperlink>
          </w:p>
        </w:tc>
        <w:tc>
          <w:tcPr>
            <w:tcW w:w="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lenders party thereto, LSB Industries, Inc. and its subsidiaries identified on</w:t>
              </w:r>
            </w:hyperlink>
          </w:p>
        </w:tc>
        <w:tc>
          <w:tcPr>
            <w:tcW w:w="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the signature pages thereto as borrowers and the Company’s subsidiaries</w:t>
              </w:r>
            </w:hyperlink>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8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46">
              <w:r>
                <w:rPr>
                  <w:rFonts w:ascii="Arial" w:cs="Arial" w:eastAsia="Arial" w:hAnsi="Arial"/>
                  <w:sz w:val="18"/>
                  <w:szCs w:val="18"/>
                  <w:color w:val="0000EE"/>
                  <w:w w:val="88"/>
                </w:rPr>
                <w:t>identified on the signature pages thereto as guarantors</w:t>
              </w:r>
            </w:hyperlink>
          </w:p>
        </w:tc>
        <w:tc>
          <w:tcPr>
            <w:tcW w:w="16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10.57</w:t>
            </w:r>
          </w:p>
        </w:tc>
        <w:tc>
          <w:tcPr>
            <w:tcW w:w="6280" w:type="dxa"/>
            <w:vAlign w:val="bottom"/>
            <w:gridSpan w:val="15"/>
          </w:tcPr>
          <w:p>
            <w:pPr>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 xml:space="preserve">Security Agreement dated as of August 7, 2013, among LSB Industries, Inc. </w:t>
              </w:r>
            </w:hyperlink>
            <w:r>
              <w:rPr>
                <w:rFonts w:ascii="Arial" w:cs="Arial" w:eastAsia="Arial" w:hAnsi="Arial"/>
                <w:sz w:val="18"/>
                <w:szCs w:val="18"/>
                <w:color w:val="000000"/>
                <w:w w:val="94"/>
              </w:rPr>
              <w:t>Exhibit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10.72</w:t>
            </w:r>
          </w:p>
        </w:tc>
        <w:tc>
          <w:tcPr>
            <w:tcW w:w="340" w:type="dxa"/>
            <w:vAlign w:val="bottom"/>
          </w:tcPr>
          <w:p>
            <w:pPr>
              <w:ind w:left="100"/>
              <w:spacing w:after="0"/>
              <w:rPr>
                <w:sz w:val="20"/>
                <w:szCs w:val="20"/>
                <w:color w:val="auto"/>
              </w:rPr>
            </w:pPr>
            <w:r>
              <w:rPr>
                <w:rFonts w:ascii="Arial" w:cs="Arial" w:eastAsia="Arial" w:hAnsi="Arial"/>
                <w:sz w:val="18"/>
                <w:szCs w:val="18"/>
                <w:color w:val="auto"/>
              </w:rPr>
              <w:t>to</w:t>
            </w:r>
          </w:p>
        </w:tc>
        <w:tc>
          <w:tcPr>
            <w:tcW w:w="340" w:type="dxa"/>
            <w:vAlign w:val="bottom"/>
          </w:tcPr>
          <w:p>
            <w:pPr>
              <w:ind w:left="40"/>
              <w:spacing w:after="0"/>
              <w:rPr>
                <w:sz w:val="20"/>
                <w:szCs w:val="20"/>
                <w:color w:val="auto"/>
              </w:rPr>
            </w:pPr>
            <w:r>
              <w:rPr>
                <w:rFonts w:ascii="Arial" w:cs="Arial" w:eastAsia="Arial" w:hAnsi="Arial"/>
                <w:sz w:val="18"/>
                <w:szCs w:val="18"/>
                <w:color w:val="auto"/>
              </w:rPr>
              <w:t>the</w:t>
            </w:r>
          </w:p>
        </w:tc>
        <w:tc>
          <w:tcPr>
            <w:tcW w:w="960" w:type="dxa"/>
            <w:vAlign w:val="bottom"/>
          </w:tcPr>
          <w:p>
            <w:pPr>
              <w:ind w:left="60"/>
              <w:spacing w:after="0"/>
              <w:rPr>
                <w:sz w:val="20"/>
                <w:szCs w:val="20"/>
                <w:color w:val="auto"/>
              </w:rPr>
            </w:pPr>
            <w:r>
              <w:rPr>
                <w:rFonts w:ascii="Arial" w:cs="Arial" w:eastAsia="Arial" w:hAnsi="Arial"/>
                <w:sz w:val="18"/>
                <w:szCs w:val="18"/>
                <w:color w:val="auto"/>
                <w:w w:val="97"/>
              </w:rPr>
              <w:t>Company’s</w:t>
            </w:r>
          </w:p>
        </w:tc>
        <w:tc>
          <w:tcPr>
            <w:tcW w:w="540" w:type="dxa"/>
            <w:vAlign w:val="bottom"/>
          </w:tcPr>
          <w:p>
            <w:pPr>
              <w:ind w:left="60"/>
              <w:spacing w:after="0"/>
              <w:rPr>
                <w:sz w:val="20"/>
                <w:szCs w:val="20"/>
                <w:color w:val="auto"/>
              </w:rPr>
            </w:pPr>
            <w:r>
              <w:rPr>
                <w:rFonts w:ascii="Arial" w:cs="Arial" w:eastAsia="Arial" w:hAnsi="Arial"/>
                <w:sz w:val="18"/>
                <w:szCs w:val="18"/>
                <w:color w:val="auto"/>
              </w:rPr>
              <w:t>Form</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400" w:type="dxa"/>
            <w:vAlign w:val="bottom"/>
          </w:tcPr>
          <w:p>
            <w:pPr>
              <w:ind w:left="60"/>
              <w:spacing w:after="0"/>
              <w:rPr>
                <w:sz w:val="20"/>
                <w:szCs w:val="20"/>
                <w:color w:val="auto"/>
              </w:rPr>
            </w:pPr>
            <w:r>
              <w:rPr>
                <w:rFonts w:ascii="Arial" w:cs="Arial" w:eastAsia="Arial" w:hAnsi="Arial"/>
                <w:sz w:val="18"/>
                <w:szCs w:val="18"/>
                <w:color w:val="auto"/>
                <w:w w:val="96"/>
              </w:rPr>
              <w:t>filed</w:t>
            </w:r>
          </w:p>
        </w:tc>
      </w:tr>
      <w:tr>
        <w:trPr>
          <w:trHeight w:val="196"/>
        </w:trPr>
        <w:tc>
          <w:tcPr>
            <w:tcW w:w="1420" w:type="dxa"/>
            <w:vAlign w:val="bottom"/>
          </w:tcPr>
          <w:p>
            <w:pPr>
              <w:spacing w:after="0"/>
              <w:rPr>
                <w:sz w:val="17"/>
                <w:szCs w:val="17"/>
                <w:color w:val="auto"/>
              </w:rPr>
            </w:pPr>
          </w:p>
        </w:tc>
        <w:tc>
          <w:tcPr>
            <w:tcW w:w="5520" w:type="dxa"/>
            <w:vAlign w:val="bottom"/>
            <w:tcBorders>
              <w:top w:val="single" w:sz="8" w:color="0000EE"/>
            </w:tcBorders>
            <w:gridSpan w:val="13"/>
          </w:tcPr>
          <w:p>
            <w:pPr>
              <w:spacing w:after="0" w:line="196" w:lineRule="exact"/>
              <w:rPr>
                <w:rFonts w:ascii="Arial" w:cs="Arial" w:eastAsia="Arial" w:hAnsi="Arial"/>
                <w:sz w:val="18"/>
                <w:szCs w:val="18"/>
                <w:color w:val="0000EE"/>
                <w:w w:val="98"/>
              </w:rPr>
            </w:pPr>
            <w:hyperlink r:id="rId147">
              <w:r>
                <w:rPr>
                  <w:rFonts w:ascii="Arial" w:cs="Arial" w:eastAsia="Arial" w:hAnsi="Arial"/>
                  <w:sz w:val="18"/>
                  <w:szCs w:val="18"/>
                  <w:color w:val="0000EE"/>
                  <w:w w:val="98"/>
                </w:rPr>
                <w:t>and the other grantors identified therein in favor of UMB Bank, N.A. as</w:t>
              </w:r>
            </w:hyperlink>
          </w:p>
        </w:tc>
        <w:tc>
          <w:tcPr>
            <w:tcW w:w="40" w:type="dxa"/>
            <w:vAlign w:val="bottom"/>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7"/>
              </w:rPr>
              <w:t>February 29, 2016</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Collateral Agent</w:t>
              </w:r>
            </w:hyperlink>
          </w:p>
        </w:tc>
        <w:tc>
          <w:tcPr>
            <w:tcW w:w="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r>
      <w:tr>
        <w:trPr>
          <w:trHeight w:val="237"/>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10.58</w:t>
            </w:r>
          </w:p>
        </w:tc>
        <w:tc>
          <w:tcPr>
            <w:tcW w:w="5520" w:type="dxa"/>
            <w:vAlign w:val="bottom"/>
            <w:tcBorders>
              <w:bottom w:val="single" w:sz="8" w:color="0000EE"/>
            </w:tcBorders>
            <w:gridSpan w:val="12"/>
          </w:tcPr>
          <w:p>
            <w:pPr>
              <w:spacing w:after="0"/>
              <w:rPr>
                <w:rFonts w:ascii="Arial" w:cs="Arial" w:eastAsia="Arial" w:hAnsi="Arial"/>
                <w:sz w:val="18"/>
                <w:szCs w:val="18"/>
                <w:color w:val="0000EE"/>
                <w:w w:val="95"/>
              </w:rPr>
            </w:pPr>
            <w:hyperlink r:id="rId148">
              <w:r>
                <w:rPr>
                  <w:rFonts w:ascii="Arial" w:cs="Arial" w:eastAsia="Arial" w:hAnsi="Arial"/>
                  <w:sz w:val="18"/>
                  <w:szCs w:val="18"/>
                  <w:color w:val="0000EE"/>
                  <w:w w:val="95"/>
                </w:rPr>
                <w:t>Supplement No. 1 to Security Agreement February 12, 2014 among LSB</w:t>
              </w:r>
            </w:hyperlink>
          </w:p>
        </w:tc>
        <w:tc>
          <w:tcPr>
            <w:tcW w:w="40" w:type="dxa"/>
            <w:vAlign w:val="bottom"/>
            <w:gridSpan w:val="2"/>
          </w:tcPr>
          <w:p>
            <w:pPr>
              <w:spacing w:after="0"/>
              <w:rPr>
                <w:sz w:val="20"/>
                <w:szCs w:val="20"/>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10.73  to  the  Company’s  Form  10-K  filed</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Industries, Inc. and the other grantors identified therein in favor of UMB</w:t>
              </w:r>
            </w:hyperlink>
          </w:p>
        </w:tc>
        <w:tc>
          <w:tcPr>
            <w:tcW w:w="40" w:type="dxa"/>
            <w:vAlign w:val="bottom"/>
            <w:gridSpan w:val="2"/>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7"/>
              </w:rPr>
              <w:t>February 29, 2016</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3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Bank, N.A., as Collateral Agent</w:t>
              </w:r>
            </w:hyperlink>
          </w:p>
        </w:tc>
        <w:tc>
          <w:tcPr>
            <w:tcW w:w="326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10.59</w:t>
            </w:r>
          </w:p>
        </w:tc>
        <w:tc>
          <w:tcPr>
            <w:tcW w:w="5560" w:type="dxa"/>
            <w:vAlign w:val="bottom"/>
            <w:gridSpan w:val="14"/>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Note Purchase Agreement, dated November 9, 2015, by and among LSB</w:t>
              </w:r>
            </w:hyperlink>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10.1  to  the  Company’s  Form  8-K  filed</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Industries, Inc., the guarantors party thereto and LSB Funding LLC</w:t>
              </w:r>
            </w:hyperlink>
          </w:p>
        </w:tc>
        <w:tc>
          <w:tcPr>
            <w:tcW w:w="60" w:type="dxa"/>
            <w:vAlign w:val="bottom"/>
            <w:gridSpan w:val="3"/>
          </w:tcPr>
          <w:p>
            <w:pPr>
              <w:spacing w:after="0"/>
              <w:rPr>
                <w:sz w:val="17"/>
                <w:szCs w:val="17"/>
                <w:color w:val="auto"/>
              </w:rPr>
            </w:pPr>
          </w:p>
        </w:tc>
        <w:tc>
          <w:tcPr>
            <w:tcW w:w="15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1"/>
              </w:rPr>
              <w:t>November 16, 2015</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1420" w:type="dxa"/>
            <w:vAlign w:val="bottom"/>
          </w:tcPr>
          <w:p>
            <w:pPr>
              <w:jc w:val="right"/>
              <w:ind w:right="830"/>
              <w:spacing w:after="0"/>
              <w:rPr>
                <w:sz w:val="20"/>
                <w:szCs w:val="20"/>
                <w:color w:val="auto"/>
              </w:rPr>
            </w:pPr>
            <w:r>
              <w:rPr>
                <w:rFonts w:ascii="Arial" w:cs="Arial" w:eastAsia="Arial" w:hAnsi="Arial"/>
                <w:sz w:val="18"/>
                <w:szCs w:val="18"/>
                <w:color w:val="auto"/>
              </w:rPr>
              <w:t>10.60</w:t>
            </w:r>
          </w:p>
        </w:tc>
        <w:tc>
          <w:tcPr>
            <w:tcW w:w="4840" w:type="dxa"/>
            <w:vAlign w:val="bottom"/>
            <w:tcBorders>
              <w:top w:val="single" w:sz="8" w:color="0000EE"/>
            </w:tcBorders>
            <w:gridSpan w:val="10"/>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Promissory Note, dated November 9, 2015, by LSB Industries, Inc</w:t>
              </w:r>
            </w:hyperlink>
            <w:r>
              <w:rPr>
                <w:rFonts w:ascii="Arial" w:cs="Arial" w:eastAsia="Arial" w:hAnsi="Arial"/>
                <w:sz w:val="18"/>
                <w:szCs w:val="18"/>
                <w:color w:val="0000FF"/>
                <w:w w:val="90"/>
              </w:rPr>
              <w:t>.</w:t>
            </w:r>
          </w:p>
        </w:tc>
        <w:tc>
          <w:tcPr>
            <w:tcW w:w="720" w:type="dxa"/>
            <w:vAlign w:val="bottom"/>
            <w:gridSpan w:val="4"/>
          </w:tcPr>
          <w:p>
            <w:pPr>
              <w:spacing w:after="0"/>
              <w:rPr>
                <w:sz w:val="20"/>
                <w:szCs w:val="20"/>
                <w:color w:val="auto"/>
              </w:rPr>
            </w:pPr>
          </w:p>
        </w:tc>
        <w:tc>
          <w:tcPr>
            <w:tcW w:w="4260" w:type="dxa"/>
            <w:vAlign w:val="bottom"/>
            <w:gridSpan w:val="8"/>
          </w:tcPr>
          <w:p>
            <w:pPr>
              <w:ind w:left="60"/>
              <w:spacing w:after="0"/>
              <w:rPr>
                <w:sz w:val="20"/>
                <w:szCs w:val="20"/>
                <w:color w:val="auto"/>
              </w:rPr>
            </w:pPr>
            <w:r>
              <w:rPr>
                <w:rFonts w:ascii="Arial" w:cs="Arial" w:eastAsia="Arial" w:hAnsi="Arial"/>
                <w:sz w:val="18"/>
                <w:szCs w:val="18"/>
                <w:color w:val="auto"/>
              </w:rPr>
              <w:t>Exhibit  10.2  to  the  Company’s  Form  8-K  filed</w:t>
            </w:r>
          </w:p>
        </w:tc>
      </w:tr>
      <w:tr>
        <w:trPr>
          <w:trHeight w:val="237"/>
        </w:trPr>
        <w:tc>
          <w:tcPr>
            <w:tcW w:w="142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auto"/>
                <w:w w:val="91"/>
              </w:rPr>
              <w:t>November 16, 2015</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1420" w:type="dxa"/>
            <w:vAlign w:val="bottom"/>
          </w:tcPr>
          <w:p>
            <w:pPr>
              <w:spacing w:after="0"/>
              <w:rPr>
                <w:sz w:val="24"/>
                <w:szCs w:val="24"/>
                <w:color w:val="auto"/>
              </w:rPr>
            </w:pPr>
          </w:p>
        </w:tc>
        <w:tc>
          <w:tcPr>
            <w:tcW w:w="4440" w:type="dxa"/>
            <w:vAlign w:val="bottom"/>
            <w:gridSpan w:val="7"/>
          </w:tcPr>
          <w:p>
            <w:pPr>
              <w:ind w:left="4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50" w:name="page51"/>
    <w:bookmarkEnd w:id="50"/>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tbl>
      <w:tblPr>
        <w:tblLayout w:type="fixed"/>
        <w:tblInd w:w="100" w:type="dxa"/>
        <w:tblCellMar>
          <w:top w:w="0" w:type="dxa"/>
          <w:left w:w="0" w:type="dxa"/>
          <w:bottom w:w="0" w:type="dxa"/>
          <w:right w:w="0" w:type="dxa"/>
        </w:tblCellMar>
      </w:tblPr>
      <w:tr>
        <w:trPr>
          <w:trHeight w:val="174"/>
        </w:trPr>
        <w:tc>
          <w:tcPr>
            <w:tcW w:w="1320" w:type="dxa"/>
            <w:vAlign w:val="bottom"/>
          </w:tcPr>
          <w:p>
            <w:pPr>
              <w:spacing w:after="0" w:line="174" w:lineRule="exact"/>
              <w:rPr>
                <w:sz w:val="20"/>
                <w:szCs w:val="20"/>
                <w:color w:val="auto"/>
              </w:rPr>
            </w:pPr>
            <w:r>
              <w:rPr>
                <w:rFonts w:ascii="Arial" w:cs="Arial" w:eastAsia="Arial" w:hAnsi="Arial"/>
                <w:sz w:val="18"/>
                <w:szCs w:val="18"/>
                <w:color w:val="auto"/>
              </w:rPr>
              <w:t>10.61</w:t>
            </w:r>
          </w:p>
        </w:tc>
        <w:tc>
          <w:tcPr>
            <w:tcW w:w="5520" w:type="dxa"/>
            <w:vAlign w:val="bottom"/>
            <w:tcBorders>
              <w:bottom w:val="single" w:sz="8" w:color="0000EE"/>
            </w:tcBorders>
            <w:gridSpan w:val="15"/>
          </w:tcPr>
          <w:p>
            <w:pPr>
              <w:spacing w:after="0" w:line="174"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Joinder Agreement to Intercreditor Agreement, dated November 9, 2015, by</w:t>
              </w:r>
            </w:hyperlink>
          </w:p>
        </w:tc>
        <w:tc>
          <w:tcPr>
            <w:tcW w:w="40" w:type="dxa"/>
            <w:vAlign w:val="bottom"/>
          </w:tcPr>
          <w:p>
            <w:pPr>
              <w:spacing w:after="0"/>
              <w:rPr>
                <w:sz w:val="15"/>
                <w:szCs w:val="15"/>
                <w:color w:val="auto"/>
              </w:rPr>
            </w:pPr>
          </w:p>
        </w:tc>
        <w:tc>
          <w:tcPr>
            <w:tcW w:w="4260" w:type="dxa"/>
            <w:vAlign w:val="bottom"/>
          </w:tcPr>
          <w:p>
            <w:pPr>
              <w:ind w:left="60"/>
              <w:spacing w:after="0" w:line="174" w:lineRule="exact"/>
              <w:rPr>
                <w:sz w:val="20"/>
                <w:szCs w:val="20"/>
                <w:color w:val="auto"/>
              </w:rPr>
            </w:pPr>
            <w:r>
              <w:rPr>
                <w:rFonts w:ascii="Arial" w:cs="Arial" w:eastAsia="Arial" w:hAnsi="Arial"/>
                <w:sz w:val="18"/>
                <w:szCs w:val="18"/>
                <w:color w:val="auto"/>
              </w:rPr>
              <w:t>Exhibit  10.4  to  the  Company’s  Form  8-K  filed</w:t>
            </w: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and among LSB Funding LLC, Wells Fargo Capital Finance, Inc., as ABL</w:t>
              </w:r>
            </w:hyperlink>
          </w:p>
        </w:tc>
        <w:tc>
          <w:tcPr>
            <w:tcW w:w="40" w:type="dxa"/>
            <w:vAlign w:val="bottom"/>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November 16, 2015</w:t>
            </w: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Agent, UMB Bank, N.A., as Notes Agent, LSB Industries, Inc. and the</w:t>
              </w:r>
            </w:hyperlink>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guarantors party thereto</w:t>
              </w:r>
            </w:hyperlink>
          </w:p>
        </w:tc>
        <w:tc>
          <w:tcPr>
            <w:tcW w:w="3840" w:type="dxa"/>
            <w:vAlign w:val="bottom"/>
            <w:gridSpan w:val="13"/>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10.62</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4"/>
              </w:rPr>
            </w:pPr>
            <w:hyperlink r:id="rId155">
              <w:r>
                <w:rPr>
                  <w:rFonts w:ascii="Arial" w:cs="Arial" w:eastAsia="Arial" w:hAnsi="Arial"/>
                  <w:sz w:val="18"/>
                  <w:szCs w:val="18"/>
                  <w:color w:val="0000EE"/>
                  <w:w w:val="94"/>
                </w:rPr>
                <w:t>Amendment No. 1 to Intercreditor Agreement, dated as of April 25, 2018,</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7"/>
              </w:rPr>
              <w:t>Exhibit 10.1 to the Company’s Form 8-K filed April 25,</w:t>
            </w: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among Wells Fargo Capital Finance, LLC, UMB Bank, n.a. and Wilmington</w:t>
              </w:r>
            </w:hyperlink>
          </w:p>
        </w:tc>
        <w:tc>
          <w:tcPr>
            <w:tcW w:w="40" w:type="dxa"/>
            <w:vAlign w:val="bottom"/>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Trust, National Association, and acknowledged by LSB Industries, Inc. and</w:t>
              </w:r>
            </w:hyperlink>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560" w:type="dxa"/>
            <w:vAlign w:val="bottom"/>
            <w:gridSpan w:val="16"/>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the subsidiary guarantors party thereto.</w:t>
              </w:r>
            </w:hyperlink>
          </w:p>
        </w:tc>
        <w:tc>
          <w:tcPr>
            <w:tcW w:w="42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10.63</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Joinder Agreement to Security Agreement, dated November 9, 2015, by and</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Exhibit  10.5  to  the  Company’s  Form  8-K  filed</w:t>
            </w:r>
          </w:p>
        </w:tc>
      </w:tr>
      <w:tr>
        <w:trPr>
          <w:trHeight w:val="196"/>
        </w:trPr>
        <w:tc>
          <w:tcPr>
            <w:tcW w:w="1320" w:type="dxa"/>
            <w:vAlign w:val="bottom"/>
          </w:tcPr>
          <w:p>
            <w:pPr>
              <w:spacing w:after="0"/>
              <w:rPr>
                <w:sz w:val="17"/>
                <w:szCs w:val="17"/>
                <w:color w:val="auto"/>
              </w:rPr>
            </w:pPr>
          </w:p>
        </w:tc>
        <w:tc>
          <w:tcPr>
            <w:tcW w:w="5560" w:type="dxa"/>
            <w:vAlign w:val="bottom"/>
            <w:gridSpan w:val="16"/>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among LSB Funding LLC, UMB Bank, N.A., as Collateral Agent, LSB</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November 16, 2015</w:t>
            </w:r>
          </w:p>
        </w:tc>
      </w:tr>
      <w:tr>
        <w:trPr>
          <w:trHeight w:val="196"/>
        </w:trPr>
        <w:tc>
          <w:tcPr>
            <w:tcW w:w="13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Industries, Inc. and the guarantors party thereto</w:t>
              </w:r>
            </w:hyperlink>
          </w:p>
        </w:tc>
        <w:tc>
          <w:tcPr>
            <w:tcW w:w="210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10.64</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4"/>
              </w:rPr>
            </w:pPr>
            <w:hyperlink r:id="rId157">
              <w:r>
                <w:rPr>
                  <w:rFonts w:ascii="Arial" w:cs="Arial" w:eastAsia="Arial" w:hAnsi="Arial"/>
                  <w:sz w:val="18"/>
                  <w:szCs w:val="18"/>
                  <w:color w:val="0000EE"/>
                  <w:w w:val="94"/>
                </w:rPr>
                <w:t>Board  Representation  and  Standstill  Agreement  by  and  among  LSB</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Exhibit  10.3  to  the  Company’s  Form  8-K  filed</w:t>
            </w: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Industries, Inc., LSB Funding LLC, Security Benefit Corporation, Todd</w:t>
              </w:r>
            </w:hyperlink>
          </w:p>
        </w:tc>
        <w:tc>
          <w:tcPr>
            <w:tcW w:w="40" w:type="dxa"/>
            <w:vAlign w:val="bottom"/>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196"/>
        </w:trPr>
        <w:tc>
          <w:tcPr>
            <w:tcW w:w="1320" w:type="dxa"/>
            <w:vAlign w:val="bottom"/>
          </w:tcPr>
          <w:p>
            <w:pPr>
              <w:spacing w:after="0"/>
              <w:rPr>
                <w:sz w:val="17"/>
                <w:szCs w:val="17"/>
                <w:color w:val="auto"/>
              </w:rPr>
            </w:pPr>
          </w:p>
        </w:tc>
        <w:tc>
          <w:tcPr>
            <w:tcW w:w="5560" w:type="dxa"/>
            <w:vAlign w:val="bottom"/>
            <w:gridSpan w:val="16"/>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Boehly and the Golsen Holders (as defined therein), dated as of December</w:t>
              </w:r>
            </w:hyperlink>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7">
              <w:r>
                <w:rPr>
                  <w:rFonts w:ascii="Arial" w:cs="Arial" w:eastAsia="Arial" w:hAnsi="Arial"/>
                  <w:sz w:val="18"/>
                  <w:szCs w:val="18"/>
                  <w:color w:val="0000EE"/>
                  <w:w w:val="86"/>
                </w:rPr>
                <w:t>4, 2015</w:t>
              </w:r>
            </w:hyperlink>
          </w:p>
        </w:tc>
        <w:tc>
          <w:tcPr>
            <w:tcW w:w="6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10.65</w:t>
            </w:r>
          </w:p>
        </w:tc>
        <w:tc>
          <w:tcPr>
            <w:tcW w:w="5560" w:type="dxa"/>
            <w:vAlign w:val="bottom"/>
            <w:gridSpan w:val="16"/>
          </w:tcPr>
          <w:p>
            <w:pPr>
              <w:spacing w:after="0"/>
              <w:rPr>
                <w:rFonts w:ascii="Arial" w:cs="Arial" w:eastAsia="Arial" w:hAnsi="Arial"/>
                <w:sz w:val="18"/>
                <w:szCs w:val="18"/>
                <w:color w:val="0000EE"/>
                <w:w w:val="96"/>
              </w:rPr>
            </w:pPr>
            <w:hyperlink r:id="rId158">
              <w:r>
                <w:rPr>
                  <w:rFonts w:ascii="Arial" w:cs="Arial" w:eastAsia="Arial" w:hAnsi="Arial"/>
                  <w:sz w:val="18"/>
                  <w:szCs w:val="18"/>
                  <w:color w:val="0000EE"/>
                  <w:w w:val="96"/>
                </w:rPr>
                <w:t>Registration Rights Agreement by and between LSB Industries, Inc. and</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10.4  to  the  Company’s  Form  8-K  filed</w:t>
            </w:r>
          </w:p>
        </w:tc>
      </w:tr>
      <w:tr>
        <w:trPr>
          <w:trHeight w:val="196"/>
        </w:trPr>
        <w:tc>
          <w:tcPr>
            <w:tcW w:w="13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LSB Funding LLC, dated as of December 4, 2015</w:t>
              </w:r>
            </w:hyperlink>
          </w:p>
        </w:tc>
        <w:tc>
          <w:tcPr>
            <w:tcW w:w="1900" w:type="dxa"/>
            <w:vAlign w:val="bottom"/>
            <w:tcBorders>
              <w:top w:val="single" w:sz="8" w:color="0000EE"/>
            </w:tcBorders>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December 8, 2015</w:t>
            </w: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10.66</w:t>
            </w:r>
          </w:p>
        </w:tc>
        <w:tc>
          <w:tcPr>
            <w:tcW w:w="5520" w:type="dxa"/>
            <w:vAlign w:val="bottom"/>
            <w:tcBorders>
              <w:bottom w:val="single" w:sz="8" w:color="0000EE"/>
            </w:tcBorders>
            <w:gridSpan w:val="15"/>
          </w:tcPr>
          <w:p>
            <w:pPr>
              <w:spacing w:after="0"/>
              <w:rPr>
                <w:rFonts w:ascii="Arial" w:cs="Arial" w:eastAsia="Arial" w:hAnsi="Arial"/>
                <w:sz w:val="18"/>
                <w:szCs w:val="18"/>
                <w:color w:val="0000EE"/>
              </w:rPr>
            </w:pPr>
            <w:hyperlink r:id="rId159">
              <w:r>
                <w:rPr>
                  <w:rFonts w:ascii="Arial" w:cs="Arial" w:eastAsia="Arial" w:hAnsi="Arial"/>
                  <w:sz w:val="18"/>
                  <w:szCs w:val="18"/>
                  <w:color w:val="0000EE"/>
                </w:rPr>
                <w:t>Letter Agreement, dated as of August 12, 2016, by and among LSB</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3"/>
              </w:rPr>
              <w:t>Exhibit 10.1 to the Company’s Form 8-K filed August 12,</w:t>
            </w:r>
          </w:p>
        </w:tc>
      </w:tr>
      <w:tr>
        <w:trPr>
          <w:trHeight w:val="196"/>
        </w:trPr>
        <w:tc>
          <w:tcPr>
            <w:tcW w:w="1320" w:type="dxa"/>
            <w:vAlign w:val="bottom"/>
          </w:tcPr>
          <w:p>
            <w:pPr>
              <w:spacing w:after="0"/>
              <w:rPr>
                <w:sz w:val="17"/>
                <w:szCs w:val="17"/>
                <w:color w:val="auto"/>
              </w:rPr>
            </w:pPr>
          </w:p>
        </w:tc>
        <w:tc>
          <w:tcPr>
            <w:tcW w:w="49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Industries, Inc., LSB Funding LLC and Security Benefit Corporation</w:t>
              </w:r>
            </w:hyperlink>
          </w:p>
        </w:tc>
        <w:tc>
          <w:tcPr>
            <w:tcW w:w="600" w:type="dxa"/>
            <w:vAlign w:val="bottom"/>
            <w:gridSpan w:val="4"/>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10.67*</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Transition Agreement dated June 30, 2017 by and between Jack E. Golsen</w:t>
              </w:r>
            </w:hyperlink>
          </w:p>
        </w:tc>
        <w:tc>
          <w:tcPr>
            <w:tcW w:w="40" w:type="dxa"/>
            <w:vAlign w:val="bottom"/>
          </w:tcPr>
          <w:p>
            <w:pPr>
              <w:spacing w:after="0"/>
              <w:rPr>
                <w:sz w:val="21"/>
                <w:szCs w:val="21"/>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w w:val="98"/>
              </w:rPr>
              <w:t>Exhibit 10.1 to the Company’s Form 8-K filed on June</w:t>
            </w:r>
          </w:p>
        </w:tc>
      </w:tr>
      <w:tr>
        <w:trPr>
          <w:trHeight w:val="196"/>
        </w:trPr>
        <w:tc>
          <w:tcPr>
            <w:tcW w:w="1320" w:type="dxa"/>
            <w:vAlign w:val="bottom"/>
          </w:tcPr>
          <w:p>
            <w:pPr>
              <w:spacing w:after="0"/>
              <w:rPr>
                <w:sz w:val="17"/>
                <w:szCs w:val="17"/>
                <w:color w:val="auto"/>
              </w:rPr>
            </w:pPr>
          </w:p>
        </w:tc>
        <w:tc>
          <w:tcPr>
            <w:tcW w:w="5560" w:type="dxa"/>
            <w:vAlign w:val="bottom"/>
            <w:gridSpan w:val="16"/>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and LSB Industries, Inc.</w:t>
              </w:r>
            </w:hyperlink>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30, 2017</w:t>
            </w:r>
          </w:p>
        </w:tc>
      </w:tr>
      <w:tr>
        <w:trPr>
          <w:trHeight w:val="20"/>
        </w:trPr>
        <w:tc>
          <w:tcPr>
            <w:tcW w:w="13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10.68</w:t>
            </w:r>
          </w:p>
        </w:tc>
        <w:tc>
          <w:tcPr>
            <w:tcW w:w="5560" w:type="dxa"/>
            <w:vAlign w:val="bottom"/>
            <w:gridSpan w:val="16"/>
          </w:tcPr>
          <w:p>
            <w:pPr>
              <w:spacing w:after="0"/>
              <w:rPr>
                <w:rFonts w:ascii="Arial" w:cs="Arial" w:eastAsia="Arial" w:hAnsi="Arial"/>
                <w:sz w:val="18"/>
                <w:szCs w:val="18"/>
                <w:color w:val="0000EE"/>
                <w:w w:val="97"/>
              </w:rPr>
            </w:pPr>
            <w:hyperlink r:id="rId161">
              <w:r>
                <w:rPr>
                  <w:rFonts w:ascii="Arial" w:cs="Arial" w:eastAsia="Arial" w:hAnsi="Arial"/>
                  <w:sz w:val="18"/>
                  <w:szCs w:val="18"/>
                  <w:color w:val="0000EE"/>
                  <w:w w:val="97"/>
                </w:rPr>
                <w:t>Amendment, dated October 26, 2017, to the Board Representation and</w:t>
              </w:r>
            </w:hyperlink>
          </w:p>
        </w:tc>
        <w:tc>
          <w:tcPr>
            <w:tcW w:w="4260" w:type="dxa"/>
            <w:vAlign w:val="bottom"/>
          </w:tcPr>
          <w:p>
            <w:pPr>
              <w:ind w:left="60"/>
              <w:spacing w:after="0"/>
              <w:rPr>
                <w:sz w:val="20"/>
                <w:szCs w:val="20"/>
                <w:color w:val="auto"/>
              </w:rPr>
            </w:pPr>
            <w:r>
              <w:rPr>
                <w:rFonts w:ascii="Arial" w:cs="Arial" w:eastAsia="Arial" w:hAnsi="Arial"/>
                <w:sz w:val="18"/>
                <w:szCs w:val="18"/>
                <w:color w:val="auto"/>
              </w:rPr>
              <w:t>Exhibit 10.1. to the Company’s Form 8-K Filed on</w:t>
            </w:r>
          </w:p>
        </w:tc>
      </w:tr>
      <w:tr>
        <w:trPr>
          <w:trHeight w:val="20"/>
        </w:trPr>
        <w:tc>
          <w:tcPr>
            <w:tcW w:w="13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Standstill Agreement by and between LSB Industries, Inc., LSB Funding</w:t>
              </w:r>
            </w:hyperlink>
          </w:p>
        </w:tc>
        <w:tc>
          <w:tcPr>
            <w:tcW w:w="40" w:type="dxa"/>
            <w:vAlign w:val="bottom"/>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October 26, 2017</w:t>
            </w: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LLC, Security Benefit Corporation, Todd Boehly, Jack E. Golsen, Barry H.</w:t>
              </w:r>
            </w:hyperlink>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Golsen, Linda Golsen Rappaport, Golsen Family LLC, SBL LLC and</w:t>
              </w:r>
            </w:hyperlink>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Golsen Petroleum Corp., dated as of December 4, 2015</w:t>
              </w:r>
            </w:hyperlink>
          </w:p>
        </w:tc>
        <w:tc>
          <w:tcPr>
            <w:tcW w:w="1580" w:type="dxa"/>
            <w:vAlign w:val="bottom"/>
            <w:gridSpan w:val="6"/>
          </w:tcPr>
          <w:p>
            <w:pPr>
              <w:spacing w:after="0"/>
              <w:rPr>
                <w:sz w:val="17"/>
                <w:szCs w:val="17"/>
                <w:color w:val="auto"/>
              </w:rPr>
            </w:pPr>
          </w:p>
        </w:tc>
        <w:tc>
          <w:tcPr>
            <w:tcW w:w="426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10.69</w:t>
            </w:r>
          </w:p>
        </w:tc>
        <w:tc>
          <w:tcPr>
            <w:tcW w:w="5520" w:type="dxa"/>
            <w:vAlign w:val="bottom"/>
            <w:tcBorders>
              <w:bottom w:val="single" w:sz="8" w:color="0000EE"/>
            </w:tcBorders>
            <w:gridSpan w:val="15"/>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Amendment to Board Representation and Standstill Agreement, dated as of</w:t>
              </w:r>
            </w:hyperlink>
          </w:p>
        </w:tc>
        <w:tc>
          <w:tcPr>
            <w:tcW w:w="4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Exhibit  10.2  to  the  Company’s  Form  8-K  filed</w:t>
            </w:r>
          </w:p>
        </w:tc>
      </w:tr>
      <w:tr>
        <w:trPr>
          <w:trHeight w:val="196"/>
        </w:trPr>
        <w:tc>
          <w:tcPr>
            <w:tcW w:w="132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October 18, 2018, by and among LSB Industries, Inc., LSB Funding LLC,</w:t>
              </w:r>
            </w:hyperlink>
          </w:p>
        </w:tc>
        <w:tc>
          <w:tcPr>
            <w:tcW w:w="40" w:type="dxa"/>
            <w:vAlign w:val="bottom"/>
          </w:tcPr>
          <w:p>
            <w:pPr>
              <w:spacing w:after="0"/>
              <w:rPr>
                <w:sz w:val="17"/>
                <w:szCs w:val="17"/>
                <w:color w:val="auto"/>
              </w:rPr>
            </w:pPr>
          </w:p>
        </w:tc>
        <w:tc>
          <w:tcPr>
            <w:tcW w:w="4260" w:type="dxa"/>
            <w:vAlign w:val="bottom"/>
          </w:tcPr>
          <w:p>
            <w:pPr>
              <w:ind w:left="60"/>
              <w:spacing w:after="0" w:line="196" w:lineRule="exact"/>
              <w:rPr>
                <w:sz w:val="20"/>
                <w:szCs w:val="20"/>
                <w:color w:val="auto"/>
              </w:rPr>
            </w:pPr>
            <w:r>
              <w:rPr>
                <w:rFonts w:ascii="Arial" w:cs="Arial" w:eastAsia="Arial" w:hAnsi="Arial"/>
                <w:sz w:val="18"/>
                <w:szCs w:val="18"/>
                <w:color w:val="auto"/>
              </w:rPr>
              <w:t>October 19, 2018</w:t>
            </w:r>
          </w:p>
        </w:tc>
      </w:tr>
      <w:tr>
        <w:trPr>
          <w:trHeight w:val="196"/>
        </w:trPr>
        <w:tc>
          <w:tcPr>
            <w:tcW w:w="1320" w:type="dxa"/>
            <w:vAlign w:val="bottom"/>
          </w:tcPr>
          <w:p>
            <w:pPr>
              <w:spacing w:after="0"/>
              <w:rPr>
                <w:sz w:val="17"/>
                <w:szCs w:val="17"/>
                <w:color w:val="auto"/>
              </w:rPr>
            </w:pPr>
          </w:p>
        </w:tc>
        <w:tc>
          <w:tcPr>
            <w:tcW w:w="5560" w:type="dxa"/>
            <w:vAlign w:val="bottom"/>
            <w:gridSpan w:val="16"/>
          </w:tcPr>
          <w:p>
            <w:pPr>
              <w:spacing w:after="0" w:line="196" w:lineRule="exact"/>
              <w:rPr>
                <w:rFonts w:ascii="Arial" w:cs="Arial" w:eastAsia="Arial" w:hAnsi="Arial"/>
                <w:sz w:val="18"/>
                <w:szCs w:val="18"/>
                <w:color w:val="0000EE"/>
                <w:w w:val="98"/>
              </w:rPr>
            </w:pPr>
            <w:hyperlink r:id="rId162">
              <w:r>
                <w:rPr>
                  <w:rFonts w:ascii="Arial" w:cs="Arial" w:eastAsia="Arial" w:hAnsi="Arial"/>
                  <w:sz w:val="18"/>
                  <w:szCs w:val="18"/>
                  <w:color w:val="0000EE"/>
                  <w:w w:val="98"/>
                </w:rPr>
                <w:t>Security Benefit Corporation, Todd Boehly and the Golsen Holders (as</w:t>
              </w:r>
            </w:hyperlink>
          </w:p>
        </w:tc>
        <w:tc>
          <w:tcPr>
            <w:tcW w:w="42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defined therein)</w:t>
              </w:r>
            </w:hyperlink>
          </w:p>
        </w:tc>
        <w:tc>
          <w:tcPr>
            <w:tcW w:w="4360" w:type="dxa"/>
            <w:vAlign w:val="bottom"/>
            <w:tcBorders>
              <w:top w:val="single" w:sz="8" w:color="0000EE"/>
            </w:tcBorders>
            <w:gridSpan w:val="11"/>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21.1(a)</w:t>
            </w:r>
          </w:p>
        </w:tc>
        <w:tc>
          <w:tcPr>
            <w:tcW w:w="20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Subsidiaries of the Company</w:t>
              </w:r>
            </w:hyperlink>
          </w:p>
        </w:tc>
        <w:tc>
          <w:tcPr>
            <w:tcW w:w="3480" w:type="dxa"/>
            <w:vAlign w:val="bottom"/>
            <w:gridSpan w:val="11"/>
          </w:tcPr>
          <w:p>
            <w:pPr>
              <w:spacing w:after="0"/>
              <w:rPr>
                <w:sz w:val="20"/>
                <w:szCs w:val="20"/>
                <w:color w:val="auto"/>
              </w:rPr>
            </w:pPr>
          </w:p>
        </w:tc>
        <w:tc>
          <w:tcPr>
            <w:tcW w:w="4260" w:type="dxa"/>
            <w:vAlign w:val="bottom"/>
          </w:tcPr>
          <w:p>
            <w:pPr>
              <w:spacing w:after="0"/>
              <w:rPr>
                <w:sz w:val="20"/>
                <w:szCs w:val="20"/>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8"/>
                <w:szCs w:val="18"/>
                <w:color w:val="auto"/>
              </w:rPr>
              <w:t>23.1(a)</w:t>
            </w:r>
          </w:p>
        </w:tc>
        <w:tc>
          <w:tcPr>
            <w:tcW w:w="5560" w:type="dxa"/>
            <w:vAlign w:val="bottom"/>
            <w:gridSpan w:val="1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Consent of Independent Registered Public Accounting Firm</w:t>
              </w:r>
            </w:hyperlink>
          </w:p>
        </w:tc>
        <w:tc>
          <w:tcPr>
            <w:tcW w:w="4260" w:type="dxa"/>
            <w:vAlign w:val="bottom"/>
          </w:tcPr>
          <w:p>
            <w:pPr>
              <w:spacing w:after="0"/>
              <w:rPr>
                <w:sz w:val="20"/>
                <w:szCs w:val="20"/>
                <w:color w:val="auto"/>
              </w:rPr>
            </w:pPr>
          </w:p>
        </w:tc>
      </w:tr>
      <w:tr>
        <w:trPr>
          <w:trHeight w:val="20"/>
        </w:trPr>
        <w:tc>
          <w:tcPr>
            <w:tcW w:w="1320" w:type="dxa"/>
            <w:vAlign w:val="bottom"/>
          </w:tcPr>
          <w:p>
            <w:pPr>
              <w:spacing w:after="0" w:line="20" w:lineRule="exact"/>
              <w:rPr>
                <w:sz w:val="1"/>
                <w:szCs w:val="1"/>
                <w:color w:val="auto"/>
              </w:rPr>
            </w:pPr>
          </w:p>
        </w:tc>
        <w:tc>
          <w:tcPr>
            <w:tcW w:w="3000" w:type="dxa"/>
            <w:vAlign w:val="bottom"/>
            <w:gridSpan w:val="7"/>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31.1(a)</w:t>
            </w:r>
          </w:p>
        </w:tc>
        <w:tc>
          <w:tcPr>
            <w:tcW w:w="55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105">
              <w:r>
                <w:rPr>
                  <w:rFonts w:ascii="Arial" w:cs="Arial" w:eastAsia="Arial" w:hAnsi="Arial"/>
                  <w:sz w:val="18"/>
                  <w:szCs w:val="18"/>
                  <w:color w:val="0000EE"/>
                  <w:w w:val="99"/>
                </w:rPr>
                <w:t>Certification of Mark T. Behrman, Chief Executive Officer, pursuant to</w:t>
              </w:r>
            </w:hyperlink>
          </w:p>
        </w:tc>
        <w:tc>
          <w:tcPr>
            <w:tcW w:w="40" w:type="dxa"/>
            <w:vAlign w:val="bottom"/>
            <w:gridSpan w:val="2"/>
          </w:tcPr>
          <w:p>
            <w:pPr>
              <w:spacing w:after="0"/>
              <w:rPr>
                <w:sz w:val="20"/>
                <w:szCs w:val="20"/>
                <w:color w:val="auto"/>
              </w:rPr>
            </w:pPr>
          </w:p>
        </w:tc>
        <w:tc>
          <w:tcPr>
            <w:tcW w:w="4260" w:type="dxa"/>
            <w:vAlign w:val="bottom"/>
          </w:tcPr>
          <w:p>
            <w:pPr>
              <w:spacing w:after="0"/>
              <w:rPr>
                <w:sz w:val="20"/>
                <w:szCs w:val="20"/>
                <w:color w:val="auto"/>
              </w:rPr>
            </w:pPr>
          </w:p>
        </w:tc>
      </w:tr>
      <w:tr>
        <w:trPr>
          <w:trHeight w:val="196"/>
        </w:trPr>
        <w:tc>
          <w:tcPr>
            <w:tcW w:w="1320" w:type="dxa"/>
            <w:vAlign w:val="bottom"/>
          </w:tcPr>
          <w:p>
            <w:pPr>
              <w:spacing w:after="0"/>
              <w:rPr>
                <w:sz w:val="17"/>
                <w:szCs w:val="17"/>
                <w:color w:val="auto"/>
              </w:rPr>
            </w:pPr>
          </w:p>
        </w:tc>
        <w:tc>
          <w:tcPr>
            <w:tcW w:w="3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Sarbanes-Oxley Act of 2002, Section 302</w:t>
              </w:r>
            </w:hyperlink>
          </w:p>
        </w:tc>
        <w:tc>
          <w:tcPr>
            <w:tcW w:w="2560" w:type="dxa"/>
            <w:vAlign w:val="bottom"/>
            <w:gridSpan w:val="9"/>
          </w:tcPr>
          <w:p>
            <w:pPr>
              <w:spacing w:after="0"/>
              <w:rPr>
                <w:sz w:val="17"/>
                <w:szCs w:val="17"/>
                <w:color w:val="auto"/>
              </w:rPr>
            </w:pPr>
          </w:p>
        </w:tc>
        <w:tc>
          <w:tcPr>
            <w:tcW w:w="4260" w:type="dxa"/>
            <w:vAlign w:val="bottom"/>
          </w:tcPr>
          <w:p>
            <w:pPr>
              <w:spacing w:after="0"/>
              <w:rPr>
                <w:sz w:val="17"/>
                <w:szCs w:val="17"/>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31.2(a)</w:t>
            </w:r>
          </w:p>
        </w:tc>
        <w:tc>
          <w:tcPr>
            <w:tcW w:w="5560" w:type="dxa"/>
            <w:vAlign w:val="bottom"/>
            <w:gridSpan w:val="16"/>
          </w:tcPr>
          <w:p>
            <w:pPr>
              <w:spacing w:after="0"/>
              <w:rPr>
                <w:rFonts w:ascii="Arial" w:cs="Arial" w:eastAsia="Arial" w:hAnsi="Arial"/>
                <w:sz w:val="18"/>
                <w:szCs w:val="18"/>
                <w:color w:val="0000EE"/>
                <w:w w:val="96"/>
              </w:rPr>
            </w:pPr>
            <w:hyperlink w:anchor="page106">
              <w:r>
                <w:rPr>
                  <w:rFonts w:ascii="Arial" w:cs="Arial" w:eastAsia="Arial" w:hAnsi="Arial"/>
                  <w:sz w:val="18"/>
                  <w:szCs w:val="18"/>
                  <w:color w:val="0000EE"/>
                  <w:w w:val="96"/>
                </w:rPr>
                <w:t>Certification of C</w:t>
              </w:r>
              <w:r>
                <w:rPr>
                  <w:rFonts w:ascii="Arial" w:cs="Arial" w:eastAsia="Arial" w:hAnsi="Arial"/>
                  <w:sz w:val="21"/>
                  <w:szCs w:val="21"/>
                  <w:color w:val="0000EE"/>
                  <w:w w:val="96"/>
                </w:rPr>
                <w:t>heryl A. Maguire</w:t>
              </w:r>
              <w:r>
                <w:rPr>
                  <w:rFonts w:ascii="Arial" w:cs="Arial" w:eastAsia="Arial" w:hAnsi="Arial"/>
                  <w:sz w:val="18"/>
                  <w:szCs w:val="18"/>
                  <w:color w:val="0000EE"/>
                  <w:w w:val="96"/>
                </w:rPr>
                <w:t>, Chief Financial Officer, pursuant to</w:t>
              </w:r>
            </w:hyperlink>
          </w:p>
        </w:tc>
        <w:tc>
          <w:tcPr>
            <w:tcW w:w="4260" w:type="dxa"/>
            <w:vAlign w:val="bottom"/>
          </w:tcPr>
          <w:p>
            <w:pPr>
              <w:spacing w:after="0"/>
              <w:rPr>
                <w:sz w:val="22"/>
                <w:szCs w:val="22"/>
                <w:color w:val="auto"/>
              </w:rPr>
            </w:pPr>
          </w:p>
        </w:tc>
      </w:tr>
      <w:tr>
        <w:trPr>
          <w:trHeight w:val="196"/>
        </w:trPr>
        <w:tc>
          <w:tcPr>
            <w:tcW w:w="13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Sarbanes-Oxley Act of 2002, Section 302</w:t>
              </w:r>
            </w:hyperlink>
          </w:p>
        </w:tc>
        <w:tc>
          <w:tcPr>
            <w:tcW w:w="250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bl>
    <w:p>
      <w:pPr>
        <w:spacing w:after="0" w:line="53" w:lineRule="exact"/>
        <w:rPr>
          <w:sz w:val="20"/>
          <w:szCs w:val="20"/>
          <w:color w:val="auto"/>
        </w:rPr>
      </w:pPr>
    </w:p>
    <w:p>
      <w:pPr>
        <w:sectPr>
          <w:pgSz w:w="11900" w:h="16838" w:orient="portrait"/>
          <w:cols w:equalWidth="0" w:num="1">
            <w:col w:w="11240"/>
          </w:cols>
          <w:pgMar w:left="320" w:top="346"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32.1(b)</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32.2(b)</w:t>
      </w:r>
    </w:p>
    <w:p>
      <w:pPr>
        <w:spacing w:after="0" w:line="20" w:lineRule="exact"/>
        <w:rPr>
          <w:sz w:val="20"/>
          <w:szCs w:val="20"/>
          <w:color w:val="auto"/>
        </w:rPr>
      </w:pPr>
      <w:r>
        <w:rPr>
          <w:sz w:val="20"/>
          <w:szCs w:val="20"/>
          <w:color w:val="auto"/>
        </w:rPr>
        <w:br w:type="column"/>
      </w:r>
    </w:p>
    <w:p>
      <w:pPr>
        <w:ind w:right="4300"/>
        <w:spacing w:after="0" w:line="269" w:lineRule="auto"/>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Certification of Mark T. Behrman, Chief Executive Officer, furnished</w:t>
        </w:r>
      </w:hyperlink>
      <w:r>
        <w:rPr>
          <w:rFonts w:ascii="Arial" w:cs="Arial" w:eastAsia="Arial" w:hAnsi="Arial"/>
          <w:sz w:val="18"/>
          <w:szCs w:val="18"/>
          <w:u w:val="single" w:color="auto"/>
          <w:color w:val="0000EE"/>
        </w:rPr>
        <w:t xml:space="preserve"> </w:t>
      </w:r>
      <w:hyperlink w:anchor="page107">
        <w:r>
          <w:rPr>
            <w:rFonts w:ascii="Arial" w:cs="Arial" w:eastAsia="Arial" w:hAnsi="Arial"/>
            <w:sz w:val="18"/>
            <w:szCs w:val="18"/>
            <w:u w:val="single" w:color="auto"/>
            <w:color w:val="0000EE"/>
          </w:rPr>
          <w:t>pursuant to Sarbanes-Oxley Act of 2002, Section 906</w:t>
        </w:r>
      </w:hyperlink>
    </w:p>
    <w:p>
      <w:pPr>
        <w:spacing w:after="0" w:line="1" w:lineRule="exact"/>
        <w:rPr>
          <w:sz w:val="20"/>
          <w:szCs w:val="20"/>
          <w:color w:val="auto"/>
        </w:rPr>
      </w:pPr>
    </w:p>
    <w:p>
      <w:pPr>
        <w:ind w:right="4300"/>
        <w:spacing w:after="0" w:line="271"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Certification of C</w:t>
        </w:r>
        <w:r>
          <w:rPr>
            <w:rFonts w:ascii="Arial" w:cs="Arial" w:eastAsia="Arial" w:hAnsi="Arial"/>
            <w:sz w:val="21"/>
            <w:szCs w:val="21"/>
            <w:u w:val="single" w:color="auto"/>
            <w:color w:val="0000EE"/>
          </w:rPr>
          <w:t>heryl A. Maguire</w:t>
        </w:r>
        <w:r>
          <w:rPr>
            <w:rFonts w:ascii="Arial" w:cs="Arial" w:eastAsia="Arial" w:hAnsi="Arial"/>
            <w:sz w:val="18"/>
            <w:szCs w:val="18"/>
            <w:u w:val="single" w:color="auto"/>
            <w:color w:val="0000EE"/>
          </w:rPr>
          <w:t>, Chief Financial Officer, furnished</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pursuant to Sarbanes-Oxley Act of 2002, Section 906</w:t>
        </w:r>
      </w:hyperlink>
    </w:p>
    <w:p>
      <w:pPr>
        <w:spacing w:after="0" w:line="1" w:lineRule="exact"/>
        <w:rPr>
          <w:sz w:val="20"/>
          <w:szCs w:val="20"/>
          <w:color w:val="auto"/>
        </w:rPr>
      </w:pPr>
    </w:p>
    <w:p>
      <w:pPr>
        <w:sectPr>
          <w:pgSz w:w="11900" w:h="16838" w:orient="portrait"/>
          <w:cols w:equalWidth="0" w:num="2">
            <w:col w:w="700" w:space="720"/>
            <w:col w:w="9820"/>
          </w:cols>
          <w:pgMar w:left="320" w:top="34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0100" w:type="dxa"/>
            <w:vAlign w:val="bottom"/>
          </w:tcPr>
          <w:p>
            <w:pPr>
              <w:ind w:left="280"/>
              <w:spacing w:after="0"/>
              <w:rPr>
                <w:sz w:val="20"/>
                <w:szCs w:val="20"/>
                <w:color w:val="auto"/>
              </w:rPr>
            </w:pPr>
            <w:r>
              <w:rPr>
                <w:rFonts w:ascii="Arial" w:cs="Arial" w:eastAsia="Arial" w:hAnsi="Arial"/>
                <w:sz w:val="18"/>
                <w:szCs w:val="18"/>
                <w:color w:val="auto"/>
              </w:rPr>
              <w:t>Inline XBRL Instance Document</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0100" w:type="dxa"/>
            <w:vAlign w:val="bottom"/>
          </w:tcPr>
          <w:p>
            <w:pPr>
              <w:ind w:left="280"/>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010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010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0100" w:type="dxa"/>
            <w:vAlign w:val="bottom"/>
          </w:tcPr>
          <w:p>
            <w:pPr>
              <w:ind w:left="28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010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72"/>
        </w:trPr>
        <w:tc>
          <w:tcPr>
            <w:tcW w:w="1140" w:type="dxa"/>
            <w:vAlign w:val="bottom"/>
          </w:tcPr>
          <w:p>
            <w:pPr>
              <w:spacing w:after="0"/>
              <w:rPr>
                <w:sz w:val="24"/>
                <w:szCs w:val="24"/>
                <w:color w:val="auto"/>
              </w:rPr>
            </w:pPr>
          </w:p>
        </w:tc>
        <w:tc>
          <w:tcPr>
            <w:tcW w:w="10100" w:type="dxa"/>
            <w:vAlign w:val="bottom"/>
          </w:tcPr>
          <w:p>
            <w:pPr>
              <w:ind w:left="4400"/>
              <w:spacing w:after="0"/>
              <w:rPr>
                <w:sz w:val="20"/>
                <w:szCs w:val="20"/>
                <w:color w:val="auto"/>
              </w:rPr>
            </w:pPr>
            <w:r>
              <w:rPr>
                <w:rFonts w:ascii="Arial" w:cs="Arial" w:eastAsia="Arial" w:hAnsi="Arial"/>
                <w:sz w:val="18"/>
                <w:szCs w:val="18"/>
                <w:color w:val="auto"/>
              </w:rPr>
              <w:t>51</w:t>
            </w:r>
          </w:p>
        </w:tc>
      </w:tr>
      <w:tr>
        <w:trPr>
          <w:trHeight w:val="115"/>
        </w:trPr>
        <w:tc>
          <w:tcPr>
            <w:tcW w:w="1140" w:type="dxa"/>
            <w:vAlign w:val="bottom"/>
            <w:tcBorders>
              <w:bottom w:val="single" w:sz="8" w:color="9A9A9A"/>
            </w:tcBorders>
          </w:tcPr>
          <w:p>
            <w:pPr>
              <w:spacing w:after="0"/>
              <w:rPr>
                <w:sz w:val="10"/>
                <w:szCs w:val="10"/>
                <w:color w:val="auto"/>
              </w:rPr>
            </w:pPr>
          </w:p>
        </w:tc>
        <w:tc>
          <w:tcPr>
            <w:tcW w:w="10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51" w:name="page52"/>
    <w:bookmarkEnd w:id="51"/>
    <w:p>
      <w:pPr>
        <w:ind w:left="52"/>
        <w:spacing w:after="0"/>
        <w:tabs>
          <w:tab w:leader="none" w:pos="3752" w:val="left"/>
          <w:tab w:leader="none" w:pos="7772"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412" w:right="3560" w:hanging="1412"/>
        <w:spacing w:after="0" w:line="258" w:lineRule="auto"/>
        <w:tabs>
          <w:tab w:leader="none" w:pos="14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4" w:lineRule="exact"/>
        <w:rPr>
          <w:sz w:val="20"/>
          <w:szCs w:val="20"/>
          <w:color w:val="auto"/>
        </w:rPr>
      </w:pPr>
    </w:p>
    <w:p>
      <w:pPr>
        <w:ind w:left="372" w:hanging="372"/>
        <w:spacing w:after="0"/>
        <w:tabs>
          <w:tab w:leader="none" w:pos="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372" w:hanging="372"/>
        <w:spacing w:after="0"/>
        <w:tabs>
          <w:tab w:leader="none" w:pos="3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8" w:right="8700" w:firstLine="8"/>
        <w:spacing w:after="0" w:line="323" w:lineRule="auto"/>
        <w:tabs>
          <w:tab w:leader="none" w:pos="37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Furnished herewith </w:t>
      </w:r>
      <w:r>
        <w:rPr>
          <w:rFonts w:ascii="Arial" w:cs="Arial" w:eastAsia="Arial" w:hAnsi="Arial"/>
          <w:sz w:val="14"/>
          <w:szCs w:val="14"/>
          <w:color w:val="auto"/>
        </w:rPr>
        <w:t>(P</w:t>
      </w:r>
      <w:r>
        <w:rPr>
          <w:rFonts w:ascii="Arial" w:cs="Arial" w:eastAsia="Arial" w:hAnsi="Arial"/>
          <w:sz w:val="15"/>
          <w:szCs w:val="15"/>
          <w:color w:val="auto"/>
        </w:rPr>
        <w:t>) Paper copy filed</w:t>
      </w:r>
    </w:p>
    <w:p>
      <w:pPr>
        <w:spacing w:after="0" w:line="138"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2"/>
          </w:cols>
          <w:pgMar w:left="328" w:top="305" w:right="10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LSB Industries,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7980" w:type="dxa"/>
            <w:vAlign w:val="bottom"/>
            <w:gridSpan w:val="2"/>
          </w:tcPr>
          <w:p>
            <w:pPr>
              <w:ind w:left="1940"/>
              <w:spacing w:after="0"/>
              <w:rPr>
                <w:sz w:val="20"/>
                <w:szCs w:val="20"/>
                <w:color w:val="auto"/>
              </w:rPr>
            </w:pPr>
            <w:r>
              <w:rPr>
                <w:rFonts w:ascii="Arial" w:cs="Arial" w:eastAsia="Arial" w:hAnsi="Arial"/>
                <w:sz w:val="18"/>
                <w:szCs w:val="18"/>
                <w:color w:val="auto"/>
              </w:rPr>
              <w:t>By:  /s/ Mark T. Behrman</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Behrman, President, Chief Executive Officer and Director</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T. Behrman</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Mark T. Behrman, President and Chief Executive Officer</w:t>
            </w:r>
          </w:p>
        </w:tc>
      </w:tr>
      <w:tr>
        <w:trPr>
          <w:trHeight w:val="230"/>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338"/>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A. Maguire</w:t>
            </w: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w w:val="98"/>
              </w:rPr>
              <w:t>Cheryl A. Maguire, Executive Vice President and Chief Financial Officer</w:t>
            </w:r>
          </w:p>
        </w:tc>
      </w:tr>
      <w:tr>
        <w:trPr>
          <w:trHeight w:val="230"/>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and Accounting Officer Officer)</w:t>
            </w:r>
          </w:p>
        </w:tc>
      </w:tr>
      <w:tr>
        <w:trPr>
          <w:trHeight w:val="338"/>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 Roedel</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Richard W. Roedel, Chairman of the Board of Directors</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S. Bobb</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Jonathan S. Bobb,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H. Golsen</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Barry H. Golsen,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Kanna Kitamura</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Kanna Kitamura,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Packebush</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Steven L. Packebush,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Diana M. Peninger</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Diana M. Peninger,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 Sanders Jr.</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Richard S. Sanders Jr., Director</w:t>
            </w: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F. White</w:t>
            </w: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February 24, 2022</w:t>
            </w:r>
          </w:p>
        </w:tc>
        <w:tc>
          <w:tcPr>
            <w:tcW w:w="2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Lynn F. White,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490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Schedule for Inclusion in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December 31,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Page</w:t>
            </w:r>
          </w:p>
        </w:tc>
      </w:tr>
      <w:tr>
        <w:trPr>
          <w:trHeight w:val="291"/>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Financial Statements</w:t>
            </w:r>
          </w:p>
        </w:tc>
        <w:tc>
          <w:tcPr>
            <w:tcW w:w="3340" w:type="dxa"/>
            <w:vAlign w:val="bottom"/>
            <w:gridSpan w:val="9"/>
          </w:tcPr>
          <w:p>
            <w:pPr>
              <w:spacing w:after="0"/>
              <w:rPr>
                <w:sz w:val="24"/>
                <w:szCs w:val="24"/>
                <w:color w:val="auto"/>
              </w:rPr>
            </w:pPr>
          </w:p>
        </w:tc>
        <w:tc>
          <w:tcPr>
            <w:tcW w:w="58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486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18"/>
        </w:trPr>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7"/>
          </w:tcPr>
          <w:p>
            <w:pPr>
              <w:spacing w:after="0"/>
              <w:rPr>
                <w:sz w:val="24"/>
                <w:szCs w:val="24"/>
                <w:color w:val="auto"/>
              </w:rPr>
            </w:pPr>
          </w:p>
        </w:tc>
        <w:tc>
          <w:tcPr>
            <w:tcW w:w="6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18"/>
        </w:trPr>
        <w:tc>
          <w:tcPr>
            <w:tcW w:w="486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21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35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Consolidated Statements of Stockholders’ Equity</w:t>
              </w:r>
            </w:hyperlink>
          </w:p>
        </w:tc>
        <w:tc>
          <w:tcPr>
            <w:tcW w:w="1300" w:type="dxa"/>
            <w:vAlign w:val="bottom"/>
            <w:gridSpan w:val="2"/>
          </w:tcPr>
          <w:p>
            <w:pPr>
              <w:spacing w:after="0"/>
              <w:rPr>
                <w:sz w:val="24"/>
                <w:szCs w:val="24"/>
                <w:color w:val="auto"/>
              </w:rPr>
            </w:pPr>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18"/>
        </w:trPr>
        <w:tc>
          <w:tcPr>
            <w:tcW w:w="28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Cash Flows</w:t>
              </w:r>
            </w:hyperlink>
          </w:p>
        </w:tc>
        <w:tc>
          <w:tcPr>
            <w:tcW w:w="1980" w:type="dxa"/>
            <w:vAlign w:val="bottom"/>
            <w:gridSpan w:val="4"/>
          </w:tcPr>
          <w:p>
            <w:pPr>
              <w:spacing w:after="0"/>
              <w:rPr>
                <w:sz w:val="24"/>
                <w:szCs w:val="24"/>
                <w:color w:val="auto"/>
              </w:rPr>
            </w:pPr>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18"/>
        </w:trPr>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1700" w:type="dxa"/>
            <w:vAlign w:val="bottom"/>
            <w:gridSpan w:val="3"/>
          </w:tcPr>
          <w:p>
            <w:pPr>
              <w:spacing w:after="0"/>
              <w:rPr>
                <w:sz w:val="24"/>
                <w:szCs w:val="24"/>
                <w:color w:val="auto"/>
              </w:rPr>
            </w:pPr>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18"/>
        </w:trPr>
        <w:tc>
          <w:tcPr>
            <w:tcW w:w="27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Quarterly Financial Data (Unaudited)</w:t>
              </w:r>
            </w:hyperlink>
          </w:p>
        </w:tc>
        <w:tc>
          <w:tcPr>
            <w:tcW w:w="2140" w:type="dxa"/>
            <w:vAlign w:val="bottom"/>
            <w:gridSpan w:val="6"/>
          </w:tcPr>
          <w:p>
            <w:pPr>
              <w:spacing w:after="0"/>
              <w:rPr>
                <w:sz w:val="24"/>
                <w:szCs w:val="24"/>
                <w:color w:val="auto"/>
              </w:rPr>
            </w:pPr>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318"/>
        </w:trPr>
        <w:tc>
          <w:tcPr>
            <w:tcW w:w="4860" w:type="dxa"/>
            <w:vAlign w:val="bottom"/>
            <w:gridSpan w:val="10"/>
          </w:tcPr>
          <w:p>
            <w:pPr>
              <w:spacing w:after="0"/>
              <w:rPr>
                <w:sz w:val="20"/>
                <w:szCs w:val="20"/>
                <w:color w:val="auto"/>
              </w:rPr>
            </w:pPr>
            <w:r>
              <w:rPr>
                <w:rFonts w:ascii="Arial" w:cs="Arial" w:eastAsia="Arial" w:hAnsi="Arial"/>
                <w:sz w:val="18"/>
                <w:szCs w:val="18"/>
                <w:color w:val="auto"/>
              </w:rPr>
              <w:t>Financial Statement Schedule</w:t>
            </w:r>
          </w:p>
        </w:tc>
        <w:tc>
          <w:tcPr>
            <w:tcW w:w="58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2140" w:type="dxa"/>
            <w:vAlign w:val="bottom"/>
            <w:gridSpan w:val="3"/>
            <w:shd w:val="clear" w:color="auto" w:fill="00000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4860" w:type="dxa"/>
            <w:vAlign w:val="bottom"/>
            <w:gridSpan w:val="1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Schedule II – Valuation and Qualifying Accounts</w:t>
              </w:r>
            </w:hyperlink>
          </w:p>
        </w:tc>
        <w:tc>
          <w:tcPr>
            <w:tcW w:w="5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884"/>
        </w:trPr>
        <w:tc>
          <w:tcPr>
            <w:tcW w:w="1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80" w:type="dxa"/>
            <w:vAlign w:val="bottom"/>
            <w:gridSpan w:val="2"/>
          </w:tcPr>
          <w:p>
            <w:pPr>
              <w:jc w:val="right"/>
              <w:ind w:right="5412"/>
              <w:spacing w:after="0"/>
              <w:rPr>
                <w:sz w:val="20"/>
                <w:szCs w:val="20"/>
                <w:color w:val="auto"/>
              </w:rPr>
            </w:pPr>
            <w:r>
              <w:rPr>
                <w:rFonts w:ascii="Arial" w:cs="Arial" w:eastAsia="Arial" w:hAnsi="Arial"/>
                <w:sz w:val="18"/>
                <w:szCs w:val="18"/>
                <w:color w:val="auto"/>
              </w:rPr>
              <w:t>F-1</w:t>
            </w:r>
          </w:p>
        </w:tc>
      </w:tr>
      <w:tr>
        <w:trPr>
          <w:trHeight w:val="115"/>
        </w:trPr>
        <w:tc>
          <w:tcPr>
            <w:tcW w:w="1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LSB Industries, Inc. (the Company) as of December 31, 2021 and 2020, the related consolidated statements of operations, stockholders’ equity, and cash flows for each of the three years in the period ended December 31, 2021,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24,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Extinguishment of preferred stock in exchange for common stock</w:t>
      </w:r>
    </w:p>
    <w:p>
      <w:pPr>
        <w:spacing w:after="0" w:line="131" w:lineRule="exact"/>
        <w:rPr>
          <w:sz w:val="20"/>
          <w:szCs w:val="20"/>
          <w:color w:val="auto"/>
        </w:rPr>
      </w:pPr>
    </w:p>
    <w:p>
      <w:pPr>
        <w:jc w:val="both"/>
        <w:ind w:left="320" w:right="720"/>
        <w:spacing w:after="0" w:line="287" w:lineRule="auto"/>
        <w:rPr>
          <w:sz w:val="20"/>
          <w:szCs w:val="20"/>
          <w:color w:val="auto"/>
        </w:rPr>
      </w:pPr>
      <w:r>
        <w:rPr>
          <w:rFonts w:ascii="Arial" w:cs="Arial" w:eastAsia="Arial" w:hAnsi="Arial"/>
          <w:sz w:val="16"/>
          <w:szCs w:val="16"/>
          <w:color w:val="2E2E38"/>
        </w:rPr>
        <w:t>As discussed in Note 2 to the consolidated financial statements, the Company entered into an Exchange Agreement with LSB Funding LLC, requiring approval from the Company’s common stockholders, which was subsequently voted on and approved by the Company’s common stockholders. Pursuant to the terms of the Exchange Agreement, which closed on September 27, 2021, LSB Funding LLC and the Company agreed to exchange the outstanding Series E-1 and Series F-1 Redeemable Preferred Stock for common stock of the Company at an agreed upon exchange price of $6.16 per common share. In connection with the exchange, each common stockholder prior to the exchange received a special dividend in the form of 0.30 shares of common stock for every share owned as of, September 24, 2021, the dividend record date. The Company applied the related accounting guidance and disclosure requirements, recognizing a deemed dividend of $231.8 million within capital in excess of par value. The deemed dividend increased the reported net loss to arrive at the net loss attributable to common stockholders, which is used in the basic and diluted net loss per share calculation using the two-class method, with retrospective application of the special dividend.</w:t>
      </w:r>
    </w:p>
    <w:p>
      <w:pPr>
        <w:spacing w:after="0" w:line="64" w:lineRule="exact"/>
        <w:rPr>
          <w:sz w:val="20"/>
          <w:szCs w:val="20"/>
          <w:color w:val="auto"/>
        </w:rPr>
      </w:pPr>
    </w:p>
    <w:p>
      <w:pPr>
        <w:jc w:val="both"/>
        <w:ind w:left="320" w:right="720"/>
        <w:spacing w:after="0" w:line="263" w:lineRule="auto"/>
        <w:rPr>
          <w:sz w:val="20"/>
          <w:szCs w:val="20"/>
          <w:color w:val="auto"/>
        </w:rPr>
      </w:pPr>
      <w:r>
        <w:rPr>
          <w:rFonts w:ascii="Arial" w:cs="Arial" w:eastAsia="Arial" w:hAnsi="Arial"/>
          <w:sz w:val="18"/>
          <w:szCs w:val="18"/>
          <w:color w:val="2E2E38"/>
        </w:rPr>
        <w:t>Auditing the Company's application of the accounting guidance related to the exchange and special dividend required special consideration, given the non-recurring nature of the transaction and the complexity involved in applying the relevant accounting standards</w:t>
      </w:r>
      <w:r>
        <w:rPr>
          <w:rFonts w:ascii="Arial" w:cs="Arial" w:eastAsia="Arial" w:hAnsi="Arial"/>
          <w:sz w:val="18"/>
          <w:szCs w:val="18"/>
          <w:color w:val="000000"/>
        </w:rPr>
        <w:t>.</w:t>
      </w:r>
    </w:p>
    <w:p>
      <w:pPr>
        <w:spacing w:after="0" w:line="184" w:lineRule="exact"/>
        <w:rPr>
          <w:sz w:val="20"/>
          <w:szCs w:val="20"/>
          <w:color w:val="auto"/>
        </w:rPr>
      </w:pPr>
    </w:p>
    <w:p>
      <w:pPr>
        <w:sectPr>
          <w:pgSz w:w="11900" w:h="16838" w:orient="portrait"/>
          <w:cols w:equalWidth="0" w:num="2">
            <w:col w:w="1180" w:space="140"/>
            <w:col w:w="9920"/>
          </w:cols>
          <w:pgMar w:left="320" w:top="553"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55" w:name="page56"/>
    <w:bookmarkEnd w:id="55"/>
    <w:p>
      <w:pPr>
        <w:ind w:left="14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91" w:lineRule="auto"/>
        <w:rPr>
          <w:sz w:val="20"/>
          <w:szCs w:val="20"/>
          <w:color w:val="auto"/>
        </w:rPr>
      </w:pPr>
      <w:r>
        <w:rPr>
          <w:rFonts w:ascii="Arial" w:cs="Arial" w:eastAsia="Arial" w:hAnsi="Arial"/>
          <w:sz w:val="16"/>
          <w:szCs w:val="16"/>
          <w:color w:val="212529"/>
        </w:rPr>
        <w:t>We obtained an understanding, evaluated the design, and tested the operating effectiveness of controls relating to the accounting for the exchange and special dividend. To test the accounting for the exchange and special dividend, our audit procedures included, among others, examining the terms of the relevant Exchange Agreement and special dividend, the Company’s provisions over change in control activities, reading the minutes and meeting materials of the committees of the board of directors, and performing inquiries of members of management. As part of these procedures, we involved our subject matter resources and evaluated the Company’s application of the related accounting guidance to the accounting conclusions and financial statement presentation of equity and the basic and diluted net loss per share.</w:t>
      </w:r>
    </w:p>
    <w:p>
      <w:pPr>
        <w:spacing w:after="0" w:line="193" w:lineRule="exact"/>
        <w:rPr>
          <w:sz w:val="20"/>
          <w:szCs w:val="20"/>
          <w:color w:val="auto"/>
        </w:rPr>
      </w:pPr>
    </w:p>
    <w:p>
      <w:pPr>
        <w:sectPr>
          <w:pgSz w:w="11900" w:h="16838" w:orient="portrait"/>
          <w:cols w:equalWidth="0" w:num="2">
            <w:col w:w="1140" w:space="500"/>
            <w:col w:w="8880"/>
          </w:cols>
          <w:pgMar w:left="320" w:top="895" w:right="1059" w:bottom="1440" w:gutter="0" w:footer="0" w:header="0"/>
        </w:sect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1">
            <w:col w:w="10520"/>
          </w:cols>
          <w:pgMar w:left="320" w:top="895" w:right="105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895" w:right="105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6"/>
        </w:trPr>
        <w:tc>
          <w:tcPr>
            <w:tcW w:w="40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90"/>
              <w:spacing w:after="0" w:line="155" w:lineRule="exact"/>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Current assets: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82,144</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86,902</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42,929</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(474)</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(378)</w:t>
            </w:r>
          </w:p>
        </w:tc>
      </w:tr>
      <w:tr>
        <w:trPr>
          <w:trHeight w:val="223"/>
        </w:trPr>
        <w:tc>
          <w:tcPr>
            <w:tcW w:w="402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37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86,428</w:t>
            </w: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42,551</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ind w:left="500"/>
              <w:spacing w:after="0"/>
              <w:rPr>
                <w:sz w:val="20"/>
                <w:szCs w:val="20"/>
                <w:color w:val="auto"/>
              </w:rPr>
            </w:pPr>
            <w:r>
              <w:rPr>
                <w:rFonts w:ascii="Arial" w:cs="Arial" w:eastAsia="Arial" w:hAnsi="Arial"/>
                <w:sz w:val="18"/>
                <w:szCs w:val="18"/>
                <w:color w:val="auto"/>
              </w:rPr>
              <w:t>Finished goods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14,688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17,778</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Raw materials</w:t>
            </w: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1,895</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Pr>
          <w:p>
            <w:pPr>
              <w:ind w:left="740"/>
              <w:spacing w:after="0"/>
              <w:rPr>
                <w:sz w:val="20"/>
                <w:szCs w:val="20"/>
                <w:color w:val="auto"/>
              </w:rPr>
            </w:pPr>
            <w:r>
              <w:rPr>
                <w:rFonts w:ascii="Arial" w:cs="Arial" w:eastAsia="Arial" w:hAnsi="Arial"/>
                <w:sz w:val="18"/>
                <w:szCs w:val="18"/>
                <w:color w:val="auto"/>
              </w:rPr>
              <w:t>Total inventories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16,583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19,573</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Supplies, prepaid items and other:</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500"/>
              <w:spacing w:after="0"/>
              <w:rPr>
                <w:sz w:val="20"/>
                <w:szCs w:val="20"/>
                <w:color w:val="auto"/>
              </w:rPr>
            </w:pPr>
            <w:r>
              <w:rPr>
                <w:rFonts w:ascii="Arial" w:cs="Arial" w:eastAsia="Arial" w:hAnsi="Arial"/>
                <w:sz w:val="18"/>
                <w:szCs w:val="18"/>
                <w:color w:val="auto"/>
              </w:rPr>
              <w:t>Prepaid insurance</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14,244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Precious metals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14,945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500"/>
              <w:spacing w:after="0"/>
              <w:rPr>
                <w:sz w:val="20"/>
                <w:szCs w:val="20"/>
                <w:color w:val="auto"/>
              </w:rPr>
            </w:pPr>
            <w:r>
              <w:rPr>
                <w:rFonts w:ascii="Arial" w:cs="Arial" w:eastAsia="Arial" w:hAnsi="Arial"/>
                <w:sz w:val="18"/>
                <w:szCs w:val="18"/>
                <w:color w:val="auto"/>
              </w:rPr>
              <w:t>Supplies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26,558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25,288</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2,234</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supplies, prepaid items and other</w:t>
            </w:r>
          </w:p>
        </w:tc>
        <w:tc>
          <w:tcPr>
            <w:tcW w:w="3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57,981</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51,192</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243,136</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129,580</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858,480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891,198</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27,317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26,403</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and other assets, net</w:t>
            </w: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3,907</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6,121</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31,224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32,524</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1,132,840</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1,053,302</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4060" w:type="dxa"/>
            <w:vAlign w:val="bottom"/>
            <w:gridSpan w:val="2"/>
          </w:tcPr>
          <w:p>
            <w:pPr>
              <w:jc w:val="right"/>
              <w:ind w:right="1250"/>
              <w:spacing w:after="0"/>
              <w:rPr>
                <w:sz w:val="20"/>
                <w:szCs w:val="20"/>
                <w:color w:val="auto"/>
              </w:rPr>
            </w:pPr>
            <w:r>
              <w:rPr>
                <w:rFonts w:ascii="Arial" w:cs="Arial" w:eastAsia="Arial" w:hAnsi="Arial"/>
                <w:sz w:val="18"/>
                <w:szCs w:val="18"/>
                <w:color w:val="auto"/>
              </w:rPr>
              <w:t>(Continued on following page)</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20" w:type="dxa"/>
            <w:vAlign w:val="bottom"/>
          </w:tcPr>
          <w:p>
            <w:pPr>
              <w:spacing w:after="0"/>
              <w:rPr>
                <w:sz w:val="24"/>
                <w:szCs w:val="24"/>
                <w:color w:val="auto"/>
              </w:rPr>
            </w:pPr>
          </w:p>
        </w:tc>
        <w:tc>
          <w:tcPr>
            <w:tcW w:w="4060" w:type="dxa"/>
            <w:vAlign w:val="bottom"/>
            <w:gridSpan w:val="2"/>
          </w:tcPr>
          <w:p>
            <w:pPr>
              <w:jc w:val="right"/>
              <w:ind w:right="2250"/>
              <w:spacing w:after="0"/>
              <w:rPr>
                <w:sz w:val="20"/>
                <w:szCs w:val="20"/>
                <w:color w:val="auto"/>
              </w:rPr>
            </w:pPr>
            <w:r>
              <w:rPr>
                <w:rFonts w:ascii="Arial" w:cs="Arial" w:eastAsia="Arial" w:hAnsi="Arial"/>
                <w:sz w:val="18"/>
                <w:szCs w:val="18"/>
                <w:color w:val="auto"/>
              </w:rPr>
              <w:t>F-4</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90"/>
              <w:spacing w:after="0" w:line="155" w:lineRule="exact"/>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Current liabilities:</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49,458</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Short-term financing</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12,716</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liabilities</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33,301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3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9,454</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104,929</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518,190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19,568</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26,633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80" w:type="dxa"/>
            <w:vAlign w:val="bottom"/>
            <w:gridSpan w:val="3"/>
          </w:tcPr>
          <w:p>
            <w:pPr>
              <w:ind w:left="26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tcPr>
          <w:p>
            <w:pPr>
              <w:ind w:left="380"/>
              <w:spacing w:after="0"/>
              <w:rPr>
                <w:sz w:val="20"/>
                <w:szCs w:val="20"/>
                <w:color w:val="auto"/>
              </w:rPr>
            </w:pPr>
            <w:r>
              <w:rPr>
                <w:rFonts w:ascii="Arial" w:cs="Arial" w:eastAsia="Arial" w:hAnsi="Arial"/>
                <w:sz w:val="18"/>
                <w:szCs w:val="18"/>
                <w:color w:val="auto"/>
              </w:rPr>
              <w:t>no shares issued or outstanding at December 31, 2021; (210,000 shares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tcPr>
          <w:p>
            <w:pPr>
              <w:ind w:left="380"/>
              <w:spacing w:after="0"/>
              <w:rPr>
                <w:sz w:val="20"/>
                <w:szCs w:val="20"/>
                <w:color w:val="auto"/>
              </w:rPr>
            </w:pPr>
            <w:r>
              <w:rPr>
                <w:rFonts w:ascii="Arial" w:cs="Arial" w:eastAsia="Arial" w:hAnsi="Arial"/>
                <w:sz w:val="18"/>
                <w:szCs w:val="18"/>
                <w:color w:val="auto"/>
              </w:rPr>
              <w:t>issued; 139,768 outstanding; aggregate liquidation preference</w:t>
            </w:r>
          </w:p>
        </w:tc>
        <w:tc>
          <w:tcPr>
            <w:tcW w:w="14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$278 million at December 31, 2020)</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Series F redeemable Class C preferred stock, no par value,</w:t>
            </w:r>
          </w:p>
        </w:tc>
        <w:tc>
          <w:tcPr>
            <w:tcW w:w="3540" w:type="dxa"/>
            <w:vAlign w:val="bottom"/>
            <w:gridSpan w:val="2"/>
            <w:shd w:val="clear" w:color="auto" w:fill="CFF0FC"/>
          </w:tcPr>
          <w:p>
            <w:pPr>
              <w:jc w:val="right"/>
              <w:ind w:right="2750"/>
              <w:spacing w:after="0"/>
              <w:rPr>
                <w:sz w:val="20"/>
                <w:szCs w:val="20"/>
                <w:color w:val="auto"/>
              </w:rPr>
            </w:pPr>
            <w:r>
              <w:rPr>
                <w:rFonts w:ascii="Arial" w:cs="Arial" w:eastAsia="Arial" w:hAnsi="Arial"/>
                <w:sz w:val="18"/>
                <w:szCs w:val="18"/>
                <w:color w:val="auto"/>
                <w:w w:val="85"/>
              </w:rPr>
              <w:t>no shares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issued or outstanding at December 31, 2021; (1 share issued and</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outstanding; aggregate liquidation preference of $100</w:t>
            </w:r>
          </w:p>
        </w:tc>
        <w:tc>
          <w:tcPr>
            <w:tcW w:w="3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 December 31, 2020)</w:t>
            </w:r>
          </w:p>
        </w:tc>
        <w:tc>
          <w:tcPr>
            <w:tcW w:w="3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80" w:type="dxa"/>
            <w:vAlign w:val="bottom"/>
            <w:gridSpan w:val="3"/>
          </w:tcPr>
          <w:p>
            <w:pPr>
              <w:ind w:left="260"/>
              <w:spacing w:after="0"/>
              <w:rPr>
                <w:sz w:val="20"/>
                <w:szCs w:val="20"/>
                <w:color w:val="auto"/>
              </w:rPr>
            </w:pPr>
            <w:r>
              <w:rPr>
                <w:rFonts w:ascii="Arial" w:cs="Arial" w:eastAsia="Arial" w:hAnsi="Arial"/>
                <w:sz w:val="18"/>
                <w:szCs w:val="18"/>
                <w:color w:val="auto"/>
              </w:rPr>
              <w:t>Series B 12% cumulative, convertible preferred stock, $100 par value;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tcPr>
          <w:p>
            <w:pPr>
              <w:ind w:left="380"/>
              <w:spacing w:after="0"/>
              <w:rPr>
                <w:sz w:val="20"/>
                <w:szCs w:val="20"/>
                <w:color w:val="auto"/>
              </w:rPr>
            </w:pPr>
            <w:r>
              <w:rPr>
                <w:rFonts w:ascii="Arial" w:cs="Arial" w:eastAsia="Arial" w:hAnsi="Arial"/>
                <w:sz w:val="18"/>
                <w:szCs w:val="18"/>
                <w:color w:val="auto"/>
              </w:rPr>
              <w:t>no shares issued or outstanding at December 31, 2021; (20,000 shares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tcPr>
          <w:p>
            <w:pPr>
              <w:ind w:left="380"/>
              <w:spacing w:after="0"/>
              <w:rPr>
                <w:sz w:val="20"/>
                <w:szCs w:val="20"/>
                <w:color w:val="auto"/>
              </w:rPr>
            </w:pPr>
            <w:r>
              <w:rPr>
                <w:rFonts w:ascii="Arial" w:cs="Arial" w:eastAsia="Arial" w:hAnsi="Arial"/>
                <w:sz w:val="18"/>
                <w:szCs w:val="18"/>
                <w:color w:val="auto"/>
              </w:rPr>
              <w:t>issued and outstanding; aggregate liquidation preference $3.3 million</w:t>
            </w:r>
          </w:p>
        </w:tc>
        <w:tc>
          <w:tcPr>
            <w:tcW w:w="14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at December 31, 2020)</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no shares issued or outstanding at December 31, 2021; (1 million shares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issued and outstanding; aggregate liquidation preference $1.3 million</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2020)</w:t>
            </w:r>
          </w:p>
        </w:tc>
        <w:tc>
          <w:tcPr>
            <w:tcW w:w="3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80" w:type="dxa"/>
            <w:vAlign w:val="bottom"/>
            <w:gridSpan w:val="3"/>
          </w:tcPr>
          <w:p>
            <w:pPr>
              <w:ind w:left="260"/>
              <w:spacing w:after="0"/>
              <w:rPr>
                <w:sz w:val="20"/>
                <w:szCs w:val="20"/>
                <w:color w:val="auto"/>
              </w:rPr>
            </w:pPr>
            <w:r>
              <w:rPr>
                <w:rFonts w:ascii="Arial" w:cs="Arial" w:eastAsia="Arial" w:hAnsi="Arial"/>
                <w:sz w:val="18"/>
                <w:szCs w:val="18"/>
                <w:color w:val="auto"/>
              </w:rPr>
              <w:t>Common stock, $.10 par value; 150 million shares authorized, 91.1</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3"/>
          </w:tcPr>
          <w:p>
            <w:pPr>
              <w:ind w:left="380"/>
              <w:spacing w:after="0"/>
              <w:rPr>
                <w:sz w:val="20"/>
                <w:szCs w:val="20"/>
                <w:color w:val="auto"/>
              </w:rPr>
            </w:pPr>
            <w:r>
              <w:rPr>
                <w:rFonts w:ascii="Arial" w:cs="Arial" w:eastAsia="Arial" w:hAnsi="Arial"/>
                <w:sz w:val="18"/>
                <w:szCs w:val="18"/>
                <w:color w:val="auto"/>
              </w:rPr>
              <w:t>million shares issued (75 million shares authorized, 39.9 million shares</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9,117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issued at December 31, 2020)</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493,161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(31,255)</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(41,487)</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471,023</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Less treasury stock, at cost:</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Common stock, 1.4 million shares (2.1 million shares at</w:t>
            </w:r>
          </w:p>
        </w:tc>
        <w:tc>
          <w:tcPr>
            <w:tcW w:w="3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10,533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2020)</w:t>
            </w:r>
          </w:p>
        </w:tc>
        <w:tc>
          <w:tcPr>
            <w:tcW w:w="31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3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460,490</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1,132,840</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gridSpan w:val="7"/>
          </w:tcPr>
          <w:p>
            <w:pPr>
              <w:jc w:val="center"/>
              <w:ind w:left="492"/>
              <w:spacing w:after="0" w:line="155" w:lineRule="exact"/>
              <w:rPr>
                <w:sz w:val="20"/>
                <w:szCs w:val="20"/>
                <w:color w:val="auto"/>
              </w:rPr>
            </w:pPr>
            <w:r>
              <w:rPr>
                <w:rFonts w:ascii="Arial" w:cs="Arial" w:eastAsia="Arial" w:hAnsi="Arial"/>
                <w:sz w:val="14"/>
                <w:szCs w:val="14"/>
                <w:color w:val="auto"/>
                <w:w w:val="92"/>
              </w:rPr>
              <w:t>(In Thousands, Except Per Share Amounts)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556,239</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351,316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417,260</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334,268</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138,979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38,028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32,084</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5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101,048</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(15,535)</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49,378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 loss on extinguishments of debt</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2,422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benefit for income taxes</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(66,660)</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(84,341)</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(4,749)</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(20,924)</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5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43,545</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(61,911)</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29,914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35,182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Deemed dividend on Series E and Series F</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231,812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redeemable preferred stocks</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(220,002)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2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(4.40)</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2800" w:type="dxa"/>
            <w:vAlign w:val="bottom"/>
            <w:gridSpan w:val="2"/>
          </w:tcPr>
          <w:p>
            <w:pPr>
              <w:jc w:val="right"/>
              <w:ind w:right="330"/>
              <w:spacing w:after="0"/>
              <w:rPr>
                <w:sz w:val="20"/>
                <w:szCs w:val="20"/>
                <w:color w:val="auto"/>
              </w:rPr>
            </w:pPr>
            <w:r>
              <w:rPr>
                <w:rFonts w:ascii="Arial" w:cs="Arial" w:eastAsia="Arial" w:hAnsi="Arial"/>
                <w:sz w:val="18"/>
                <w:szCs w:val="18"/>
                <w:color w:val="auto"/>
              </w:rPr>
              <w:t>See accompanying notes.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160" w:type="dxa"/>
            <w:vAlign w:val="bottom"/>
          </w:tcPr>
          <w:p>
            <w:pPr>
              <w:spacing w:after="0"/>
              <w:rPr>
                <w:sz w:val="24"/>
                <w:szCs w:val="24"/>
                <w:color w:val="auto"/>
              </w:rPr>
            </w:pPr>
          </w:p>
        </w:tc>
        <w:tc>
          <w:tcPr>
            <w:tcW w:w="2800" w:type="dxa"/>
            <w:vAlign w:val="bottom"/>
            <w:gridSpan w:val="2"/>
          </w:tcPr>
          <w:p>
            <w:pPr>
              <w:jc w:val="right"/>
              <w:ind w:right="1130"/>
              <w:spacing w:after="0"/>
              <w:rPr>
                <w:sz w:val="20"/>
                <w:szCs w:val="20"/>
                <w:color w:val="auto"/>
              </w:rPr>
            </w:pPr>
            <w:r>
              <w:rPr>
                <w:rFonts w:ascii="Arial" w:cs="Arial" w:eastAsia="Arial" w:hAnsi="Arial"/>
                <w:sz w:val="18"/>
                <w:szCs w:val="18"/>
                <w:color w:val="auto"/>
              </w:rPr>
              <w:t>F-6</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 in</w:t>
            </w:r>
          </w:p>
        </w:tc>
        <w:tc>
          <w:tcPr>
            <w:tcW w:w="100" w:type="dxa"/>
            <w:vAlign w:val="bottom"/>
          </w:tcPr>
          <w:p>
            <w:pPr>
              <w:spacing w:after="0"/>
              <w:rPr>
                <w:sz w:val="14"/>
                <w:szCs w:val="14"/>
                <w:color w:val="auto"/>
              </w:rPr>
            </w:pPr>
          </w:p>
        </w:tc>
        <w:tc>
          <w:tcPr>
            <w:tcW w:w="94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4"/>
              </w:rPr>
              <w:t>Retained</w:t>
            </w:r>
          </w:p>
        </w:tc>
        <w:tc>
          <w:tcPr>
            <w:tcW w:w="820" w:type="dxa"/>
            <w:vAlign w:val="bottom"/>
            <w:gridSpan w:val="2"/>
            <w:vMerge w:val="restart"/>
          </w:tcPr>
          <w:p>
            <w:pPr>
              <w:jc w:val="center"/>
              <w:ind w:right="61"/>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2"/>
          </w:tcPr>
          <w:p>
            <w:pPr>
              <w:jc w:val="center"/>
              <w:ind w:right="481"/>
              <w:spacing w:after="0" w:line="149" w:lineRule="exact"/>
              <w:rPr>
                <w:sz w:val="20"/>
                <w:szCs w:val="20"/>
                <w:color w:val="auto"/>
              </w:rPr>
            </w:pPr>
            <w:r>
              <w:rPr>
                <w:rFonts w:ascii="Arial" w:cs="Arial" w:eastAsia="Arial" w:hAnsi="Arial"/>
                <w:sz w:val="14"/>
                <w:szCs w:val="14"/>
                <w:b w:val="1"/>
                <w:bCs w:val="1"/>
                <w:color w:val="auto"/>
                <w:w w:val="88"/>
              </w:rPr>
              <w:t>Stock-</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Redeemable</w:t>
            </w: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Earnings</w:t>
            </w: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2"/>
          </w:tcPr>
          <w:p>
            <w:pPr>
              <w:jc w:val="center"/>
              <w:ind w:right="481"/>
              <w:spacing w:after="0" w:line="149"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5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Excess of</w:t>
            </w:r>
          </w:p>
        </w:tc>
        <w:tc>
          <w:tcPr>
            <w:tcW w:w="1040" w:type="dxa"/>
            <w:vAlign w:val="bottom"/>
            <w:gridSpan w:val="3"/>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(Accumulated</w:t>
            </w:r>
          </w:p>
        </w:tc>
        <w:tc>
          <w:tcPr>
            <w:tcW w:w="82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Stock-</w:t>
            </w:r>
          </w:p>
        </w:tc>
        <w:tc>
          <w:tcPr>
            <w:tcW w:w="6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Stock Shares</w:t>
            </w:r>
          </w:p>
        </w:tc>
        <w:tc>
          <w:tcPr>
            <w:tcW w:w="122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Pr>
          <w:p>
            <w:pPr>
              <w:spacing w:after="0"/>
              <w:rPr>
                <w:sz w:val="14"/>
                <w:szCs w:val="14"/>
                <w:color w:val="auto"/>
              </w:rPr>
            </w:pPr>
          </w:p>
        </w:tc>
        <w:tc>
          <w:tcPr>
            <w:tcW w:w="94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6"/>
              </w:rPr>
              <w:t>Deficit)</w:t>
            </w:r>
          </w:p>
        </w:tc>
        <w:tc>
          <w:tcPr>
            <w:tcW w:w="82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720"/>
              <w:spacing w:after="0" w:line="155"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39,725</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1"/>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$ 197,638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153,773</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 (16,186)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$ 342,197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(63,417)</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(63,417)</w:t>
            </w: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(30,729)</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(30,729)</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w w:val="98"/>
              </w:rPr>
              <w:t>Accretion of redeemable preferred stock</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(1,995)</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Issuance of restricted stock,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39,901</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195,971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57,632</w:t>
            </w:r>
          </w:p>
        </w:tc>
        <w:tc>
          <w:tcPr>
            <w:tcW w:w="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(61,911)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(61,911)</w:t>
            </w: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(35,182)</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(35,182)</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w w:val="98"/>
              </w:rPr>
              <w:t>Accretion of redeemable preferred stock</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(2,026)</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220" w:type="dxa"/>
            <w:vAlign w:val="bottom"/>
            <w:gridSpan w:val="2"/>
          </w:tcPr>
          <w:p>
            <w:pPr>
              <w:jc w:val="right"/>
              <w:ind w:right="401"/>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39,926</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197,350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(41,487)</w:t>
            </w:r>
          </w:p>
        </w:tc>
        <w:tc>
          <w:tcPr>
            <w:tcW w:w="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43,545</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exchange</w:t>
            </w: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49,066</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4,907</w:t>
            </w: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526,232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531,139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 redeemable preferred stocks</w:t>
            </w:r>
          </w:p>
        </w:tc>
        <w:tc>
          <w:tcPr>
            <w:tcW w:w="106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Deemed dividend on redeemable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(231,812)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(231,812)</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preferred stocks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41"/>
              <w:spacing w:after="0"/>
              <w:rPr>
                <w:sz w:val="20"/>
                <w:szCs w:val="20"/>
                <w:color w:val="auto"/>
              </w:rPr>
            </w:pPr>
            <w:r>
              <w:rPr>
                <w:rFonts w:ascii="Arial" w:cs="Arial" w:eastAsia="Arial" w:hAnsi="Arial"/>
                <w:sz w:val="18"/>
                <w:szCs w:val="18"/>
                <w:b w:val="1"/>
                <w:bCs w:val="1"/>
                <w:color w:val="auto"/>
              </w:rPr>
              <w:t>(29,914)</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(29,914)</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 prior to exchange</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3"/>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Accretion of redeemable preferred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41"/>
              <w:spacing w:after="0"/>
              <w:rPr>
                <w:sz w:val="20"/>
                <w:szCs w:val="20"/>
                <w:color w:val="auto"/>
              </w:rPr>
            </w:pPr>
            <w:r>
              <w:rPr>
                <w:rFonts w:ascii="Arial" w:cs="Arial" w:eastAsia="Arial" w:hAnsi="Arial"/>
                <w:sz w:val="18"/>
                <w:szCs w:val="18"/>
                <w:b w:val="1"/>
                <w:bCs w:val="1"/>
                <w:color w:val="auto"/>
              </w:rPr>
              <w:t>(1,523)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(1,523)</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stock prior to exchange</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Dividend paid on non-redeemable</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41"/>
              <w:spacing w:after="0"/>
              <w:rPr>
                <w:sz w:val="20"/>
                <w:szCs w:val="20"/>
                <w:color w:val="auto"/>
              </w:rPr>
            </w:pPr>
            <w:r>
              <w:rPr>
                <w:rFonts w:ascii="Arial" w:cs="Arial" w:eastAsia="Arial" w:hAnsi="Arial"/>
                <w:sz w:val="18"/>
                <w:szCs w:val="18"/>
                <w:b w:val="1"/>
                <w:bCs w:val="1"/>
                <w:color w:val="auto"/>
              </w:rPr>
              <w:t>(1,876)</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(1,876)</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 upon conversion</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3"/>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Conversion of non-redeemable</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1,192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2,881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preferred stock into common stock</w:t>
            </w:r>
          </w:p>
        </w:tc>
        <w:tc>
          <w:tcPr>
            <w:tcW w:w="10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5,516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Issuance of restricted and</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984</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w:t>
            </w:r>
          </w:p>
        </w:tc>
        <w:tc>
          <w:tcPr>
            <w:tcW w:w="116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(7,006)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2,680</w:t>
            </w:r>
          </w:p>
        </w:tc>
        <w:tc>
          <w:tcPr>
            <w:tcW w:w="120" w:type="dxa"/>
            <w:vAlign w:val="bottom"/>
          </w:tcPr>
          <w:p>
            <w:pPr>
              <w:spacing w:after="0"/>
              <w:rPr>
                <w:sz w:val="18"/>
                <w:szCs w:val="18"/>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(4,228)</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unrestricted stock, net</w:t>
            </w:r>
          </w:p>
        </w:tc>
        <w:tc>
          <w:tcPr>
            <w:tcW w:w="10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91,168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(1,375</w:t>
            </w:r>
          </w:p>
        </w:tc>
        <w:tc>
          <w:tcPr>
            <w:tcW w:w="540" w:type="dxa"/>
            <w:vAlign w:val="bottom"/>
            <w:tcBorders>
              <w:top w:val="single" w:sz="8" w:color="CFF0FC"/>
              <w:bottom w:val="single" w:sz="8" w:color="CFF0FC"/>
            </w:tcBorders>
            <w:shd w:val="clear" w:color="auto" w:fill="CFF0FC"/>
          </w:tcPr>
          <w:p>
            <w:pPr>
              <w:jc w:val="right"/>
              <w:ind w:right="40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$ 493,161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(31,255</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(10,533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$ 460,490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43,545</w:t>
            </w:r>
          </w:p>
        </w:tc>
        <w:tc>
          <w:tcPr>
            <w:tcW w:w="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(61,911)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(63,417)</w:t>
            </w:r>
          </w:p>
        </w:tc>
        <w:tc>
          <w:tcPr>
            <w:tcW w:w="0" w:type="dxa"/>
            <w:vAlign w:val="bottom"/>
          </w:tcPr>
          <w:p>
            <w:pPr>
              <w:spacing w:after="0"/>
              <w:rPr>
                <w:sz w:val="1"/>
                <w:szCs w:val="1"/>
                <w:color w:val="auto"/>
              </w:rPr>
            </w:pPr>
          </w:p>
        </w:tc>
      </w:tr>
      <w:tr>
        <w:trPr>
          <w:trHeight w:val="215"/>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(used) by operating activities:</w:t>
            </w: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(4,778)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(20,895)</w:t>
            </w:r>
          </w:p>
        </w:tc>
        <w:tc>
          <w:tcPr>
            <w:tcW w:w="0" w:type="dxa"/>
            <w:vAlign w:val="bottom"/>
          </w:tcPr>
          <w:p>
            <w:pPr>
              <w:spacing w:after="0"/>
              <w:rPr>
                <w:sz w:val="1"/>
                <w:szCs w:val="1"/>
                <w:color w:val="auto"/>
              </w:rPr>
            </w:pPr>
          </w:p>
        </w:tc>
      </w:tr>
      <w:tr>
        <w:trPr>
          <w:trHeight w:val="215"/>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plant and</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68,689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equipment</w:t>
            </w: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69,581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associated with assets held for sale</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Charge on extinguishments of debt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issuance costs, including discounts</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6,067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premiums</w:t>
            </w: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associated with commodity contracts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(2,706)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(42,913)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(4,702)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500"/>
              <w:spacing w:after="0"/>
              <w:rPr>
                <w:sz w:val="20"/>
                <w:szCs w:val="20"/>
                <w:color w:val="auto"/>
              </w:rPr>
            </w:pPr>
            <w:r>
              <w:rPr>
                <w:rFonts w:ascii="Arial" w:cs="Arial" w:eastAsia="Arial" w:hAnsi="Arial"/>
                <w:sz w:val="18"/>
                <w:szCs w:val="18"/>
                <w:color w:val="auto"/>
              </w:rPr>
              <w:t>Supplies, prepaid items and other</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(6,585)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(6,561)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9"/>
        </w:trPr>
        <w:tc>
          <w:tcPr>
            <w:tcW w:w="5620" w:type="dxa"/>
            <w:vAlign w:val="bottom"/>
          </w:tcPr>
          <w:p>
            <w:pPr>
              <w:ind w:left="500"/>
              <w:spacing w:after="0"/>
              <w:rPr>
                <w:sz w:val="20"/>
                <w:szCs w:val="20"/>
                <w:color w:val="auto"/>
              </w:rPr>
            </w:pPr>
            <w:r>
              <w:rPr>
                <w:rFonts w:ascii="Arial" w:cs="Arial" w:eastAsia="Arial" w:hAnsi="Arial"/>
                <w:sz w:val="18"/>
                <w:szCs w:val="18"/>
                <w:color w:val="auto"/>
              </w:rPr>
              <w:t>Other assets and other liabilities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operating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87,627</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(35,128)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(30,471)</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(36,081)</w:t>
            </w:r>
          </w:p>
        </w:tc>
        <w:tc>
          <w:tcPr>
            <w:tcW w:w="0" w:type="dxa"/>
            <w:vAlign w:val="bottom"/>
          </w:tcPr>
          <w:p>
            <w:pPr>
              <w:spacing w:after="0"/>
              <w:rPr>
                <w:sz w:val="1"/>
                <w:szCs w:val="1"/>
                <w:color w:val="auto"/>
              </w:rPr>
            </w:pPr>
          </w:p>
        </w:tc>
      </w:tr>
      <w:tr>
        <w:trPr>
          <w:trHeight w:val="215"/>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vendor settlements associated with</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plant and equipment</w:t>
            </w: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by investing activities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(34,694)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Proceeds from revolving debt facility</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12,000</w:t>
            </w: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revolving debt facility</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(12,000)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Proceeds from 6.25% senior secured notes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9.625% senior secured notes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Payments on 9.625% senior secured notes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(435,000)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other long-term debt</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Payments on other long-term debt</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(10,472)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(21,356)</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debt-related costs, including</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(27,254)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extinguishment costs</w:t>
            </w: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Proceeds from short-term financing</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16,689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short-term financing</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(17,549)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(10,941)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15"/>
        </w:trPr>
        <w:tc>
          <w:tcPr>
            <w:tcW w:w="5360" w:type="dxa"/>
            <w:vAlign w:val="bottom"/>
          </w:tcPr>
          <w:p>
            <w:pPr>
              <w:ind w:left="260"/>
              <w:spacing w:after="0"/>
              <w:rPr>
                <w:sz w:val="20"/>
                <w:szCs w:val="20"/>
                <w:color w:val="auto"/>
              </w:rPr>
            </w:pPr>
            <w:r>
              <w:rPr>
                <w:rFonts w:ascii="Arial" w:cs="Arial" w:eastAsia="Arial" w:hAnsi="Arial"/>
                <w:sz w:val="18"/>
                <w:szCs w:val="18"/>
                <w:color w:val="auto"/>
              </w:rPr>
              <w:t>Payments of costs to exchange redeemable preferred</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(7,363)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stocks for common stock</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paid on equity awards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(4,228)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5"/>
        </w:trPr>
        <w:tc>
          <w:tcPr>
            <w:tcW w:w="5360" w:type="dxa"/>
            <w:vAlign w:val="bottom"/>
          </w:tcPr>
          <w:p>
            <w:pPr>
              <w:ind w:left="260"/>
              <w:spacing w:after="0"/>
              <w:rPr>
                <w:sz w:val="20"/>
                <w:szCs w:val="20"/>
                <w:color w:val="auto"/>
              </w:rPr>
            </w:pPr>
            <w:r>
              <w:rPr>
                <w:rFonts w:ascii="Arial" w:cs="Arial" w:eastAsia="Arial" w:hAnsi="Arial"/>
                <w:sz w:val="18"/>
                <w:szCs w:val="18"/>
                <w:color w:val="auto"/>
              </w:rPr>
              <w:t>Payments of dividends on non-redeemable</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(1,876)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preferred stocks</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12,947</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65,880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(6,527)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16,264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3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w:t>
      </w:r>
      <w:r>
        <w:rPr>
          <w:rFonts w:ascii="Arial" w:cs="Arial" w:eastAsia="Arial" w:hAnsi="Arial"/>
          <w:sz w:val="17"/>
          <w:szCs w:val="17"/>
          <w:color w:val="auto"/>
        </w:rPr>
        <w:t>– 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 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generally accepted accounting principles (“GAAP”)</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Increase in Authorized Shares of Common Stock and a Stock Dividend – </w:t>
      </w:r>
      <w:r>
        <w:rPr>
          <w:rFonts w:ascii="Arial" w:cs="Arial" w:eastAsia="Arial" w:hAnsi="Arial"/>
          <w:sz w:val="18"/>
          <w:szCs w:val="18"/>
          <w:color w:val="auto"/>
        </w:rPr>
        <w:t>In September 2021, LSB held a Special Meeting of Stockholders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 At the Special Meeting, our stockholders approved:</w:t>
      </w:r>
    </w:p>
    <w:p>
      <w:pPr>
        <w:ind w:left="740" w:hanging="368"/>
        <w:spacing w:after="0" w:line="281" w:lineRule="auto"/>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issuance and sale of up to approximately 60.4 million shares of common stock of the Company upon the exchange of all of the outstanding shares of Series E and Series F Redeemable Preferred (see discussion of the exchange transaction (“Exchange Transaction” in Note 2);</w:t>
      </w:r>
    </w:p>
    <w:p>
      <w:pPr>
        <w:spacing w:after="0" w:line="1"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amending our restated certificate of incorporation to increase the number of authorized shares of our common stock to 150 million shares of common stock;</w:t>
      </w:r>
    </w:p>
    <w:p>
      <w:pPr>
        <w:spacing w:after="0" w:line="77"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amending the certificate of designations of the Series E Redeemable Preferred to revise the preferential rights of holders of shares of Series E Redeemable Preferred to eliminate the right to participate in connection with the declaration of the proposed common stock dividend with respect to our common stock.</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2021, our Board of Directors (“Board”) declared a common stock dividend (“Special Dividend”) contingent on the closing of the Exchange Transaction (as defined below). As a result of the stockholders’ approval and the closing of the Exchange Transaction, such Special Dividend was effected in the form of a stock dividend of 0.3 shares of our common stock, for each outstanding share of common stock (exclusive of common stock held in the treasury and the common shares issued as part of the Exchange Transaction), but the Special Dividend was contingent upon the stockholders’ approval of the proposals noted above. As the result of the stockholders’ approval, the Special Dividend was paid through the issuance of approximately 9.1 million shares of common stock on October 8, 2021 to holders of record of common stock, including certain stock-based awards, on September 24, 2021 (the “Record Date”). Our common stock began trading on a stock dividend-adjusted basis on October 13, 2021.</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reporting purposes, the Special Dividend is accounted for as a stock split in the form of a stock dividend. As a result, all share and per share information herein has been retroactively adjusted to reflect the Special Dividend.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pursuant to anti-dilution terms included in cash-based awards that were outstanding on the Record Date, the number of units of cash-based awards increased due to the Special Dividend. As a result, additional expense was recognized due to the Special Dividend. See additional discussion relating to these cash-based awards in Note 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prior to their redemption as discussed in Note 2, were redeemable outside our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and therefore were historically classified as temporary/mezzanine equity. The redeemable preferred stocks were recorded at fair value upon issuance, net of issuance costs or discounts. In addition, certain embedded features (“embedded derivative”) included in the Series E Redeemable Preferred required bifurcation and were classified as derivative liabilities. The carrying values of the redeemable preferred stocks were being increased since issuance by periodic accretions (including the amount for dividends earned but not yet declared or paid) using the interest method so that the carrying amount would equal the redemption value as of the earliest possible redemption date by the holder. The accretion was recorded to retained earnings/accumulated deficit.</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However, in September 2021, our redeemable preferred stocks were exchanged into our common stock as discussed in Note 2. As a result, the change in classification of the redeemable preferred stocks from temporary/mezzanine equity to permanent equity was considered an extinguishment. In conjunction with the extinguishment of the redeemable preferred stocks, the then current fair value of the bifurcated embedded derivative was applied to the carrying value of the redeemable preferred stocks at the time of the extinguishment.</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 relating to certain equity awards impacted by the Exchange Transaction in Note 11.</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Our accounts receivable is stated at net realizable value. This value includes an appropriate allowance for estimated uncollectible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 Any contract assets consist of receivables from contracts with customers. Our accounts receivable primarily relate to these contract assets and are presented in our consolidated balance sheets.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to our customers are generally unsecured. Credit is extended to customers based on an evaluation of the customer’s financial condition and other factors. Customer payments are generally due thirty to sixty days after the invoice date. Concentrations of credit risk with respect to trade receivables are monitored and this risk is reduced due to short-term payment terms relating to most of our significant customers. Six customers (including their affiliates) account for approximately 50% of our total net receivables at December 31, 2021.</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are stated at the lower of cost (determined using the first-in, first-out (“FIFO”) basis) or net realizable value, which is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selling prices in the ordinary course of business, less reasonably predictable costs of completion, transportation or disposal. Finished goods include material, labor, and manufacturing overhead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reserves associated with cost exceeding net realizable value were not material at December 31, 2021 and 2020.</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Property, plant and equipment (“PP&amp;E”) are stated at cost, net of accumulated depreciation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(“D&amp;A”). Leases meeting finance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are expensed as they are incurred. All long-lived assets relate to domestic operations.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Fully depreciated assets are retained in PP&amp;E and accumulated D&amp;A accounts until disposal. When PP&amp;E is retired, sold, or otherwise disposed, the asset’s carrying amount and related accumulated D&amp;A is removed from the accounts and any gain or loss is included in other income or expense.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general, assets held for sale are reported at the lower of the carrying amounts of the assets or fair values less costs to sell.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Long-lived assets are reviewed for impairment whenever events or changes in circumstances indicate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the event or change in circumstance relates to the probable sale of an asset (or group of assets), the specific asset (or group of assets) is reviewed for impairment.</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We determine if an arrangement is a lease at inception or modification of a contract and classify each lease as either an operating or finance lease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operating lease asset represents our right to use the underlying asset as a lessee for the lease term and an operating lease liability represent our obligation to make lease payments arising from the lease. Currently, most of our leases are classified as operating leases and primarily relate to railcars, other equipment and office space. Our leases that are classified as finance leases and other leases under which we are the lessor are not material.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and Sales </w:t>
      </w:r>
      <w:r>
        <w:rPr>
          <w:rFonts w:ascii="Arial" w:cs="Arial" w:eastAsia="Arial" w:hAnsi="Arial"/>
          <w:sz w:val="18"/>
          <w:szCs w:val="18"/>
          <w:color w:val="auto"/>
        </w:rPr>
        <w:t>– Financial instruments relating to cash and cash equivalents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us to concentrations of credit risk. These financial instruments were held by financial institutions within the U.S. None of the financial instruments held within U.S. were in excess of the federally insured limits.</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to one customer, Koch Fertilizer LLC (“Koch Fertilizer”), represented approximately 15%, 10% and 11% of our total net sales for 2021, 2020 and 2019, respectively. Net sales to one customer, Coffeyville Resources Nitrogen Fertilizer, LLC (“CVR”), represented approximately 12%, 13% and 9% of our total net sales for 2021, 2020 and 2019, respectively.</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Accrued Insurance Liabilities </w:t>
      </w:r>
      <w:r>
        <w:rPr>
          <w:rFonts w:ascii="Arial" w:cs="Arial" w:eastAsia="Arial" w:hAnsi="Arial"/>
          <w:sz w:val="18"/>
          <w:szCs w:val="18"/>
          <w:color w:val="auto"/>
        </w:rPr>
        <w:t>– We are self-insured up to certain limits for group health, workers’ compensation and general liability claims. Above these</w:t>
      </w:r>
      <w:r>
        <w:rPr>
          <w:rFonts w:ascii="Arial" w:cs="Arial" w:eastAsia="Arial" w:hAnsi="Arial"/>
          <w:sz w:val="18"/>
          <w:szCs w:val="18"/>
          <w:b w:val="1"/>
          <w:bCs w:val="1"/>
          <w:color w:val="auto"/>
        </w:rPr>
        <w:t xml:space="preserve"> </w:t>
      </w:r>
      <w:r>
        <w:rPr>
          <w:rFonts w:ascii="Arial" w:cs="Arial" w:eastAsia="Arial" w:hAnsi="Arial"/>
          <w:sz w:val="18"/>
          <w:szCs w:val="18"/>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facilities. Additional pollution liability coverage for our other facilities is provided in our general liability and umbrella policies.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Executive Benefit Agreements </w:t>
      </w:r>
      <w:r>
        <w:rPr>
          <w:rFonts w:ascii="Arial" w:cs="Arial" w:eastAsia="Arial" w:hAnsi="Arial"/>
          <w:sz w:val="18"/>
          <w:szCs w:val="18"/>
          <w:color w:val="auto"/>
        </w:rPr>
        <w:t>– We are party to certain benefit agreements with certain key former executives. Costs associated with these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agreements are accrued based on the estimated remaining service period when such benefits become probable, or they will be paid. Total costs accrued equal the present value of specified payments to be made after benefits become payable.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the vesting of restricted stock. We reduce income tax expense for investment tax credits in the period the credit arises and is earned.</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 In general, we record the estimated fair value of an asset retirement obligation (“ARO”) associated with tangible long-lived 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50"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4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4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4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Other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the following practical expedients:</w:t>
      </w:r>
    </w:p>
    <w:p>
      <w:pPr>
        <w:spacing w:after="0" w:line="36" w:lineRule="exact"/>
        <w:rPr>
          <w:sz w:val="20"/>
          <w:szCs w:val="20"/>
          <w:color w:val="auto"/>
        </w:rPr>
      </w:pPr>
    </w:p>
    <w:p>
      <w:pPr>
        <w:ind w:left="1000" w:right="20" w:hanging="493"/>
        <w:spacing w:after="0" w:line="27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recognize revenue in the amount we have the right to invoice relating to certain services that are performed for customers and, not disclosing the value of unsatisfied performance obligations related to such services.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disclosing the value of unsatisfied performance obligations for contracts with an original expected duration of one year or less.</w:t>
      </w:r>
    </w:p>
    <w:p>
      <w:pPr>
        <w:spacing w:after="0" w:line="61" w:lineRule="exact"/>
        <w:rPr>
          <w:rFonts w:ascii="Arial" w:cs="Arial" w:eastAsia="Arial" w:hAnsi="Arial"/>
          <w:sz w:val="17"/>
          <w:szCs w:val="17"/>
          <w:color w:val="auto"/>
        </w:rPr>
      </w:pPr>
    </w:p>
    <w:p>
      <w:pPr>
        <w:ind w:left="1000" w:hanging="493"/>
        <w:spacing w:after="0" w:line="27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adjusting the promised amount of consideration for the effects of a significant financing component if we expect the financing time period to be one year or less.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8"/>
          <w:szCs w:val="18"/>
          <w:color w:val="auto"/>
        </w:rPr>
        <w:t>expense as incurred any incremental costs of obtaining a contract if the associated period of benefit is one year or less.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net sales and long-lived assets relate to domestic operations for the periods presented. In addition, net sales to non-U.S. customers were not material.</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Recognition of Incentive Tax Credits (Other Than Credits Associated with Income Taxes) </w:t>
      </w:r>
      <w:r>
        <w:rPr>
          <w:rFonts w:ascii="Arial" w:cs="Arial" w:eastAsia="Arial" w:hAnsi="Arial"/>
          <w:sz w:val="16"/>
          <w:szCs w:val="16"/>
          <w:color w:val="auto"/>
        </w:rPr>
        <w:t>– If an incentive tax credit relates to a recovery of taxes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income taxes) incurred, we recognize the incentive tax credit when it is probable and reasonably estimable. If an incentive tax credit relates to an amount in excess of taxes incurred, the incentive tax credit is a contingent gain, which we recognize the incentive tax credit when it is realized or when the contingencies have been resolved (generally at the time a settlement has been reached). Amounts recoverable from the taxing authorities, if any, are included in accounts receivable. The same financial statement classification is used for an incentive tax credit as the associated tax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our incentive tax credits receivable totaled $1.4 million (minimal at December 31, 2021).</w:t>
      </w:r>
    </w:p>
    <w:p>
      <w:pPr>
        <w:spacing w:after="0" w:line="11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Recognition of Insurance Recoveries </w:t>
      </w:r>
      <w:r>
        <w:rPr>
          <w:rFonts w:ascii="Arial" w:cs="Arial" w:eastAsia="Arial" w:hAnsi="Arial"/>
          <w:sz w:val="16"/>
          <w:szCs w:val="16"/>
          <w:color w:val="auto"/>
        </w:rPr>
        <w:t>– If an insurance claim relates to a recovery of our losses, we recognize the recovery when it is probable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estimable. If our insurance claim relates to a contingent gain, we recognize the recovery when it is realized or when the contingencies have been resolved (generally at the time a settlement has been reached). Amounts recoverable from our insurance carriers, if any, are included in accounts receivable. An insurance recovery in excess of recoverable costs relating to a business interruption claim, if any, is a reduction to cost of sales.</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includes materials, labor and overhead costs, including depreciation, to manufacture the products sold plus inbound freight,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purchasing and receiving costs, inspection costs, internal transfer costs, loading and handling costs, warehousing costs, railcar lease costs and outbound freight. Maintenance, repairs and minor renewal costs relating to Turnarounds are included in cost of sales as they are incurred. Precious metals used as a catalyst and consumed during the manufacturing process are included in cost of sales. Recoveries and gains from precious metals and business interruption insurance claims, if any, are reductions to cost of sales.</w:t>
      </w:r>
    </w:p>
    <w:p>
      <w:pPr>
        <w:spacing w:after="0" w:line="7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Selling, General and Administrative Expense </w:t>
      </w:r>
      <w:r>
        <w:rPr>
          <w:rFonts w:ascii="Arial" w:cs="Arial" w:eastAsia="Arial" w:hAnsi="Arial"/>
          <w:sz w:val="16"/>
          <w:szCs w:val="16"/>
          <w:color w:val="auto"/>
        </w:rPr>
        <w:t>– Selling, general and administrative expense (“SG&amp;A”) includes costs associated with the sales,</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administrative functions. Such costs include personnel costs, including benefits, professional fees, office and occupancy costs associated with the sales, marketing and administrative functions. Also included in SG&amp;A are any distribution fees paid to third parties to distribute our products.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and 2020, we did not have any financial instruments with fair values materially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(Loss) per Common Share </w:t>
      </w:r>
      <w:r>
        <w:rPr>
          <w:rFonts w:ascii="Arial" w:cs="Arial" w:eastAsia="Arial" w:hAnsi="Arial"/>
          <w:sz w:val="17"/>
          <w:szCs w:val="17"/>
          <w:color w:val="auto"/>
        </w:rPr>
        <w:t>– Net income (loss) attributable to common stockholders is computed by adjusting net income (loss) by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and dividend requirements (including the deemed dividend discussed in Note 2) on preferred stocks and the accretion of redeemable preferred stocks, if applicable. Basic loss per common share is computed by dividing net loss attributable to common stockholders by the weighted average number of common shares outstanding, excluding contingently issuable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prior to the Exchange Transaction and restricted stock units) participate in dividends declared on our common stock and are therefore considered to be participating securities.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 Information - </w:t>
      </w:r>
      <w:r>
        <w:rPr>
          <w:rFonts w:ascii="Arial" w:cs="Arial" w:eastAsia="Arial" w:hAnsi="Arial"/>
          <w:sz w:val="18"/>
          <w:szCs w:val="18"/>
          <w:color w:val="auto"/>
        </w:rPr>
        <w:t>We operate in one principal business segment – our chemical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ASU 2019-12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2019, the FASB issued ASU 2019-12,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which</w:t>
      </w:r>
      <w:r>
        <w:rPr>
          <w:rFonts w:ascii="Arial" w:cs="Arial" w:eastAsia="Arial" w:hAnsi="Arial"/>
          <w:sz w:val="18"/>
          <w:szCs w:val="18"/>
          <w:b w:val="1"/>
          <w:bCs w:val="1"/>
          <w:color w:val="auto"/>
        </w:rPr>
        <w:t xml:space="preserve"> </w:t>
      </w:r>
      <w:r>
        <w:rPr>
          <w:rFonts w:ascii="Arial" w:cs="Arial" w:eastAsia="Arial" w:hAnsi="Arial"/>
          <w:sz w:val="18"/>
          <w:szCs w:val="18"/>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On January 1, 2021, we adopted ASU 2019-12, which did not have a material impact on our consolidated financial statements or related disclosures.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ind w:right="6700" w:firstLine="8"/>
        <w:spacing w:after="0" w:line="422" w:lineRule="auto"/>
        <w:tabs>
          <w:tab w:leader="none" w:pos="22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Recently Issued Accounting Pronouncements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2020-06 </w:t>
      </w:r>
      <w:r>
        <w:rPr>
          <w:rFonts w:ascii="Arial" w:cs="Arial" w:eastAsia="Arial" w:hAnsi="Arial"/>
          <w:sz w:val="18"/>
          <w:szCs w:val="18"/>
          <w:color w:val="auto"/>
        </w:rPr>
        <w:t>- In August 2020, the FASB issued ASU 2020-06,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Debt-Debt with Conversion and other Options (Subtopic 470-20) and Derivatives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Hedging – Contracts in Entity’s own Equity (Subtopic 815-40)</w:t>
      </w:r>
      <w:r>
        <w:rPr>
          <w:rFonts w:ascii="Arial" w:cs="Arial" w:eastAsia="Arial" w:hAnsi="Arial"/>
          <w:sz w:val="18"/>
          <w:szCs w:val="18"/>
          <w:color w:val="252525"/>
        </w:rPr>
        <w:t>. This ASU</w:t>
      </w:r>
      <w:r>
        <w:rPr>
          <w:rFonts w:ascii="Arial" w:cs="Arial" w:eastAsia="Arial" w:hAnsi="Arial"/>
          <w:sz w:val="18"/>
          <w:szCs w:val="18"/>
          <w:i w:val="1"/>
          <w:iCs w:val="1"/>
          <w:color w:val="252525"/>
        </w:rPr>
        <w:t xml:space="preserve"> </w:t>
      </w:r>
      <w:r>
        <w:rPr>
          <w:rFonts w:ascii="Arial" w:cs="Arial" w:eastAsia="Arial" w:hAnsi="Arial"/>
          <w:sz w:val="18"/>
          <w:szCs w:val="18"/>
          <w:color w:val="000000"/>
        </w:rPr>
        <w:t>addresses the complexity associated with applying GAAP to certain financial</w:t>
      </w:r>
      <w:r>
        <w:rPr>
          <w:rFonts w:ascii="Arial" w:cs="Arial" w:eastAsia="Arial" w:hAnsi="Arial"/>
          <w:sz w:val="18"/>
          <w:szCs w:val="18"/>
          <w:i w:val="1"/>
          <w:iCs w:val="1"/>
          <w:color w:val="252525"/>
        </w:rPr>
        <w:t xml:space="preserve"> </w:t>
      </w:r>
      <w:r>
        <w:rPr>
          <w:rFonts w:ascii="Arial" w:cs="Arial" w:eastAsia="Arial" w:hAnsi="Arial"/>
          <w:sz w:val="18"/>
          <w:szCs w:val="18"/>
          <w:color w:val="000000"/>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is permitted, which began January 1, 2021. We are evaluating the timing and the effect of our pending adoption of this ASU on our consolidated financial statements and related disclosures at this time.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agreements that include LIBOR rates.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Series F Redeemable Preferred Exchanged for Common Stock</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2021, we entered into a Securities Exchange Agreement (the “Exchange Agreement”) with LSB Funding (the “Holder”), an affiliate of Eldridge Industries, LLC and other affiliates (together “Eldridge”), which Exchange Agreement was voted on and approved by our stockholders at the Special Meeting as discussed in Note 1. Pursuant to the terms of the Exchange Agreement, the Holder would exchange all of the shares of the Series E and Series F Redeemable Preferred into our common stock based on the liquidation preference (“Liquidation Preference”), at the time of the exchange, and an exchange price of $6.16, which is equal to the 30-day volume weighted average price as of the date of the Exchange Agreement. The Liquidation Preference primarily consists of $1,000 per share of Series E Redeemable Preferred plus accrued and unpaid dividends and the participation rights value.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27, 2021, the closing of the Exchange Agreement occurred, and the Exchange Transaction was consummated. Pursuant to the terms of the Exchange Agreement, the Holder exchanged all of the shares of the Series E and Series F Redeemable Preferred for approximately 49.1 million shares of our common stock.</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total fair value of the approximately 49.1 million shares of common stock issued was approximately $531.1 million (based on the average per share price on the date of closing). The fair value of the common stock issued was in excess of the Series E and Series F Redeemable Preferred carrying amount, net of the bifurcated embedded derivative and unamortized issuance costs, by approximately $231.8 million and is treated as a deemed dividend. Because we were in an accumulated deficit position on the closing date, the deemed dividend was charged to capital in excess of par value.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39"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Accrued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80" w:type="dxa"/>
            <w:vAlign w:val="bottom"/>
          </w:tcPr>
          <w:p>
            <w:pPr>
              <w:spacing w:after="0"/>
              <w:rPr>
                <w:sz w:val="18"/>
                <w:szCs w:val="18"/>
                <w:color w:val="auto"/>
              </w:rPr>
            </w:pPr>
          </w:p>
        </w:tc>
        <w:tc>
          <w:tcPr>
            <w:tcW w:w="30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Series E Redeemable Preferred</w:t>
            </w:r>
          </w:p>
        </w:tc>
        <w:tc>
          <w:tcPr>
            <w:tcW w:w="10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Embedded Derivative</w:t>
            </w:r>
          </w:p>
        </w:tc>
        <w:tc>
          <w:tcPr>
            <w:tcW w:w="2900" w:type="dxa"/>
            <w:vAlign w:val="bottom"/>
            <w:gridSpan w:val="5"/>
          </w:tcPr>
          <w:p>
            <w:pPr>
              <w:ind w:left="440"/>
              <w:spacing w:after="0"/>
              <w:rPr>
                <w:sz w:val="20"/>
                <w:szCs w:val="20"/>
                <w:color w:val="auto"/>
              </w:rPr>
            </w:pPr>
            <w:r>
              <w:rPr>
                <w:rFonts w:ascii="Arial" w:cs="Arial" w:eastAsia="Arial" w:hAnsi="Arial"/>
                <w:sz w:val="14"/>
                <w:szCs w:val="14"/>
                <w:b w:val="1"/>
                <w:bCs w:val="1"/>
                <w:color w:val="auto"/>
              </w:rPr>
              <w:t>Series F Redeemable Preferred</w:t>
            </w:r>
          </w:p>
        </w:tc>
      </w:tr>
      <w:tr>
        <w:trPr>
          <w:trHeight w:val="156"/>
        </w:trPr>
        <w:tc>
          <w:tcPr>
            <w:tcW w:w="3280" w:type="dxa"/>
            <w:vAlign w:val="bottom"/>
          </w:tcPr>
          <w:p>
            <w:pPr>
              <w:spacing w:after="0"/>
              <w:rPr>
                <w:sz w:val="13"/>
                <w:szCs w:val="13"/>
                <w:color w:val="auto"/>
              </w:rPr>
            </w:pPr>
          </w:p>
        </w:tc>
        <w:tc>
          <w:tcPr>
            <w:tcW w:w="1420" w:type="dxa"/>
            <w:vAlign w:val="bottom"/>
            <w:tcBorders>
              <w:top w:val="single" w:sz="8" w:color="auto"/>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Borders>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r>
      <w:tr>
        <w:trPr>
          <w:trHeight w:val="155"/>
        </w:trPr>
        <w:tc>
          <w:tcPr>
            <w:tcW w:w="3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380"/>
              <w:spacing w:after="0" w:line="155" w:lineRule="exact"/>
              <w:rPr>
                <w:sz w:val="20"/>
                <w:szCs w:val="20"/>
                <w:color w:val="auto"/>
              </w:rPr>
            </w:pPr>
            <w:r>
              <w:rPr>
                <w:rFonts w:ascii="Arial" w:cs="Arial" w:eastAsia="Arial" w:hAnsi="Arial"/>
                <w:sz w:val="14"/>
                <w:szCs w:val="14"/>
                <w:color w:val="auto"/>
                <w:w w:val="94"/>
              </w:rPr>
              <w:t>(Dollars In Thousands)</w:t>
            </w: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272,101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15"/>
        </w:trPr>
        <w:tc>
          <w:tcPr>
            <w:tcW w:w="3280" w:type="dxa"/>
            <w:vAlign w:val="bottom"/>
          </w:tcPr>
          <w:p>
            <w:pPr>
              <w:ind w:left="260"/>
              <w:spacing w:after="0"/>
              <w:rPr>
                <w:sz w:val="20"/>
                <w:szCs w:val="20"/>
                <w:color w:val="auto"/>
              </w:rPr>
            </w:pPr>
            <w:r>
              <w:rPr>
                <w:rFonts w:ascii="Arial" w:cs="Arial" w:eastAsia="Arial" w:hAnsi="Arial"/>
                <w:sz w:val="18"/>
                <w:szCs w:val="18"/>
                <w:color w:val="auto"/>
              </w:rPr>
              <w:t>Accretion relating to liquidation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ind w:left="260"/>
              <w:spacing w:after="0"/>
              <w:rPr>
                <w:sz w:val="20"/>
                <w:szCs w:val="20"/>
                <w:color w:val="auto"/>
              </w:rPr>
            </w:pPr>
            <w:r>
              <w:rPr>
                <w:rFonts w:ascii="Arial" w:cs="Arial" w:eastAsia="Arial" w:hAnsi="Arial"/>
                <w:sz w:val="18"/>
                <w:szCs w:val="18"/>
                <w:color w:val="auto"/>
              </w:rPr>
              <w:t>preference 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5"/>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for discount and issuance</w:t>
            </w: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on</w:t>
            </w: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Accumulated dividends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5"/>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w:t>
            </w: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embedded derivative</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15"/>
        </w:trPr>
        <w:tc>
          <w:tcPr>
            <w:tcW w:w="3280" w:type="dxa"/>
            <w:vAlign w:val="bottom"/>
          </w:tcPr>
          <w:p>
            <w:pPr>
              <w:ind w:left="260"/>
              <w:spacing w:after="0"/>
              <w:rPr>
                <w:sz w:val="20"/>
                <w:szCs w:val="20"/>
                <w:color w:val="auto"/>
              </w:rPr>
            </w:pPr>
            <w:r>
              <w:rPr>
                <w:rFonts w:ascii="Arial" w:cs="Arial" w:eastAsia="Arial" w:hAnsi="Arial"/>
                <w:sz w:val="18"/>
                <w:szCs w:val="18"/>
                <w:color w:val="auto"/>
              </w:rPr>
              <w:t>Costs relating to exchange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ind w:left="380"/>
              <w:spacing w:after="0"/>
              <w:rPr>
                <w:sz w:val="20"/>
                <w:szCs w:val="20"/>
                <w:color w:val="auto"/>
              </w:rPr>
            </w:pPr>
            <w:r>
              <w:rPr>
                <w:rFonts w:ascii="Arial" w:cs="Arial" w:eastAsia="Arial" w:hAnsi="Arial"/>
                <w:sz w:val="18"/>
                <w:szCs w:val="18"/>
                <w:color w:val="auto"/>
              </w:rPr>
              <w:t>transaction</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5"/>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of preferred stock</w:t>
            </w: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 common stock</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(139,768)</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(296,041)</w:t>
            </w:r>
          </w:p>
        </w:tc>
        <w:tc>
          <w:tcPr>
            <w:tcW w:w="10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(3,287)</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result of the Exchange Transaction discussed above, Eldridge held over 60% of our outstanding shares of common stock on the closing date. As a result, a change of control (“CoC”) event occurred as defined in certain equity award agreements discussed in Note 11 and in certain cash-based award agreements.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cash-based awards outstanding as of the CoC event, all such awards immediately vested and approximately $5.4 million was paid. As a result of the vesting, we recognized an additional $2.0 million expense, of which $0.7 million is classified as cost of sales and $1.3 million is classified as SG&amp;A.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gridSpan w:val="7"/>
          </w:tcPr>
          <w:p>
            <w:pPr>
              <w:jc w:val="right"/>
              <w:spacing w:after="0" w:line="155" w:lineRule="exact"/>
              <w:rPr>
                <w:sz w:val="20"/>
                <w:szCs w:val="20"/>
                <w:color w:val="auto"/>
              </w:rPr>
            </w:pPr>
            <w:r>
              <w:rPr>
                <w:rFonts w:ascii="Arial" w:cs="Arial" w:eastAsia="Arial" w:hAnsi="Arial"/>
                <w:sz w:val="14"/>
                <w:szCs w:val="14"/>
                <w:color w:val="auto"/>
              </w:rPr>
              <w:t>( In Thousands, Except Per Share Amounts)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43,545</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(61,911)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(63,417)</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basic and diluted net loss per common share:</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500"/>
              <w:spacing w:after="0"/>
              <w:rPr>
                <w:sz w:val="20"/>
                <w:szCs w:val="20"/>
                <w:color w:val="auto"/>
              </w:rPr>
            </w:pPr>
            <w:r>
              <w:rPr>
                <w:rFonts w:ascii="Arial" w:cs="Arial" w:eastAsia="Arial" w:hAnsi="Arial"/>
                <w:sz w:val="18"/>
                <w:szCs w:val="18"/>
                <w:color w:val="auto"/>
              </w:rPr>
              <w:t>Dividend requirements on Series E Redeemable Preferred</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(29,914)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(35,182)</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(30,729)</w:t>
            </w:r>
          </w:p>
        </w:tc>
        <w:tc>
          <w:tcPr>
            <w:tcW w:w="0" w:type="dxa"/>
            <w:vAlign w:val="bottom"/>
          </w:tcPr>
          <w:p>
            <w:pPr>
              <w:spacing w:after="0"/>
              <w:rPr>
                <w:sz w:val="1"/>
                <w:szCs w:val="1"/>
                <w:color w:val="auto"/>
              </w:rPr>
            </w:pPr>
          </w:p>
        </w:tc>
      </w:tr>
      <w:tr>
        <w:trPr>
          <w:trHeight w:val="215"/>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Deemed dividend on Series E and Series F</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(231,812)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Redeemable Preferred</w:t>
            </w: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Arial" w:cs="Arial" w:eastAsia="Arial" w:hAnsi="Arial"/>
                <w:sz w:val="18"/>
                <w:szCs w:val="18"/>
                <w:color w:val="auto"/>
              </w:rPr>
              <w:t>Dividend and dividend requirements on Series B Preferred</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 and dividend requirements on Series D Preferred</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Numerator for basic and diluted net loss per common share</w:t>
            </w:r>
          </w:p>
        </w:tc>
        <w:tc>
          <w:tcPr>
            <w:tcW w:w="9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(220,002)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(99,419)</w:t>
            </w:r>
          </w:p>
        </w:tc>
        <w:tc>
          <w:tcPr>
            <w:tcW w:w="24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Denominator:</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Denominator for basic and diluted net loss per common</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49,963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 - adjusted weighted-average shares (1)</w:t>
            </w: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36,664</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(4.40)</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periods exclude the weighted-average shares of unvested restricted stock that are contingently issuable.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stock - embedded derivative</w:t>
            </w:r>
          </w:p>
        </w:tc>
        <w:tc>
          <w:tcPr>
            <w:tcW w:w="980" w:type="dxa"/>
            <w:vAlign w:val="bottom"/>
            <w:shd w:val="clear" w:color="auto" w:fill="CFF0FC"/>
          </w:tcPr>
          <w:p>
            <w:pPr>
              <w:spacing w:after="0"/>
              <w:rPr>
                <w:sz w:val="19"/>
                <w:szCs w:val="19"/>
                <w:color w:val="auto"/>
              </w:rPr>
            </w:pPr>
          </w:p>
        </w:tc>
        <w:tc>
          <w:tcPr>
            <w:tcW w:w="740" w:type="dxa"/>
            <w:vAlign w:val="bottom"/>
            <w:gridSpan w:val="4"/>
            <w:shd w:val="clear" w:color="auto" w:fill="CFF0FC"/>
          </w:tcPr>
          <w:p>
            <w:pPr>
              <w:jc w:val="right"/>
              <w:ind w:right="33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Convertible preferred stocks</w:t>
            </w:r>
          </w:p>
        </w:tc>
        <w:tc>
          <w:tcPr>
            <w:tcW w:w="980" w:type="dxa"/>
            <w:vAlign w:val="bottom"/>
          </w:tcPr>
          <w:p>
            <w:pPr>
              <w:spacing w:after="0"/>
              <w:rPr>
                <w:sz w:val="19"/>
                <w:szCs w:val="19"/>
                <w:color w:val="auto"/>
              </w:rPr>
            </w:pPr>
          </w:p>
        </w:tc>
        <w:tc>
          <w:tcPr>
            <w:tcW w:w="7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Plant and Equipment</w:t>
            </w: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center"/>
              <w:ind w:left="315"/>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useful lives</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3"/>
          </w:tcPr>
          <w:p>
            <w:pPr>
              <w:jc w:val="right"/>
              <w:ind w:right="1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equipment and automotive</w:t>
            </w:r>
          </w:p>
        </w:tc>
        <w:tc>
          <w:tcPr>
            <w:tcW w:w="980" w:type="dxa"/>
            <w:vAlign w:val="bottom"/>
            <w:shd w:val="clear" w:color="auto" w:fill="CFF0FC"/>
          </w:tcPr>
          <w:p>
            <w:pPr>
              <w:jc w:val="right"/>
              <w:ind w:right="115"/>
              <w:spacing w:after="0"/>
              <w:rPr>
                <w:sz w:val="20"/>
                <w:szCs w:val="20"/>
                <w:color w:val="auto"/>
              </w:rPr>
            </w:pPr>
            <w:r>
              <w:rPr>
                <w:rFonts w:ascii="Arial" w:cs="Arial" w:eastAsia="Arial" w:hAnsi="Arial"/>
                <w:sz w:val="18"/>
                <w:szCs w:val="18"/>
                <w:b w:val="1"/>
                <w:bCs w:val="1"/>
                <w:color w:val="auto"/>
              </w:rPr>
              <w:t>25</w:t>
            </w: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1,244,617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jc w:val="right"/>
              <w:ind w:right="115"/>
              <w:spacing w:after="0"/>
              <w:rPr>
                <w:sz w:val="20"/>
                <w:szCs w:val="20"/>
                <w:color w:val="auto"/>
              </w:rPr>
            </w:pPr>
            <w:r>
              <w:rPr>
                <w:rFonts w:ascii="Arial" w:cs="Arial" w:eastAsia="Arial" w:hAnsi="Arial"/>
                <w:sz w:val="18"/>
                <w:szCs w:val="18"/>
                <w:b w:val="1"/>
                <w:bCs w:val="1"/>
                <w:color w:val="auto"/>
              </w:rPr>
              <w:t>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44,814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980" w:type="dxa"/>
            <w:vAlign w:val="bottom"/>
            <w:shd w:val="clear" w:color="auto" w:fill="CFF0FC"/>
          </w:tcPr>
          <w:p>
            <w:pPr>
              <w:jc w:val="right"/>
              <w:ind w:right="115"/>
              <w:spacing w:after="0"/>
              <w:rPr>
                <w:sz w:val="20"/>
                <w:szCs w:val="20"/>
                <w:color w:val="auto"/>
              </w:rPr>
            </w:pPr>
            <w:r>
              <w:rPr>
                <w:rFonts w:ascii="Arial" w:cs="Arial" w:eastAsia="Arial" w:hAnsi="Arial"/>
                <w:sz w:val="18"/>
                <w:szCs w:val="18"/>
                <w:b w:val="1"/>
                <w:bCs w:val="1"/>
                <w:color w:val="auto"/>
              </w:rPr>
              <w:t>35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8,271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Furniture, fixtures and store equipment</w:t>
            </w:r>
          </w:p>
        </w:tc>
        <w:tc>
          <w:tcPr>
            <w:tcW w:w="980" w:type="dxa"/>
            <w:vAlign w:val="bottom"/>
          </w:tcPr>
          <w:p>
            <w:pPr>
              <w:jc w:val="center"/>
              <w:ind w:left="335"/>
              <w:spacing w:after="0"/>
              <w:rPr>
                <w:sz w:val="20"/>
                <w:szCs w:val="20"/>
                <w:color w:val="auto"/>
              </w:rPr>
            </w:pPr>
            <w:r>
              <w:rPr>
                <w:rFonts w:ascii="Arial" w:cs="Arial" w:eastAsia="Arial" w:hAnsi="Arial"/>
                <w:sz w:val="18"/>
                <w:szCs w:val="18"/>
                <w:b w:val="1"/>
                <w:bCs w:val="1"/>
                <w:color w:val="auto"/>
                <w:w w:val="79"/>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1,156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980" w:type="dxa"/>
            <w:vAlign w:val="bottom"/>
            <w:shd w:val="clear" w:color="auto" w:fill="CFF0FC"/>
          </w:tcPr>
          <w:p>
            <w:pPr>
              <w:jc w:val="center"/>
              <w:ind w:left="335"/>
              <w:spacing w:after="0"/>
              <w:rPr>
                <w:sz w:val="20"/>
                <w:szCs w:val="20"/>
                <w:color w:val="auto"/>
              </w:rPr>
            </w:pPr>
            <w:r>
              <w:rPr>
                <w:rFonts w:ascii="Arial" w:cs="Arial" w:eastAsia="Arial" w:hAnsi="Arial"/>
                <w:sz w:val="18"/>
                <w:szCs w:val="18"/>
                <w:b w:val="1"/>
                <w:bCs w:val="1"/>
                <w:color w:val="auto"/>
              </w:rPr>
              <w:t>N/A</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15,298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Capital spare parts</w:t>
            </w:r>
          </w:p>
        </w:tc>
        <w:tc>
          <w:tcPr>
            <w:tcW w:w="980" w:type="dxa"/>
            <w:vAlign w:val="bottom"/>
          </w:tcPr>
          <w:p>
            <w:pPr>
              <w:jc w:val="center"/>
              <w:ind w:left="335"/>
              <w:spacing w:after="0"/>
              <w:rPr>
                <w:sz w:val="20"/>
                <w:szCs w:val="20"/>
                <w:color w:val="auto"/>
              </w:rPr>
            </w:pPr>
            <w:r>
              <w:rPr>
                <w:rFonts w:ascii="Arial" w:cs="Arial" w:eastAsia="Arial" w:hAnsi="Arial"/>
                <w:sz w:val="18"/>
                <w:szCs w:val="18"/>
                <w:b w:val="1"/>
                <w:bCs w:val="1"/>
                <w:color w:val="auto"/>
              </w:rPr>
              <w:t>N/A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26,744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980" w:type="dxa"/>
            <w:vAlign w:val="bottom"/>
            <w:shd w:val="clear" w:color="auto" w:fill="CFF0FC"/>
          </w:tcPr>
          <w:p>
            <w:pPr>
              <w:jc w:val="center"/>
              <w:ind w:left="335"/>
              <w:spacing w:after="0"/>
              <w:rPr>
                <w:sz w:val="20"/>
                <w:szCs w:val="20"/>
                <w:color w:val="auto"/>
              </w:rPr>
            </w:pPr>
            <w:r>
              <w:rPr>
                <w:rFonts w:ascii="Arial" w:cs="Arial" w:eastAsia="Arial" w:hAnsi="Arial"/>
                <w:sz w:val="18"/>
                <w:szCs w:val="18"/>
                <w:b w:val="1"/>
                <w:bCs w:val="1"/>
                <w:color w:val="auto"/>
              </w:rPr>
              <w:t>N/A</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4,567</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1,345,467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1,316,635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486,987</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858,480</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80" w:hanging="508"/>
        <w:spacing w:after="0" w:line="183" w:lineRule="auto"/>
        <w:tabs>
          <w:tab w:leader="none" w:pos="880" w:val="left"/>
        </w:tabs>
        <w:numPr>
          <w:ilvl w:val="0"/>
          <w:numId w:val="37"/>
        </w:numPr>
        <w:rPr>
          <w:rFonts w:ascii="Arial" w:cs="Arial" w:eastAsia="Arial" w:hAnsi="Arial"/>
          <w:sz w:val="27"/>
          <w:szCs w:val="27"/>
          <w:color w:val="auto"/>
          <w:vertAlign w:val="superscript"/>
        </w:rPr>
      </w:pPr>
      <w:r>
        <w:rPr>
          <w:rFonts w:ascii="Arial" w:cs="Arial" w:eastAsia="Arial" w:hAnsi="Arial"/>
          <w:sz w:val="15"/>
          <w:szCs w:val="15"/>
          <w:color w:val="auto"/>
        </w:rPr>
        <w:t>Weighted average useful lives as of December 31, 2021.</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Machinery, equipment and automotive primarily includes the categories of property and equipment and estimated useful lives as follows: processing plants and plant infrastructure (15-30 years); certain processing plant components (3-10 years); and trucks, automobiles, trailers, and other rolling stock (4-7 years).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Current and Noncurrent Accrued and Other Liabilities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156"/>
        </w:trPr>
        <w:tc>
          <w:tcPr>
            <w:tcW w:w="4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8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9,794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5,837</w:t>
            </w:r>
          </w:p>
        </w:tc>
        <w:tc>
          <w:tcPr>
            <w:tcW w:w="8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Accrued interest</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8,397</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8,669</w:t>
            </w:r>
          </w:p>
        </w:tc>
        <w:tc>
          <w:tcPr>
            <w:tcW w:w="8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7,755</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w:t>
            </w:r>
          </w:p>
        </w:tc>
        <w:tc>
          <w:tcPr>
            <w:tcW w:w="8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2,514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FF0FC"/>
          </w:tcPr>
          <w:p>
            <w:pPr>
              <w:spacing w:after="0"/>
              <w:rPr>
                <w:sz w:val="19"/>
                <w:szCs w:val="19"/>
                <w:color w:val="auto"/>
              </w:rPr>
            </w:pPr>
          </w:p>
        </w:tc>
      </w:tr>
      <w:tr>
        <w:trPr>
          <w:trHeight w:val="229"/>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6,599</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w:t>
            </w:r>
          </w:p>
        </w:tc>
        <w:tc>
          <w:tcPr>
            <w:tcW w:w="8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36,331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36,457</w:t>
            </w:r>
          </w:p>
        </w:tc>
        <w:tc>
          <w:tcPr>
            <w:tcW w:w="80" w:type="dxa"/>
            <w:vAlign w:val="bottom"/>
            <w:shd w:val="clear" w:color="auto" w:fill="CFF0FC"/>
          </w:tcPr>
          <w:p>
            <w:pPr>
              <w:spacing w:after="0"/>
              <w:rPr>
                <w:sz w:val="19"/>
                <w:szCs w:val="19"/>
                <w:color w:val="auto"/>
              </w:rPr>
            </w:pPr>
          </w:p>
        </w:tc>
      </w:tr>
      <w:tr>
        <w:trPr>
          <w:trHeight w:val="229"/>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5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3,030</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80" w:type="dxa"/>
            <w:vAlign w:val="bottom"/>
            <w:tcBorders>
              <w:bottom w:val="single" w:sz="8" w:color="CFF0FC"/>
            </w:tcBorders>
          </w:tcPr>
          <w:p>
            <w:pPr>
              <w:spacing w:after="0"/>
              <w:rPr>
                <w:sz w:val="19"/>
                <w:szCs w:val="19"/>
                <w:color w:val="auto"/>
              </w:rPr>
            </w:pPr>
          </w:p>
        </w:tc>
      </w:tr>
      <w:tr>
        <w:trPr>
          <w:trHeight w:val="22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5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33,301</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 Retirement Obligations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the land on which our owned plants operate, limiting asset retirement obligations at our owned chemical facilities. However, we have various legal requirements related to operations at our chemical facilities mainly for the disposal of wastewater generated at certain of these facilities. At December 31, 2021 and 2020, our accrued liability for AROs was $100,000. However, the facilities and some of the water related assets have an indeterminate life and as a result there is insufficient information to estimate the fair value for certain of our AROs. We will continue to review these obligations and record a liability when a reasonable estimate of the fair value can be made.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240" w:type="dxa"/>
            <w:vAlign w:val="bottom"/>
            <w:vMerge w:val="restart"/>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3.75% (A)</w:t>
            </w:r>
          </w:p>
        </w:tc>
        <w:tc>
          <w:tcPr>
            <w:tcW w:w="240" w:type="dxa"/>
            <w:vAlign w:val="bottom"/>
            <w:vMerge w:val="continue"/>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Secured Notes due 2028 (B)</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due 2023 (B)</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Secured Financing due 2023, with an interest</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rate of 8.32% (C)</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10,715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Secured Loan Agreement due 2025, with an interest</w:t>
            </w: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5,328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8.75% (D)</w:t>
            </w:r>
          </w:p>
        </w:tc>
        <w:tc>
          <w:tcPr>
            <w:tcW w:w="24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Secured Financing Agreement due 2025, with an interest</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23,987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rate of 8.75% (E)</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28,636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Unsecured Loan Agreement due 2022, with an interest</w:t>
            </w:r>
          </w:p>
        </w:tc>
        <w:tc>
          <w:tcPr>
            <w:tcW w:w="24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1.00% (F)</w:t>
            </w:r>
          </w:p>
        </w:tc>
        <w:tc>
          <w:tcPr>
            <w:tcW w:w="24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Secured Promissory Note due 2021</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(9,722)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(8,648)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527,644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484,190</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 (G)</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due after one year, net (G)</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518,190</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467,389</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vMerge w:val="restart"/>
          </w:tcPr>
          <w:p>
            <w:pPr>
              <w:ind w:left="3760"/>
              <w:spacing w:after="0"/>
              <w:rPr>
                <w:sz w:val="20"/>
                <w:szCs w:val="20"/>
                <w:color w:val="auto"/>
              </w:rPr>
            </w:pPr>
            <w:r>
              <w:rPr>
                <w:rFonts w:ascii="Arial" w:cs="Arial" w:eastAsia="Arial" w:hAnsi="Arial"/>
                <w:sz w:val="18"/>
                <w:szCs w:val="18"/>
                <w:color w:val="auto"/>
              </w:rPr>
              <w:t>F-19</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(continued)</w:t>
      </w:r>
    </w:p>
    <w:p>
      <w:pPr>
        <w:spacing w:after="0" w:line="121" w:lineRule="exact"/>
        <w:rPr>
          <w:sz w:val="20"/>
          <w:szCs w:val="20"/>
          <w:color w:val="auto"/>
        </w:rPr>
      </w:pPr>
    </w:p>
    <w:p>
      <w:pPr>
        <w:jc w:val="both"/>
        <w:ind w:firstLine="8"/>
        <w:spacing w:after="0" w:line="289" w:lineRule="auto"/>
        <w:tabs>
          <w:tab w:leader="none" w:pos="308"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w:t>
      </w:r>
      <w:r>
        <w:rPr>
          <w:rFonts w:ascii="Arial" w:cs="Arial" w:eastAsia="Arial" w:hAnsi="Arial"/>
          <w:sz w:val="16"/>
          <w:szCs w:val="16"/>
          <w:color w:val="auto"/>
          <w:highlight w:val="cyan"/>
        </w:rPr>
        <w:t>65</w:t>
      </w:r>
      <w:r>
        <w:rPr>
          <w:rFonts w:ascii="Arial" w:cs="Arial" w:eastAsia="Arial" w:hAnsi="Arial"/>
          <w:sz w:val="16"/>
          <w:szCs w:val="16"/>
          <w:color w:val="auto"/>
        </w:rPr>
        <w:t xml:space="preserve"> million (the “Maximum Revolver Amount”), based on specific percentages of eligible accounts receivable and inventories and up to $</w:t>
      </w:r>
      <w:r>
        <w:rPr>
          <w:rFonts w:ascii="Arial" w:cs="Arial" w:eastAsia="Arial" w:hAnsi="Arial"/>
          <w:sz w:val="16"/>
          <w:szCs w:val="16"/>
          <w:color w:val="auto"/>
          <w:highlight w:val="cyan"/>
        </w:rPr>
        <w:t>10</w:t>
      </w:r>
      <w:r>
        <w:rPr>
          <w:rFonts w:ascii="Arial" w:cs="Arial" w:eastAsia="Arial" w:hAnsi="Arial"/>
          <w:sz w:val="16"/>
          <w:szCs w:val="16"/>
          <w:color w:val="auto"/>
        </w:rPr>
        <w:t xml:space="preserve"> million of letters of credit, the outstanding amount of which reduces the available for borrowing under the Working Capital Revolver Loan. At December 31, 2021, our available borrowings under our Working Capital Revolver Loan were approximately $</w:t>
      </w:r>
      <w:r>
        <w:rPr>
          <w:rFonts w:ascii="Arial" w:cs="Arial" w:eastAsia="Arial" w:hAnsi="Arial"/>
          <w:sz w:val="16"/>
          <w:szCs w:val="16"/>
          <w:color w:val="auto"/>
          <w:highlight w:val="cyan"/>
        </w:rPr>
        <w:t>61.3</w:t>
      </w:r>
      <w:r>
        <w:rPr>
          <w:rFonts w:ascii="Arial" w:cs="Arial" w:eastAsia="Arial" w:hAnsi="Arial"/>
          <w:sz w:val="16"/>
          <w:szCs w:val="16"/>
          <w:color w:val="auto"/>
        </w:rPr>
        <w:t xml:space="preserve">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w:t>
      </w:r>
      <w:r>
        <w:rPr>
          <w:rFonts w:ascii="Arial" w:cs="Arial" w:eastAsia="Arial" w:hAnsi="Arial"/>
          <w:sz w:val="16"/>
          <w:szCs w:val="16"/>
          <w:color w:val="auto"/>
          <w:highlight w:val="cyan"/>
        </w:rPr>
        <w:t>February 26, 2024.</w:t>
      </w:r>
      <w:r>
        <w:rPr>
          <w:rFonts w:ascii="Arial" w:cs="Arial" w:eastAsia="Arial" w:hAnsi="Arial"/>
          <w:sz w:val="16"/>
          <w:szCs w:val="16"/>
          <w:color w:val="auto"/>
        </w:rPr>
        <w:t xml:space="preserve"> Subject to certain conditions and subject to lender approval, the Maximum Revolver Amount may increase up to an additional $</w:t>
      </w:r>
      <w:r>
        <w:rPr>
          <w:rFonts w:ascii="Arial" w:cs="Arial" w:eastAsia="Arial" w:hAnsi="Arial"/>
          <w:sz w:val="16"/>
          <w:szCs w:val="16"/>
          <w:color w:val="auto"/>
          <w:highlight w:val="cyan"/>
        </w:rPr>
        <w:t>10</w:t>
      </w:r>
      <w:r>
        <w:rPr>
          <w:rFonts w:ascii="Arial" w:cs="Arial" w:eastAsia="Arial" w:hAnsi="Arial"/>
          <w:sz w:val="16"/>
          <w:szCs w:val="16"/>
          <w:color w:val="auto"/>
        </w:rPr>
        <w:t xml:space="preserve"> million. The Working Capital Revolver Loan also provides for a springing financial covenant (the “Financial Covenant”), which requires that, if the borrowing availability is </w:t>
      </w:r>
      <w:r>
        <w:rPr>
          <w:rFonts w:ascii="Arial" w:cs="Arial" w:eastAsia="Arial" w:hAnsi="Arial"/>
          <w:sz w:val="16"/>
          <w:szCs w:val="16"/>
          <w:color w:val="auto"/>
          <w:highlight w:val="cyan"/>
        </w:rPr>
        <w:t>less than 10.0% of the total revolver commitments</w:t>
      </w:r>
      <w:r>
        <w:rPr>
          <w:rFonts w:ascii="Arial" w:cs="Arial" w:eastAsia="Arial" w:hAnsi="Arial"/>
          <w:sz w:val="16"/>
          <w:szCs w:val="16"/>
          <w:color w:val="auto"/>
        </w:rPr>
        <w:t xml:space="preserve">, then the </w:t>
      </w:r>
      <w:r>
        <w:rPr>
          <w:rFonts w:ascii="Arial" w:cs="Arial" w:eastAsia="Arial" w:hAnsi="Arial"/>
          <w:sz w:val="16"/>
          <w:szCs w:val="16"/>
          <w:color w:val="auto"/>
          <w:highlight w:val="cyan"/>
        </w:rPr>
        <w:t>borrowers must maintain a minimum fixed charge coverage ratio of</w:t>
      </w:r>
      <w:r>
        <w:rPr>
          <w:rFonts w:ascii="Arial" w:cs="Arial" w:eastAsia="Arial" w:hAnsi="Arial"/>
          <w:sz w:val="16"/>
          <w:szCs w:val="16"/>
          <w:color w:val="auto"/>
        </w:rPr>
        <w:t xml:space="preserve"> </w:t>
      </w:r>
      <w:r>
        <w:rPr>
          <w:rFonts w:ascii="Arial" w:cs="Arial" w:eastAsia="Arial" w:hAnsi="Arial"/>
          <w:sz w:val="16"/>
          <w:szCs w:val="16"/>
          <w:color w:val="auto"/>
          <w:highlight w:val="cyan"/>
        </w:rPr>
        <w:t xml:space="preserve">not less than 1.00 to 1.00. </w:t>
      </w:r>
      <w:r>
        <w:rPr>
          <w:rFonts w:ascii="Arial" w:cs="Arial" w:eastAsia="Arial" w:hAnsi="Arial"/>
          <w:sz w:val="16"/>
          <w:szCs w:val="16"/>
          <w:b w:val="1"/>
          <w:bCs w:val="1"/>
          <w:color w:val="auto"/>
        </w:rPr>
        <w:t>The Financial Covenant, if triggered, is tested monthly.</w:t>
      </w:r>
    </w:p>
    <w:p>
      <w:pPr>
        <w:spacing w:after="0" w:line="5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Interest accrues on outstanding borrowings under the Working Capital Revolver Loan at a rate equal to, at our election, either (a) LIBOR for an interest period selected by us plus an applicable margin equal to 1.50% per annum or 1.75% per annum, depending on borrowing availability under the Working Capital Revolver Loan, or (b) Wells Fargo Capital Finance’s prime rate plus an applicable margin equal to 0.50% per annum or 0.75% per annum, depending on borrowing availability under the Working Capital Revolver Loan. Interest is paid quarterly, if applicable.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contains customary covenants including limitations on asset sales, liens, debt incurrence, restricted payments, investments, dividends and transactions with affiliates.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includes customary events of default. Upon the occurrence of any event of default, the obligations under the Working Capital Revolver Loan may be accelerated and the revolver commitments may be terminated.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under the Working Capital Revolver Loan are secured by a first priority security interest in substantially all of our current assets, including accounts receivable and inventory, subject to certain customary exceptions.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the lender provided LSB a consent to close the Exchange Transaction discussed in Note 2 and to allow for the payment of dividends to the holders of the Series B and Series D Preferred discussed in Note 12.</w:t>
      </w:r>
    </w:p>
    <w:p>
      <w:pPr>
        <w:spacing w:after="0" w:line="62" w:lineRule="exact"/>
        <w:rPr>
          <w:sz w:val="20"/>
          <w:szCs w:val="20"/>
          <w:color w:val="auto"/>
        </w:rPr>
      </w:pPr>
    </w:p>
    <w:p>
      <w:pPr>
        <w:jc w:val="both"/>
        <w:ind w:firstLine="8"/>
        <w:spacing w:after="0" w:line="255" w:lineRule="auto"/>
        <w:tabs>
          <w:tab w:leader="none" w:pos="28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On October 14, 2021, LSB completed the issuance and sale of $500 million in aggregate principal amount of its 6.25% Senior Secured Notes due 2028 (the “New Notes”). The New Notes were issued pursuant to an indenture, dated as of October 14, 2021 (the “Indenture”), by and among the LSB, the subsidiary guarantors named therein, and Wilmington Trust, National Association, a national banking association, as trustee and collateral agent. The New Notes were issued at a price equal to 100% of their face value. Most of the proceeds from the New Notes were used to redeem all of our existing Senior Secured Notes due 2023 (the "Old Notes"), to pay related transaction fees, and the remaining portion to be used for general corporate purposes. The redemption was completed by the trustee on October 29, 2021.</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Old Notes were redeemed in accordance with the contractual terms and was accounted for as an extinguishment of debt. As a result, we recognized a loss on extinguishment of debt of approximately $20.3 million in 2021, primarily consisting of the contractual redemption premium paid and the expensing of unamortized debt issuance costs associated with the Old Notes.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Notes mature on October 15, 2028, ranking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New Notes are jointly and severally guaranteed by the subsidiary guarantors named in the Indenture on a senior secured basis.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on the New Notes accrues at a rate of 6.25% per annum and is payable semi-annually in arrears on May 15 and October 15 of each year, beginning on May 15, 2022.</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Indenture, LSB may redeem the New Notes at its option, in whole or in part, at certain redemption prices, including a “make-whole” premium, as set forth in the Indenture but also includes redemption requirements associated with a change of control (as defined in the Indenture). The New Notes do not have any conversion features. In addition, the Indenture contains customary covenants that limit, among other things, LSB and certain of its subsidiaries’ ability to engage in certain transactions and also provides for customary events of default (subject in certain cases to customary grace and cure periods). Generally, if an event of default occurs and is continuing, the trustee or holders of at least 25% in principal amount of the then outstanding New Notes may declare the principal of and accrued but unpaid interest on all the New Notes to be due and payable.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LSB may redeem the New Notes at its option, in whole or in part, subject to the payment of a premium of 3.125% of the principal amount so redeemed, in the case of any optional redemption on or after October 15, 2024. If LSB experiences a change of control, it must offer to purchase the New Notes at 101% of their principal amount, plus accrued and unpaid interest, if any, to but excluding the date of purchase.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New Notes are rated investment grade by each of Moody’s Investors Service, Inc. and Standard &amp; Poor’s Investors Ratings Services and no Default (as defined in the Indenture) has occurred and is continuing, certain of the covenants will be suspended with respect to the New Notes.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in respect of the New Notes are secured by a first priority security interest in substantially all of our fixed assets, subject to certain customary exceptions.</w:t>
      </w:r>
    </w:p>
    <w:p>
      <w:pPr>
        <w:spacing w:after="0" w:line="62" w:lineRule="exact"/>
        <w:rPr>
          <w:sz w:val="20"/>
          <w:szCs w:val="20"/>
          <w:color w:val="auto"/>
        </w:rPr>
      </w:pPr>
    </w:p>
    <w:p>
      <w:pPr>
        <w:ind w:firstLine="8"/>
        <w:spacing w:after="0" w:line="308" w:lineRule="auto"/>
        <w:tabs>
          <w:tab w:leader="none" w:pos="324"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El Dorado Chemical Company (“EDC”), one of our subsidiaries, is party to a secured financing arrangement with an affiliate of LSB Funding. Principal and interest are payable in 48 equal monthly installments with a final balloon payment of approximately $3 million due in June 2023.</w:t>
      </w:r>
    </w:p>
    <w:p>
      <w:pPr>
        <w:spacing w:after="0" w:line="38" w:lineRule="exact"/>
        <w:rPr>
          <w:rFonts w:ascii="Arial" w:cs="Arial" w:eastAsia="Arial" w:hAnsi="Arial"/>
          <w:sz w:val="17"/>
          <w:szCs w:val="17"/>
          <w:b w:val="1"/>
          <w:bCs w:val="1"/>
          <w:color w:val="auto"/>
        </w:rPr>
      </w:pPr>
    </w:p>
    <w:p>
      <w:pPr>
        <w:ind w:firstLine="8"/>
        <w:spacing w:after="0" w:line="277" w:lineRule="auto"/>
        <w:tabs>
          <w:tab w:leader="none" w:pos="30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EDC is party to a secured loan agreement with an affiliate of LSB Funding. Principal and interest will be payable in 60 equal monthly installments through March 2025.</w:t>
      </w:r>
    </w:p>
    <w:p>
      <w:pPr>
        <w:spacing w:after="0" w:line="62" w:lineRule="exact"/>
        <w:rPr>
          <w:rFonts w:ascii="Arial" w:cs="Arial" w:eastAsia="Arial" w:hAnsi="Arial"/>
          <w:sz w:val="18"/>
          <w:szCs w:val="18"/>
          <w:b w:val="1"/>
          <w:bCs w:val="1"/>
          <w:color w:val="auto"/>
        </w:rPr>
      </w:pPr>
    </w:p>
    <w:p>
      <w:pPr>
        <w:jc w:val="both"/>
        <w:ind w:firstLine="8"/>
        <w:spacing w:after="0" w:line="311" w:lineRule="auto"/>
        <w:tabs>
          <w:tab w:leader="none" w:pos="298"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by LSB.</w:t>
      </w:r>
    </w:p>
    <w:p>
      <w:pPr>
        <w:spacing w:after="0" w:line="40" w:lineRule="exact"/>
        <w:rPr>
          <w:rFonts w:ascii="Arial" w:cs="Arial" w:eastAsia="Arial" w:hAnsi="Arial"/>
          <w:sz w:val="16"/>
          <w:szCs w:val="16"/>
          <w:b w:val="1"/>
          <w:bCs w:val="1"/>
          <w:color w:val="auto"/>
        </w:rPr>
      </w:pPr>
    </w:p>
    <w:p>
      <w:pPr>
        <w:jc w:val="both"/>
        <w:ind w:firstLine="8"/>
        <w:spacing w:after="0" w:line="273" w:lineRule="auto"/>
        <w:tabs>
          <w:tab w:leader="none" w:pos="288"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In April 2020, LSB entered into a federally guaranteed loan agreement (“PPP loan”) for $10 million with a lender pursuant to a new loan program through the U.S. Small Business Administration (“SBA”) as the result of the Paycheck Protection Program (“PPP”) established by the Coronavirus Aid, Relief, and Economic Security (“CARES”) Act and amended by the Paycheck Protection Program Flexibility Act of 2020. We applied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account for the PPP loan. We have used all of the proceeds from the PPP loan for payroll, rent, utilities, and other specified costs that qualify for loan forgiveness. In April 2021, we submitted the PPP loan forgiveness application to the lender. In June 2021, the PPP loan was fully forgiven by the SBA and lender. As a result, we recognized a gain on extinguishment of debt of $10 million in 2021.</w:t>
      </w:r>
    </w:p>
    <w:p>
      <w:pPr>
        <w:spacing w:after="0" w:line="69" w:lineRule="exact"/>
        <w:rPr>
          <w:rFonts w:ascii="Arial" w:cs="Arial" w:eastAsia="Arial" w:hAnsi="Arial"/>
          <w:sz w:val="17"/>
          <w:szCs w:val="17"/>
          <w:b w:val="1"/>
          <w:bCs w:val="1"/>
          <w:color w:val="auto"/>
        </w:rPr>
      </w:pPr>
    </w:p>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Maturities of long-term debt for each of the five years after December 31, 2021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18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2023</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10,900</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2025</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9,585</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Debt issuance costs</w:t>
            </w:r>
          </w:p>
        </w:tc>
        <w:tc>
          <w:tcPr>
            <w:tcW w:w="28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9,722</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527,644</w:t>
            </w:r>
          </w:p>
        </w:tc>
        <w:tc>
          <w:tcPr>
            <w:tcW w:w="224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656"/>
        </w:trPr>
        <w:tc>
          <w:tcPr>
            <w:tcW w:w="2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80" w:type="dxa"/>
            <w:vAlign w:val="bottom"/>
            <w:gridSpan w:val="2"/>
          </w:tcPr>
          <w:p>
            <w:pPr>
              <w:jc w:val="right"/>
              <w:ind w:right="2227"/>
              <w:spacing w:after="0"/>
              <w:rPr>
                <w:sz w:val="20"/>
                <w:szCs w:val="20"/>
                <w:color w:val="auto"/>
              </w:rPr>
            </w:pPr>
            <w:r>
              <w:rPr>
                <w:rFonts w:ascii="Arial" w:cs="Arial" w:eastAsia="Arial" w:hAnsi="Arial"/>
                <w:sz w:val="18"/>
                <w:szCs w:val="18"/>
                <w:color w:val="auto"/>
              </w:rPr>
              <w:t>F-21</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5"/>
              </w:rPr>
              <w:t>(In Thousands)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5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(6,217)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(4,631)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(14,739)</w:t>
            </w: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(6,156)</w:t>
            </w:r>
          </w:p>
        </w:tc>
      </w:tr>
      <w:tr>
        <w:trPr>
          <w:trHeight w:val="223"/>
        </w:trPr>
        <w:tc>
          <w:tcPr>
            <w:tcW w:w="5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60" w:type="dxa"/>
            <w:vAlign w:val="bottom"/>
          </w:tcPr>
          <w:p>
            <w:pPr>
              <w:ind w:left="740"/>
              <w:spacing w:after="0"/>
              <w:rPr>
                <w:sz w:val="20"/>
                <w:szCs w:val="20"/>
                <w:color w:val="auto"/>
              </w:rPr>
            </w:pPr>
            <w:r>
              <w:rPr>
                <w:rFonts w:ascii="Arial" w:cs="Arial" w:eastAsia="Arial" w:hAnsi="Arial"/>
                <w:sz w:val="18"/>
                <w:szCs w:val="18"/>
                <w:color w:val="auto"/>
              </w:rPr>
              <w:t>Benefit for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benefit for federal income taxes shown above includes federal income tax after the consideration of permanent and temporary differences between income for GAAP and tax purposes. The current benefit for state income taxes includes state income tax and provisions for uncertain income tax positions, and other similar adjustments.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deferred tax provision (benefit) results from the recognition of changes in our prior year deferred tax assets and liabilities, and the utilization of state NOL carryforwards and other temporary differences. We reduce income tax expense for tax credits in the year they arise and are earned. At December 31, 2021, our gross amount of tax credits available to offset state income taxes was $4.2 million ($3.4 million net of federal benefit). Most of these tax credits carryforward for 9 years and begin expiring in 2022. The gross amount of federal tax credits was $8.1 million. These credits carryforward for 20 years and begin expiring in 2034.</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2021, we utilized approximately $64 million and $56 million of federal and state NOL carryforwards, respectively, to reduce tax liabilities (minimal in 2020 and 2019). At December 31, 2021, we have remaining federal and state tax NOL carryforwards of $592 million and $798 million, respectively. The federal NOL carryforwards begin expiring in 2033 and the state NOL carryforwards began expiring in 2021.</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annual utilization limitations of interest expense and net operating losses and our results of operations. Based on our analysis, we believe that it is more-likely-than-not that a portion of our federal and state deferred tax assets will not be able to be utilized. Information relating to our valuation allowance are included in the tables below. In 2021, the provision for income taxes includes the reversal of approximately $13 million of federal valuation allowance and $4 million of state valuation allowance primarily due to current year income.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include temporary differences and carryforwards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2,390</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6,710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carryforward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27,928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159,213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12,030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valuation allowance on deferred tax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(46,968)</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(64,655)</w:t>
            </w:r>
          </w:p>
        </w:tc>
        <w:tc>
          <w:tcPr>
            <w:tcW w:w="0" w:type="dxa"/>
            <w:vAlign w:val="bottom"/>
          </w:tcPr>
          <w:p>
            <w:pPr>
              <w:spacing w:after="0"/>
              <w:rPr>
                <w:sz w:val="1"/>
                <w:szCs w:val="1"/>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163,024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(178,535)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(183,335)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Right-of-use-assets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(6,709)</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Prepaid and other insurance reserves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(4,413)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deferred tax liabilities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(189,657)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(193,785)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liabilities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(26,633)</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(30,939)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our income (loss) before taxes relates to domestic operations. Detailed below are the differences between the amount of the provision (benefit) for income taxes and the amount which would result from the application of the federal statutory rate to “Income (loss) before benefit for income taxes.”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 at federal</w:t>
            </w:r>
          </w:p>
        </w:tc>
        <w:tc>
          <w:tcPr>
            <w:tcW w:w="1160" w:type="dxa"/>
            <w:vAlign w:val="bottom"/>
            <w:gridSpan w:val="2"/>
            <w:vMerge w:val="restart"/>
            <w:shd w:val="clear" w:color="auto" w:fill="CFF0FC"/>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8,187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statutory rate</w:t>
            </w:r>
          </w:p>
        </w:tc>
        <w:tc>
          <w:tcPr>
            <w:tcW w:w="1160" w:type="dxa"/>
            <w:vAlign w:val="bottom"/>
            <w:gridSpan w:val="2"/>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(13,999)</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State current and deferred income tax provision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(benefit)</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 Federal</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(13,400)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Valuation allowance - State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State tax law changes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Tax credits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PPP loan forgiveness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(2,456)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positions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5"/>
        </w:trPr>
        <w:tc>
          <w:tcPr>
            <w:tcW w:w="4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22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464</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99"/>
              </w:rPr>
              <w:t>(464)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For 2021, 2020, and 2019, if recognized, the effect on the effective tax rate from unrecognized tax benefits would be insignificant.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interest related to unrecognized tax positions in interest expense and penalties in operating other expense. For 2021, 2020 and 2019, the amounts for interest and penalties associated with unrecognized tax positions were minimal. At December 31, 2021, there was no accrued interest or penalties (minimal at December 31, 2020).</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2018-2021 years remain open for all purposes of examination by the U.S. Internal Revenue Service (“IRS”) and other major tax jurisdictions. Additionally, the 2013-2017 years remain subject to examination for determining the amount of net operating loss and other carryforwards.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and Sales Commitments </w:t>
      </w:r>
      <w:r>
        <w:rPr>
          <w:rFonts w:ascii="Arial" w:cs="Arial" w:eastAsia="Arial" w:hAnsi="Arial"/>
          <w:sz w:val="18"/>
          <w:szCs w:val="18"/>
          <w:color w:val="auto"/>
        </w:rPr>
        <w:t>– We have the following significant purchase and sales commitments.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UAN supply agreement – The Pryor Chemical Company (“PCC”) is party to an agreement with CVR. CVR has the exclusive right (but not the obligation) to purchase all the tons of UAN that are produced by PCC with certain limitations. If CVR fails to take delivery of certain tons, PCC pursuant to the terms of the agreement may immediately sell such unpurchased product to a third-party without restriction. The current term of the agreement expires in June 2022, but includes automatic renewals for one or more additional one-year terms unless terminated by either party. However, CVR may unilaterally terminate the agreement upon 180 days’ advance written notice of termination to PCC; provided, however, that each party’s rights and obligations pertaining to UAN that CVR committed to purchase before such advance notice will survive termination. Additionally, PCC can terminate the agreement upon 90 days’ advance written notice of termination to CVR; provided, however, that each party’s rights and obligations pertaining to UAN that PCC committed to sell prior to such advance notice will survive termination.</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Ammonia supply agreement – EDC is party to an agreement, as amended, with Koch Fertilizer under which Koch Fertilizer agrees to purchase, with minimum purchase requirements, the ammonia that (a) will be produced at the El Dorado Facility and (b) a portion that is in excess of EDC’s needs as defined. As amended, the term of the agreement expires in June 2023 but automatically continues for one or more additional one-year terms unless terminated by either party by delivering a notice of termination at least nine months prior to the end of term in effect.</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Nitric acid supply agreement – EDC is party to an agreement with a customer to supply nitric acid. Under the agreement, EDC agreed to supply between 70,000 to 100,000 tons of nitric acid annually. The initial contract term began in 2021 and extends through 2027 but includes automatic one-year renewal terms unless terminated by either party in writing 180 days before the current contract expiration date.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Settlements, Outstanding Natural Gas Purchase Commitments, and Other – </w:t>
      </w:r>
      <w:r>
        <w:rPr>
          <w:rFonts w:ascii="Arial" w:cs="Arial" w:eastAsia="Arial" w:hAnsi="Arial"/>
          <w:sz w:val="18"/>
          <w:szCs w:val="18"/>
          <w:color w:val="auto"/>
        </w:rPr>
        <w:t>During several days in February 2021, the Pryor Facility was taken out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after extreme cold weather caused a surge in natural gas prices in the region, along with the curtailment of gas distribution by the operator of the pipeline that supplies natural gas to the facility. Also, as a result of unprecedented cold weather conditions, the primary natural gas supplier to our El Dorado Facility asserted a claim of force majeure and materially restricted the supply of gas to the facility. 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2021, as a result of the extreme conditions previously described, we settled all of our natural gas forward contracts and certain volume purchase commitments at that time and recognized a realized gain of approximately $6.8 million, which includes the realized gain discussed under “Natural Gas Contracts” in Note 10 and is classified as a reduction to cost of sales.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2020, EDC and certain vendors mediated settlements for EDC to recover certain costs associated with a nitric acid plant at our El Dorado Facility. The construction of this plant was completed, and the plant began production in 2016. As a result of the settlements, the vendors paid EDC $4.3 million, provided parts totaling $0.3 million and have agreed to provide services and parts totaling $2.5 million, which amount, or portion thereof, may be paid in cash at the option of the vendors. At December 31, 2021 and 2020, approximately $2.0 million and $2.5 million, respectively, is included in noncurrent accounts receivable (classified as a noncurrent other asset) associated with these settlements. As part of the settlements, EDC paid the vendors $2.7 million to settle $3.2 million of invoices that were held in our accounts payable. As a result, the recovery from these settlements recognized during 2020 includes approximately $5.7 million classified as a reduction to cost of sales and approximately $1.9 million classified as a reduction to PP&amp;E.</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2021 certain of our natural gas contracts qualify as normal purchases under GAAP and thus are not mark-to-market, which contracts included volume purchase commitments with fixed costs of approximately 5.4 million MMBtus of natural gas. These contracts extend through March 2022 at a weighted-average cost of $4.53 per MMBtu ($24.6 million) and a weighted-average market value of $3.87 per MMBtu ($21.0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had standby letters of credit outstanding of approximately $2.6 million at December 31, 2021.</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Wastewater Pipeline Operating Agreement – </w:t>
      </w:r>
      <w:r>
        <w:rPr>
          <w:rFonts w:ascii="Arial" w:cs="Arial" w:eastAsia="Arial" w:hAnsi="Arial"/>
          <w:sz w:val="18"/>
          <w:szCs w:val="18"/>
          <w:color w:val="auto"/>
        </w:rPr>
        <w:t>EDC is party to an operating agreement for the right to use a pipeline to dispose its wastewater. EDC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contractually obligated to pay a portion of the operating costs of the pipeline, as incurred, which portion is estimated to be $100,000 to $150,000 annually. The initial term of the operating agreement is through December 2053.</w:t>
      </w:r>
    </w:p>
    <w:p>
      <w:pPr>
        <w:spacing w:after="0" w:line="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contracts entered into by certain subsidiaries in the normal course of business. These insurance bonds primarily represent guarantees of future performance of our subsidiaries. As of December 31, 2021, we have agreed to indemnify the sureties for payments, up to $9.7 million, made by them in respect of such bonds. All of these insurance bonds are expected to expire or be renewed in 2022.</w:t>
      </w:r>
    </w:p>
    <w:p>
      <w:pPr>
        <w:spacing w:after="0" w:line="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Employment and Severance Agreements - </w:t>
      </w:r>
      <w:r>
        <w:rPr>
          <w:rFonts w:ascii="Arial" w:cs="Arial" w:eastAsia="Arial" w:hAnsi="Arial"/>
          <w:sz w:val="18"/>
          <w:szCs w:val="18"/>
          <w:color w:val="auto"/>
        </w:rPr>
        <w:t>We have employment and severance agreements with several of our officers. The agreements,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annual base salaries, bonuses and other benefits commonly found in such agreements. In the event of termination of employment due to a change in control (as defined in the agreements), the agreements provide for payments aggregating $9.9 million at December 31, 2021. Also see Note 14-Related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December 31, 2021,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Also, see discussion </w:t>
      </w:r>
      <w:r>
        <w:rPr>
          <w:rFonts w:ascii="Arial" w:cs="Arial" w:eastAsia="Arial" w:hAnsi="Arial"/>
          <w:sz w:val="18"/>
          <w:szCs w:val="18"/>
          <w:color w:val="002060"/>
        </w:rPr>
        <w:t>in Note 6</w:t>
      </w:r>
      <w:r>
        <w:rPr>
          <w:rFonts w:ascii="Arial" w:cs="Arial" w:eastAsia="Arial" w:hAnsi="Arial"/>
          <w:sz w:val="18"/>
          <w:szCs w:val="18"/>
          <w:color w:val="auto"/>
        </w:rPr>
        <w:t xml:space="preserve"> </w:t>
      </w:r>
      <w:r>
        <w:rPr>
          <w:rFonts w:ascii="Arial" w:cs="Arial" w:eastAsia="Arial" w:hAnsi="Arial"/>
          <w:sz w:val="18"/>
          <w:szCs w:val="18"/>
          <w:b w:val="1"/>
          <w:bCs w:val="1"/>
          <w:color w:val="002060"/>
        </w:rPr>
        <w:t>–</w:t>
      </w:r>
      <w:r>
        <w:rPr>
          <w:rFonts w:ascii="Arial" w:cs="Arial" w:eastAsia="Arial" w:hAnsi="Arial"/>
          <w:sz w:val="18"/>
          <w:szCs w:val="18"/>
          <w:color w:val="auto"/>
        </w:rPr>
        <w:t xml:space="preserve"> Asset Retirement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During 2017, ADEQ issued a final NPDES permit with new dissolved mineral limits; however, EDC filed an appeal, and a Permit Appeal Resolution (“PAR”) was signed in 2018. EDC is in compliance with the revised permit limits agreed upon in the PAR.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risk assessment was submitted in 2007. In 2015, the ADEQ stated that El Dorado Chemical was meeting the requirements of the CAO and should continue semi-annual monitoring. Subsequent to the PAR mentioned previously, a new CAO was signed in 2018, which required an Evaluation Report of the data and effectiveness of the groundwater remedy for nitrate contamination. During 2019, the Evaluation Report was submitted to the ADEQ and the ADEQ approved the report. No liability has been established at December 31, 2021, in connection with this ADEQ matter.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final remedy, including the EUC, the finalization of the cost estimates and any required financial assurances remains under discussion with the KDHE, but continues to be delayed due to the impact from the COVID-19 pandemic.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December 31, 2021, no liability reserve has been established in connection with this matter, except for the unpaid portion of the settlement agreements discussed above.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During 2020, this judgment impacted our consolidated statement of operations as follows:</w:t>
      </w:r>
    </w:p>
    <w:p>
      <w:pPr>
        <w:spacing w:after="0" w:line="84"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additional depreciation expense of $0.5 million classified as cost of sales; and</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prejudgment and post-judgment interest expense totaling $1.6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liability was established at December 31, 2021 or 2020, in connection with the cross-claims in Part (2) of the matter, except for certain invoices held in accounts payable.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Periodically, we entered into certain forward natural gas contracts (“natural gas contracts”), which are accounted for on a mark-to-market basis. We utilize these natural gas contracts as economic hedges for risk management purposes but are not designated as hedging instruments. At December 31, 2020, our natural gas contracts included 7.3 million MMBtu of natural gas, that extended through December 2021, but these contracts were settled during the first quarter of 2021, primarily due to the weather event discussed in Note 9. At December 31, 2021, we had no outstanding natural gas contracts. At December 31, 2020, the fair value of the natural gas contracts included approximately $0.1 million (classified as a current asset) and approximately $1.3 million (classified as a current liability). The valuations of the natural gas contracts are classified as Level 2. The valuation inputs included the contractual weighted-average cost of $2.65 per MMBtu and the weighted-average market value of $2.49 per MMBtu.</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2021, we recognized a gain of $2.7 million (including a realized gain of $1.5 million). For 2020, we recognized a $1.6 million loss (none for 2019), which amount included an unrealized loss of $1.2 million attributed to natural gas contracts still held at the reporting date. The gain is classified as a reduction of cost of sales and the loss is classified as cost of sales.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Embedded Derivative</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Note 2, the Series E Redeemable Preferred was exchanged for our common stock during 2021. As a result, certain bifurcated embedded redemption features and participation rights value (“embedded derivative”) included as a part of the terms of the Series E Redeemable Preferred were extinguished. Prior to the completion of the Exchange Transaction, the embedded derivative was classified as a liability.</w:t>
      </w:r>
    </w:p>
    <w:p>
      <w:pPr>
        <w:spacing w:after="0" w:line="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the fair value of the embedded derivative was approximately $1.0 million (classified as a noncurrent liability). We estimated that the contingent redemption features had fair value since we estimate that a portion of the shares of this preferred stock would be redeemed prior to October 25, 2023, the earliest redemption date by the holder. For certain other embedded features, we estimated no fair value based on our assessment that there was a remote probability that these features would be exercised.</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embedded derivative was valued using discounted cash flow models and primarily based on the difference in the present value of estimated future cash flows with no redemptions prior to October 25, 2023, compared to certain estimated redemptions during the same period and applying the effective dividend rate of the Series E Redeemable Preferred. At December 31, 2020, the fair value of the embedded derivative included the valuation of the participation rights, which was based on the equivalent of 303,646 shares of our common stock at $3.39 per share.</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valuations of the embedded derivative were classified as Level 3. This derivative was valued using market information, management’s redemption assumptions, the underlying number of shares as defined in the terms of the Series E Redeemable Preferred, and the market price of our common stock.</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2021, we recognized a loss of $2.3 million (including a realized loss of $3.3 million) due to the change in fair value of the embedded derivative through the date of the Exchange Transaction.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and 2019, we recognized unrealized gains of approximately $0.1 million and $0.5 million, respectively, due to the change in fair value of the embedded derivative. These gains and loss are included in non-operating other income and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was no Level 3 transfer activity during 2021, 2020 or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2016 Long Term Incentive Plan </w:t>
      </w:r>
      <w:r>
        <w:rPr>
          <w:rFonts w:ascii="Arial" w:cs="Arial" w:eastAsia="Arial" w:hAnsi="Arial"/>
          <w:sz w:val="18"/>
          <w:szCs w:val="18"/>
          <w:color w:val="auto"/>
        </w:rPr>
        <w:t>– During 2016, our Board adopted our 2016 Long Term Incentive Plan, which plan was approved by our shareholders at</w:t>
      </w:r>
      <w:r>
        <w:rPr>
          <w:rFonts w:ascii="Arial" w:cs="Arial" w:eastAsia="Arial" w:hAnsi="Arial"/>
          <w:sz w:val="18"/>
          <w:szCs w:val="18"/>
          <w:b w:val="1"/>
          <w:bCs w:val="1"/>
          <w:color w:val="auto"/>
        </w:rPr>
        <w:t xml:space="preserve"> </w:t>
      </w:r>
      <w:r>
        <w:rPr>
          <w:rFonts w:ascii="Arial" w:cs="Arial" w:eastAsia="Arial" w:hAnsi="Arial"/>
          <w:sz w:val="18"/>
          <w:szCs w:val="18"/>
          <w:color w:val="auto"/>
        </w:rPr>
        <w:t>our annual meeting of shareholders held on June 2, 2016. During 2021, the 2016 Long Term Incentive Plan was amended as approved by our shareholders at our annual meeting of shareholders held on May 14, 2021 (together, the “2016 Plan”). No awards may be granted under the 2016 Plan on and after the tenth anniversary of its effective date.</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After the effective date of the 2016 Plan, no further awards can be granted under our 2008 Incentive Stock Plan (the “2008 Plan”). Any awards that remain outstanding under the 2008 Plan will continue to be governed by the respective plan’s terms and the terms of the specific award agreement, as applicable.</w:t>
      </w:r>
    </w:p>
    <w:p>
      <w:pPr>
        <w:spacing w:after="0" w:line="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maximum aggregate number of shares reserved and available for issuance under the 2016 Plan shall not exceed 5,750,000 shares plus any shares that become available for reissuance under the share counting provisions of the 2008 Plan following the effective date of the 2016 Plan, subject to adjustment (including additional shares relating to the Special Dividend) as permitted under the 2016 Plan. Shares subject to any award that is canceled, forfeited, expires unexercised, settled in cash in lieu of common stock or otherwise terminated without a delivery of shares to a participant will again be available for awards under the 2016 Plan to the extent allowable by law. Under the 2016 Plan, awards may be made to employees, directors and consultants (for services rendered) of LSB or our subsidiaries subject to limitations as defined by the 2016 Plan.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Plan is administered by the compensation committee (the “Committee”) of our Board. Our Board or the Committee may amend the 2016 Plan, except that if any applicable statute, rule or regulation requires shareholder approval with respect to any amendment of the 2016 Plan, then to the extent so required, shareholder approval will be obtained. Shareholder approval will also be obtained for any amendment that would increase the number of shares stated as available for issuance under the 2016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All share information has been retroactively adjusted to reflect the Special Dividend as discussed in Note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may be granted by the Committee under the 2016 Plan:</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Stock Awards, Restricted Stock, Restricted Stock Units, and Other Awards </w:t>
      </w:r>
      <w:r>
        <w:rPr>
          <w:rFonts w:ascii="Arial" w:cs="Arial" w:eastAsia="Arial" w:hAnsi="Arial"/>
          <w:sz w:val="17"/>
          <w:szCs w:val="17"/>
          <w:color w:val="auto"/>
        </w:rPr>
        <w:t>– The Committee may grant awards of restricted stock,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Appreciation Rights (“SARs”) </w:t>
      </w:r>
      <w:r>
        <w:rPr>
          <w:rFonts w:ascii="Arial" w:cs="Arial" w:eastAsia="Arial" w:hAnsi="Arial"/>
          <w:sz w:val="18"/>
          <w:szCs w:val="18"/>
          <w:color w:val="auto"/>
        </w:rPr>
        <w:t>– The Committee may grant SARs as a right in tandem with the number of shares underlying stock options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2016 Plan or on a stand-alone basis. SARs are the right to receive payment per share of the SAR exercised in stock or in cash equal to the excess of the share’s fair market value, as defined in the 2016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The Committee may grant either incentive stock options or non-qualified stock options. The Committee sets option exercise prices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terms, except that the exercise price of a stock option may be no less than 100% of the fair market value, as defined in the 2016 Plan, of the shares on the date of grant. At the time of grant, the Committee will have sole discretion in determining when stock options are exercisable and when they expire, except that the term of a stock option cannot exceed 10 years subject to certain conditions.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Incentive Plans </w:t>
      </w:r>
      <w:r>
        <w:rPr>
          <w:rFonts w:ascii="Arial" w:cs="Arial" w:eastAsia="Arial" w:hAnsi="Arial"/>
          <w:sz w:val="18"/>
          <w:szCs w:val="18"/>
          <w:color w:val="auto"/>
        </w:rPr>
        <w:t>- The following information relates to our long-term incentive plans:</w:t>
      </w:r>
    </w:p>
    <w:p>
      <w:pPr>
        <w:spacing w:after="0" w:line="28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 2021</w:t>
            </w:r>
          </w:p>
        </w:tc>
      </w:tr>
      <w:tr>
        <w:trPr>
          <w:trHeight w:val="155"/>
        </w:trPr>
        <w:tc>
          <w:tcPr>
            <w:tcW w:w="5420" w:type="dxa"/>
            <w:vAlign w:val="bottom"/>
          </w:tcPr>
          <w:p>
            <w:pPr>
              <w:spacing w:after="0"/>
              <w:rPr>
                <w:sz w:val="13"/>
                <w:szCs w:val="13"/>
                <w:color w:val="auto"/>
              </w:rPr>
            </w:pPr>
          </w:p>
        </w:tc>
        <w:tc>
          <w:tcPr>
            <w:tcW w:w="12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2016 Plan</w:t>
            </w:r>
          </w:p>
        </w:tc>
        <w:tc>
          <w:tcPr>
            <w:tcW w:w="108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2008 Plan</w:t>
            </w:r>
          </w:p>
        </w:tc>
        <w:tc>
          <w:tcPr>
            <w:tcW w:w="80" w:type="dxa"/>
            <w:vAlign w:val="bottom"/>
          </w:tcPr>
          <w:p>
            <w:pPr>
              <w:spacing w:after="0"/>
              <w:rPr>
                <w:sz w:val="13"/>
                <w:szCs w:val="13"/>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Maximum number of securities for issuance</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5,750,000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Number of awards available to be granted (1)</w:t>
            </w:r>
          </w:p>
        </w:tc>
        <w:tc>
          <w:tcPr>
            <w:tcW w:w="1080" w:type="dxa"/>
            <w:vAlign w:val="bottom"/>
          </w:tcPr>
          <w:p>
            <w:pPr>
              <w:jc w:val="right"/>
              <w:spacing w:after="0"/>
              <w:rPr>
                <w:sz w:val="20"/>
                <w:szCs w:val="20"/>
                <w:color w:val="auto"/>
              </w:rPr>
            </w:pPr>
            <w:r>
              <w:rPr>
                <w:rFonts w:ascii="Arial" w:cs="Arial" w:eastAsia="Arial" w:hAnsi="Arial"/>
                <w:sz w:val="18"/>
                <w:szCs w:val="18"/>
                <w:color w:val="auto"/>
              </w:rPr>
              <w:t>2,800,002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Number of unvested restricted stock/performance-based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stock/restricted stock units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1,900,986</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Number of options outstanding</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13,000</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 exercisable</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80" w:type="dxa"/>
            <w:vAlign w:val="bottom"/>
            <w:shd w:val="clear" w:color="auto" w:fill="CFF0FC"/>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w:t>
      </w:r>
    </w:p>
    <w:p>
      <w:pPr>
        <w:spacing w:after="0" w:line="40"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2008 and 2016 Plan shares canceled, forfeited, expired unexercised, which became available for reissuance under the 2016 Plan.</w:t>
      </w:r>
    </w:p>
    <w:p>
      <w:pPr>
        <w:spacing w:after="0" w:line="230"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17"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color w:val="auto"/>
        </w:rPr>
        <w:t xml:space="preserve">Restricted Stock and Restricted Stock Units </w:t>
      </w:r>
      <w:r>
        <w:rPr>
          <w:rFonts w:ascii="Arial" w:cs="Arial" w:eastAsia="Arial" w:hAnsi="Arial"/>
          <w:sz w:val="15"/>
          <w:szCs w:val="15"/>
          <w:color w:val="auto"/>
        </w:rPr>
        <w:t>– During the three years presented below, the Committee approved various grants under the 2016 Plan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of restricted stock to certain executives and employees. These shares have vesting provisions including vesting at the end of each one-year period at the rate of one-third per year for three years, vesting 100% at the end of three years, and vesting 100% at the end of one year. The unvested restricted shares carry dividend and voting rights. Sales of these shares are restricted prior to the date of vesting. Pursuant to the terms of the underlying restricted stock agreements, unvested restricted shares will immediately vest upon the occurrence of a change in control (as defined by the agreement), termination without cause or death.</w:t>
      </w:r>
    </w:p>
    <w:p>
      <w:pPr>
        <w:spacing w:after="0" w:line="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2021, the Committee approved the grant of shares of restricted stock and performance-based restricted stock (“PBRS”) to certain executives and the grant of shares of restricted stock units to certain employees. Pursuant to the terms of the performance-based awards outstanding as of the CoC event associated with the Exchange Transaction discussed in Note 2, additional shares of restricted stock were issued including the satisfaction of certain performance conditions above the target performance level. Upon the CoC event, such restricted stock is subject only to the time-based vesting conditions set forth in the applicable award agreement and the 2016 Plan. The shares discussed above are reflected in the 2021 information below.</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Committee approved the grant of shares of restricted stock and PBRS to a certain executive. These shares are reflected in the 2020 information below.</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31, 2019, the Committee approved the grant of approximately 358,000 shares of performance-based restricted stock to certain executives. Key information to finalize the performance targets and range of vesting shares was approved by the Board during February 2020, which is the grant date for financial reporting purposes. The terms of this PBRS grant are discussed below and these PBRS shares are reflected in the 2020 information below.</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three years presented below, the Committee approved the grant of shares of RSU to our non-employee directors for payment of a portion of their director fees under the 2016 Plan. Each RSU represents a right to receive one share of our common stock following the grant date and are non-forfeitable. Vesting occurs upon the earliest to occur: (i) the director’s separation from service, (ii) the first anniversary of the grant date (for the 2021 and 2020 grants),</w:t>
      </w:r>
    </w:p>
    <w:p>
      <w:pPr>
        <w:spacing w:after="0" w:line="2" w:lineRule="exact"/>
        <w:rPr>
          <w:sz w:val="20"/>
          <w:szCs w:val="20"/>
          <w:color w:val="auto"/>
        </w:rPr>
      </w:pPr>
    </w:p>
    <w:p>
      <w:pPr>
        <w:jc w:val="both"/>
        <w:ind w:firstLine="8"/>
        <w:spacing w:after="0" w:line="253" w:lineRule="auto"/>
        <w:tabs>
          <w:tab w:leader="none" w:pos="3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third anniversary of the grant date (for 2019 grant), or (iv) the occurrence of a change of control, as defined by the agreement. Based on terms of the RSU agreements, the grant date fair value was recognized as stock-based compensation expense (SG&amp;A) on the grant date in each respective year. Pursuant to the terms of these RSU awards outstanding as of the CoC event associated with the Exchange Transaction discussed in Note 2, all such awards immediately vested.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during 2021 is presented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Restricted Stock</w:t>
            </w: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Performance-Based</w:t>
            </w:r>
          </w:p>
        </w:tc>
        <w:tc>
          <w:tcPr>
            <w:tcW w:w="24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Restricted Stock Units</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Restricted Stock</w:t>
            </w:r>
          </w:p>
        </w:tc>
        <w:tc>
          <w:tcPr>
            <w:tcW w:w="24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445,472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686,005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388,908</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799,500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675,532</w:t>
            </w:r>
          </w:p>
        </w:tc>
        <w:tc>
          <w:tcPr>
            <w:tcW w:w="22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327,188</w:t>
            </w:r>
          </w:p>
        </w:tc>
        <w:tc>
          <w:tcPr>
            <w:tcW w:w="14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(295,993)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(598,536)</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(490,866)</w:t>
            </w:r>
          </w:p>
        </w:tc>
        <w:tc>
          <w:tcPr>
            <w:tcW w:w="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(20,737)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(15,487)</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end of year</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948,979</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742,264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209,743</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auto"/>
              </w:rPr>
              <w:t>F-30</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Restricted Stock</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Shares of restricted stock granted</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799,500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371,743</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Total fair value of restricted stock granted</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2,183,000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1,223,000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restricted stock granted during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107,000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1,645,000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1,263,000</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(279,000)</w:t>
            </w: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(374,000)</w:t>
            </w: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8"/>
                <w:szCs w:val="18"/>
                <w:color w:val="auto"/>
              </w:rPr>
              <w:t>Total fair value of restricted stock vested during the year</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2,729,000</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578,000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1,917,000</w:t>
            </w:r>
          </w:p>
        </w:tc>
        <w:tc>
          <w:tcPr>
            <w:tcW w:w="100" w:type="dxa"/>
            <w:vAlign w:val="bottom"/>
          </w:tcPr>
          <w:p>
            <w:pPr>
              <w:spacing w:after="0"/>
              <w:rPr>
                <w:sz w:val="20"/>
                <w:szCs w:val="20"/>
                <w:color w:val="auto"/>
              </w:rPr>
            </w:pPr>
          </w:p>
        </w:tc>
      </w:tr>
      <w:tr>
        <w:trPr>
          <w:trHeight w:val="537"/>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8"/>
          </w:tcPr>
          <w:p>
            <w:pPr>
              <w:jc w:val="center"/>
              <w:ind w:left="553"/>
              <w:spacing w:after="0"/>
              <w:rPr>
                <w:sz w:val="20"/>
                <w:szCs w:val="20"/>
                <w:color w:val="auto"/>
              </w:rPr>
            </w:pPr>
            <w:r>
              <w:rPr>
                <w:rFonts w:ascii="Arial" w:cs="Arial" w:eastAsia="Arial" w:hAnsi="Arial"/>
                <w:sz w:val="14"/>
                <w:szCs w:val="14"/>
                <w:b w:val="1"/>
                <w:bCs w:val="1"/>
                <w:color w:val="auto"/>
                <w:w w:val="91"/>
              </w:rPr>
              <w:t>Performance-Based Restricted Stock</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5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 xml:space="preserve">2021 </w:t>
            </w:r>
            <w:r>
              <w:rPr>
                <w:rFonts w:ascii="Arial" w:cs="Arial" w:eastAsia="Arial" w:hAnsi="Arial"/>
                <w:sz w:val="12"/>
                <w:szCs w:val="12"/>
                <w:b w:val="1"/>
                <w:bCs w:val="1"/>
                <w:color w:val="auto"/>
                <w:w w:val="92"/>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2020 </w:t>
            </w:r>
            <w:r>
              <w:rPr>
                <w:rFonts w:ascii="Arial" w:cs="Arial" w:eastAsia="Arial" w:hAnsi="Arial"/>
                <w:sz w:val="12"/>
                <w:szCs w:val="12"/>
                <w:b w:val="1"/>
                <w:bCs w:val="1"/>
                <w:color w:val="auto"/>
                <w:w w:val="92"/>
              </w:rPr>
              <w:t>(1)</w:t>
            </w:r>
          </w:p>
        </w:tc>
        <w:tc>
          <w:tcPr>
            <w:tcW w:w="10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2"/>
                <w:szCs w:val="12"/>
                <w:b w:val="1"/>
                <w:bCs w:val="1"/>
                <w:color w:val="auto"/>
                <w:w w:val="92"/>
              </w:rPr>
              <w:t>(1)</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Shares of PBRS granted</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675,532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398,134</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287,871</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Total fair value of PBRS granted</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2,480,000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1,608,000</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PBRS granted during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3.09</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103,000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2,938,000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218,000</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(747,000)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(53,000)</w:t>
            </w: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(84,000)</w:t>
            </w: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8"/>
                <w:szCs w:val="18"/>
                <w:color w:val="auto"/>
              </w:rPr>
              <w:t>Total fair value of PBRS vested during the year</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6,671,000</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553"/>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Restricted Stock Units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Shares of RSU granted</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327,188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301,361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 fair value of RSU granted</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1,653,000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RSU granted during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161,000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562,000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(178,000)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(63,000)</w:t>
            </w:r>
          </w:p>
        </w:tc>
        <w:tc>
          <w:tcPr>
            <w:tcW w:w="1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(46,000)</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8"/>
                <w:szCs w:val="18"/>
                <w:color w:val="auto"/>
              </w:rPr>
              <w:t>Total fair value of RSU vested during the year</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2,209,000</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0"/>
                <w:szCs w:val="20"/>
                <w:color w:val="auto"/>
              </w:rPr>
            </w:pPr>
          </w:p>
        </w:tc>
      </w:tr>
    </w:tbl>
    <w:p>
      <w:pPr>
        <w:spacing w:after="0" w:line="84" w:lineRule="exact"/>
        <w:rPr>
          <w:sz w:val="20"/>
          <w:szCs w:val="20"/>
          <w:color w:val="auto"/>
        </w:rPr>
      </w:pPr>
    </w:p>
    <w:p>
      <w:pPr>
        <w:ind w:left="500" w:hanging="492"/>
        <w:spacing w:after="0" w:line="253" w:lineRule="auto"/>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Upon the CoC event associated with the Exchange Transaction during 2021, such PBRS is subject only to the time-based vesting conditions set forth in the applicable award agreement and the 2016 Plan.</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No stock options have been granted under the 2016 Plan during the three years presented below. As it relates to stock options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2008 plan, the exercise price of the outstanding options granted were equal to the market value of our common stock at the date of grant and vested at the end of each one-year period at the rate of 16.5% per year for the first five years and the remaining unvested options vested at the end of the sixth year. The fair value for of the stock options granted under the 2008 Plan were estimated, using an option pricing model, as of the date of the grant, which date was also the service inception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in 2021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8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7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Forfeited or expired</w:t>
            </w:r>
          </w:p>
        </w:tc>
        <w:tc>
          <w:tcPr>
            <w:tcW w:w="3240" w:type="dxa"/>
            <w:vAlign w:val="bottom"/>
            <w:gridSpan w:val="3"/>
          </w:tcPr>
          <w:p>
            <w:pPr>
              <w:jc w:val="right"/>
              <w:ind w:right="80"/>
              <w:spacing w:after="0"/>
              <w:rPr>
                <w:sz w:val="20"/>
                <w:szCs w:val="20"/>
                <w:color w:val="auto"/>
              </w:rPr>
            </w:pPr>
            <w:r>
              <w:rPr>
                <w:rFonts w:ascii="Arial" w:cs="Arial" w:eastAsia="Arial" w:hAnsi="Arial"/>
                <w:sz w:val="18"/>
                <w:szCs w:val="18"/>
                <w:color w:val="auto"/>
              </w:rPr>
              <w:t>(145,600)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1700"/>
              <w:spacing w:after="0"/>
              <w:rPr>
                <w:sz w:val="20"/>
                <w:szCs w:val="20"/>
                <w:color w:val="auto"/>
              </w:rPr>
            </w:pPr>
            <w:r>
              <w:rPr>
                <w:rFonts w:ascii="Arial" w:cs="Arial" w:eastAsia="Arial" w:hAnsi="Arial"/>
                <w:sz w:val="18"/>
                <w:szCs w:val="18"/>
                <w:color w:val="auto"/>
              </w:rPr>
              <w:t>Exercisable at end of year</w:t>
            </w:r>
          </w:p>
        </w:tc>
        <w:tc>
          <w:tcPr>
            <w:tcW w:w="3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240" w:type="dxa"/>
            <w:vAlign w:val="bottom"/>
            <w:gridSpan w:val="3"/>
          </w:tcPr>
          <w:p>
            <w:pPr>
              <w:jc w:val="right"/>
              <w:ind w:right="2200"/>
              <w:spacing w:after="0"/>
              <w:rPr>
                <w:sz w:val="20"/>
                <w:szCs w:val="20"/>
                <w:color w:val="auto"/>
              </w:rPr>
            </w:pPr>
            <w:r>
              <w:rPr>
                <w:rFonts w:ascii="Arial" w:cs="Arial" w:eastAsia="Arial" w:hAnsi="Arial"/>
                <w:sz w:val="18"/>
                <w:szCs w:val="18"/>
                <w:color w:val="auto"/>
              </w:rPr>
              <w:t>F-31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Cost of sales</w:t>
            </w: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FF0FC"/>
          </w:tcPr>
          <w:p>
            <w:pPr>
              <w:spacing w:after="0"/>
              <w:rPr>
                <w:sz w:val="19"/>
                <w:szCs w:val="19"/>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Stock-based compensation expense - SG&amp;A</w:t>
            </w:r>
          </w:p>
        </w:tc>
        <w:tc>
          <w:tcPr>
            <w:tcW w:w="600" w:type="dxa"/>
            <w:vAlign w:val="bottom"/>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42,000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(36,000)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(42,000)</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Total intrinsic value of options exercised during the year</w:t>
            </w:r>
          </w:p>
        </w:tc>
        <w:tc>
          <w:tcPr>
            <w:tcW w:w="600" w:type="dxa"/>
            <w:vAlign w:val="bottom"/>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fair value of options vested during the year</w:t>
            </w: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Total intrinsic value of options outstanding at end of year</w:t>
            </w:r>
          </w:p>
        </w:tc>
        <w:tc>
          <w:tcPr>
            <w:tcW w:w="600" w:type="dxa"/>
            <w:vAlign w:val="bottom"/>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intrinsic value of options exercisable at end of year</w:t>
            </w: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contractual life period in years (options outstanding)</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2.92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9"/>
                <w:szCs w:val="19"/>
                <w:color w:val="auto"/>
              </w:rPr>
            </w:pPr>
          </w:p>
        </w:tc>
      </w:tr>
      <w:tr>
        <w:trPr>
          <w:trHeight w:val="234"/>
        </w:trPr>
        <w:tc>
          <w:tcPr>
            <w:tcW w:w="7840" w:type="dxa"/>
            <w:vAlign w:val="bottom"/>
          </w:tcPr>
          <w:p>
            <w:pPr>
              <w:spacing w:after="0"/>
              <w:rPr>
                <w:sz w:val="20"/>
                <w:szCs w:val="20"/>
                <w:color w:val="auto"/>
              </w:rPr>
            </w:pPr>
            <w:r>
              <w:rPr>
                <w:rFonts w:ascii="Arial" w:cs="Arial" w:eastAsia="Arial" w:hAnsi="Arial"/>
                <w:sz w:val="18"/>
                <w:szCs w:val="18"/>
                <w:color w:val="auto"/>
              </w:rPr>
              <w:t>Total weighted-average remaining contractual life period in years (options exercisable)</w:t>
            </w:r>
          </w:p>
        </w:tc>
        <w:tc>
          <w:tcPr>
            <w:tcW w:w="6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2.92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Stock-based Compensation Expense Not Yet Recognized – </w:t>
      </w:r>
      <w:r>
        <w:rPr>
          <w:rFonts w:ascii="Arial" w:cs="Arial" w:eastAsia="Arial" w:hAnsi="Arial"/>
          <w:sz w:val="18"/>
          <w:szCs w:val="18"/>
          <w:color w:val="auto"/>
        </w:rPr>
        <w:t>At December 31, 2021, the total stock-based compensation expense not yet recognized is</w:t>
      </w:r>
      <w:r>
        <w:rPr>
          <w:rFonts w:ascii="Arial" w:cs="Arial" w:eastAsia="Arial" w:hAnsi="Arial"/>
          <w:sz w:val="18"/>
          <w:szCs w:val="18"/>
          <w:b w:val="1"/>
          <w:bCs w:val="1"/>
          <w:color w:val="auto"/>
        </w:rPr>
        <w:t xml:space="preserve"> </w:t>
      </w:r>
      <w:r>
        <w:rPr>
          <w:rFonts w:ascii="Arial" w:cs="Arial" w:eastAsia="Arial" w:hAnsi="Arial"/>
          <w:sz w:val="18"/>
          <w:szCs w:val="18"/>
          <w:color w:val="auto"/>
        </w:rPr>
        <w:t>$4,079,000, relating to all forms of non-vested equity awards, which we will be amortizing (subject to adjustments for actual forfeitures) through the respective remaining vesting periods through June 2024.</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Reserved Shares of Common Stock – </w:t>
      </w:r>
      <w:r>
        <w:rPr>
          <w:rFonts w:ascii="Arial" w:cs="Arial" w:eastAsia="Arial" w:hAnsi="Arial"/>
          <w:sz w:val="18"/>
          <w:szCs w:val="18"/>
          <w:color w:val="auto"/>
        </w:rPr>
        <w:t>As of December 31, 2021, we have reserved 0.2 million shares of common stock issuable upon vesting of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pursuant to their respective terms.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NOL Rights Agreement - </w:t>
      </w:r>
      <w:r>
        <w:rPr>
          <w:rFonts w:ascii="Arial" w:cs="Arial" w:eastAsia="Arial" w:hAnsi="Arial"/>
          <w:sz w:val="18"/>
          <w:szCs w:val="18"/>
          <w:color w:val="auto"/>
        </w:rPr>
        <w:t>On July 6, 2020, we entered into the Section 382 Rights Agreement (the “NOL Rights Agreement”), dated as of July 6, 2020,</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LSB and Computershare Trust Company, N.A., as rights agent. During 2021, the NOL Rights Agreement was ratified by our shareholders at our annual meeting of shareholders held on May 14, 2021.</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Internal Revenue Code of 1986, as amended (the “Code”). A company generally experiences an ownership change if the percentage of the value of its stock owned by certain 5% shareholders,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of affiliated or associated persons (“Group”) from acquiring beneficial ownership of 4.9% or more of our outstanding common shares.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rights issued under the NOL Rights Agreement will expire on the earliest to occur of (i) the close of business on the day following the certification of the voting results of our 2021 annual meeting of stockholders, or other duly held stockholders’ meeting, (ii) the date on which our Board determines in its sole discretion that (x) the NOL Rights Agreement is no longer necessary for the preservation of material valuable NOLs or tax attributes or (y) the NOLs and tax attributes have been fully utilized and may no longer be carried forward and (iii) the close of business on July 6, 2023.</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may, in its discretion, determine that a person, entity or a certain transaction is exempt from the operation of the NOL Rights Agreement or amend the terms of the rights.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description of the NOL Rights Agreement does not purport to be complete and is qualified in its entirety by reference to the Rights Agreement filed as an exhibit to our Current Report on Form 8-K filed on July 6,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Non-Redeemable Preferred Stock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2021, certain of the Golsen Holders who held all of the outstanding shares of Series B 12% Cumulative, Convertible Preferred Stock, par value $100 (“Series B Preferred”) and Series D 6% Cumulative, Convertible Class C Preferred Stock, no par value (“Series D Preferred”) provided notice to convert all of their shares of Series B Preferred and Series D Preferred into approximately 1.2 million shares of our common stock, pursuant to the terms of these securities. Pursuant to the terms of these securities, our Board declared and we paid the accumulated dividends totaling approximately $1.9 million on the Series B and Series D Preferred. As a result, no shares of the Series B Preferred and Series D Preferred remain outstanding. See further discussion concerning the Series B and Series D Preferred in Note 14.</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 At December 31, 2021, we are authorized to issue an additional 250,000 shares of $100 par value preferred stock and an additional 5,000,000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no-par value preferred stock. Upon issuance, our Board will determine the specific terms and conditions of such preferred stock.</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Executive Benefit Agreement, Employee Savings Plans and Collective Bargaining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party to a death benefit agreement (“2005 Agreement”) with Jack E. Golsen (“J. Golsen”), who retired as discussed in Note 14-Related Party Transactions.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2005 Agreement provides that, upon J. Golsen’s death, we will pay to the designated beneficiary, a lump-sum payment of $2,500,000 to be funded from the net proceeds received by us under certain life insurance policies on his life that are owned by us. We are obligated to keep in existence life insurance policies with a total face amount of no less than $2,500,000 of the stated death benefit.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about this agreement: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death benefit</w:t>
            </w: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2,500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Total accrued death benefit</w:t>
            </w:r>
          </w:p>
        </w:tc>
        <w:tc>
          <w:tcPr>
            <w:tcW w:w="1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accrued executive benefit under the 2005 Agreement is included in noncurrent accrued and other liabilities. We accrue for such liabilities when they become probable and discount the liabilities to their present value.</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assist us in funding the 2005 Agreement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about these life insurance policies.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4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5"/>
          </w:tcPr>
          <w:p>
            <w:pPr>
              <w:jc w:val="right"/>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Total face value of life insurance policies</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4,500</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Total cash surrender values of life insurance policies</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1,863</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Loans on cash surrender values</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surrender values</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4"/>
                <w:szCs w:val="2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5"/>
          </w:tcPr>
          <w:p>
            <w:pPr>
              <w:jc w:val="right"/>
              <w:ind w:right="10"/>
              <w:spacing w:after="0" w:line="155" w:lineRule="exact"/>
              <w:rPr>
                <w:sz w:val="20"/>
                <w:szCs w:val="20"/>
                <w:color w:val="auto"/>
              </w:rPr>
            </w:pPr>
            <w:r>
              <w:rPr>
                <w:rFonts w:ascii="Arial" w:cs="Arial" w:eastAsia="Arial" w:hAnsi="Arial"/>
                <w:sz w:val="14"/>
                <w:szCs w:val="14"/>
                <w:color w:val="auto"/>
                <w:w w:val="99"/>
              </w:rPr>
              <w:t>(In Thousands)</w:t>
            </w: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life insurance premiums</w:t>
            </w:r>
          </w:p>
        </w:tc>
        <w:tc>
          <w:tcPr>
            <w:tcW w:w="110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215</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215</w:t>
            </w:r>
          </w:p>
        </w:tc>
        <w:tc>
          <w:tcPr>
            <w:tcW w:w="7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Increase in cash surrender values</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75"/>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cost of life insurance premiums included in SG&amp;A</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Savings Plans - We sponsor a savings plan under Section 401(k) of the Internal Revenue Code under which participation is available to substantially all full-time employees. Beginning in January 2019, we began matching 50% of an employee’s contribution, up to 6%, for substantially all full-time employees. Prior to 2019, we did not contribute to this plan except for certain employees. For 2021, 2020 and 2019, the amounts contributed to this plan were $986,000, $1,022,000, and $997,000, respectively.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 Bargaining Agreements - As of December 31, 2021, we employed 545 persons, 180 of whom are represented by unions under agreements, including agreements being negotiated, that expire in July 2022 through July 2024.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as the result of the stockholders’ approval, the closing of the Exchange Agreement occurred, and the Exchange Transaction was consummated on September 27, 2021. Pursuant to the terms of the Exchange Agreement, LSB Funding exchanged all of the shares of the Series E and Series F Redeemable Preferred for approximately 49.1 million shares of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considering the Special Dividend, LSB Funding holds approximately 54.4 million shares of our outstanding common stock, or 60% of our outstanding common stock.</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discussed in Note 1, our Board declared the Special Dividend that was paid through the issuance of approximately 9.1 million shares of common stock in October 2021, which amount included approximately 1.2 million shares to LSB Funding and approximately 0.7 million shares to certain of the Golsen Holders. In addition, pursuant to the anti-dilution terms of the Series B and Series D Preferred, which shares were held by certain of the Golsen Holders, the conversion ratio of the Series B Preferred increased to 43.3333 to 1 from 33.3333 to 1 and the Series D Preferred increased to 0.325 to 1 from 0.25 to</w:t>
      </w:r>
    </w:p>
    <w:p>
      <w:pPr>
        <w:spacing w:after="0" w:line="1" w:lineRule="exact"/>
        <w:rPr>
          <w:sz w:val="20"/>
          <w:szCs w:val="20"/>
          <w:color w:val="auto"/>
        </w:rPr>
      </w:pPr>
    </w:p>
    <w:p>
      <w:pPr>
        <w:ind w:firstLine="8"/>
        <w:spacing w:after="0" w:line="260" w:lineRule="auto"/>
        <w:tabs>
          <w:tab w:leader="none" w:pos="2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12 for the discussion regarding the conversion of the Series B and Series D Preferred into our common stock and the payment of the accumulated dividends on these securities.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have three separate outstanding financing arrangements by an affiliate of LSB Funding as discussed in footnotes (C), (D) and</w:t>
      </w:r>
    </w:p>
    <w:p>
      <w:pPr>
        <w:spacing w:after="0" w:line="46" w:lineRule="exact"/>
        <w:rPr>
          <w:sz w:val="20"/>
          <w:szCs w:val="20"/>
          <w:color w:val="auto"/>
        </w:rPr>
      </w:pPr>
    </w:p>
    <w:p>
      <w:pPr>
        <w:ind w:firstLine="8"/>
        <w:spacing w:after="0" w:line="260" w:lineRule="auto"/>
        <w:tabs>
          <w:tab w:leader="none" w:pos="2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Note 7. In addition, an affiliate of LSB Funding held $50 million of our Old Notes, which Old Notes were redeemed with the proceeds from the New Notes as discussed in footnote (B) of Note 7. An affiliate of LSB Funding holds $30 million of the New Notes.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Board Representation and Standstill Agreement, as amended, our Board includes two directors that are employees of affiliates of LSB Funding. During 2021, 2020 and 2019, we incurred director fees associated with these directors totaling approximately $0.3 million for each respective year.</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During 2021, 2020 and 2019, we incurred director fees associated with Barry H. Golsen totaling approximately $0.1 million for each respective year.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result of J. Golsen informing the Board of his election to retire as Executive Chairman effective December 31, 2017, we determined not to extend the employment agreement with J. Golsen beyond its then current term that expired on December 31, 2017 (the “Retirement Date”) and, in accordance with the terms his employment agreement, delivered a notice of non-renewal to J. Golsen. Following the Retirement Date, J. Golsen serves as Chairman Emeritus of our Board.</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2017, we entered into a transition agreement (the “Transition Agreement”) with J. Golsen that commenced on January 1, 2018 and ends upon the earlier of his death or a change in control as defined in the agreement. During the term, J. Golsen will receive an annual cash retainer of $480,000 and an additional monthly amount of $4,400 to cover certain expenses. In accordance with the terms of the Transition Agreement, we will also reimburse J. Golsen for his cost of certain medical insurance coverage until his death. Effective as of the Retirement Date, the severance agreement that was in force with J. Golsen was terminated. In consideration for his services, including as Chairman Emeritus, we will pay J. Golsen a one-time payment equal to $2,320,000 upon the consummation of a change in control, as defined in the agreement, should one occur prior to his death.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gridSpan w:val="2"/>
          </w:tcPr>
          <w:p>
            <w:pPr>
              <w:jc w:val="right"/>
              <w:ind w:right="113"/>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Interest on long-term debt and other, net of capitalized</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43,583</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6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45,730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42,184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 net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(182)</w:t>
            </w:r>
          </w:p>
        </w:tc>
        <w:tc>
          <w:tcPr>
            <w:tcW w:w="3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Accounts receivable, supplies, other assets, accounts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payable and accrued liabilities associated with additions</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17,649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of property, plant and equipment</w:t>
            </w:r>
          </w:p>
        </w:tc>
        <w:tc>
          <w:tcPr>
            <w:tcW w:w="6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16,286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18,350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Extinguishment of PPP loan</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10,000</w:t>
            </w:r>
          </w:p>
        </w:tc>
        <w:tc>
          <w:tcPr>
            <w:tcW w:w="3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Series E and Series F Redeemable Preferred and related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dividends, accretion, and embedded derivative exchanged</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306,690</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w w:val="99"/>
              </w:rPr>
              <w:t>for common stock, net of related costs in accounts payable</w:t>
            </w:r>
          </w:p>
        </w:tc>
        <w:tc>
          <w:tcPr>
            <w:tcW w:w="6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37,208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B and Series D preferred converted into common</w:t>
            </w:r>
          </w:p>
        </w:tc>
        <w:tc>
          <w:tcPr>
            <w:tcW w:w="6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3,000</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w:t>
            </w:r>
          </w:p>
        </w:tc>
        <w:tc>
          <w:tcPr>
            <w:tcW w:w="640" w:type="dxa"/>
            <w:vAlign w:val="bottom"/>
            <w:gridSpan w:val="2"/>
            <w:vMerge w:val="continue"/>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140" w:type="dxa"/>
            <w:vAlign w:val="bottom"/>
          </w:tcPr>
          <w:p>
            <w:pPr>
              <w:spacing w:after="0"/>
              <w:rPr>
                <w:sz w:val="24"/>
                <w:szCs w:val="24"/>
                <w:color w:val="auto"/>
              </w:rPr>
            </w:pPr>
          </w:p>
        </w:tc>
        <w:tc>
          <w:tcPr>
            <w:tcW w:w="5080" w:type="dxa"/>
            <w:vAlign w:val="bottom"/>
          </w:tcPr>
          <w:p>
            <w:pPr>
              <w:ind w:left="4320"/>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32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155"/>
        </w:trPr>
        <w:tc>
          <w:tcPr>
            <w:tcW w:w="3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52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94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264,502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180,036</w:t>
            </w:r>
          </w:p>
        </w:tc>
        <w:tc>
          <w:tcPr>
            <w:tcW w:w="8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187,641</w:t>
            </w:r>
          </w:p>
        </w:tc>
        <w:tc>
          <w:tcPr>
            <w:tcW w:w="80" w:type="dxa"/>
            <w:vAlign w:val="bottom"/>
          </w:tcPr>
          <w:p>
            <w:pPr>
              <w:spacing w:after="0"/>
              <w:rPr>
                <w:sz w:val="19"/>
                <w:szCs w:val="19"/>
                <w:color w:val="auto"/>
              </w:rPr>
            </w:pPr>
          </w:p>
        </w:tc>
      </w:tr>
      <w:tr>
        <w:trPr>
          <w:trHeight w:val="229"/>
        </w:trPr>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products</w:t>
            </w:r>
          </w:p>
        </w:tc>
        <w:tc>
          <w:tcPr>
            <w:tcW w:w="1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234,496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133,024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139,643</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Mining products</w:t>
            </w:r>
          </w:p>
        </w:tc>
        <w:tc>
          <w:tcPr>
            <w:tcW w:w="1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57,241</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38,256</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37,786</w:t>
            </w:r>
          </w:p>
        </w:tc>
        <w:tc>
          <w:tcPr>
            <w:tcW w:w="80" w:type="dxa"/>
            <w:vAlign w:val="bottom"/>
            <w:tcBorders>
              <w:bottom w:val="single" w:sz="8" w:color="CFF0FC"/>
            </w:tcBorders>
          </w:tcPr>
          <w:p>
            <w:pPr>
              <w:spacing w:after="0"/>
              <w:rPr>
                <w:sz w:val="19"/>
                <w:szCs w:val="19"/>
                <w:color w:val="auto"/>
              </w:rPr>
            </w:pPr>
          </w:p>
        </w:tc>
      </w:tr>
      <w:tr>
        <w:trPr>
          <w:trHeight w:val="223"/>
        </w:trPr>
        <w:tc>
          <w:tcPr>
            <w:tcW w:w="35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net sales</w:t>
            </w:r>
          </w:p>
        </w:tc>
        <w:tc>
          <w:tcPr>
            <w:tcW w:w="1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556,239</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351,316</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365,070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18 months at December 31, 2021.</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$1.6 million and $2.5 million of contract liabilities as of December 31, 2021 and 2020, respectively. During 2021, revenues of $2.5 million were recognized and included in the balance at the beginning of the period.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we have remaining performance obligations with certain customer contracts, excluding contracts with original durations of less than one year and contracts with variable consideration for which we have elected the practical expedient for consideration recognized in revenue as invoiced. The remaining performance obligations totals approximately $77 million, of which approximately 39% of this amount relates to 2022 through 2024, approximately 29% relates to 2025 through 2026, with the remainder thereafter.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center"/>
        <w:ind w:right="-55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our leases are presented below:</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5"/>
          </w:tcPr>
          <w:p>
            <w:pPr>
              <w:jc w:val="right"/>
              <w:ind w:right="300"/>
              <w:spacing w:after="0"/>
              <w:rPr>
                <w:sz w:val="20"/>
                <w:szCs w:val="20"/>
                <w:color w:val="auto"/>
              </w:rPr>
            </w:pPr>
            <w:r>
              <w:rPr>
                <w:rFonts w:ascii="Arial" w:cs="Arial" w:eastAsia="Arial" w:hAnsi="Arial"/>
                <w:sz w:val="14"/>
                <w:szCs w:val="14"/>
                <w:color w:val="auto"/>
                <w:w w:val="93"/>
              </w:rPr>
              <w:t>(Dollars In Thousands)</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lease expense:</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9,998</w:t>
            </w:r>
          </w:p>
        </w:tc>
        <w:tc>
          <w:tcPr>
            <w:tcW w:w="2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7,611</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cost (1)</w:t>
            </w:r>
          </w:p>
        </w:tc>
        <w:tc>
          <w:tcPr>
            <w:tcW w:w="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12,398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 related to leases:</w:t>
            </w: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04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10,290</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7,782</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Cash paid for amounts included in the measurement of lease liabilities</w:t>
            </w:r>
          </w:p>
        </w:tc>
        <w:tc>
          <w:tcPr>
            <w:tcW w:w="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10,415</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460" w:type="dxa"/>
            <w:vAlign w:val="bottom"/>
          </w:tcPr>
          <w:p>
            <w:pPr>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9,549</w:t>
            </w:r>
          </w:p>
        </w:tc>
        <w:tc>
          <w:tcPr>
            <w:tcW w:w="220" w:type="dxa"/>
            <w:vAlign w:val="bottom"/>
          </w:tcPr>
          <w:p>
            <w:pPr>
              <w:spacing w:after="0"/>
              <w:rPr>
                <w:sz w:val="23"/>
                <w:szCs w:val="23"/>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17,064</w:t>
            </w:r>
          </w:p>
        </w:tc>
        <w:tc>
          <w:tcPr>
            <w:tcW w:w="220" w:type="dxa"/>
            <w:vAlign w:val="bottom"/>
          </w:tcPr>
          <w:p>
            <w:pPr>
              <w:spacing w:after="0"/>
              <w:rPr>
                <w:sz w:val="23"/>
                <w:szCs w:val="23"/>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5,967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lease-related information:</w:t>
            </w:r>
          </w:p>
        </w:tc>
        <w:tc>
          <w:tcPr>
            <w:tcW w:w="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w w:val="99"/>
              </w:rPr>
              <w:t>Weighted-average remaining lease term - operating leases (in years)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 finance leases (in years)</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(1) Includes variable and finance lease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future minimum operating lease payments due under ASC 842 are summarized by fiscal year in the table below:</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Operating Leases</w:t>
            </w:r>
          </w:p>
        </w:tc>
        <w:tc>
          <w:tcPr>
            <w:tcW w:w="100" w:type="dxa"/>
            <w:vAlign w:val="bottom"/>
          </w:tcPr>
          <w:p>
            <w:pPr>
              <w:spacing w:after="0"/>
              <w:rPr>
                <w:sz w:val="14"/>
                <w:szCs w:val="14"/>
                <w:color w:val="auto"/>
              </w:rPr>
            </w:pPr>
          </w:p>
        </w:tc>
      </w:tr>
      <w:tr>
        <w:trPr>
          <w:trHeight w:val="210"/>
        </w:trPr>
        <w:tc>
          <w:tcPr>
            <w:tcW w:w="5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color w:val="auto"/>
              </w:rPr>
              <w:t>(In thousands)</w:t>
            </w: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9,692</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2025</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FF0FC"/>
            </w:tcBorders>
          </w:tcPr>
          <w:p>
            <w:pPr>
              <w:spacing w:after="0"/>
              <w:rPr>
                <w:sz w:val="21"/>
                <w:szCs w:val="21"/>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32,258</w:t>
            </w:r>
          </w:p>
        </w:tc>
        <w:tc>
          <w:tcPr>
            <w:tcW w:w="10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(4,935)</w:t>
            </w: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30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did not have any executed operating leases with lease terms greater than one year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89" w:name="page90"/>
    <w:bookmarkEnd w:id="89"/>
    <w:p>
      <w:pPr>
        <w:ind w:left="4900"/>
        <w:spacing w:after="0"/>
        <w:rPr>
          <w:sz w:val="20"/>
          <w:szCs w:val="20"/>
          <w:color w:val="auto"/>
        </w:rPr>
      </w:pPr>
      <w:r>
        <w:rPr>
          <w:rFonts w:ascii="Arial" w:cs="Arial" w:eastAsia="Arial" w:hAnsi="Arial"/>
          <w:sz w:val="18"/>
          <w:szCs w:val="18"/>
          <w:color w:val="auto"/>
        </w:rPr>
        <w:t>LSB Industries, Inc.</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Supplementary Information</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unaudited quarterly financial data for 2021 and 2020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gridSpan w:val="7"/>
          </w:tcPr>
          <w:p>
            <w:pPr>
              <w:ind w:left="20"/>
              <w:spacing w:after="0" w:line="155" w:lineRule="exact"/>
              <w:rPr>
                <w:sz w:val="20"/>
                <w:szCs w:val="20"/>
                <w:color w:val="auto"/>
              </w:rPr>
            </w:pPr>
            <w:r>
              <w:rPr>
                <w:rFonts w:ascii="Arial" w:cs="Arial" w:eastAsia="Arial" w:hAnsi="Arial"/>
                <w:sz w:val="14"/>
                <w:szCs w:val="14"/>
                <w:color w:val="auto"/>
                <w:w w:val="97"/>
              </w:rPr>
              <w:t>(In Thousands, Except Per Share Amounts)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2021</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84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98,116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140,696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127,199</w:t>
            </w:r>
          </w:p>
        </w:tc>
        <w:tc>
          <w:tcPr>
            <w:tcW w:w="1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190,228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(1)</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(loss) (1) (2)</w:t>
            </w: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 (A)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(251,504)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 income (loss) per common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(0.63)</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 income (loss) per common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(0.63)</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83,411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105,033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73,969</w:t>
            </w:r>
          </w:p>
        </w:tc>
        <w:tc>
          <w:tcPr>
            <w:tcW w:w="1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88,903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(1)</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(1) (2)</w:t>
            </w: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loss per common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(0.77)</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See Notes 2 and 3 concerning a deemed dividend associated with the Exchange Transaction, which was consummated during the third quarter of 2021.</w:t>
      </w:r>
    </w:p>
    <w:p>
      <w:pPr>
        <w:spacing w:after="0" w:line="248"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103"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income (expense) items impacted gross profit (loss) and net income (loss):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r>
      <w:tr>
        <w:trPr>
          <w:trHeight w:val="156"/>
        </w:trPr>
        <w:tc>
          <w:tcPr>
            <w:tcW w:w="5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right"/>
              <w:ind w:right="980"/>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Turnaround expense: (A)</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(7,976)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(1,130)</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70"/>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Gain (loss) on natural gas forward contracts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(1,443)</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due to CoC event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Recovery from settlements with certain vendors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ind w:right="5920" w:firstLine="8"/>
        <w:spacing w:after="0" w:line="363" w:lineRule="auto"/>
        <w:tabs>
          <w:tab w:leader="none" w:pos="49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income (expense) items impacted net income (loss): Legal fees associated with Leidos matter</w:t>
      </w:r>
    </w:p>
    <w:tbl>
      <w:tblPr>
        <w:tblLayout w:type="fixed"/>
        <w:tblInd w:w="0" w:type="dxa"/>
        <w:tblCellMar>
          <w:top w:w="0" w:type="dxa"/>
          <w:left w:w="0" w:type="dxa"/>
          <w:bottom w:w="0" w:type="dxa"/>
          <w:right w:w="0" w:type="dxa"/>
        </w:tblCellMar>
      </w:tblPr>
      <w:tr>
        <w:trPr>
          <w:trHeight w:val="212"/>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(886)</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(3,287)</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(955)</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(572)</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43"/>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due to CoC event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(3,786)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43"/>
        </w:trPr>
        <w:tc>
          <w:tcPr>
            <w:tcW w:w="58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Gain (loss) on extinguishments of debt</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(20,259)</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43"/>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associated with Global judgment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70"/>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(1,327)</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143"/>
        </w:trPr>
        <w:tc>
          <w:tcPr>
            <w:tcW w:w="58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Gain (loss) associated with embedded derivative</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(436)</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(716)</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(1,106)</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4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(561)</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43"/>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23"/>
                <w:szCs w:val="23"/>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3"/>
                <w:szCs w:val="23"/>
                <w:color w:val="auto"/>
              </w:rPr>
            </w:pP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840" w:type="dxa"/>
            <w:vAlign w:val="bottom"/>
          </w:tcPr>
          <w:p>
            <w:pPr>
              <w:jc w:val="right"/>
              <w:ind w:right="51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5"/>
          <w:szCs w:val="15"/>
          <w:color w:val="auto"/>
        </w:rPr>
        <w:t>Turnaround expenses do not include the impact on operating results relating to lost absorption or reduced margins due to the associated plants being shut down.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2021, 2020, and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8"/>
              </w:rPr>
              <w:t>Deductions-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Charges to</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(Recovery of)</w:t>
            </w: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Write-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ind w:left="2400"/>
              <w:spacing w:after="0"/>
              <w:rPr>
                <w:sz w:val="20"/>
                <w:szCs w:val="20"/>
                <w:color w:val="auto"/>
              </w:rPr>
            </w:pPr>
            <w:r>
              <w:rPr>
                <w:rFonts w:ascii="Arial" w:cs="Arial" w:eastAsia="Arial" w:hAnsi="Arial"/>
                <w:sz w:val="14"/>
                <w:szCs w:val="14"/>
                <w:b w:val="1"/>
                <w:bCs w:val="1"/>
                <w:color w:val="auto"/>
              </w:rPr>
              <w:t>Description (1)</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Costs and</w:t>
            </w: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offs/Costs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 - allowance for doubtful accounts: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700" w:type="dxa"/>
            <w:vAlign w:val="bottom"/>
          </w:tcPr>
          <w:p>
            <w:pPr>
              <w:jc w:val="right"/>
              <w:ind w:right="4992"/>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00" w:type="dxa"/>
            <w:vAlign w:val="bottom"/>
          </w:tcPr>
          <w:p>
            <w:pPr>
              <w:jc w:val="right"/>
              <w:ind w:right="4992"/>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700" w:type="dxa"/>
            <w:vAlign w:val="bottom"/>
          </w:tcPr>
          <w:p>
            <w:pPr>
              <w:jc w:val="right"/>
              <w:ind w:right="499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Deferred tax assets - valuation allowance: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jc w:val="right"/>
              <w:ind w:right="4992"/>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(17,687)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jc w:val="right"/>
              <w:ind w:right="4992"/>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jc w:val="right"/>
              <w:ind w:right="4992"/>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20" w:firstLine="8"/>
        <w:spacing w:after="0" w:line="483" w:lineRule="auto"/>
        <w:tabs>
          <w:tab w:leader="none" w:pos="499"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Reduction in the consolidated balance sheet from the related assets to which the reserve applies. Other valuation and qualifying accounts are detailed in our notes to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77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color w:val="auto"/>
        </w:rPr>
        <w:t>Exhibit 4.7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E-1 CUMULATIVE REDEEMABLE CLASS C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r>
        <w:rPr>
          <w:rFonts w:ascii="Arial" w:cs="Arial" w:eastAsia="Arial" w:hAnsi="Arial"/>
          <w:sz w:val="21"/>
          <w:szCs w:val="21"/>
          <w:b w:val="1"/>
          <w:bCs w:val="1"/>
          <w:color w:val="auto"/>
        </w:rPr>
        <w:t>.</w:t>
      </w:r>
    </w:p>
    <w:p>
      <w:pPr>
        <w:spacing w:after="0" w:line="22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LSB Industries, Inc.</w:t>
      </w:r>
      <w:r>
        <w:rPr>
          <w:rFonts w:ascii="Arial" w:cs="Arial" w:eastAsia="Arial" w:hAnsi="Arial"/>
          <w:sz w:val="22"/>
          <w:szCs w:val="22"/>
          <w:color w:val="auto"/>
        </w:rPr>
        <w:t>, a corporation organized and existing under the Delaware General Corporation Law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Corporation</w:t>
      </w:r>
      <w:r>
        <w:rPr>
          <w:rFonts w:ascii="Arial" w:cs="Arial" w:eastAsia="Arial" w:hAnsi="Arial"/>
          <w:sz w:val="22"/>
          <w:szCs w:val="22"/>
          <w:color w:val="auto"/>
        </w:rPr>
        <w:t>”), DOES HEREBY CERTIFY</w:t>
      </w:r>
      <w:r>
        <w:rPr>
          <w:rFonts w:ascii="Arial" w:cs="Arial" w:eastAsia="Arial" w:hAnsi="Arial"/>
          <w:sz w:val="22"/>
          <w:szCs w:val="22"/>
          <w:b w:val="1"/>
          <w:bCs w:val="1"/>
          <w:color w:val="auto"/>
        </w:rPr>
        <w:t>:</w:t>
      </w:r>
    </w:p>
    <w:p>
      <w:pPr>
        <w:spacing w:after="0" w:line="162"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That the name of the corporation is LSB Industries, Inc., and that the Corporation was originally incorporated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General Corporation Law on January 21, 1977.</w:t>
      </w:r>
    </w:p>
    <w:p>
      <w:pPr>
        <w:spacing w:after="0" w:line="18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SECOND</w:t>
      </w:r>
      <w:r>
        <w:rPr>
          <w:rFonts w:ascii="Arial" w:cs="Arial" w:eastAsia="Arial" w:hAnsi="Arial"/>
          <w:sz w:val="21"/>
          <w:szCs w:val="21"/>
          <w:color w:val="auto"/>
        </w:rPr>
        <w:t>: That</w:t>
      </w:r>
      <w:r>
        <w:rPr>
          <w:rFonts w:ascii="Arial" w:cs="Arial" w:eastAsia="Arial" w:hAnsi="Arial"/>
          <w:sz w:val="21"/>
          <w:szCs w:val="21"/>
          <w:b w:val="1"/>
          <w:bCs w:val="1"/>
          <w:color w:val="auto"/>
        </w:rPr>
        <w:t xml:space="preserve"> </w:t>
      </w:r>
      <w:r>
        <w:rPr>
          <w:rFonts w:ascii="Arial" w:cs="Arial" w:eastAsia="Arial" w:hAnsi="Arial"/>
          <w:sz w:val="17"/>
          <w:szCs w:val="17"/>
          <w:color w:val="auto"/>
        </w:rPr>
        <w:t>a Certificate of Designations of Series E-1 Cumulative Redeemable Class C Preferred Stock was filed with the</w:t>
      </w:r>
      <w:r>
        <w:rPr>
          <w:rFonts w:ascii="Arial" w:cs="Arial" w:eastAsia="Arial" w:hAnsi="Arial"/>
          <w:sz w:val="21"/>
          <w:szCs w:val="21"/>
          <w:b w:val="1"/>
          <w:bCs w:val="1"/>
          <w:color w:val="auto"/>
        </w:rPr>
        <w:t xml:space="preserve"> </w:t>
      </w:r>
      <w:r>
        <w:rPr>
          <w:rFonts w:ascii="Arial" w:cs="Arial" w:eastAsia="Arial" w:hAnsi="Arial"/>
          <w:sz w:val="17"/>
          <w:szCs w:val="17"/>
          <w:color w:val="auto"/>
        </w:rPr>
        <w:t>Secretary of State of the State of Delaware on October 18, 2018, as subsequently corrected by the Certificate of Correction of Series E-1 Cumulative Redeemable Class C Preferred Stock filed with the Secretary of State of the State of Delaware on November 1, 2018 (together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 of Designations</w:t>
      </w:r>
      <w:r>
        <w:rPr>
          <w:rFonts w:ascii="Arial" w:cs="Arial" w:eastAsia="Arial" w:hAnsi="Arial"/>
          <w:sz w:val="22"/>
          <w:szCs w:val="22"/>
          <w:color w:val="auto"/>
        </w:rPr>
        <w:t>”).</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THIRD</w:t>
      </w:r>
      <w:r>
        <w:rPr>
          <w:rFonts w:ascii="Arial" w:cs="Arial" w:eastAsia="Arial" w:hAnsi="Arial"/>
          <w:sz w:val="21"/>
          <w:szCs w:val="21"/>
          <w:color w:val="auto"/>
        </w:rPr>
        <w:t>: That a resolution setting forth this proposed amendment to the Certificate of Designations was duly approved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of the Corporation (the “</w:t>
      </w:r>
      <w:r>
        <w:rPr>
          <w:rFonts w:ascii="Arial" w:cs="Arial" w:eastAsia="Arial" w:hAnsi="Arial"/>
          <w:sz w:val="21"/>
          <w:szCs w:val="21"/>
          <w:u w:val="single" w:color="auto"/>
          <w:color w:val="auto"/>
        </w:rPr>
        <w:t>Board</w:t>
      </w:r>
      <w:r>
        <w:rPr>
          <w:rFonts w:ascii="Arial" w:cs="Arial" w:eastAsia="Arial" w:hAnsi="Arial"/>
          <w:sz w:val="21"/>
          <w:szCs w:val="21"/>
          <w:color w:val="auto"/>
        </w:rPr>
        <w:t>”) on July 19, 2021, where in the Board declared the amendment to be advisable and recommended that the stockholders of the Corporation likewise adopt and approve the amendment.</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FOURTH</w:t>
      </w:r>
      <w:r>
        <w:rPr>
          <w:rFonts w:ascii="Arial" w:cs="Arial" w:eastAsia="Arial" w:hAnsi="Arial"/>
          <w:sz w:val="22"/>
          <w:szCs w:val="22"/>
          <w:color w:val="auto"/>
        </w:rPr>
        <w:t>: That the holders of a majority of the outstanding capital stock of the Corporation and each class of stock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entitled to vote on the matter have approved and authorized this proposed amendment at a meeting of the stockholders held on September 22, 2021 or by written consent in accordance with the Delaware General Corporation Law and the Corporation’s certificate of incorporation and bylaws.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FIFTH</w:t>
      </w:r>
      <w:r>
        <w:rPr>
          <w:rFonts w:ascii="Arial" w:cs="Arial" w:eastAsia="Arial" w:hAnsi="Arial"/>
          <w:sz w:val="22"/>
          <w:szCs w:val="22"/>
          <w:color w:val="auto"/>
        </w:rPr>
        <w:t>: That this proposed amendment was duly adopted in accordance with the provisions of Section 242 of the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Law of the State of Delaware.</w:t>
      </w:r>
    </w:p>
    <w:p>
      <w:pPr>
        <w:spacing w:after="0" w:line="189" w:lineRule="exact"/>
        <w:rPr>
          <w:sz w:val="20"/>
          <w:szCs w:val="20"/>
          <w:color w:val="auto"/>
        </w:rPr>
      </w:pPr>
    </w:p>
    <w:p>
      <w:pPr>
        <w:ind w:right="860"/>
        <w:spacing w:after="0" w:line="256" w:lineRule="auto"/>
        <w:rPr>
          <w:sz w:val="20"/>
          <w:szCs w:val="20"/>
          <w:color w:val="auto"/>
        </w:rPr>
      </w:pPr>
      <w:r>
        <w:rPr>
          <w:rFonts w:ascii="Arial" w:cs="Arial" w:eastAsia="Arial" w:hAnsi="Arial"/>
          <w:sz w:val="22"/>
          <w:szCs w:val="22"/>
          <w:b w:val="1"/>
          <w:bCs w:val="1"/>
          <w:color w:val="auto"/>
        </w:rPr>
        <w:t>SIXTH</w:t>
      </w:r>
      <w:r>
        <w:rPr>
          <w:rFonts w:ascii="Arial" w:cs="Arial" w:eastAsia="Arial" w:hAnsi="Arial"/>
          <w:sz w:val="22"/>
          <w:szCs w:val="22"/>
          <w:color w:val="auto"/>
        </w:rPr>
        <w:t>: Paragraph (c) of Section 4 of the Certificate of Designations is hereby amended and restated to read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2" w:lineRule="exact"/>
        <w:rPr>
          <w:sz w:val="20"/>
          <w:szCs w:val="20"/>
          <w:color w:val="auto"/>
        </w:rPr>
      </w:pPr>
    </w:p>
    <w:p>
      <w:pPr>
        <w:jc w:val="both"/>
        <w:ind w:left="880" w:right="860" w:firstLine="731"/>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 Participating Dividends.</w:t>
      </w:r>
      <w:r>
        <w:rPr>
          <w:rFonts w:ascii="Arial" w:cs="Arial" w:eastAsia="Arial" w:hAnsi="Arial"/>
          <w:sz w:val="19"/>
          <w:szCs w:val="19"/>
          <w:color w:val="auto"/>
        </w:rPr>
        <w:t xml:space="preserve"> Subject to Section 4(a) and 4(b), in addition to the dividends accruing on the Series E-1 pursuant to Section 4(a), if the Corporation declares or pays a dividend or distribution on the Common Stock, whether such dividend or distribution is payable in cash, securities or other property, the Corporation shall simultaneously declare and pay a dividend on the Series E-1 on a pro rata basis with the Common Stock in an aggregate amount equal to such dividend or distribution payable with respect to the Participation Common Stock; provided, however, that no such dividend shall be declared or become payable in respect of the Dividend (as defined in Section 4.5 of the Securities Exchange Agreement dated as of July 19, 2021 by and between the Corporation and LSB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Exhibit 4.7</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SEVENTH</w:t>
      </w:r>
      <w:r>
        <w:rPr>
          <w:rFonts w:ascii="Arial" w:cs="Arial" w:eastAsia="Arial" w:hAnsi="Arial"/>
          <w:sz w:val="22"/>
          <w:szCs w:val="22"/>
          <w:color w:val="auto"/>
        </w:rPr>
        <w:t>: No other provisions of the Certificate of Designations are amended or changed by this amendment.</w:t>
      </w:r>
    </w:p>
    <w:p>
      <w:pPr>
        <w:spacing w:after="0" w:line="188"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I, THE UNDERSIGNED, being the President of the Corporation, hereby declare and certify that this is my act and deed and the facts herein stated are true, and accordingly, I have executed this Certificate of Amendment to the Certificate of Designations on this September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Mark T. Behrman</w:t>
      </w:r>
      <w:r>
        <w:rPr>
          <w:rFonts w:ascii="Arial" w:cs="Arial" w:eastAsia="Arial" w:hAnsi="Arial"/>
          <w:sz w:val="22"/>
          <w:szCs w:val="22"/>
          <w:color w:val="auto"/>
        </w:rPr>
        <w:t>___________</w:t>
      </w:r>
    </w:p>
    <w:p>
      <w:pPr>
        <w:ind w:left="1520"/>
        <w:spacing w:after="0" w:line="238" w:lineRule="auto"/>
        <w:rPr>
          <w:sz w:val="20"/>
          <w:szCs w:val="20"/>
          <w:color w:val="auto"/>
        </w:rPr>
      </w:pPr>
      <w:r>
        <w:rPr>
          <w:rFonts w:ascii="Arial" w:cs="Arial" w:eastAsia="Arial" w:hAnsi="Arial"/>
          <w:sz w:val="22"/>
          <w:szCs w:val="22"/>
          <w:color w:val="auto"/>
        </w:rPr>
        <w:t>By: Mark T. Behrman</w:t>
      </w:r>
    </w:p>
    <w:p>
      <w:pPr>
        <w:ind w:left="6060"/>
        <w:spacing w:after="0"/>
        <w:rPr>
          <w:sz w:val="20"/>
          <w:szCs w:val="20"/>
          <w:color w:val="auto"/>
        </w:rPr>
      </w:pPr>
      <w:r>
        <w:rPr>
          <w:rFonts w:ascii="Arial" w:cs="Arial" w:eastAsia="Arial" w:hAnsi="Arial"/>
          <w:sz w:val="22"/>
          <w:szCs w:val="22"/>
          <w:color w:val="auto"/>
        </w:rPr>
        <w:t>Title: President &amp; CEO</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4.17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LSB Industries, Inc. (the “Company”) has two classes of securities registered under Section 12 of the Securities Exchange Act of 1934, as amended (the “Exchange Act”): (i) common stock, par value $0.10 per share (“Common Stock”), and (ii) preferred stock purchase rights (the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following description of the Common Stock is based upon the Company’s Restated Certificate of Incorporation as currently in effect (the “Certificate of Incorporation”), the Company’s Second Amended and Restated Bylaws (the “Bylaws” and, together with our Certificate of Incorporation, our “Charter Documents”) and applicable provisions of law. We have summarized certain portions of the Certificate of Incorporation and Bylaws below. The summary is not complete and is subject to, and is qualified in its entirety by express reference to, the provisions of the Company’s Certificate of Incorporation and Bylaws, each of which is filed as an exhibit to the Annual Report on Form 10-K of which this exhibit is a part.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Company’s authorized capital stock consists of 150,000,000 shares of Common Stock, $0.10 par value per share, 250,000 shares of Preferred Stock, $100 par value per share, and 5,000,000 shares have been designated as Class C Preferred Stock, no par value (both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Common Stock Outstanding</w:t>
      </w:r>
      <w:r>
        <w:rPr>
          <w:rFonts w:ascii="Arial" w:cs="Arial" w:eastAsia="Arial" w:hAnsi="Arial"/>
          <w:sz w:val="22"/>
          <w:szCs w:val="22"/>
          <w:color w:val="auto"/>
        </w:rPr>
        <w:t>. The outstanding shares of the Common Stock are duly authorized, validly issued, fully paid and</w:t>
      </w:r>
      <w:r>
        <w:rPr>
          <w:rFonts w:ascii="Arial" w:cs="Arial" w:eastAsia="Arial" w:hAnsi="Arial"/>
          <w:sz w:val="22"/>
          <w:szCs w:val="22"/>
          <w:i w:val="1"/>
          <w:iCs w:val="1"/>
          <w:color w:val="auto"/>
        </w:rPr>
        <w:t xml:space="preserve"> </w:t>
      </w:r>
      <w:r>
        <w:rPr>
          <w:rFonts w:ascii="Arial" w:cs="Arial" w:eastAsia="Arial" w:hAnsi="Arial"/>
          <w:sz w:val="22"/>
          <w:szCs w:val="22"/>
          <w:color w:val="auto"/>
        </w:rPr>
        <w:t>nonassessable.</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i w:val="1"/>
          <w:iCs w:val="1"/>
          <w:color w:val="auto"/>
        </w:rPr>
        <w:t>Voting Rights</w:t>
      </w:r>
      <w:r>
        <w:rPr>
          <w:rFonts w:ascii="Arial" w:cs="Arial" w:eastAsia="Arial" w:hAnsi="Arial"/>
          <w:sz w:val="22"/>
          <w:szCs w:val="22"/>
          <w:color w:val="auto"/>
        </w:rPr>
        <w:t>. Each holder of shares of Common Stock is entitled to one vote for each share, in person or by proxy, at any and all</w:t>
      </w:r>
      <w:r>
        <w:rPr>
          <w:rFonts w:ascii="Arial" w:cs="Arial" w:eastAsia="Arial" w:hAnsi="Arial"/>
          <w:sz w:val="22"/>
          <w:szCs w:val="22"/>
          <w:i w:val="1"/>
          <w:iCs w:val="1"/>
          <w:color w:val="auto"/>
        </w:rPr>
        <w:t xml:space="preserve"> </w:t>
      </w:r>
      <w:r>
        <w:rPr>
          <w:rFonts w:ascii="Arial" w:cs="Arial" w:eastAsia="Arial" w:hAnsi="Arial"/>
          <w:sz w:val="22"/>
          <w:szCs w:val="22"/>
          <w:color w:val="auto"/>
        </w:rPr>
        <w:t>meetings of the Stockholders of the Company, on all propositions before such meetings.</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i w:val="1"/>
          <w:iCs w:val="1"/>
          <w:color w:val="auto"/>
        </w:rPr>
        <w:t>Dividend Rights</w:t>
      </w:r>
      <w:r>
        <w:rPr>
          <w:rFonts w:ascii="Arial" w:cs="Arial" w:eastAsia="Arial" w:hAnsi="Arial"/>
          <w:sz w:val="19"/>
          <w:szCs w:val="19"/>
          <w:color w:val="auto"/>
        </w:rPr>
        <w:t>. Subject to preferential dividend rights of any other class or series of stock, the holders of Common Stock are</w:t>
      </w:r>
      <w:r>
        <w:rPr>
          <w:rFonts w:ascii="Arial" w:cs="Arial" w:eastAsia="Arial" w:hAnsi="Arial"/>
          <w:sz w:val="19"/>
          <w:szCs w:val="19"/>
          <w:i w:val="1"/>
          <w:iCs w:val="1"/>
          <w:color w:val="auto"/>
        </w:rPr>
        <w:t xml:space="preserve"> </w:t>
      </w:r>
      <w:r>
        <w:rPr>
          <w:rFonts w:ascii="Arial" w:cs="Arial" w:eastAsia="Arial" w:hAnsi="Arial"/>
          <w:sz w:val="19"/>
          <w:szCs w:val="19"/>
          <w:color w:val="auto"/>
        </w:rPr>
        <w:t>entitled to receive dividends, including dividends of stock, if, as and when declared by the Company’s board of directors, subject to any limitations applicable by law and to the rights of the holders, if any, of the Company’s preferred stock.</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Other Rights and Restrictions</w:t>
      </w:r>
      <w:r>
        <w:rPr>
          <w:rFonts w:ascii="Arial" w:cs="Arial" w:eastAsia="Arial" w:hAnsi="Arial"/>
          <w:sz w:val="19"/>
          <w:szCs w:val="19"/>
          <w:color w:val="auto"/>
        </w:rPr>
        <w:t>. Subject to the preferential rights of any other class or series of stock, all shares of our Common</w:t>
      </w:r>
      <w:r>
        <w:rPr>
          <w:rFonts w:ascii="Arial" w:cs="Arial" w:eastAsia="Arial" w:hAnsi="Arial"/>
          <w:sz w:val="19"/>
          <w:szCs w:val="19"/>
          <w:i w:val="1"/>
          <w:iCs w:val="1"/>
          <w:color w:val="auto"/>
        </w:rPr>
        <w:t xml:space="preserve"> </w:t>
      </w:r>
      <w:r>
        <w:rPr>
          <w:rFonts w:ascii="Arial" w:cs="Arial" w:eastAsia="Arial" w:hAnsi="Arial"/>
          <w:sz w:val="19"/>
          <w:szCs w:val="19"/>
          <w:color w:val="auto"/>
        </w:rPr>
        <w:t>Stock have equal dividend, distribution, liquidation and other rights, and have no preference, appraisal or exchange rights, except for any appraisal rights provided by Delaware law. Furthermore, holders of our Common Stock have no conversion, sinking fund or redemption rights, or preemptive rights to subscribe for any of our securities. Our Certificate of Incorporation and Bylaws do not restrict the ability of a holder of our Common Stock to transfer the holder’s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5" w:name="page96"/>
    <w:bookmarkEnd w:id="95"/>
    <w:p>
      <w:pPr>
        <w:jc w:val="both"/>
        <w:ind w:right="20"/>
        <w:spacing w:after="0"/>
        <w:rPr>
          <w:sz w:val="20"/>
          <w:szCs w:val="20"/>
          <w:color w:val="auto"/>
        </w:rPr>
      </w:pPr>
      <w:r>
        <w:rPr>
          <w:rFonts w:ascii="Arial" w:cs="Arial" w:eastAsia="Arial" w:hAnsi="Arial"/>
          <w:sz w:val="22"/>
          <w:szCs w:val="22"/>
          <w:color w:val="auto"/>
        </w:rPr>
        <w:t>The rights, powers, preferences and privileges of holders of our Common Stock are subject to, and may be adversely affected by, the rights of holders of shares of our outstanding preferred stock and of any series of preferred stock which we may designate and issue in the future.</w:t>
      </w:r>
    </w:p>
    <w:p>
      <w:pPr>
        <w:spacing w:after="0" w:line="186" w:lineRule="exact"/>
        <w:rPr>
          <w:sz w:val="20"/>
          <w:szCs w:val="20"/>
          <w:color w:val="auto"/>
        </w:rPr>
      </w:pPr>
    </w:p>
    <w:p>
      <w:pPr>
        <w:ind w:right="2860"/>
        <w:spacing w:after="0" w:line="435" w:lineRule="auto"/>
        <w:rPr>
          <w:sz w:val="20"/>
          <w:szCs w:val="20"/>
          <w:color w:val="auto"/>
        </w:rPr>
      </w:pPr>
      <w:r>
        <w:rPr>
          <w:rFonts w:ascii="Arial" w:cs="Arial" w:eastAsia="Arial" w:hAnsi="Arial"/>
          <w:sz w:val="22"/>
          <w:szCs w:val="22"/>
          <w:i w:val="1"/>
          <w:iCs w:val="1"/>
          <w:color w:val="auto"/>
        </w:rPr>
        <w:t xml:space="preserve">Listing: </w:t>
      </w:r>
      <w:r>
        <w:rPr>
          <w:rFonts w:ascii="Arial" w:cs="Arial" w:eastAsia="Arial" w:hAnsi="Arial"/>
          <w:sz w:val="22"/>
          <w:szCs w:val="22"/>
          <w:color w:val="auto"/>
        </w:rPr>
        <w:t>Our common stock is listed on the New York Stock Exchange under the symbol “LXU.”</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Preferred Stock</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Under the Certificate of Incorporation, the Preferred Stock may be issued from time to time in one or more series, each of such series to have such designations, preference and relative, participating, optional, voting or other special rights and qualifications, limitations or restrictions thereof as are stated and expressed in a resolution or resolutions providing for the issue of such series as determined and adopted by 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b w:val="1"/>
          <w:bCs w:val="1"/>
          <w:color w:val="auto"/>
        </w:rPr>
        <w:t>nti-Takeover Effects of Delaware Law, Our Certificate of Incorporation and Our Bylaws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Some provisions of Delaware law, our Certificate of Incorporation and our Bylaws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Delaware Law</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Section 203 of the DGCL prohibits a Delaware corporation from engaging in any business combination with any interested stockholder for a period of three years following the date that the stockholder became an interested stockholder, unless:</w:t>
      </w:r>
    </w:p>
    <w:p>
      <w:pPr>
        <w:spacing w:after="0" w:line="105" w:lineRule="exact"/>
        <w:rPr>
          <w:sz w:val="20"/>
          <w:szCs w:val="20"/>
          <w:color w:val="auto"/>
        </w:rPr>
      </w:pPr>
    </w:p>
    <w:p>
      <w:pPr>
        <w:ind w:left="860" w:hanging="424"/>
        <w:spacing w:after="0"/>
        <w:tabs>
          <w:tab w:leader="none" w:pos="8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transaction is approved by the board of directors before the date the interested stockholder attained that status;</w:t>
      </w:r>
    </w:p>
    <w:p>
      <w:pPr>
        <w:spacing w:after="0" w:line="240" w:lineRule="exact"/>
        <w:rPr>
          <w:rFonts w:ascii="Arial" w:cs="Arial" w:eastAsia="Arial" w:hAnsi="Arial"/>
          <w:sz w:val="19"/>
          <w:szCs w:val="19"/>
          <w:color w:val="auto"/>
        </w:rPr>
      </w:pPr>
    </w:p>
    <w:p>
      <w:pPr>
        <w:jc w:val="both"/>
        <w:ind w:left="860" w:right="20" w:hanging="424"/>
        <w:spacing w:after="0"/>
        <w:tabs>
          <w:tab w:leader="none" w:pos="8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860" w:right="20" w:hanging="424"/>
        <w:spacing w:after="0" w:line="328" w:lineRule="auto"/>
        <w:tabs>
          <w:tab w:leader="none" w:pos="8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6" w:name="page97"/>
    <w:bookmarkEnd w:id="96"/>
    <w:p>
      <w:pPr>
        <w:jc w:val="both"/>
        <w:spacing w:after="0" w:line="235" w:lineRule="auto"/>
        <w:rPr>
          <w:sz w:val="20"/>
          <w:szCs w:val="20"/>
          <w:color w:val="auto"/>
        </w:rPr>
      </w:pPr>
      <w:r>
        <w:rPr>
          <w:rFonts w:ascii="Arial" w:cs="Arial" w:eastAsia="Arial" w:hAnsi="Arial"/>
          <w:sz w:val="22"/>
          <w:szCs w:val="22"/>
          <w:color w:val="auto"/>
        </w:rPr>
        <w:t>An interested stockholder is defined as a person who, together with any affiliates or associates of such person, beneficially owns, directly or indirectly, 15% or more of the outstanding voting shares of a Delaware corporation. The term “business combination” is broadly defined to include a broad array of transactions, including mergers, consolidations, sales or other dispositions of assets having a total value in excess of 10% of the consolidated assets of the corporation or all of the outstanding stock of the corporation, and some other transactions that would increase the interested stockholder’s proportionate share ownership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Our Certificate of Incorporation and Our Bylaws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Provisions of our Certificate of Incorporation and our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Among other things, our Certificate of Incorporation and Bylaws:</w:t>
      </w:r>
    </w:p>
    <w:p>
      <w:pPr>
        <w:spacing w:after="0" w:line="206" w:lineRule="exact"/>
        <w:rPr>
          <w:sz w:val="20"/>
          <w:szCs w:val="20"/>
          <w:color w:val="auto"/>
        </w:rPr>
      </w:pPr>
    </w:p>
    <w:p>
      <w:pPr>
        <w:jc w:val="both"/>
        <w:ind w:left="860" w:right="20" w:hanging="424"/>
        <w:spacing w:after="0"/>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provide for the division of the Board into three classes, each class consisting as nearly as possible of one-third of the whole. The term of office of one class of directors expires each year; with each class of directors elected for a term of three years and until the stockholders elect their qualified successors;</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jc w:val="both"/>
        <w:ind w:left="860" w:right="20" w:hanging="424"/>
        <w:spacing w:after="0"/>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provide that all vacancies, including newly created directorships, may, except as otherwise required by law or, if applicable, the rights of holders of a series of preferred stock, be filled by a majority of directors then in office, even if less than a quorum, or by the sole remaining director;</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860" w:right="20" w:hanging="424"/>
        <w:spacing w:after="0" w:line="250" w:lineRule="auto"/>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provide that our Certificate of Incorporation and Bylaws may be amended by the affirmative vote of the holders of at least two-thirds of our then outstanding voting stock;</w:t>
      </w:r>
    </w:p>
    <w:p>
      <w:pPr>
        <w:spacing w:after="0" w:line="390" w:lineRule="exact"/>
        <w:rPr>
          <w:rFonts w:ascii="Arial" w:cs="Arial" w:eastAsia="Arial" w:hAnsi="Arial"/>
          <w:sz w:val="22"/>
          <w:szCs w:val="22"/>
          <w:color w:val="auto"/>
        </w:rPr>
      </w:pPr>
    </w:p>
    <w:p>
      <w:pPr>
        <w:ind w:left="860" w:right="20" w:hanging="424"/>
        <w:spacing w:after="0" w:line="250" w:lineRule="auto"/>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provide that special meetings of our stockholders may only be called by our chairman or by a majority of the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7" w:name="page98"/>
    <w:bookmarkEnd w:id="97"/>
    <w:p>
      <w:pPr>
        <w:jc w:val="both"/>
        <w:ind w:left="860" w:right="20" w:hanging="424"/>
        <w:spacing w:after="0" w:line="244" w:lineRule="auto"/>
        <w:tabs>
          <w:tab w:leader="none" w:pos="8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provide that the affirmative vote of the holders of not less than two-thirds of the outstanding voting stock of the Company voting as a single class shall be required for the approval or authorization of any (i) merger or consolidation of the Company with or into any other corporation, or (ii) sale, lease or exchange of all or substantially all of the assets of the Company to or with any other corporation, person or entity; provided, however, that such two-thirds voting requirement shall not be applicable if (a) the Company is merged with a corporation in which at least two-thirds of the outstanding shares of each class of stock of such corporation is owned by the Company, or (b) if a transaction described in clauses (i) or (ii) above has been approved by a vote of at least a majority of the members of the board of directors of the Company. If such two-thirds voting requirement of the outstanding voting stock of the Company shall not be applicable under the provisions of clauses (a) or (b) above, then in such event transactions specified in (i) or (ii) above shall require only such affirmative vote as is required by law, regulation or any other provision of our Certificate of Incorporation;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6" w:lineRule="exact"/>
        <w:rPr>
          <w:rFonts w:ascii="Arial" w:cs="Arial" w:eastAsia="Arial" w:hAnsi="Arial"/>
          <w:sz w:val="21"/>
          <w:szCs w:val="21"/>
          <w:color w:val="auto"/>
        </w:rPr>
      </w:pPr>
    </w:p>
    <w:p>
      <w:pPr>
        <w:ind w:left="860" w:hanging="424"/>
        <w:spacing w:after="0"/>
        <w:tabs>
          <w:tab w:leader="none" w:pos="8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provide that our Bylaws can be amended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PREFERRED STOCK PURCHASE RIGHTS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description of the Rights is not complete and is subject to, and is qualified in its entirety by reference to, the full text and provisions of the Section 382 Rights Agreement, dated as of July 6, 2020, between the Company and Computershare Trust company, N.A., as rights agent, a copy of which is filed as an exhibit to the Annual Report on Form 10-K of which this exhibit is a part.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 Date; Exercisability; Expiration</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Initially, the Rights will be attached to all certificates representing outstanding shares of Common Stock (the “Common Shares”) (or other evidence of book-entry or other uncertificated ownership) and no separate certificates evidencing the Rights (“Right Certificates”) will be issued. Until the Distribution Date (as defined below), the Rights will be transferred with and only with the Common Shares. As long as the Rights are attached to the Common Shares, the Company will issue one Right with each new Common Share so that all such Common Shares will have Rights attached (subject to certain limited exceptions).</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Rights will separate and begin trading separately from the Common Shares, and Right Certificates will be caused to evidence the Rights, on the earlier to occur of (i) the Close of Business (as such term is defined in the Rights Agreement) on the tenth day following a public announcement, or the public disclosure of facts indicating, that a Person or group of affiliated or associated Persons has acquired Beneficial Ownership of 4.9% or more of the outstanding Common Shares (an “Acquiring Person”) (or, in the event that the Board of Directors determines to effect an exchange in accordance with Section 24 of the Rights Agreement and the Board of Directors determines that a later date is advisable, then such later date) and (ii) the Close of Business on the tenth Business Day (as such term is defined in the Rights Agreement) (or such later date as may be determined by action of the Board of Directors prior to such time as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8" w:name="page99"/>
    <w:bookmarkEnd w:id="98"/>
    <w:p>
      <w:pPr>
        <w:jc w:val="both"/>
        <w:spacing w:after="0" w:line="236" w:lineRule="auto"/>
        <w:rPr>
          <w:sz w:val="20"/>
          <w:szCs w:val="20"/>
          <w:color w:val="auto"/>
        </w:rPr>
      </w:pPr>
      <w:r>
        <w:rPr>
          <w:rFonts w:ascii="Arial" w:cs="Arial" w:eastAsia="Arial" w:hAnsi="Arial"/>
          <w:sz w:val="22"/>
          <w:szCs w:val="22"/>
          <w:color w:val="auto"/>
        </w:rPr>
        <w:t>becomes an Acquiring Person) following the commencement of a tender offer or exchange offer the consummation of which would result in the Beneficial Ownership by a Person or group of 4.9% or more of the outstanding Common Shares (the earlier of such dates, the “Distribution Date”). As soon as practicable after the Distribution Date, unless the Rights are recorded in book-entry or other uncertificated form, the Company will prepare and cause the Right Certificates to be sent to each record holder of Common Shares as of the Distribution Date.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An “Acquiring Person” will not include (i) the Company, (ii) any Subsidiary (as such term is defined in the Rights Agreement) of the Company, (iii) any employee benefit plan of the Company or of any Subsidiary of the Company, (iv) any entity holding Common Shares for or pursuant to the terms of any such employee benefit plan or (v) any Person who or which, together with all Affiliates and Associates (as such terms are defined in the Rights Agreement) of such Person, at the time of the first public announcement of the Rights Agreement, is a Beneficial Owner of 4.9% or more of the Common Shares then outstanding (a “Grandfathered Stockholder”). However, if a Grandfathered Stockholder becomes, after such time, the Beneficial Owner of any additional Common Shares (regardless of whether, thereafter or as a result thereof, there is an increase, decrease or no change in the percentage of Common Shares then outstanding Beneficially Owned (as such term is defined in the Rights Agreement) by such Grandfathered Stockholder) then such Grandfathered Stockholder shall be deemed to be an Acquiring Person unless, upon such acquisition of Beneficial Ownership of additional Common Shares, such person is not the Beneficial Owner of 4.9% or more of the Common Shares then outstanding. In addition, upon the first decrease of a Grandfathered Stockholder’s Beneficial Ownership below 4.9%, such Grandfathered Stockholder will no longer be deemed to be a Grandfathered Stockholder. In the event that after the time of the first public announcement of the Rights Agreement, any agreement, arrangement or understanding pursuant to which any Grandfathered Stockholder is deemed to be the Beneficial Owner of Common Shares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the Rights Agreement unless, upon such acquisition of Beneficial Ownership of additional Common Shares, such person is not the Beneficial Owner of 4.9% or more of the Common Shares then outstanding.</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“Beneficial Ownership” is defined in the Rights Agreement to include any securities (i) which a Person or any of such Person’s Affiliates or Associates (a) actually owns (directly or indirectly) or would be deemed to actually or constructively own for purposes of Section 382 of the Code or the Treasury Regulations (as such terms are defined in the Rights Agreement) promulgated thereunder, including any coordinated acquisition of securities by any Persons who have a formal or informal understanding with respect to such acquisition (to the extent ownership of such securities would be attributed to such Persons under Section 382 of the Code and the Treasury Regulations promulgated thereunder), (b) beneficially owns, directly or indirectly, within the meaning of Rules 13d-3 or 13d-5 promulgated under the Exchange Act or (c)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 purpose of acquiring,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jc w:val="both"/>
        <w:spacing w:after="0" w:line="279" w:lineRule="auto"/>
        <w:rPr>
          <w:sz w:val="20"/>
          <w:szCs w:val="20"/>
          <w:color w:val="auto"/>
        </w:rPr>
      </w:pPr>
      <w:r>
        <w:rPr>
          <w:rFonts w:ascii="Arial" w:cs="Arial" w:eastAsia="Arial" w:hAnsi="Arial"/>
          <w:sz w:val="19"/>
          <w:szCs w:val="19"/>
          <w:color w:val="auto"/>
        </w:rPr>
        <w:t xml:space="preserve">holding or voting such securities, or obtaining, changing or influencing control of the Company or (iii) which are the subject of, or reference securities for, or that underlie, certain derivative positions of any Person or any of such Person’s Affiliates or Associates; </w:t>
      </w:r>
      <w:r>
        <w:rPr>
          <w:rFonts w:ascii="Arial" w:cs="Arial" w:eastAsia="Arial" w:hAnsi="Arial"/>
          <w:sz w:val="19"/>
          <w:szCs w:val="19"/>
          <w:i w:val="1"/>
          <w:iCs w:val="1"/>
          <w:color w:val="auto"/>
        </w:rPr>
        <w:t>provided</w:t>
      </w:r>
      <w:r>
        <w:rPr>
          <w:rFonts w:ascii="Arial" w:cs="Arial" w:eastAsia="Arial" w:hAnsi="Arial"/>
          <w:sz w:val="19"/>
          <w:szCs w:val="19"/>
          <w:color w:val="auto"/>
        </w:rPr>
        <w:t>, that a Person shall not be deemed to be the Beneficial Owner of, or to Beneficially Own, (x) securities tendered pursuant to a tender or exchange offer made pursuant to, and in accordance with, the applicable rules and regulations promulgated under the Exchange Act until such tendered securities are accepted for purchase or exchange or (y) any shares of the Company’s Preferred Stock or Class C Preferred Stock (other than the Preferred Shares).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Rights are not exercisable until the Distribution Date. The Rights will expire on the earliest to occur of (i) the Close of Business on the day following the certification of the voting results of the Company’s 2021 annual meeting of stockholders, if at such stockholder meeting or any other meeting of stockholders of the Company duly held prior to such meeting, a proposal to ratify the Rights Agreement has not been passed by the requisite vote of the Company’s stockholders, (ii)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(iii) the Close of Business on July 6, 2023 (the “Final Expiration Date”).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Exempt Persons and Transactions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Board of Directors may, in its sole and absolute discretion, determine that a Person is exempt from the Rights Agreement (an “Exempt Person”), so long as such determination is made prior to such time as such Person becomes an Acquiring Person. Any Person will cease to be an Exempt Person if the Board of Directors makes a contrary determination with respect to such Person regardless of the reason therefor. In addition, the Board of Directors may, in its sole and absolute discretion, exempt any transaction from triggering the Rights Agreement, so long as the determination in respect of such exemption is made prior to such time as any Person becomes an Acquiring Person. Any Person, together with all Affiliates and Associates of such Person, who proposes to acquire 4.9% or more of the outstanding Common Shares may apply to the Board of Directors in advance for an exemption in accordance with and pursuant to the terms of the Rights Agreement.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Flip-in Event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 Person or group becomes an Acquiring Person at any time after the date of the Rights Agreement (with certain limited exceptions), the Rights will become exercisable for Common Shares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of Directors so elects, the Company may deliver upon payment of the exercise price of a Right an amount of cash, securities or other property equivalent in value to the Common Shares issuable upon exercise of a Right.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jc w:val="both"/>
        <w:spacing w:after="0" w:line="246" w:lineRule="auto"/>
        <w:rPr>
          <w:sz w:val="20"/>
          <w:szCs w:val="20"/>
          <w:color w:val="auto"/>
        </w:rPr>
      </w:pPr>
      <w:r>
        <w:rPr>
          <w:rFonts w:ascii="Arial" w:cs="Arial" w:eastAsia="Arial" w:hAnsi="Arial"/>
          <w:sz w:val="21"/>
          <w:szCs w:val="21"/>
          <w:color w:val="auto"/>
        </w:rPr>
        <w:t>At any time after any Person becomes an Acquiring Person, the Board of Directors may exchange the Rights (other than Rights owned by any Person which have become void), in whole or in part, at an exchange ratio of one Common Share per Right (subject to adjustment). The Company may issue, transfer or deposit such Common Shares (or other property as permitted under the Rights Agreement) to or into a trust or other entity created upon such terms as the Board of Directors may determine and may direct that all holders of Rights receive such Common Shares or other property only from the trust or other entity. In the event that the Board of Directors determines, before the Distribution Date, to effect an exchange, the Board of Directors may delay the occurrence of the Distribution Date to such time as it deems advisable.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Flip-over Event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Shares are or will be changed into or exchanged for stock or other securities of any other Person or cash or any other property or (ii) 50% or more of the Company’s consolidated assets or Earning Power (as defined in the Rights Agreement) is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At any time prior to the earlier to occur of (i) the Close of Business on the tenth day following the Stock Acquisition Date (as defined in the Rights Agreement) (or, if the tenth day following the Stock Acquisition Date occurs before the Record Date, the Close of Business on the Record Date) and (ii) the Final Expiration Date, the Board of Directors may redeem the Rights in whole, but not in part, at a price of $0.001 per Right (the “Redemption Price”).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terms of the Rights may be amended by the Board of Directors without the consent of the holders of the Rights, except that at any time after the Close of Business on the tenth day following the Stock Acquisition Date (or, if the tenth day following the Stock Acquisition Date occurs before the Record Date, the Close of Business on the Record Date), no such amendment may adversely affect the interests of the holders of the Rights (other than the Acquiring Person and its Affiliates and Associates).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 Rights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one-thousandth of a Preferred Share will entitle the holder thereof to the same dividends and liquidation rights as if the holder held one Common Share and will be treated the same as a Common Share in the event of a merger, consolidation or other share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Rights of Holders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Until a Right is exercised, the holder thereof, as such, will have no rights as a stockholder of the Company, including, without limitation, the right to vote or to receive dividends.</w:t>
      </w:r>
    </w:p>
    <w:p>
      <w:pPr>
        <w:sectPr>
          <w:pgSz w:w="11900" w:h="16838" w:orient="portrait"/>
          <w:cols w:equalWidth="0" w:num="1">
            <w:col w:w="11220"/>
          </w:cols>
          <w:pgMar w:left="320" w:top="328"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color w:val="auto"/>
        </w:rPr>
        <w:t>Exhibit 21.1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LSB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SUBSIDIARY LISTING</w:t>
      </w:r>
    </w:p>
    <w:p>
      <w:pPr>
        <w:jc w:val="center"/>
        <w:spacing w:after="0"/>
        <w:rPr>
          <w:sz w:val="20"/>
          <w:szCs w:val="20"/>
          <w:color w:val="auto"/>
        </w:rPr>
      </w:pPr>
      <w:r>
        <w:rPr>
          <w:rFonts w:ascii="Arial" w:cs="Arial" w:eastAsia="Arial" w:hAnsi="Arial"/>
          <w:sz w:val="22"/>
          <w:szCs w:val="22"/>
          <w:b w:val="1"/>
          <w:bCs w:val="1"/>
          <w:color w:val="auto"/>
        </w:rPr>
        <w:t>December 31, 2021</w:t>
      </w:r>
    </w:p>
    <w:p>
      <w:pPr>
        <w:spacing w:after="0" w:line="188" w:lineRule="exact"/>
        <w:rPr>
          <w:sz w:val="20"/>
          <w:szCs w:val="20"/>
          <w:color w:val="auto"/>
        </w:rPr>
      </w:pPr>
    </w:p>
    <w:p>
      <w:pPr>
        <w:jc w:val="right"/>
        <w:ind w:right="5940"/>
        <w:spacing w:after="0"/>
        <w:rPr>
          <w:sz w:val="20"/>
          <w:szCs w:val="20"/>
          <w:color w:val="auto"/>
        </w:rPr>
      </w:pPr>
      <w:r>
        <w:rPr>
          <w:rFonts w:ascii="Arial" w:cs="Arial" w:eastAsia="Arial" w:hAnsi="Arial"/>
          <w:sz w:val="19"/>
          <w:szCs w:val="19"/>
          <w:color w:val="auto"/>
        </w:rPr>
        <w:t>LSB INDUSTRIES, INC. (Direct subsidiaries in bold italics)</w:t>
      </w:r>
    </w:p>
    <w:p>
      <w:pPr>
        <w:spacing w:after="0" w:line="241" w:lineRule="exact"/>
        <w:rPr>
          <w:sz w:val="20"/>
          <w:szCs w:val="20"/>
          <w:color w:val="auto"/>
        </w:rPr>
      </w:pPr>
    </w:p>
    <w:p>
      <w:pPr>
        <w:jc w:val="right"/>
        <w:ind w:right="5940"/>
        <w:spacing w:after="0"/>
        <w:rPr>
          <w:sz w:val="20"/>
          <w:szCs w:val="20"/>
          <w:color w:val="auto"/>
        </w:rPr>
      </w:pPr>
      <w:r>
        <w:rPr>
          <w:rFonts w:ascii="Arial" w:cs="Arial" w:eastAsia="Arial" w:hAnsi="Arial"/>
          <w:sz w:val="22"/>
          <w:szCs w:val="22"/>
          <w:b w:val="1"/>
          <w:bCs w:val="1"/>
          <w:i w:val="1"/>
          <w:iCs w:val="1"/>
          <w:color w:val="auto"/>
        </w:rPr>
        <w:t>LSB Chemical L.L.C. (f/k/a/ LSB Chemical Corp.)</w:t>
      </w:r>
    </w:p>
    <w:p>
      <w:pPr>
        <w:ind w:left="1580"/>
        <w:spacing w:after="0" w:line="238" w:lineRule="auto"/>
        <w:rPr>
          <w:sz w:val="20"/>
          <w:szCs w:val="20"/>
          <w:color w:val="auto"/>
        </w:rPr>
      </w:pPr>
      <w:r>
        <w:rPr>
          <w:rFonts w:ascii="Arial" w:cs="Arial" w:eastAsia="Arial" w:hAnsi="Arial"/>
          <w:sz w:val="22"/>
          <w:szCs w:val="22"/>
          <w:color w:val="auto"/>
        </w:rPr>
        <w:t>Cherokee Nitrogen L.L.C. (f/k/a Cherokee Nitrogen Company)</w:t>
      </w:r>
    </w:p>
    <w:p>
      <w:pPr>
        <w:ind w:left="1580"/>
        <w:spacing w:after="0" w:line="230" w:lineRule="auto"/>
        <w:rPr>
          <w:sz w:val="20"/>
          <w:szCs w:val="20"/>
          <w:color w:val="auto"/>
        </w:rPr>
      </w:pPr>
      <w:r>
        <w:rPr>
          <w:rFonts w:ascii="Arial" w:cs="Arial" w:eastAsia="Arial" w:hAnsi="Arial"/>
          <w:sz w:val="22"/>
          <w:szCs w:val="22"/>
          <w:color w:val="auto"/>
        </w:rPr>
        <w:t>El Dorado Chemical Company</w:t>
      </w:r>
    </w:p>
    <w:p>
      <w:pPr>
        <w:ind w:left="2380"/>
        <w:spacing w:after="0" w:line="231" w:lineRule="auto"/>
        <w:rPr>
          <w:sz w:val="20"/>
          <w:szCs w:val="20"/>
          <w:color w:val="auto"/>
        </w:rPr>
      </w:pPr>
      <w:r>
        <w:rPr>
          <w:rFonts w:ascii="Arial" w:cs="Arial" w:eastAsia="Arial" w:hAnsi="Arial"/>
          <w:sz w:val="22"/>
          <w:szCs w:val="22"/>
          <w:color w:val="auto"/>
        </w:rPr>
        <w:t>EDC Ag Products Company L.L.C.</w:t>
      </w:r>
    </w:p>
    <w:p>
      <w:pPr>
        <w:ind w:left="2380"/>
        <w:spacing w:after="0" w:line="230" w:lineRule="auto"/>
        <w:rPr>
          <w:sz w:val="20"/>
          <w:szCs w:val="20"/>
          <w:color w:val="auto"/>
        </w:rPr>
      </w:pPr>
      <w:r>
        <w:rPr>
          <w:rFonts w:ascii="Arial" w:cs="Arial" w:eastAsia="Arial" w:hAnsi="Arial"/>
          <w:sz w:val="22"/>
          <w:szCs w:val="22"/>
          <w:color w:val="auto"/>
        </w:rPr>
        <w:t>Chemex I Corp. (f/k/a Slurry Explosive Corporation)</w:t>
      </w:r>
    </w:p>
    <w:p>
      <w:pPr>
        <w:ind w:left="2380"/>
        <w:spacing w:after="0" w:line="231" w:lineRule="auto"/>
        <w:rPr>
          <w:sz w:val="20"/>
          <w:szCs w:val="20"/>
          <w:color w:val="auto"/>
        </w:rPr>
      </w:pPr>
      <w:r>
        <w:rPr>
          <w:rFonts w:ascii="Arial" w:cs="Arial" w:eastAsia="Arial" w:hAnsi="Arial"/>
          <w:sz w:val="22"/>
          <w:szCs w:val="22"/>
          <w:color w:val="auto"/>
        </w:rPr>
        <w:t>El Dorado Ammonia L.L.C.</w:t>
      </w:r>
    </w:p>
    <w:p>
      <w:pPr>
        <w:ind w:left="1580" w:right="320"/>
        <w:spacing w:after="0" w:line="230" w:lineRule="auto"/>
        <w:rPr>
          <w:sz w:val="20"/>
          <w:szCs w:val="20"/>
          <w:color w:val="auto"/>
        </w:rPr>
      </w:pPr>
      <w:r>
        <w:rPr>
          <w:rFonts w:ascii="Arial" w:cs="Arial" w:eastAsia="Arial" w:hAnsi="Arial"/>
          <w:sz w:val="22"/>
          <w:szCs w:val="22"/>
          <w:color w:val="auto"/>
        </w:rPr>
        <w:t>El Dorado Nitrogen L.L.C. (f/k/a El Dorado Nitric L.L.C., f/k/a El Dorado Nitric Company, f/k/a El Dorado Nitrogen Company, f/k/a LSB Nitrogen Corporation, f/k/a LSB Import Corp.)</w:t>
      </w:r>
    </w:p>
    <w:p>
      <w:pPr>
        <w:ind w:left="1580"/>
        <w:spacing w:after="0" w:line="231" w:lineRule="auto"/>
        <w:rPr>
          <w:sz w:val="20"/>
          <w:szCs w:val="20"/>
          <w:color w:val="auto"/>
        </w:rPr>
      </w:pPr>
      <w:r>
        <w:rPr>
          <w:rFonts w:ascii="Arial" w:cs="Arial" w:eastAsia="Arial" w:hAnsi="Arial"/>
          <w:sz w:val="22"/>
          <w:szCs w:val="22"/>
          <w:color w:val="auto"/>
        </w:rPr>
        <w:t>Pryor Chemical Company (f/k/a Pryor Plant Chemical Company, f/k/a LSB Financial Corp.)</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TRISON Construction, Inc.</w:t>
      </w:r>
    </w:p>
    <w:p>
      <w:pPr>
        <w:sectPr>
          <w:pgSz w:w="11900" w:h="16838" w:orient="portrait"/>
          <w:cols w:equalWidth="0" w:num="1">
            <w:col w:w="11240"/>
          </w:cols>
          <w:pgMar w:left="320" w:top="11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280" w:right="140" w:hanging="638"/>
        <w:spacing w:after="0" w:line="277" w:lineRule="auto"/>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333-153103) pertaining to the LSB Industries, Inc. 2008 Incentive Stock Plan or any combination of the foregoing;</w:t>
      </w:r>
    </w:p>
    <w:p>
      <w:pPr>
        <w:spacing w:after="0" w:line="170" w:lineRule="exact"/>
        <w:rPr>
          <w:rFonts w:ascii="Arial" w:cs="Arial" w:eastAsia="Arial" w:hAnsi="Arial"/>
          <w:sz w:val="18"/>
          <w:szCs w:val="18"/>
          <w:color w:val="auto"/>
        </w:rPr>
      </w:pPr>
    </w:p>
    <w:p>
      <w:pPr>
        <w:ind w:left="1280" w:right="160" w:hanging="638"/>
        <w:spacing w:after="0" w:line="277" w:lineRule="auto"/>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333-199864) pertaining to the LSB Industries, Inc. 2008 Incentive Stock Plan, as amended by the First Amendment;</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333-209838) pertaining to the LSB Industries, Inc. 2008 Incentive Plan, as amended;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Registration Statement (Form S-8 No. 333-212281) pertaining to the LSB Industries, Inc. 2016 Long Term Incentive Plan, as amended;</w:t>
      </w:r>
    </w:p>
    <w:p>
      <w:pPr>
        <w:spacing w:after="0" w:line="248" w:lineRule="exact"/>
        <w:rPr>
          <w:rFonts w:ascii="Arial" w:cs="Arial" w:eastAsia="Arial" w:hAnsi="Arial"/>
          <w:sz w:val="16"/>
          <w:szCs w:val="16"/>
          <w:color w:val="auto"/>
        </w:rPr>
      </w:pPr>
    </w:p>
    <w:p>
      <w:pPr>
        <w:ind w:left="1280" w:hanging="638"/>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S-3 No. 333-228139) of LSB Industries, Inc.</w:t>
      </w:r>
    </w:p>
    <w:p>
      <w:pPr>
        <w:spacing w:after="0" w:line="225" w:lineRule="exact"/>
        <w:rPr>
          <w:rFonts w:ascii="Arial" w:cs="Arial" w:eastAsia="Arial" w:hAnsi="Arial"/>
          <w:sz w:val="18"/>
          <w:szCs w:val="18"/>
          <w:color w:val="auto"/>
        </w:rPr>
      </w:pPr>
    </w:p>
    <w:p>
      <w:pPr>
        <w:ind w:left="1280" w:right="260" w:hanging="638"/>
        <w:spacing w:after="0" w:line="277" w:lineRule="auto"/>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333-256573) pertaining to the LSB Industries, Inc. 2016 Long Term Incentive Plan, as amended and restated;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S-3 No. 333-261131) of LSB Industries, Inc.</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our reports dated February 24, 2022, with respect to the consolidated financial statements of LSB Industries, Inc. and the effectiveness of internal control over financial reporting of LSB Industries, Inc. included in this Annual Report (Form 10-K) of LSB Industries, Inc. for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35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760" w:right="20" w:hanging="578"/>
        <w:spacing w:after="0" w:line="263" w:lineRule="auto"/>
        <w:tabs>
          <w:tab w:leader="none" w:pos="1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760" w:hanging="578"/>
        <w:spacing w:after="0" w:line="263" w:lineRule="auto"/>
        <w:tabs>
          <w:tab w:leader="none" w:pos="1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580" w:hanging="572"/>
        <w:spacing w:after="0" w:line="308"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760" w:hanging="578"/>
        <w:spacing w:after="0" w:line="342" w:lineRule="auto"/>
        <w:tabs>
          <w:tab w:leader="none" w:pos="17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760" w:right="20" w:hanging="578"/>
        <w:spacing w:after="0" w:line="277" w:lineRule="auto"/>
        <w:tabs>
          <w:tab w:leader="none" w:pos="1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760" w:right="20" w:hanging="578"/>
        <w:spacing w:after="0" w:line="263" w:lineRule="auto"/>
        <w:tabs>
          <w:tab w:leader="none" w:pos="1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760" w:hanging="578"/>
        <w:spacing w:after="0" w:line="263" w:lineRule="auto"/>
        <w:tabs>
          <w:tab w:leader="none" w:pos="1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580" w:right="20" w:hanging="572"/>
        <w:spacing w:after="0" w:line="342"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760" w:hanging="578"/>
        <w:spacing w:after="0" w:line="342" w:lineRule="auto"/>
        <w:tabs>
          <w:tab w:leader="none" w:pos="1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760" w:hanging="578"/>
        <w:spacing w:after="0" w:line="277" w:lineRule="auto"/>
        <w:tabs>
          <w:tab w:leader="none" w:pos="1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2021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2021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2"/>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3"/>
    </w:lvl>
  </w:abstractNum>
  <w:abstractNum w:abstractNumId="12">
    <w:nsid w:val="5072367"/>
    <w:multiLevelType w:val="hybridMultilevel"/>
    <w:lvl w:ilvl="0">
      <w:lvlJc w:val="left"/>
      <w:lvlText w:val="%1."/>
      <w:numFmt w:val="decimal"/>
      <w:start w:val="4"/>
    </w:lvl>
  </w:abstractNum>
  <w:abstractNum w:abstractNumId="13">
    <w:nsid w:val="3804823E"/>
    <w:multiLevelType w:val="hybridMultilevel"/>
    <w:lvl w:ilvl="0">
      <w:lvlJc w:val="left"/>
      <w:lvlText w:val="%1."/>
      <w:numFmt w:val="decimal"/>
      <w:start w:val="5"/>
    </w:lvl>
  </w:abstractNum>
  <w:abstractNum w:abstractNumId="14">
    <w:nsid w:val="77465F01"/>
    <w:multiLevelType w:val="hybridMultilevel"/>
    <w:lvl w:ilvl="0">
      <w:lvlJc w:val="left"/>
      <w:lvlText w:val="%1."/>
      <w:numFmt w:val="decimal"/>
      <w:start w:val="6"/>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7"/>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upperLetter"/>
      <w:start w:val="1"/>
    </w:lvl>
  </w:abstractNum>
  <w:abstractNum w:abstractNumId="21">
    <w:nsid w:val="580BD78F"/>
    <w:multiLevelType w:val="hybridMultilevel"/>
    <w:lvl w:ilvl="0">
      <w:lvlJc w:val="left"/>
      <w:lvlText w:val="•"/>
      <w:numFmt w:val="bullet"/>
      <w:start w:val="1"/>
    </w:lvl>
    <w:lvl w:ilvl="1">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upperLetter"/>
      <w:start w:val="2"/>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04"/>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upperLetter"/>
      <w:start w:val="1"/>
    </w:lvl>
  </w:abstractNum>
  <w:abstractNum w:abstractNumId="38">
    <w:nsid w:val="684A481A"/>
    <w:multiLevelType w:val="hybridMultilevel"/>
    <w:lvl w:ilvl="0">
      <w:lvlJc w:val="left"/>
      <w:lvlText w:val="(%1)"/>
      <w:numFmt w:val="upperLetter"/>
      <w:start w:val="2"/>
    </w:lvl>
  </w:abstractNum>
  <w:abstractNum w:abstractNumId="39">
    <w:nsid w:val="579478FE"/>
    <w:multiLevelType w:val="hybridMultilevel"/>
    <w:lvl w:ilvl="0">
      <w:lvlJc w:val="left"/>
      <w:lvlText w:val="(%1)"/>
      <w:numFmt w:val="upperLetter"/>
      <w:start w:val="3"/>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lowerRoman"/>
      <w:start w:val="3"/>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upperLetter"/>
      <w:start w:val="5"/>
    </w:lvl>
  </w:abstractNum>
  <w:abstractNum w:abstractNumId="46">
    <w:nsid w:val="70C6A529"/>
    <w:multiLevelType w:val="hybridMultilevel"/>
    <w:lvl w:ilvl="0">
      <w:lvlJc w:val="left"/>
      <w:lvlText w:val="(%1)"/>
      <w:numFmt w:val="upperLetter"/>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2"/>
    </w:lvl>
  </w:abstractNum>
  <w:abstractNum w:abstractNumId="49">
    <w:nsid w:val="4F4EF005"/>
    <w:multiLevelType w:val="hybridMultilevel"/>
    <w:lvl w:ilvl="0">
      <w:lvlJc w:val="left"/>
      <w:lvlText w:val="(%1)"/>
      <w:numFmt w:val="upperLetter"/>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107" Type="http://schemas.openxmlformats.org/officeDocument/2006/relationships/image" Target="media/image59.png"/><Relationship Id="rId108" Type="http://schemas.openxmlformats.org/officeDocument/2006/relationships/image" Target="media/image60.png"/><Relationship Id="rId109" Type="http://schemas.openxmlformats.org/officeDocument/2006/relationships/image" Target="media/image61.png"/><Relationship Id="rId122" Type="http://schemas.openxmlformats.org/officeDocument/2006/relationships/image" Target="media/image62.png"/><Relationship Id="rId123" Type="http://schemas.openxmlformats.org/officeDocument/2006/relationships/image" Target="media/image63.png"/><Relationship Id="rId124" Type="http://schemas.openxmlformats.org/officeDocument/2006/relationships/image" Target="media/image64.png"/><Relationship Id="rId137" Type="http://schemas.openxmlformats.org/officeDocument/2006/relationships/image" Target="media/image65.png"/><Relationship Id="rId138" Type="http://schemas.openxmlformats.org/officeDocument/2006/relationships/image" Target="media/image66.png"/><Relationship Id="rId139" Type="http://schemas.openxmlformats.org/officeDocument/2006/relationships/image" Target="media/image67.png"/><Relationship Id="rId151" Type="http://schemas.openxmlformats.org/officeDocument/2006/relationships/image" Target="media/image68.png"/><Relationship Id="rId152" Type="http://schemas.openxmlformats.org/officeDocument/2006/relationships/image" Target="media/image69.png"/><Relationship Id="rId153" Type="http://schemas.openxmlformats.org/officeDocument/2006/relationships/image" Target="media/image70.png"/><Relationship Id="rId163" Type="http://schemas.openxmlformats.org/officeDocument/2006/relationships/image" Target="media/image71.png"/><Relationship Id="rId164" Type="http://schemas.openxmlformats.org/officeDocument/2006/relationships/image" Target="media/image72.png"/><Relationship Id="rId165" Type="http://schemas.openxmlformats.org/officeDocument/2006/relationships/image" Target="media/image73.png"/><Relationship Id="rId166" Type="http://schemas.openxmlformats.org/officeDocument/2006/relationships/image" Target="media/image74.png"/><Relationship Id="rId167" Type="http://schemas.openxmlformats.org/officeDocument/2006/relationships/image" Target="media/image75.png"/><Relationship Id="rId168" Type="http://schemas.openxmlformats.org/officeDocument/2006/relationships/image" Target="media/image76.png"/><Relationship Id="rId169" Type="http://schemas.openxmlformats.org/officeDocument/2006/relationships/image" Target="media/image77.png"/><Relationship Id="rId170" Type="http://schemas.openxmlformats.org/officeDocument/2006/relationships/image" Target="media/image78.png"/><Relationship Id="rId171" Type="http://schemas.openxmlformats.org/officeDocument/2006/relationships/image" Target="media/image79.png"/><Relationship Id="rId172" Type="http://schemas.openxmlformats.org/officeDocument/2006/relationships/image" Target="media/image80.png"/><Relationship Id="rId173" Type="http://schemas.openxmlformats.org/officeDocument/2006/relationships/image" Target="media/image81.png"/><Relationship Id="rId174" Type="http://schemas.openxmlformats.org/officeDocument/2006/relationships/image" Target="media/image82.png"/><Relationship Id="rId175" Type="http://schemas.openxmlformats.org/officeDocument/2006/relationships/image" Target="media/image83.png"/><Relationship Id="rId176" Type="http://schemas.openxmlformats.org/officeDocument/2006/relationships/image" Target="media/image84.png"/><Relationship Id="rId177" Type="http://schemas.openxmlformats.org/officeDocument/2006/relationships/image" Target="media/image85.png"/><Relationship Id="rId178" Type="http://schemas.openxmlformats.org/officeDocument/2006/relationships/image" Target="media/image86.png"/><Relationship Id="rId179" Type="http://schemas.openxmlformats.org/officeDocument/2006/relationships/image" Target="media/image87.png"/><Relationship Id="rId180" Type="http://schemas.openxmlformats.org/officeDocument/2006/relationships/image" Target="media/image88.png"/><Relationship Id="rId181" Type="http://schemas.openxmlformats.org/officeDocument/2006/relationships/image" Target="media/image89.png"/><Relationship Id="rId182" Type="http://schemas.openxmlformats.org/officeDocument/2006/relationships/image" Target="media/image90.png"/><Relationship Id="rId183" Type="http://schemas.openxmlformats.org/officeDocument/2006/relationships/image" Target="media/image91.png"/><Relationship Id="rId184" Type="http://schemas.openxmlformats.org/officeDocument/2006/relationships/image" Target="media/image92.png"/><Relationship Id="rId185" Type="http://schemas.openxmlformats.org/officeDocument/2006/relationships/image" Target="media/image93.png"/><Relationship Id="rId186" Type="http://schemas.openxmlformats.org/officeDocument/2006/relationships/image" Target="media/image94.png"/><Relationship Id="rId187" Type="http://schemas.openxmlformats.org/officeDocument/2006/relationships/image" Target="media/image95.png"/><Relationship Id="rId188" Type="http://schemas.openxmlformats.org/officeDocument/2006/relationships/image" Target="media/image96.png"/><Relationship Id="rId189" Type="http://schemas.openxmlformats.org/officeDocument/2006/relationships/image" Target="media/image97.png"/><Relationship Id="rId190" Type="http://schemas.openxmlformats.org/officeDocument/2006/relationships/image" Target="media/image98.png"/><Relationship Id="rId191" Type="http://schemas.openxmlformats.org/officeDocument/2006/relationships/image" Target="media/image99.png"/><Relationship Id="rId192" Type="http://schemas.openxmlformats.org/officeDocument/2006/relationships/image" Target="media/image100.png"/><Relationship Id="rId193" Type="http://schemas.openxmlformats.org/officeDocument/2006/relationships/image" Target="media/image101.png"/><Relationship Id="rId194" Type="http://schemas.openxmlformats.org/officeDocument/2006/relationships/image" Target="media/image102.png"/><Relationship Id="rId195" Type="http://schemas.openxmlformats.org/officeDocument/2006/relationships/image" Target="media/image103.png"/><Relationship Id="rId196" Type="http://schemas.openxmlformats.org/officeDocument/2006/relationships/image" Target="media/image104.png"/><Relationship Id="rId197" Type="http://schemas.openxmlformats.org/officeDocument/2006/relationships/image" Target="media/image105.png"/><Relationship Id="rId198" Type="http://schemas.openxmlformats.org/officeDocument/2006/relationships/image" Target="media/image106.png"/><Relationship Id="rId199" Type="http://schemas.openxmlformats.org/officeDocument/2006/relationships/image" Target="media/image107.png"/><Relationship Id="rId200" Type="http://schemas.openxmlformats.org/officeDocument/2006/relationships/image" Target="media/image108.png"/><Relationship Id="rId201" Type="http://schemas.openxmlformats.org/officeDocument/2006/relationships/image" Target="media/image109.png"/><Relationship Id="rId202" Type="http://schemas.openxmlformats.org/officeDocument/2006/relationships/image" Target="media/image110.png"/><Relationship Id="rId203" Type="http://schemas.openxmlformats.org/officeDocument/2006/relationships/image" Target="media/image111.png"/><Relationship Id="rId204" Type="http://schemas.openxmlformats.org/officeDocument/2006/relationships/image" Target="media/image112.png"/><Relationship Id="rId205" Type="http://schemas.openxmlformats.org/officeDocument/2006/relationships/image" Target="media/image113.png"/><Relationship Id="rId206" Type="http://schemas.openxmlformats.org/officeDocument/2006/relationships/image" Target="media/image114.png"/><Relationship Id="rId207" Type="http://schemas.openxmlformats.org/officeDocument/2006/relationships/image" Target="media/image115.png"/><Relationship Id="rId208" Type="http://schemas.openxmlformats.org/officeDocument/2006/relationships/image" Target="media/image116.png"/><Relationship Id="rId209" Type="http://schemas.openxmlformats.org/officeDocument/2006/relationships/image" Target="media/image117.png"/><Relationship Id="rId210" Type="http://schemas.openxmlformats.org/officeDocument/2006/relationships/image" Target="media/image118.png"/><Relationship Id="rId211" Type="http://schemas.openxmlformats.org/officeDocument/2006/relationships/image" Target="media/image119.png"/><Relationship Id="rId212" Type="http://schemas.openxmlformats.org/officeDocument/2006/relationships/image" Target="media/image120.png"/><Relationship Id="rId213" Type="http://schemas.openxmlformats.org/officeDocument/2006/relationships/image" Target="media/image121.png"/><Relationship Id="rId214" Type="http://schemas.openxmlformats.org/officeDocument/2006/relationships/image" Target="media/image122.png"/><Relationship Id="rId215" Type="http://schemas.openxmlformats.org/officeDocument/2006/relationships/image" Target="media/image123.png"/><Relationship Id="rId216" Type="http://schemas.openxmlformats.org/officeDocument/2006/relationships/image" Target="media/image124.png"/><Relationship Id="rId217" Type="http://schemas.openxmlformats.org/officeDocument/2006/relationships/image" Target="media/image125.png"/><Relationship Id="rId218" Type="http://schemas.openxmlformats.org/officeDocument/2006/relationships/image" Target="media/image126.png"/><Relationship Id="rId219" Type="http://schemas.openxmlformats.org/officeDocument/2006/relationships/image" Target="media/image127.png"/><Relationship Id="rId220" Type="http://schemas.openxmlformats.org/officeDocument/2006/relationships/image" Target="media/image128.png"/><Relationship Id="rId221" Type="http://schemas.openxmlformats.org/officeDocument/2006/relationships/image" Target="media/image129.png"/><Relationship Id="rId222" Type="http://schemas.openxmlformats.org/officeDocument/2006/relationships/image" Target="media/image130.png"/><Relationship Id="rId223" Type="http://schemas.openxmlformats.org/officeDocument/2006/relationships/image" Target="media/image131.png"/><Relationship Id="rId224" Type="http://schemas.openxmlformats.org/officeDocument/2006/relationships/image" Target="media/image132.png"/><Relationship Id="rId225" Type="http://schemas.openxmlformats.org/officeDocument/2006/relationships/image" Target="media/image133.png"/><Relationship Id="rId64" Type="http://schemas.openxmlformats.org/officeDocument/2006/relationships/hyperlink" Target="http://www.sec.gov/Archives/edgar/data/60714/000119312513084410/d447083dex3i1.htm" TargetMode="External"/><Relationship Id="rId65" Type="http://schemas.openxmlformats.org/officeDocument/2006/relationships/hyperlink" Target="http://www.sec.gov/Archives/edgar/data/0000060714/000119312521331386/d173096dex3i2.htm" TargetMode="External"/><Relationship Id="rId66" Type="http://schemas.openxmlformats.org/officeDocument/2006/relationships/hyperlink" Target="http://www.sec.gov/Archives/edgar/data/60714/000119312521219140/d189542dex31.htm" TargetMode="External"/><Relationship Id="rId67" Type="http://schemas.openxmlformats.org/officeDocument/2006/relationships/hyperlink" Target="http://www.sec.gov/Archives/edgar/data/60714/000006071411000006/ex43.htm" TargetMode="External"/><Relationship Id="rId68" Type="http://schemas.openxmlformats.org/officeDocument/2006/relationships/hyperlink" Target="http://www.sec.gov/Archives/edgar/data/60714/000119312512474073/d440760dex43.htm" TargetMode="External"/><Relationship Id="rId69" Type="http://schemas.openxmlformats.org/officeDocument/2006/relationships/hyperlink" Target="http://www.sec.gov/Archives/edgar/data/60714/000119312515397856/d22963dex41.htm" TargetMode="External"/><Relationship Id="rId70" Type="http://schemas.openxmlformats.org/officeDocument/2006/relationships/hyperlink" Target="http://www.sec.gov/Archives/edgar/data/60714/000119312518303142/d635267dex41.htm" TargetMode="External"/><Relationship Id="rId71" Type="http://schemas.openxmlformats.org/officeDocument/2006/relationships/hyperlink" Target="http://www.sec.gov/Archives/edgar/data/60714/000119312518316135/d602126dex41.htm" TargetMode="External"/><Relationship Id="rId72" Type="http://schemas.openxmlformats.org/officeDocument/2006/relationships/hyperlink" Target="http://www.sec.gov/Archives/edgar/data/60714/000119312515397856/d22963dex42.htm" TargetMode="External"/><Relationship Id="rId73" Type="http://schemas.openxmlformats.org/officeDocument/2006/relationships/hyperlink" Target="http://www.sec.gov/Archives/edgar/data/60714/000119312518303142/d635267dex42.htm" TargetMode="External"/><Relationship Id="rId74" Type="http://schemas.openxmlformats.org/officeDocument/2006/relationships/hyperlink" Target="http://www.sec.gov/Archives/edgar/data/60714/000156459020031834/lxu-ex31_6.htm" TargetMode="External"/><Relationship Id="rId75" Type="http://schemas.openxmlformats.org/officeDocument/2006/relationships/hyperlink" Target="http://www.sec.gov/Archives/edgar/data/60714/000156459020031834/lxu-ex41_7.htm" TargetMode="External"/><Relationship Id="rId76" Type="http://schemas.openxmlformats.org/officeDocument/2006/relationships/hyperlink" Target="http://www.sec.gov/Archives/edgar/data/60714/000119312513332936/d583332dex41.htm" TargetMode="External"/><Relationship Id="rId77" Type="http://schemas.openxmlformats.org/officeDocument/2006/relationships/hyperlink" Target="http://www.sec.gov/Archives/edgar/data/60714/000119312516730637/d169793dex41.htm" TargetMode="External"/><Relationship Id="rId78" Type="http://schemas.openxmlformats.org/officeDocument/2006/relationships/hyperlink" Target="http://www.sec.gov/Archives/edgar/data/60714/000119312513332936/d583332dex991.htm" TargetMode="External"/><Relationship Id="rId79" Type="http://schemas.openxmlformats.org/officeDocument/2006/relationships/hyperlink" Target="http://www.sec.gov/Archives/edgar/data/60714/000119312518131457/d576542dex41.htm" TargetMode="External"/><Relationship Id="rId82" Type="http://schemas.openxmlformats.org/officeDocument/2006/relationships/hyperlink" Target="http://www.sec.gov/Archives/edgar/data/60714/000119312506070789/dex102.htm" TargetMode="External"/><Relationship Id="rId83" Type="http://schemas.openxmlformats.org/officeDocument/2006/relationships/hyperlink" Target="http://www.sec.gov/Archives/edgar/data/60714/000119312514380305/d808481dex992.htm" TargetMode="External"/><Relationship Id="rId84" Type="http://schemas.openxmlformats.org/officeDocument/2006/relationships/hyperlink" Target="http://www.sec.gov/Archives/edgar/data/60714/000119312514233234/d743642dex993.htm" TargetMode="External"/><Relationship Id="rId85" Type="http://schemas.openxmlformats.org/officeDocument/2006/relationships/hyperlink" Target="http://www.sec.gov/Archives/edgar/data/60714/000119312516423656/d108521dex103.htm" TargetMode="External"/><Relationship Id="rId86" Type="http://schemas.openxmlformats.org/officeDocument/2006/relationships/hyperlink" Target="http://www.sec.gov/Archives/edgar/data/60714/000156459016013735/lxu-ex108_1305.htm" TargetMode="External"/><Relationship Id="rId87" Type="http://schemas.openxmlformats.org/officeDocument/2006/relationships/hyperlink" Target="http://www.sec.gov/Archives/edgar/data/60714/000119312516634750/d218339dex48.htm" TargetMode="External"/><Relationship Id="rId88" Type="http://schemas.openxmlformats.org/officeDocument/2006/relationships/hyperlink" Target="http://www.sec.gov/Archives/edgar/data/60714/000119312516634750/d218339dex49.htm" TargetMode="External"/><Relationship Id="rId89" Type="http://schemas.openxmlformats.org/officeDocument/2006/relationships/hyperlink" Target="http://www.sec.gov/Archives/edgar/data/60714/000119312516634750/d218339dex410.htm" TargetMode="External"/><Relationship Id="rId90" Type="http://schemas.openxmlformats.org/officeDocument/2006/relationships/hyperlink" Target="http://www.sec.gov/Archives/edgar/data/60714/000119312516634750/d218339dex411.htm" TargetMode="External"/><Relationship Id="rId91" Type="http://schemas.openxmlformats.org/officeDocument/2006/relationships/hyperlink" Target="http://www.sec.gov/Archives/edgar/data/60714/000119312519000948/d684802dex104.htm" TargetMode="External"/><Relationship Id="rId92" Type="http://schemas.openxmlformats.org/officeDocument/2006/relationships/hyperlink" Target="http://www.sec.gov/Archives/edgar/data/60714/000119312519000948/d684802dex105.htm" TargetMode="External"/><Relationship Id="rId93" Type="http://schemas.openxmlformats.org/officeDocument/2006/relationships/hyperlink" Target="http://www.sec.gov/Archives/edgar/data/60714/000156459019004486/lxu-ex1012_319.htm" TargetMode="External"/><Relationship Id="rId94" Type="http://schemas.openxmlformats.org/officeDocument/2006/relationships/hyperlink" Target="http://www.sec.gov/Archives/edgar/data/60714/000156459018024898/lxu-ex104_465.htm" TargetMode="External"/><Relationship Id="rId95" Type="http://schemas.openxmlformats.org/officeDocument/2006/relationships/hyperlink" Target="http://www.sec.gov/Archives/edgar/data/60714/000119312519000948/d684802dex101.htm" TargetMode="External"/><Relationship Id="rId96" Type="http://schemas.openxmlformats.org/officeDocument/2006/relationships/hyperlink" Target="http://www.sec.gov/Archives/edgar/data/60714/000156459016013735/lxu-ex1017_1306.htm" TargetMode="External"/><Relationship Id="rId97" Type="http://schemas.openxmlformats.org/officeDocument/2006/relationships/hyperlink" Target="http://www.sec.gov/Archives/edgar/data/60714/000119312516423587/d114611dex101.htm" TargetMode="External"/><Relationship Id="rId98" Type="http://schemas.openxmlformats.org/officeDocument/2006/relationships/hyperlink" Target="http://www.sec.gov/Archives/edgar/data/60714/000156459018024898/lxu-ex103_466.htm" TargetMode="External"/><Relationship Id="rId99" Type="http://schemas.openxmlformats.org/officeDocument/2006/relationships/hyperlink" Target="http://www.sec.gov/Archives/edgar/data/60714/000156459019004486/lxu-ex1018_318.htm" TargetMode="External"/><Relationship Id="rId100" Type="http://schemas.openxmlformats.org/officeDocument/2006/relationships/hyperlink" Target="http://www.sec.gov/Archives/edgar/data/60714/000156459019004486/lxu-ex1019_317.htm" TargetMode="External"/><Relationship Id="rId101" Type="http://schemas.openxmlformats.org/officeDocument/2006/relationships/hyperlink" Target="http://www.sec.gov/Archives/edgar/data/60714/000119312516423587/d114611dex102.htm" TargetMode="External"/><Relationship Id="rId102" Type="http://schemas.openxmlformats.org/officeDocument/2006/relationships/hyperlink" Target="http://www.sec.gov/Archives/edgar/data/60714/000156459016013735/lxu-ex1025_1714.htm" TargetMode="External"/><Relationship Id="rId103" Type="http://schemas.openxmlformats.org/officeDocument/2006/relationships/hyperlink" Target="http://www.sec.gov/Archives/edgar/data/60714/000156459018024898/lxu-ex105_464.htm" TargetMode="External"/><Relationship Id="rId104" Type="http://schemas.openxmlformats.org/officeDocument/2006/relationships/hyperlink" Target="http://www.sec.gov/Archives/edgar/data/60714/000156459019004486/lxu-ex1023_316.htm" TargetMode="External"/><Relationship Id="rId105" Type="http://schemas.openxmlformats.org/officeDocument/2006/relationships/hyperlink" Target="http://www.sec.gov/Archives/edgar/data/60714/000119312519000948/d684802dex103.htm" TargetMode="External"/><Relationship Id="rId106" Type="http://schemas.openxmlformats.org/officeDocument/2006/relationships/hyperlink" Target="http://www.sec.gov/Archives/edgar/data/60714/000156459016013735/lxu-ex1026_1304.htm" TargetMode="External"/><Relationship Id="rId110" Type="http://schemas.openxmlformats.org/officeDocument/2006/relationships/hyperlink" Target="http://www.sec.gov/Archives/edgar/data/60714/000119312516668250/d235105dex101.htm" TargetMode="External"/><Relationship Id="rId111" Type="http://schemas.openxmlformats.org/officeDocument/2006/relationships/hyperlink" Target="http://www.sec.gov/Archives/edgar/data/60714/000119312519036251/d683551dex101.htm" TargetMode="External"/><Relationship Id="rId112" Type="http://schemas.openxmlformats.org/officeDocument/2006/relationships/hyperlink" Target="http://www.sec.gov/Archives/edgar/data/60714/000119312519000948/d684802dex102.htm" TargetMode="External"/><Relationship Id="rId113" Type="http://schemas.openxmlformats.org/officeDocument/2006/relationships/hyperlink" Target="http://www.sec.gov/Archives/edgar/data/60714/000156459020006380/lxu-ex1030_263.htm" TargetMode="External"/><Relationship Id="rId114" Type="http://schemas.openxmlformats.org/officeDocument/2006/relationships/hyperlink" Target="http://www.sec.gov/Archives/edgar/data/60714/000156459020022839/lxu-ex101_172.htm" TargetMode="External"/><Relationship Id="rId115" Type="http://schemas.openxmlformats.org/officeDocument/2006/relationships/hyperlink" Target="http://www.sec.gov/Archives/edgar/data/60714/000156459016013735/lxu-ex1028_2726.htm" TargetMode="External"/><Relationship Id="rId116" Type="http://schemas.openxmlformats.org/officeDocument/2006/relationships/hyperlink" Target="http://www.sec.gov/Archives/edgar/data/60714/000119312515346822/d84269dex101.htm" TargetMode="External"/><Relationship Id="rId117" Type="http://schemas.openxmlformats.org/officeDocument/2006/relationships/hyperlink" Target="http://www.sec.gov/Archives/edgar/data/60714/000119312515346822/d84269dex102.htm" TargetMode="External"/><Relationship Id="rId118" Type="http://schemas.openxmlformats.org/officeDocument/2006/relationships/hyperlink" Target="http://www.sec.gov/Archives/edgar/data/60714/000119312515397856/d22963dex105.htm" TargetMode="External"/><Relationship Id="rId119" Type="http://schemas.openxmlformats.org/officeDocument/2006/relationships/hyperlink" Target="http://www.sec.gov/Archives/edgar/data/60714/000006071402000055/lsb8kex21.htm" TargetMode="External"/><Relationship Id="rId120" Type="http://schemas.openxmlformats.org/officeDocument/2006/relationships/hyperlink" Target="http://www.sec.gov/Archives/edgar/data/60714/000006071410000017/ex_101b.htm" TargetMode="External"/><Relationship Id="rId121" Type="http://schemas.openxmlformats.org/officeDocument/2006/relationships/hyperlink" Target="http://www.sec.gov/Archives/edgar/data/60714/000156459016013735/lxu-ex1049_2728.htm" TargetMode="External"/><Relationship Id="rId125" Type="http://schemas.openxmlformats.org/officeDocument/2006/relationships/hyperlink" Target="http://www.sec.gov/Archives/edgar/data/60714/000156459019038411/lxu-ex101_97.htm" TargetMode="External"/><Relationship Id="rId126" Type="http://schemas.openxmlformats.org/officeDocument/2006/relationships/hyperlink" Target="http://www.sec.gov/Archives/edgar/data/60714/000156459016023298/lxu-ex101_952.htm" TargetMode="External"/><Relationship Id="rId127" Type="http://schemas.openxmlformats.org/officeDocument/2006/relationships/hyperlink" Target="http://www.sec.gov/Archives/edgar/data/60714/000119312516589507/d158530dex101.htm" TargetMode="External"/><Relationship Id="rId128" Type="http://schemas.openxmlformats.org/officeDocument/2006/relationships/hyperlink" Target="http://www.sec.gov/Archives/edgar/data/60714/000119312512493957/d450320dex992.htm" TargetMode="External"/><Relationship Id="rId129" Type="http://schemas.openxmlformats.org/officeDocument/2006/relationships/hyperlink" Target="http://www.sec.gov/Archives/edgar/data/60714/000119312513336457/d584968dex101.htm" TargetMode="External"/><Relationship Id="rId130" Type="http://schemas.openxmlformats.org/officeDocument/2006/relationships/hyperlink" Target="http://www.sec.gov/Archives/edgar/data/60714/000119312513437582/d624909dex991.htm" TargetMode="External"/><Relationship Id="rId131" Type="http://schemas.openxmlformats.org/officeDocument/2006/relationships/hyperlink" Target="http://www.sec.gov/Archives/edgar/data/60714/000119312513437582/d624909dex992.htm" TargetMode="External"/><Relationship Id="rId132" Type="http://schemas.openxmlformats.org/officeDocument/2006/relationships/hyperlink" Target="http://www.sec.gov/Archives/edgar/data/60714/000119312514003788/d654209dex991.htm" TargetMode="External"/><Relationship Id="rId133" Type="http://schemas.openxmlformats.org/officeDocument/2006/relationships/hyperlink" Target="http://www.sec.gov/Archives/edgar/data/60714/000119312515352882/d70894dex101.htm" TargetMode="External"/><Relationship Id="rId134" Type="http://schemas.openxmlformats.org/officeDocument/2006/relationships/hyperlink" Target="http://www.sec.gov/Archives/edgar/data/60714/000119312515161375/d918969dex991.htm" TargetMode="External"/><Relationship Id="rId135" Type="http://schemas.openxmlformats.org/officeDocument/2006/relationships/hyperlink" Target="http://www.sec.gov/Archives/edgar/data/60714/000119312514223976/d737274dex991.htm" TargetMode="External"/><Relationship Id="rId136" Type="http://schemas.openxmlformats.org/officeDocument/2006/relationships/hyperlink" Target="http://www.sec.gov/Archives/edgar/data/60714/000119312514070134/d635174dex49.htm" TargetMode="External"/><Relationship Id="rId140" Type="http://schemas.openxmlformats.org/officeDocument/2006/relationships/hyperlink" Target="http://www.sec.gov/Archives/edgar/data/60714/000119312515225851/d943984dex991.htm" TargetMode="External"/><Relationship Id="rId141" Type="http://schemas.openxmlformats.org/officeDocument/2006/relationships/hyperlink" Target="http://www.sec.gov/Archives/edgar/data/60714/000119312515377933/d95941dex103.htm" TargetMode="External"/><Relationship Id="rId142" Type="http://schemas.openxmlformats.org/officeDocument/2006/relationships/hyperlink" Target="http://www.sec.gov/Archives/edgar/data/60714/000119312517014226/d331616dex101.htm" TargetMode="External"/><Relationship Id="rId143" Type="http://schemas.openxmlformats.org/officeDocument/2006/relationships/hyperlink" Target="http://www.sec.gov/Archives/edgar/data/60714/000119312518123715/d572977dex101.htm" TargetMode="External"/><Relationship Id="rId144" Type="http://schemas.openxmlformats.org/officeDocument/2006/relationships/hyperlink" Target="http://www.sec.gov/Archives/edgar/data/60714/000089914019000267/l28210130b.htm" TargetMode="External"/><Relationship Id="rId145" Type="http://schemas.openxmlformats.org/officeDocument/2006/relationships/hyperlink" Target="http://www.sec.gov/Archives/edgar/data/60714/000156459020022839/lxu-ex103_337.htm" TargetMode="External"/><Relationship Id="rId146" Type="http://schemas.openxmlformats.org/officeDocument/2006/relationships/hyperlink" Target="http://www.sec.gov/Archives/edgar/data/0000060714/000119312521282985/d144351dex101.htm" TargetMode="External"/><Relationship Id="rId147" Type="http://schemas.openxmlformats.org/officeDocument/2006/relationships/hyperlink" Target="http://www.sec.gov/Archives/edgar/data/60714/000156459016013735/lxu-ex1072_2228.htm" TargetMode="External"/><Relationship Id="rId148" Type="http://schemas.openxmlformats.org/officeDocument/2006/relationships/hyperlink" Target="http://www.sec.gov/Archives/edgar/data/60714/000156459016013735/lxu-ex1073_2229.htm" TargetMode="External"/><Relationship Id="rId149" Type="http://schemas.openxmlformats.org/officeDocument/2006/relationships/hyperlink" Target="http://www.sec.gov/Archives/edgar/data/60714/000119312515377933/d95941dex101.htm" TargetMode="External"/><Relationship Id="rId150" Type="http://schemas.openxmlformats.org/officeDocument/2006/relationships/hyperlink" Target="http://www.sec.gov/Archives/edgar/data/60714/000119312515377933/d95941dex102.htm" TargetMode="External"/><Relationship Id="rId154" Type="http://schemas.openxmlformats.org/officeDocument/2006/relationships/hyperlink" Target="http://www.sec.gov/Archives/edgar/data/60714/000119312515377933/d95941dex104.htm" TargetMode="External"/><Relationship Id="rId155" Type="http://schemas.openxmlformats.org/officeDocument/2006/relationships/hyperlink" Target="http://www.sec.gov/Archives/edgar/data/60714/000119312518131457/d576542dex101.htm" TargetMode="External"/><Relationship Id="rId156" Type="http://schemas.openxmlformats.org/officeDocument/2006/relationships/hyperlink" Target="http://www.sec.gov/Archives/edgar/data/60714/000119312515377933/d95941dex105.htm" TargetMode="External"/><Relationship Id="rId157" Type="http://schemas.openxmlformats.org/officeDocument/2006/relationships/hyperlink" Target="http://www.sec.gov/Archives/edgar/data/60714/000119312515397856/d22963dex103.htm" TargetMode="External"/><Relationship Id="rId158" Type="http://schemas.openxmlformats.org/officeDocument/2006/relationships/hyperlink" Target="http://www.sec.gov/Archives/edgar/data/60714/000119312515397856/d22963dex104.htm" TargetMode="External"/><Relationship Id="rId159" Type="http://schemas.openxmlformats.org/officeDocument/2006/relationships/hyperlink" Target="http://www.sec.gov/Archives/edgar/data/60714/000119312516680812/d242514dex101.htm" TargetMode="External"/><Relationship Id="rId160" Type="http://schemas.openxmlformats.org/officeDocument/2006/relationships/hyperlink" Target="http://www.sec.gov/Archives/edgar/data/60714/000119312517220264/d421413dex101.htm" TargetMode="External"/><Relationship Id="rId161" Type="http://schemas.openxmlformats.org/officeDocument/2006/relationships/hyperlink" Target="http://www.sec.gov/Archives/edgar/data/60714/000119312517325152/d458883dex101.htm" TargetMode="External"/><Relationship Id="rId162" Type="http://schemas.openxmlformats.org/officeDocument/2006/relationships/hyperlink" Target="http://www.sec.gov/Archives/edgar/data/60714/000119312518303142/d63526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2022-02-24T15:37:51Z</dcterms:created>
  <dcterms:modified xsi:type="dcterms:W3CDTF">2022-02-24T15:37:51Z</dcterms:modified>
</cp:coreProperties>
</file>