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96520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1" w:lineRule="exact"/>
        <w:rPr>
          <w:sz w:val="24"/>
          <w:szCs w:val="24"/>
          <w:color w:val="auto"/>
        </w:rPr>
      </w:pPr>
    </w:p>
    <w:p>
      <w:pPr>
        <w:ind w:left="520" w:right="20" w:hanging="512"/>
        <w:spacing w:after="0" w:line="262"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2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36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304"/>
        </w:trPr>
        <w:tc>
          <w:tcPr>
            <w:tcW w:w="330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-205105</wp:posOffset>
            </wp:positionV>
            <wp:extent cx="457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LSB Industries,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4"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7160" w:type="dxa"/>
            <w:vAlign w:val="bottom"/>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73-1015226</w:t>
            </w:r>
          </w:p>
        </w:tc>
      </w:tr>
      <w:tr>
        <w:trPr>
          <w:trHeight w:val="149"/>
        </w:trPr>
        <w:tc>
          <w:tcPr>
            <w:tcW w:w="7160" w:type="dxa"/>
            <w:vAlign w:val="bottom"/>
          </w:tcPr>
          <w:p>
            <w:pPr>
              <w:jc w:val="center"/>
              <w:ind w:right="25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80" w:type="dxa"/>
            <w:vAlign w:val="bottom"/>
          </w:tcPr>
          <w:p>
            <w:pPr>
              <w:jc w:val="center"/>
              <w:ind w:left="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160" w:type="dxa"/>
            <w:vAlign w:val="bottom"/>
          </w:tcPr>
          <w:p>
            <w:pPr>
              <w:jc w:val="center"/>
              <w:ind w:right="25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8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5"/>
        </w:trPr>
        <w:tc>
          <w:tcPr>
            <w:tcW w:w="7160" w:type="dxa"/>
            <w:vAlign w:val="bottom"/>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3503 NW 63</w:t>
            </w:r>
            <w:r>
              <w:rPr>
                <w:rFonts w:ascii="Times New Roman" w:cs="Times New Roman" w:eastAsia="Times New Roman" w:hAnsi="Times New Roman"/>
                <w:sz w:val="15"/>
                <w:szCs w:val="15"/>
                <w:b w:val="1"/>
                <w:bCs w:val="1"/>
                <w:color w:val="auto"/>
                <w:w w:val="99"/>
              </w:rPr>
              <w:t>rd</w:t>
            </w:r>
            <w:r>
              <w:rPr>
                <w:rFonts w:ascii="Times New Roman" w:cs="Times New Roman" w:eastAsia="Times New Roman" w:hAnsi="Times New Roman"/>
                <w:sz w:val="18"/>
                <w:szCs w:val="18"/>
                <w:b w:val="1"/>
                <w:bCs w:val="1"/>
                <w:color w:val="auto"/>
                <w:w w:val="99"/>
              </w:rPr>
              <w:t xml:space="preserve"> Street, Suite 500, Oklahoma City, Oklahoma</w:t>
            </w: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73116</w:t>
            </w:r>
          </w:p>
        </w:tc>
      </w:tr>
      <w:tr>
        <w:trPr>
          <w:trHeight w:val="190"/>
        </w:trPr>
        <w:tc>
          <w:tcPr>
            <w:tcW w:w="7160" w:type="dxa"/>
            <w:vAlign w:val="bottom"/>
          </w:tcPr>
          <w:p>
            <w:pPr>
              <w:jc w:val="center"/>
              <w:ind w:right="2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80" w:type="dxa"/>
            <w:vAlign w:val="bottom"/>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55"/>
        </w:trPr>
        <w:tc>
          <w:tcPr>
            <w:tcW w:w="7160" w:type="dxa"/>
            <w:vAlign w:val="bottom"/>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(405) 235-4546</w:t>
            </w:r>
          </w:p>
        </w:tc>
        <w:tc>
          <w:tcPr>
            <w:tcW w:w="1480" w:type="dxa"/>
            <w:vAlign w:val="bottom"/>
          </w:tcPr>
          <w:p>
            <w:pPr>
              <w:spacing w:after="0"/>
              <w:rPr>
                <w:sz w:val="22"/>
                <w:szCs w:val="22"/>
                <w:color w:val="auto"/>
              </w:rPr>
            </w:pPr>
          </w:p>
        </w:tc>
      </w:tr>
      <w:tr>
        <w:trPr>
          <w:trHeight w:val="190"/>
        </w:trPr>
        <w:tc>
          <w:tcPr>
            <w:tcW w:w="7160" w:type="dxa"/>
            <w:vAlign w:val="bottom"/>
          </w:tcPr>
          <w:p>
            <w:pPr>
              <w:jc w:val="center"/>
              <w:ind w:left="31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80" w:type="dxa"/>
            <w:vAlign w:val="bottom"/>
          </w:tcPr>
          <w:p>
            <w:pPr>
              <w:spacing w:after="0"/>
              <w:rPr>
                <w:sz w:val="16"/>
                <w:szCs w:val="16"/>
                <w:color w:val="auto"/>
              </w:rPr>
            </w:pPr>
          </w:p>
        </w:tc>
      </w:tr>
    </w:tbl>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5"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(Check one):</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0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18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3"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260" w:hanging="252"/>
        <w:spacing w:after="0" w:line="207" w:lineRule="exact"/>
        <w:tabs>
          <w:tab w:leader="none" w:pos="2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was 28,769,635 shares as of April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904875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6" w:right="2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color w:val="auto"/>
        </w:rPr>
        <w:t>FORM 10-Q OF LSB INDUSTRIES,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80" w:type="dxa"/>
            <w:vAlign w:val="bottom"/>
            <w:gridSpan w:val="4"/>
          </w:tcPr>
          <w:p>
            <w:pPr>
              <w:jc w:val="center"/>
              <w:ind w:right="2420"/>
              <w:spacing w:after="0"/>
              <w:rPr>
                <w:sz w:val="20"/>
                <w:szCs w:val="20"/>
                <w:color w:val="auto"/>
              </w:rPr>
            </w:pPr>
            <w:r>
              <w:rPr>
                <w:rFonts w:ascii="Times New Roman" w:cs="Times New Roman" w:eastAsia="Times New Roman" w:hAnsi="Times New Roman"/>
                <w:sz w:val="18"/>
                <w:szCs w:val="18"/>
                <w:color w:val="auto"/>
                <w:w w:val="99"/>
              </w:rPr>
              <w:t>PART I – Financial Information</w:t>
            </w:r>
          </w:p>
        </w:tc>
        <w:tc>
          <w:tcPr>
            <w:tcW w:w="6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Page</w:t>
            </w:r>
          </w:p>
        </w:tc>
        <w:tc>
          <w:tcPr>
            <w:tcW w:w="20" w:type="dxa"/>
            <w:vAlign w:val="bottom"/>
          </w:tcPr>
          <w:p>
            <w:pPr>
              <w:spacing w:after="0"/>
              <w:rPr>
                <w:sz w:val="20"/>
                <w:szCs w:val="20"/>
                <w:color w:val="auto"/>
              </w:rPr>
            </w:pPr>
          </w:p>
        </w:tc>
      </w:tr>
      <w:tr>
        <w:trPr>
          <w:trHeight w:val="3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00" w:type="dxa"/>
            <w:vAlign w:val="bottom"/>
            <w:gridSpan w:val="1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12"/>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800" w:type="dxa"/>
            <w:vAlign w:val="bottom"/>
            <w:gridSpan w:val="12"/>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Controls and Procedures</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453"/>
        </w:trPr>
        <w:tc>
          <w:tcPr>
            <w:tcW w:w="9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80" w:type="dxa"/>
            <w:vAlign w:val="bottom"/>
            <w:gridSpan w:val="4"/>
          </w:tcPr>
          <w:p>
            <w:pPr>
              <w:jc w:val="center"/>
              <w:ind w:right="2420"/>
              <w:spacing w:after="0"/>
              <w:rPr>
                <w:sz w:val="20"/>
                <w:szCs w:val="20"/>
                <w:color w:val="auto"/>
              </w:rPr>
            </w:pPr>
            <w:r>
              <w:rPr>
                <w:rFonts w:ascii="Times New Roman" w:cs="Times New Roman" w:eastAsia="Times New Roman" w:hAnsi="Times New Roman"/>
                <w:sz w:val="18"/>
                <w:szCs w:val="18"/>
                <w:color w:val="auto"/>
                <w:w w:val="99"/>
              </w:rPr>
              <w:t>PART II – Other Information</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Legal Proceedings</w:t>
              </w:r>
            </w:hyperlink>
          </w:p>
        </w:tc>
        <w:tc>
          <w:tcPr>
            <w:tcW w:w="8460" w:type="dxa"/>
            <w:vAlign w:val="bottom"/>
            <w:gridSpan w:val="8"/>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800" w:type="dxa"/>
            <w:vAlign w:val="bottom"/>
            <w:gridSpan w:val="12"/>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Risk Factors</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12"/>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Unregistered Sales of Equity Securities and Use of Proceeds</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Defaults Upon Senior Securities</w:t>
              </w:r>
            </w:hyperlink>
          </w:p>
        </w:tc>
        <w:tc>
          <w:tcPr>
            <w:tcW w:w="5460" w:type="dxa"/>
            <w:vAlign w:val="bottom"/>
            <w:gridSpan w:val="3"/>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92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Mining Safety Disclosures</w:t>
              </w:r>
            </w:hyperlink>
          </w:p>
        </w:tc>
        <w:tc>
          <w:tcPr>
            <w:tcW w:w="400" w:type="dxa"/>
            <w:vAlign w:val="bottom"/>
            <w:tcBorders>
              <w:top w:val="single" w:sz="8" w:color="0000EE"/>
            </w:tcBorders>
          </w:tcPr>
          <w:p>
            <w:pPr>
              <w:spacing w:after="0"/>
              <w:rPr>
                <w:sz w:val="24"/>
                <w:szCs w:val="24"/>
                <w:color w:val="auto"/>
              </w:rPr>
            </w:pPr>
          </w:p>
        </w:tc>
        <w:tc>
          <w:tcPr>
            <w:tcW w:w="7480" w:type="dxa"/>
            <w:vAlign w:val="bottom"/>
            <w:gridSpan w:val="4"/>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Other Information</w:t>
              </w:r>
            </w:hyperlink>
          </w:p>
        </w:tc>
        <w:tc>
          <w:tcPr>
            <w:tcW w:w="8480" w:type="dxa"/>
            <w:vAlign w:val="bottom"/>
            <w:gridSpan w:val="9"/>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35">
              <w:r>
                <w:rPr>
                  <w:rFonts w:ascii="Times New Roman" w:cs="Times New Roman" w:eastAsia="Times New Roman" w:hAnsi="Times New Roman"/>
                  <w:sz w:val="18"/>
                  <w:szCs w:val="18"/>
                  <w:color w:val="0000EE"/>
                  <w:w w:val="96"/>
                </w:rPr>
                <w:t>Exhibits</w:t>
              </w:r>
            </w:hyperlink>
          </w:p>
        </w:tc>
        <w:tc>
          <w:tcPr>
            <w:tcW w:w="9200" w:type="dxa"/>
            <w:vAlign w:val="bottom"/>
            <w:gridSpan w:val="11"/>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885"/>
        </w:trPr>
        <w:tc>
          <w:tcPr>
            <w:tcW w:w="940" w:type="dxa"/>
            <w:vAlign w:val="bottom"/>
          </w:tcPr>
          <w:p>
            <w:pPr>
              <w:spacing w:after="0"/>
              <w:rPr>
                <w:sz w:val="24"/>
                <w:szCs w:val="24"/>
                <w:color w:val="auto"/>
              </w:rPr>
            </w:pPr>
          </w:p>
        </w:tc>
        <w:tc>
          <w:tcPr>
            <w:tcW w:w="6440" w:type="dxa"/>
            <w:vAlign w:val="bottom"/>
            <w:gridSpan w:val="11"/>
          </w:tcPr>
          <w:p>
            <w:pPr>
              <w:ind w:left="4720"/>
              <w:spacing w:after="0"/>
              <w:rPr>
                <w:sz w:val="20"/>
                <w:szCs w:val="20"/>
                <w:color w:val="auto"/>
              </w:rPr>
            </w:pPr>
            <w:r>
              <w:rPr>
                <w:rFonts w:ascii="Times New Roman" w:cs="Times New Roman" w:eastAsia="Times New Roman" w:hAnsi="Times New Roman"/>
                <w:sz w:val="18"/>
                <w:szCs w:val="18"/>
                <w:color w:val="auto"/>
              </w:rPr>
              <w:t>2</w:t>
            </w:r>
          </w:p>
        </w:tc>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at March 31, 2019 is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March 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40" w:type="dxa"/>
            <w:vAlign w:val="bottom"/>
            <w:gridSpan w:val="5"/>
          </w:tcPr>
          <w:p>
            <w:pPr>
              <w:jc w:val="right"/>
              <w:ind w:right="119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21,705</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7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Finished goods</w:t>
            </w:r>
          </w:p>
        </w:tc>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Raw materials</w:t>
            </w:r>
          </w:p>
        </w:tc>
        <w:tc>
          <w:tcPr>
            <w:tcW w:w="37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inventories</w:t>
            </w:r>
          </w:p>
        </w:tc>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Supplies, prepaid items and other:</w:t>
            </w:r>
          </w:p>
        </w:tc>
        <w:tc>
          <w:tcPr>
            <w:tcW w:w="3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insurance</w:t>
            </w:r>
          </w:p>
        </w:tc>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Supplies</w:t>
            </w:r>
          </w:p>
        </w:tc>
        <w:tc>
          <w:tcPr>
            <w:tcW w:w="3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37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Total supplies, prepaid items and other</w:t>
            </w:r>
          </w:p>
        </w:tc>
        <w:tc>
          <w:tcPr>
            <w:tcW w:w="37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41,211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assets</w:t>
            </w:r>
          </w:p>
        </w:tc>
        <w:tc>
          <w:tcPr>
            <w:tcW w:w="3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Intangible and other assets, net</w:t>
            </w:r>
          </w:p>
        </w:tc>
        <w:tc>
          <w:tcPr>
            <w:tcW w:w="37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FF0FC"/>
            </w:tcBorders>
          </w:tcPr>
          <w:p>
            <w:pPr>
              <w:spacing w:after="0"/>
              <w:rPr>
                <w:sz w:val="19"/>
                <w:szCs w:val="19"/>
                <w:color w:val="auto"/>
              </w:rPr>
            </w:pPr>
          </w:p>
        </w:tc>
        <w:tc>
          <w:tcPr>
            <w:tcW w:w="37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spacing w:after="0"/>
              <w:rPr>
                <w:sz w:val="19"/>
                <w:szCs w:val="19"/>
                <w:color w:val="auto"/>
              </w:rPr>
            </w:pPr>
          </w:p>
        </w:tc>
        <w:tc>
          <w:tcPr>
            <w:tcW w:w="37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1,126,469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1,148,333</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000" w:type="dxa"/>
            <w:vAlign w:val="bottom"/>
            <w:gridSpan w:val="2"/>
          </w:tcPr>
          <w:p>
            <w:pPr>
              <w:jc w:val="center"/>
              <w:ind w:right="610"/>
              <w:spacing w:after="0"/>
              <w:rPr>
                <w:sz w:val="20"/>
                <w:szCs w:val="20"/>
                <w:color w:val="auto"/>
              </w:rPr>
            </w:pPr>
            <w:r>
              <w:rPr>
                <w:rFonts w:ascii="Times New Roman" w:cs="Times New Roman" w:eastAsia="Times New Roman" w:hAnsi="Times New Roman"/>
                <w:sz w:val="18"/>
                <w:szCs w:val="18"/>
                <w:color w:val="auto"/>
                <w:w w:val="99"/>
              </w:rPr>
              <w:t>(Continued on following page)</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72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at March 31, 2019 is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March 31,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gridSpan w:val="4"/>
          </w:tcPr>
          <w:p>
            <w:pPr>
              <w:jc w:val="right"/>
              <w:ind w:right="117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49,898</w:t>
            </w:r>
          </w:p>
        </w:tc>
        <w:tc>
          <w:tcPr>
            <w:tcW w:w="46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financing</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37,671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12,275</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105,707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412,913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accrued and other liabilities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57,057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Series E 14% cumulative, redeemable Class C preferred stock, no par value,</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210,000 shares issued; 139,768 outstanding; aggregate liquidation preference</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$219,327,000 ($212,071,000 at December 31, 2018)</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209,921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Series F redeemable Class C preferred stock, no par value, 1 share issued and</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outstanding; aggregate liquidation preference of $100</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Series B 12% cumulative, convertible preferred stock, $100 par value; 20,000</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aggregate liquidation preference</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$2,845,000 ($2,785,000 at December 31, 2018)</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Series D 6% cumulative, convertible Class C preferred stock, no par value;</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1,000,000 shares issued and outstanding; aggregate liquidation preference</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of $1,207,000 ($1,192,000 at December 31, 2018)</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$.10 par value; 75,000,000 shares authorized,</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31,283,210 shares issued</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198,950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134,481</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339,559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358,383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treasury stock, at cost:</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Common stock, 2,513,575 shares (2,438,305 shares at December 31, 2018)</w:t>
            </w: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16,732</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322,827</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1,126,469</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1,148,333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60" w:type="dxa"/>
            <w:vAlign w:val="bottom"/>
            <w:gridSpan w:val="4"/>
          </w:tcPr>
          <w:p>
            <w:pPr>
              <w:jc w:val="center"/>
              <w:ind w:right="315"/>
              <w:spacing w:after="0"/>
              <w:rPr>
                <w:sz w:val="20"/>
                <w:szCs w:val="20"/>
                <w:color w:val="auto"/>
              </w:rPr>
            </w:pPr>
            <w:r>
              <w:rPr>
                <w:rFonts w:ascii="Times New Roman" w:cs="Times New Roman" w:eastAsia="Times New Roman" w:hAnsi="Times New Roman"/>
                <w:sz w:val="18"/>
                <w:szCs w:val="18"/>
                <w:color w:val="auto"/>
                <w:w w:val="99"/>
              </w:rPr>
              <w:t>March 31,</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840" w:type="dxa"/>
            <w:vAlign w:val="bottom"/>
            <w:gridSpan w:val="5"/>
          </w:tcPr>
          <w:p>
            <w:pPr>
              <w:jc w:val="center"/>
              <w:ind w:left="513"/>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44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4640" w:type="dxa"/>
            <w:vAlign w:val="bottom"/>
            <w:gridSpan w:val="2"/>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94,152</w:t>
            </w: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100,450</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6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86,834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90,357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6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6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6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other expense (income), net</w:t>
            </w:r>
          </w:p>
        </w:tc>
        <w:tc>
          <w:tcPr>
            <w:tcW w:w="3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36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(11,140)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(11,540)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on convertible preferred stocks</w:t>
            </w:r>
          </w:p>
        </w:tc>
        <w:tc>
          <w:tcPr>
            <w:tcW w:w="36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Dividends on Series E redeemable preferred stock</w:t>
            </w:r>
          </w:p>
        </w:tc>
        <w:tc>
          <w:tcPr>
            <w:tcW w:w="3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Series E redeemable preferred stock</w:t>
            </w:r>
          </w:p>
        </w:tc>
        <w:tc>
          <w:tcPr>
            <w:tcW w:w="36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660" w:type="dxa"/>
            <w:vAlign w:val="bottom"/>
          </w:tcPr>
          <w:p>
            <w:pPr>
              <w:spacing w:after="0"/>
              <w:rPr>
                <w:sz w:val="22"/>
                <w:szCs w:val="22"/>
                <w:color w:val="auto"/>
              </w:rPr>
            </w:pP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(19,367)</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(13,603)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Borders>
              <w:top w:val="single" w:sz="8" w:color="CFF0FC"/>
            </w:tcBorders>
            <w:shd w:val="clear" w:color="auto" w:fill="CFF0FC"/>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dilutive net loss per common share:</w:t>
            </w:r>
          </w:p>
        </w:tc>
        <w:tc>
          <w:tcPr>
            <w:tcW w:w="4640" w:type="dxa"/>
            <w:vAlign w:val="bottom"/>
            <w:gridSpan w:val="2"/>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(0.69)</w:t>
            </w:r>
          </w:p>
        </w:tc>
        <w:tc>
          <w:tcPr>
            <w:tcW w:w="1100" w:type="dxa"/>
            <w:vAlign w:val="bottom"/>
            <w:gridSpan w:val="2"/>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640" w:type="dxa"/>
            <w:vAlign w:val="bottom"/>
            <w:gridSpan w:val="2"/>
          </w:tcPr>
          <w:p>
            <w:pPr>
              <w:jc w:val="center"/>
              <w:ind w:right="1533"/>
              <w:spacing w:after="0"/>
              <w:rPr>
                <w:sz w:val="20"/>
                <w:szCs w:val="20"/>
                <w:color w:val="auto"/>
              </w:rPr>
            </w:pPr>
            <w:r>
              <w:rPr>
                <w:rFonts w:ascii="Times New Roman" w:cs="Times New Roman" w:eastAsia="Times New Roman" w:hAnsi="Times New Roman"/>
                <w:sz w:val="18"/>
                <w:szCs w:val="18"/>
                <w:color w:val="auto"/>
                <w:w w:val="99"/>
              </w:rPr>
              <w:t>See accompanying notes.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66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Treasury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center"/>
              <w:ind w:right="15"/>
              <w:spacing w:after="0"/>
              <w:rPr>
                <w:sz w:val="20"/>
                <w:szCs w:val="20"/>
                <w:color w:val="auto"/>
              </w:rPr>
            </w:pPr>
            <w:r>
              <w:rPr>
                <w:rFonts w:ascii="Times New Roman" w:cs="Times New Roman" w:eastAsia="Times New Roman" w:hAnsi="Times New Roman"/>
                <w:sz w:val="16"/>
                <w:szCs w:val="16"/>
                <w:color w:val="auto"/>
              </w:rPr>
              <w:t>Non-</w:t>
            </w:r>
          </w:p>
        </w:tc>
        <w:tc>
          <w:tcPr>
            <w:tcW w:w="22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Common</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9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Common</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Stock-</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Redeemable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ind w:right="76"/>
              <w:spacing w:after="0"/>
              <w:rPr>
                <w:sz w:val="20"/>
                <w:szCs w:val="20"/>
                <w:color w:val="auto"/>
              </w:rPr>
            </w:pPr>
            <w:r>
              <w:rPr>
                <w:rFonts w:ascii="Times New Roman" w:cs="Times New Roman" w:eastAsia="Times New Roman" w:hAnsi="Times New Roman"/>
                <w:sz w:val="16"/>
                <w:szCs w:val="16"/>
                <w:color w:val="auto"/>
                <w:w w:val="98"/>
              </w:rPr>
              <w:t>Stock</w:t>
            </w:r>
          </w:p>
        </w:tc>
        <w:tc>
          <w:tcPr>
            <w:tcW w:w="2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Capital in</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Treasury</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9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Stock</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Common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Preferred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ind w:right="76"/>
              <w:spacing w:after="0"/>
              <w:rPr>
                <w:sz w:val="20"/>
                <w:szCs w:val="20"/>
                <w:color w:val="auto"/>
              </w:rPr>
            </w:pPr>
            <w:r>
              <w:rPr>
                <w:rFonts w:ascii="Times New Roman" w:cs="Times New Roman" w:eastAsia="Times New Roman" w:hAnsi="Times New Roman"/>
                <w:sz w:val="16"/>
                <w:szCs w:val="16"/>
                <w:color w:val="auto"/>
                <w:w w:val="93"/>
              </w:rPr>
              <w:t>Par</w:t>
            </w:r>
          </w:p>
        </w:tc>
        <w:tc>
          <w:tcPr>
            <w:tcW w:w="2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Excess of</w:t>
            </w:r>
          </w:p>
        </w:tc>
        <w:tc>
          <w:tcPr>
            <w:tcW w:w="8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Retained</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Stock-</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39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Shares</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8"/>
              </w:rPr>
              <w:t>Shares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ind w:right="15"/>
              <w:spacing w:after="0"/>
              <w:rPr>
                <w:sz w:val="20"/>
                <w:szCs w:val="20"/>
                <w:color w:val="auto"/>
              </w:rPr>
            </w:pPr>
            <w:r>
              <w:rPr>
                <w:rFonts w:ascii="Times New Roman" w:cs="Times New Roman" w:eastAsia="Times New Roman" w:hAnsi="Times New Roman"/>
                <w:sz w:val="16"/>
                <w:szCs w:val="16"/>
                <w:color w:val="auto"/>
              </w:rPr>
              <w:t>Stock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center"/>
              <w:ind w:right="76"/>
              <w:spacing w:after="0"/>
              <w:rPr>
                <w:sz w:val="20"/>
                <w:szCs w:val="20"/>
                <w:color w:val="auto"/>
              </w:rPr>
            </w:pPr>
            <w:r>
              <w:rPr>
                <w:rFonts w:ascii="Times New Roman" w:cs="Times New Roman" w:eastAsia="Times New Roman" w:hAnsi="Times New Roman"/>
                <w:sz w:val="16"/>
                <w:szCs w:val="16"/>
                <w:color w:val="auto"/>
                <w:w w:val="94"/>
              </w:rPr>
              <w:t>Value</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Par Value</w:t>
            </w: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Earnings</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Common</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Total</w:t>
            </w:r>
          </w:p>
        </w:tc>
      </w:tr>
      <w:tr>
        <w:trPr>
          <w:trHeight w:val="207"/>
        </w:trPr>
        <w:tc>
          <w:tcPr>
            <w:tcW w:w="39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4"/>
          </w:tcPr>
          <w:p>
            <w:pPr>
              <w:ind w:left="160"/>
              <w:spacing w:after="0"/>
              <w:rPr>
                <w:sz w:val="20"/>
                <w:szCs w:val="20"/>
                <w:color w:val="auto"/>
              </w:rPr>
            </w:pPr>
            <w:r>
              <w:rPr>
                <w:rFonts w:ascii="Times New Roman" w:cs="Times New Roman" w:eastAsia="Times New Roman" w:hAnsi="Times New Roman"/>
                <w:sz w:val="16"/>
                <w:szCs w:val="16"/>
                <w:color w:val="auto"/>
              </w:rPr>
              <w:t>(In Thousands)</w:t>
            </w: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8"/>
              </w:rPr>
              <w:t>3,128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$ 198,482</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$ 153,773</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 (16,186)</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$ 342,197</w:t>
            </w:r>
          </w:p>
        </w:tc>
        <w:tc>
          <w:tcPr>
            <w:tcW w:w="80" w:type="dxa"/>
            <w:vAlign w:val="bottom"/>
            <w:shd w:val="clear" w:color="auto" w:fill="CFF0FC"/>
          </w:tcPr>
          <w:p>
            <w:pPr>
              <w:spacing w:after="0"/>
              <w:rPr>
                <w:sz w:val="20"/>
                <w:szCs w:val="20"/>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(11,540)</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(11,540)</w:t>
            </w:r>
          </w:p>
        </w:tc>
      </w:tr>
      <w:tr>
        <w:trPr>
          <w:trHeight w:val="211"/>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accrued on redeemable</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(7,256)</w:t>
            </w: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(7,256)</w:t>
            </w: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preferred stock</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(496)</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w:t>
            </w: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(546)</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(690)</w:t>
            </w:r>
          </w:p>
        </w:tc>
      </w:tr>
      <w:tr>
        <w:trPr>
          <w:trHeight w:val="223"/>
        </w:trPr>
        <w:tc>
          <w:tcPr>
            <w:tcW w:w="39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8"/>
              </w:rPr>
              <w:t>3,128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$ 198,950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$ 134,481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(16,732</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$ 322,827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Three Months Ended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March 31,</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(In Thousands)</w:t>
            </w: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38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(11,540)</w:t>
            </w:r>
          </w:p>
        </w:tc>
        <w:tc>
          <w:tcPr>
            <w:tcW w:w="70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of property, plant and equipment</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and other assets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provided (used) by changes in assets and liabilities: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Inventories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(3,393)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Prepaid insurance</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(10,480)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Accrued interest</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(7,959)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assets and other liabilities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(2,401)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7,061</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Expenditures for property, plant and equipment</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(7,115)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Proceeds from property insurance recovery associated with</w:t>
            </w:r>
          </w:p>
        </w:tc>
        <w:tc>
          <w:tcPr>
            <w:tcW w:w="1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proceeds from sale of discontinued operations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4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used by investing activities</w:t>
            </w:r>
          </w:p>
        </w:tc>
        <w:tc>
          <w:tcPr>
            <w:tcW w:w="1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6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Proceeds from other long-term debt</w:t>
            </w:r>
          </w:p>
        </w:tc>
        <w:tc>
          <w:tcPr>
            <w:tcW w:w="1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on other long-term debt</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(1,610)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(1,647)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Payments on short-term financing</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(2,714)</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paid on equity awards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used by financing activities</w:t>
            </w:r>
          </w:p>
        </w:tc>
        <w:tc>
          <w:tcPr>
            <w:tcW w:w="14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44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(4,343)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(4,952)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44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4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26,048</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4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21,705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28,667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complete discussion of our significant accounting policies, refer to the notes to our audited consolidated financial statements included in our Form 10-K for the year ended December 31, 2018 (“2018 Form 10-K”), filed with the Securities and Exchange Commission (“SEC”) on February 26, 2019.</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Basis of Consolidation – </w:t>
      </w:r>
      <w:r>
        <w:rPr>
          <w:rFonts w:ascii="Times New Roman" w:cs="Times New Roman" w:eastAsia="Times New Roman" w:hAnsi="Times New Roman"/>
          <w:sz w:val="18"/>
          <w:szCs w:val="18"/>
          <w:color w:val="auto"/>
        </w:rPr>
        <w:t>LSB Industries, Inc. (“LSB”) and its subsidiaries (the “Company”, “We”, “Us”, or “Our”) are consolidated in the accompanying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condensed consolidated financial statements. LSB is a holding company with no significant operations or assets other than cash, cash equivalents, and investments in its subsidiaries. All material intercompany accounts and transactions have been eliminated. Certain prior period amounts reported in our condensed consolidated financial statements and notes thereto have been reclassified to conform to current period presentation.</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Nature of Business – </w:t>
      </w:r>
      <w:r>
        <w:rPr>
          <w:rFonts w:ascii="Times New Roman" w:cs="Times New Roman" w:eastAsia="Times New Roman" w:hAnsi="Times New Roman"/>
          <w:sz w:val="18"/>
          <w:szCs w:val="18"/>
          <w:color w:val="auto"/>
        </w:rPr>
        <w:t>We are engaged in the manufacture and sale of chemical products. The chemical products we primarily manufacture, market and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ammonia, fertilizer grade ammonium nitrate (“HDAN”), urea ammonium nitrate (“UAN”), and ammonium nitrate (“AN”) solution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 (the “Baytown Facility”).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2016, LSB completed the sale of all of the stock of the Climate Control Group, Inc. (an indirect subsidiary that conducted LSB’s Climate Control Business) pursuant to the terms of a stock purchase agreement. During the first quarter of 2018, we received the remaining proceeds held in a related indemnity escrow account of $2.7 million.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unaudited condensed consolidated financial statements of the Company as of March 31, 2019 and for the three-month periods ended March 31, 2019 and 2018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2018 Form 10-K.</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 </w:t>
      </w: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Taxes – </w:t>
      </w:r>
      <w:r>
        <w:rPr>
          <w:rFonts w:ascii="Times New Roman" w:cs="Times New Roman" w:eastAsia="Times New Roman" w:hAnsi="Times New Roman"/>
          <w:sz w:val="18"/>
          <w:szCs w:val="18"/>
          <w:color w:val="auto"/>
        </w:rPr>
        <w:t>Income taxes are accounted for under the asset and liability method. Deferred tax assets and liabilities are measured using enacted tax rates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apply to taxable income in the years in which those differences are expected to be recovered or settled. The effect on deferred tax assets and liabilities of a change in tax rates is recognized in the statement of operations in the period that includes the enactment date.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do not recognize a tax benefit unless we conclude that it is more likely than not that the benefit will be sustained on audit by the relevant taxing authorities based solely on the technical merits of the associated tax position. If the recognition threshold is met, we recognize a tax benefit measured at the largest amount of the tax benefit that, in our judgment, is greater than 50% likely to be realized. We record interest related to unrecognized tax positions in interest expense and penalties in operating other expense.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benefits associated with amounts that are deductible for income tax purposes are recorded through the statement of operations. These benefits are principally generated from exercises of non-qualified stock options and restricted stock. We reduce income tax expense for investment tax credits in the period the credit arises and is earned.</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color w:val="auto"/>
        </w:rPr>
        <w:t>– Certain conditions may exist which may result in a loss, but which will only be resolved when future events occur. We and our legal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Redeemable Preferred Stocks </w:t>
      </w:r>
      <w:r>
        <w:rPr>
          <w:rFonts w:ascii="Times New Roman" w:cs="Times New Roman" w:eastAsia="Times New Roman" w:hAnsi="Times New Roman"/>
          <w:sz w:val="18"/>
          <w:szCs w:val="18"/>
          <w:color w:val="auto"/>
        </w:rPr>
        <w:t>– Our redeemable preferred stocks that are redeemable outside of our control are classified as temporary/mezzanine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The redeemable preferred stocks were recorded at fair value upon issuance, net of issuance costs or discounts. In addition, certain embedded features included in the Series E Redeemable Preferred required bifurcation and are classified as derivative liabilities. The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The accretion was recorded to retained earnings. However, this accretion will change if the expected redemption date changes.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ASU 2016-02 and related ASUs – </w:t>
      </w:r>
      <w:r>
        <w:rPr>
          <w:rFonts w:ascii="Times New Roman" w:cs="Times New Roman" w:eastAsia="Times New Roman" w:hAnsi="Times New Roman"/>
          <w:sz w:val="18"/>
          <w:szCs w:val="18"/>
          <w:color w:val="auto"/>
        </w:rPr>
        <w:t>In February 2016, the FASB issued ASU No. 2016-02,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supersedes the lease requirements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addition, the FASB issued various other ASUs further amending lease accounting guidance (together “ASC 842”). On January 1, 2018, we adopted ASC 842 as discussed in Note 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Adoption of ASC 842</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2019, we adopted ASC 842 using the additional transition method option provided by ASU 2018-11. Under this transition method, we applied the new accounting guidance on the date of adoption. Upon adoption, a cumulative effect adjustment was not required; however, the effect of this guidance on our consolidated financial statements impacted our balance sheet presentation by increasing the amount of our noncurrent assets for the inclusion of right-of-use assets of $15.9 million and increasing the amount of our liabilities for the inclusion of the associated lease obligations of $15.9 million, most of which are classified as noncurrent.</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transition option we elected, ASC 842 is applied only to the most current period presented in the financial statements and our reporting for the comparative periods presented in the financial statements continue to be in accordance with Topic 840, including disclosures. Upon adoption, we elected the following accounting policies or practical expedients related to ASC 842:</w:t>
      </w:r>
    </w:p>
    <w:p>
      <w:pPr>
        <w:spacing w:after="0" w:line="68" w:lineRule="exact"/>
        <w:rPr>
          <w:sz w:val="20"/>
          <w:szCs w:val="20"/>
          <w:color w:val="auto"/>
        </w:rPr>
      </w:pPr>
    </w:p>
    <w:p>
      <w:pPr>
        <w:ind w:left="760" w:hanging="374"/>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reassess whether any expired or existing contracts are or contain leases, not reassess the lease classification for any expired or existing leases, and not reassess initial direct costs for any existing leases;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accounting similar to Topic 840 operating leases accounting to leases that meet the definition of short-term leases;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evaluate land easements that exist or expired before January 1, 2019 and that were not previously accounted for as leases under Topic 840.</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Currently, most of our leases are classified as operating leases under which we are the lessee and primarily relate to railcars, other equipment and office space. In addition, our leases that are classified as finance leases (previously classified as capital leases) and other leases under which we are the lessor are not material. Most of our leases do not include options to extend or terminate the lease prior to the end of the term. As of March 31, 2019, we did not have any material operating leases with lease terms greater than one year that have not yet commenced.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Adoption of ASC 842 (continued)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color w:val="auto"/>
                <w:w w:val="99"/>
              </w:rPr>
              <w:t>March 31, 2019</w:t>
            </w:r>
          </w:p>
        </w:tc>
        <w:tc>
          <w:tcPr>
            <w:tcW w:w="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Components of lease expense:</w:t>
            </w: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Short-term lease cost</w:t>
            </w: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1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 cost (1)</w:t>
            </w:r>
          </w:p>
        </w:tc>
        <w:tc>
          <w:tcPr>
            <w:tcW w:w="7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7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Supplemental cash flow information related to leases:</w:t>
            </w:r>
          </w:p>
        </w:tc>
        <w:tc>
          <w:tcPr>
            <w:tcW w:w="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40" w:type="dxa"/>
            <w:vAlign w:val="bottom"/>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7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2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20" w:type="dxa"/>
            <w:vAlign w:val="bottom"/>
          </w:tcPr>
          <w:p>
            <w:pPr>
              <w:spacing w:after="0"/>
              <w:rPr>
                <w:sz w:val="22"/>
                <w:szCs w:val="22"/>
                <w:color w:val="auto"/>
              </w:rPr>
            </w:pPr>
          </w:p>
        </w:tc>
        <w:tc>
          <w:tcPr>
            <w:tcW w:w="22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61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60" w:type="dxa"/>
            <w:vAlign w:val="bottom"/>
            <w:vMerge w:val="continue"/>
          </w:tcPr>
          <w:p>
            <w:pPr>
              <w:spacing w:after="0"/>
              <w:rPr>
                <w:sz w:val="23"/>
                <w:szCs w:val="23"/>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94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lease-related information:</w:t>
            </w:r>
          </w:p>
        </w:tc>
        <w:tc>
          <w:tcPr>
            <w:tcW w:w="7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leases (in years)</w:t>
            </w: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432"/>
        </w:trPr>
        <w:tc>
          <w:tcPr>
            <w:tcW w:w="7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  Includes variable and finance lease costs.</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are as follows:</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Operating</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Leases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auto"/>
                <w:w w:val="99"/>
              </w:rPr>
              <w:t>(In thousands)</w:t>
            </w:r>
          </w:p>
        </w:tc>
        <w:tc>
          <w:tcPr>
            <w:tcW w:w="0" w:type="dxa"/>
            <w:vAlign w:val="bottom"/>
          </w:tcPr>
          <w:p>
            <w:pPr>
              <w:spacing w:after="0"/>
              <w:rPr>
                <w:sz w:val="1"/>
                <w:szCs w:val="1"/>
                <w:color w:val="auto"/>
              </w:rPr>
            </w:pPr>
          </w:p>
        </w:tc>
      </w:tr>
      <w:tr>
        <w:trPr>
          <w:trHeight w:val="246"/>
        </w:trPr>
        <w:tc>
          <w:tcPr>
            <w:tcW w:w="1160" w:type="dxa"/>
            <w:vAlign w:val="bottom"/>
          </w:tcPr>
          <w:p>
            <w:pPr>
              <w:spacing w:after="0"/>
              <w:rPr>
                <w:sz w:val="21"/>
                <w:szCs w:val="21"/>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the remainder of 2019</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5,404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60" w:type="dxa"/>
            <w:vAlign w:val="bottom"/>
            <w:gridSpan w:val="2"/>
          </w:tcPr>
          <w:p>
            <w:pPr>
              <w:jc w:val="right"/>
              <w:ind w:right="5670"/>
              <w:spacing w:after="0"/>
              <w:rPr>
                <w:sz w:val="20"/>
                <w:szCs w:val="20"/>
                <w:color w:val="auto"/>
              </w:rPr>
            </w:pPr>
            <w:r>
              <w:rPr>
                <w:rFonts w:ascii="Times New Roman" w:cs="Times New Roman" w:eastAsia="Times New Roman" w:hAnsi="Times New Roman"/>
                <w:sz w:val="18"/>
                <w:szCs w:val="18"/>
                <w:color w:val="auto"/>
              </w:rPr>
              <w:t>2020</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100" w:type="dxa"/>
            <w:vAlign w:val="bottom"/>
            <w:shd w:val="clear" w:color="auto" w:fill="CFF0FC"/>
          </w:tcPr>
          <w:p>
            <w:pPr>
              <w:jc w:val="right"/>
              <w:ind w:right="5670"/>
              <w:spacing w:after="0"/>
              <w:rPr>
                <w:sz w:val="20"/>
                <w:szCs w:val="20"/>
                <w:color w:val="auto"/>
              </w:rPr>
            </w:pPr>
            <w:r>
              <w:rPr>
                <w:rFonts w:ascii="Times New Roman" w:cs="Times New Roman" w:eastAsia="Times New Roman" w:hAnsi="Times New Roman"/>
                <w:sz w:val="18"/>
                <w:szCs w:val="18"/>
                <w:color w:val="auto"/>
                <w:w w:val="88"/>
              </w:rPr>
              <w:t>2021</w:t>
            </w:r>
          </w:p>
        </w:tc>
        <w:tc>
          <w:tcPr>
            <w:tcW w:w="7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2,746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60" w:type="dxa"/>
            <w:vAlign w:val="bottom"/>
            <w:gridSpan w:val="2"/>
          </w:tcPr>
          <w:p>
            <w:pPr>
              <w:jc w:val="right"/>
              <w:ind w:right="5670"/>
              <w:spacing w:after="0"/>
              <w:rPr>
                <w:sz w:val="20"/>
                <w:szCs w:val="20"/>
                <w:color w:val="auto"/>
              </w:rPr>
            </w:pPr>
            <w:r>
              <w:rPr>
                <w:rFonts w:ascii="Times New Roman" w:cs="Times New Roman" w:eastAsia="Times New Roman" w:hAnsi="Times New Roman"/>
                <w:sz w:val="18"/>
                <w:szCs w:val="18"/>
                <w:color w:val="auto"/>
              </w:rPr>
              <w:t>2022</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100" w:type="dxa"/>
            <w:vAlign w:val="bottom"/>
            <w:shd w:val="clear" w:color="auto" w:fill="CFF0FC"/>
          </w:tcPr>
          <w:p>
            <w:pPr>
              <w:jc w:val="right"/>
              <w:ind w:right="5670"/>
              <w:spacing w:after="0"/>
              <w:rPr>
                <w:sz w:val="20"/>
                <w:szCs w:val="20"/>
                <w:color w:val="auto"/>
              </w:rPr>
            </w:pPr>
            <w:r>
              <w:rPr>
                <w:rFonts w:ascii="Times New Roman" w:cs="Times New Roman" w:eastAsia="Times New Roman" w:hAnsi="Times New Roman"/>
                <w:sz w:val="18"/>
                <w:szCs w:val="18"/>
                <w:color w:val="auto"/>
                <w:w w:val="88"/>
              </w:rPr>
              <w:t>2023</w:t>
            </w:r>
          </w:p>
        </w:tc>
        <w:tc>
          <w:tcPr>
            <w:tcW w:w="7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1,819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720" w:type="dxa"/>
            <w:vAlign w:val="bottom"/>
            <w:tcBorders>
              <w:top w:val="single" w:sz="8" w:color="CFF0FC"/>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2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18,630</w:t>
            </w:r>
          </w:p>
        </w:tc>
        <w:tc>
          <w:tcPr>
            <w:tcW w:w="8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Less imputed interest</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(3,242)</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1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7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15,388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Topic 840, expenses associated with our operating lease agreements, including month-to-month leases, for the first quarter of 2018 was approximately $2.2 million.</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Loss Per Common Share</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4"/>
          </w:tcPr>
          <w:p>
            <w:pPr>
              <w:jc w:val="center"/>
              <w:ind w:left="630"/>
              <w:spacing w:after="0"/>
              <w:rPr>
                <w:sz w:val="20"/>
                <w:szCs w:val="20"/>
                <w:color w:val="auto"/>
              </w:rPr>
            </w:pPr>
            <w:r>
              <w:rPr>
                <w:rFonts w:ascii="Times New Roman" w:cs="Times New Roman" w:eastAsia="Times New Roman" w:hAnsi="Times New Roman"/>
                <w:sz w:val="18"/>
                <w:szCs w:val="18"/>
                <w:color w:val="auto"/>
                <w:w w:val="99"/>
              </w:rPr>
              <w:t>March 31,</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(11,540)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(5,591)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Adjustments for basic net loss per common share:</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Dividend requirements on Series E Redeemable Preferred</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(6,338)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Dividend requirements on Series B Preferred</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Dividend requirements on Series D Preferred</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Accretion of Series E Redeemable Preferred</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628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Numerator for basic and dilutive net loss per common share - net loss</w:t>
            </w:r>
          </w:p>
        </w:tc>
        <w:tc>
          <w:tcPr>
            <w:tcW w:w="8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580" w:type="dxa"/>
            <w:vAlign w:val="bottom"/>
          </w:tcPr>
          <w:p>
            <w:pPr>
              <w:spacing w:after="0"/>
              <w:rPr>
                <w:sz w:val="23"/>
                <w:szCs w:val="23"/>
                <w:color w:val="auto"/>
              </w:rPr>
            </w:pPr>
          </w:p>
        </w:tc>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(19,367)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(13,603)</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62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6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Denominator for basic and dilutive net loss per common share – adjusted</w:t>
            </w: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2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weighted-average shares (1)</w:t>
            </w:r>
          </w:p>
        </w:tc>
        <w:tc>
          <w:tcPr>
            <w:tcW w:w="8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27,959,024</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27,518,782</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dilutive net loss per common share:</w:t>
            </w: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(0.69)</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2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Excludes the weighted-average shares of unvested restricted stock that are contingently issuable.</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weighted-average shares of securities were not included in the computation of diluted net loss per common share as their effect would have been antidilutive: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2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0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March 31,</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0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and stock units</w:t>
            </w:r>
          </w:p>
        </w:tc>
        <w:tc>
          <w:tcPr>
            <w:tcW w:w="260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930,386</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1,195,315</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stocks</w:t>
            </w:r>
          </w:p>
        </w:tc>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916,666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916,666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E Redeemable Preferred - embedded derivative</w:t>
            </w:r>
          </w:p>
        </w:tc>
        <w:tc>
          <w:tcPr>
            <w:tcW w:w="4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303,646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303,646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196,121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80" w:type="dxa"/>
            <w:vAlign w:val="bottom"/>
            <w:tcBorders>
              <w:top w:val="single" w:sz="8" w:color="CFF0FC"/>
              <w:bottom w:val="single" w:sz="8" w:color="CFF0FC"/>
            </w:tcBorders>
            <w:shd w:val="clear" w:color="auto" w:fill="CFF0FC"/>
          </w:tcPr>
          <w:p>
            <w:pPr>
              <w:spacing w:after="0"/>
              <w:rPr>
                <w:sz w:val="19"/>
                <w:szCs w:val="19"/>
                <w:color w:val="auto"/>
              </w:rPr>
            </w:pPr>
          </w:p>
        </w:tc>
        <w:tc>
          <w:tcPr>
            <w:tcW w:w="260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2,274,698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2,611,748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600" w:type="dxa"/>
            <w:vAlign w:val="bottom"/>
            <w:vMerge w:val="restart"/>
          </w:tcPr>
          <w:p>
            <w:pPr>
              <w:jc w:val="right"/>
              <w:ind w:right="1770"/>
              <w:spacing w:after="0"/>
              <w:rPr>
                <w:sz w:val="20"/>
                <w:szCs w:val="20"/>
                <w:color w:val="auto"/>
              </w:rPr>
            </w:pPr>
            <w:r>
              <w:rPr>
                <w:rFonts w:ascii="Times New Roman" w:cs="Times New Roman" w:eastAsia="Times New Roman" w:hAnsi="Times New Roman"/>
                <w:sz w:val="18"/>
                <w:szCs w:val="18"/>
                <w:color w:val="auto"/>
              </w:rPr>
              <w:t>11</w:t>
            </w: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Current and Noncurrent Accrued and Other Liabilities</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March 31,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2019</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7"/>
          </w:tcPr>
          <w:p>
            <w:pPr>
              <w:jc w:val="right"/>
              <w:ind w:right="860"/>
              <w:spacing w:after="0"/>
              <w:rPr>
                <w:sz w:val="20"/>
                <w:szCs w:val="20"/>
                <w:color w:val="auto"/>
              </w:rPr>
            </w:pPr>
            <w:r>
              <w:rPr>
                <w:rFonts w:ascii="Times New Roman" w:cs="Times New Roman" w:eastAsia="Times New Roman" w:hAnsi="Times New Roman"/>
                <w:sz w:val="16"/>
                <w:szCs w:val="16"/>
                <w:color w:val="auto"/>
              </w:rPr>
              <w:t>(In Thousands)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720" w:type="dxa"/>
            <w:vAlign w:val="bottom"/>
          </w:tcPr>
          <w:p>
            <w:pPr>
              <w:spacing w:after="0"/>
              <w:rPr>
                <w:sz w:val="20"/>
                <w:szCs w:val="20"/>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16,164</w:t>
            </w:r>
          </w:p>
        </w:tc>
        <w:tc>
          <w:tcPr>
            <w:tcW w:w="16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6,505</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5,717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4,859</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5,216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3,219</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1,783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Accrued death and other executive benefits</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E Redeemable Preferred - embedded derivative</w:t>
            </w: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1,843</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1,642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Accrued health and worker compensation insurance claims</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litigation settlement (see Note 6)</w:t>
            </w: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18,450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6,801</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6,251</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46,044</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50,990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noncurrent portion</w:t>
            </w:r>
          </w:p>
        </w:tc>
        <w:tc>
          <w:tcPr>
            <w:tcW w:w="4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8,373</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8,861</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accrued and other liabilities</w:t>
            </w:r>
          </w:p>
        </w:tc>
        <w:tc>
          <w:tcPr>
            <w:tcW w:w="4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37,671</w:t>
            </w:r>
          </w:p>
        </w:tc>
        <w:tc>
          <w:tcPr>
            <w:tcW w:w="1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42,129</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Long-Term Debt</w:t>
            </w: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long-term debt consists of the following:</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7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March 31,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2019</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6"/>
          </w:tcPr>
          <w:p>
            <w:pPr>
              <w:jc w:val="right"/>
              <w:ind w:right="770"/>
              <w:spacing w:after="0"/>
              <w:rPr>
                <w:sz w:val="20"/>
                <w:szCs w:val="20"/>
                <w:color w:val="auto"/>
              </w:rPr>
            </w:pPr>
            <w:r>
              <w:rPr>
                <w:rFonts w:ascii="Times New Roman" w:cs="Times New Roman" w:eastAsia="Times New Roman" w:hAnsi="Times New Roman"/>
                <w:sz w:val="16"/>
                <w:szCs w:val="16"/>
                <w:color w:val="auto"/>
              </w:rPr>
              <w:t>(In Thousands)</w:t>
            </w: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 Revolver Loan, with a current interest</w:t>
            </w: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rate of 6.0% (A)</w:t>
            </w:r>
          </w:p>
        </w:tc>
        <w:tc>
          <w:tcPr>
            <w:tcW w:w="66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Notes due 2023 (B)</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Secured Promissory Note due 2019, with a current interest</w:t>
            </w: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rate of 5.73% (C)</w:t>
            </w:r>
          </w:p>
        </w:tc>
        <w:tc>
          <w:tcPr>
            <w:tcW w:w="4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Secured Promissory Note due 2021, with a current interest</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 of 5.25% (D)</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Secured Promissory Note due 2023, with a current interest</w:t>
            </w: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rate of 6.74% (E)</w:t>
            </w:r>
          </w:p>
        </w:tc>
        <w:tc>
          <w:tcPr>
            <w:tcW w:w="4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(F)</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(14,158)</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(14,962)</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425,188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long-term debt, net</w:t>
            </w:r>
          </w:p>
        </w:tc>
        <w:tc>
          <w:tcPr>
            <w:tcW w:w="4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12,275</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12,518</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Long-term debt due after one year, net</w:t>
            </w:r>
          </w:p>
        </w:tc>
        <w:tc>
          <w:tcPr>
            <w:tcW w:w="46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412,913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412,681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255" w:lineRule="auto"/>
        <w:tabs>
          <w:tab w:leader="none" w:pos="29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amended in February 2019, our revolving credit facility (the “Working Capital Revolver Loan”) provides for advances up to $75 million, based on specific percentages of eligible accounts receivable and inventories and up to $10 million of letters of credit, the outstanding amount of which reduces the available for borrowing under the Working Capital Revolver Loan. At March 31, 2019, our available borrowings under our Working Capital Revolver Loan were approximately $40.1 million, based on our eligible collateral, less outstanding letters of credit. The maturity date of the Working Capital Revolver Loan is February 26, 2024. The Working Capital Revolver Loan also provides for a springing financial covenant (the “Financial Covenant”), which requires that, if the borrowing availability is less than 10.0% of the total revolver commitments, then the borrowers must maintain a minimum fixed charge coverage ratio of not less than 1.00 to 1.00. The Financial Covenant, if triggered, is tested monthly.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Long-Term Debt (continued)</w:t>
      </w:r>
    </w:p>
    <w:p>
      <w:pPr>
        <w:spacing w:after="0" w:line="121" w:lineRule="exact"/>
        <w:rPr>
          <w:sz w:val="20"/>
          <w:szCs w:val="20"/>
          <w:color w:val="auto"/>
        </w:rPr>
      </w:pPr>
    </w:p>
    <w:p>
      <w:pPr>
        <w:jc w:val="both"/>
        <w:ind w:firstLine="8"/>
        <w:spacing w:after="0" w:line="266" w:lineRule="auto"/>
        <w:tabs>
          <w:tab w:leader="none" w:pos="28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25, 2018, LSB completed the issuance and sale of $400 million aggregate principal amount of its 9.625% Senior Secured Notes due 2023 (the “Senior Secured Notes”). The Senior Secured Notes were issued at a price equal to 99.509% of their face value. The Senior Secured Notes mature on May 1, 2023</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Interest is to be paid semiannually in arrears on May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and November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b w:val="1"/>
          <w:bCs w:val="1"/>
          <w:color w:val="auto"/>
        </w:rPr>
      </w:pPr>
    </w:p>
    <w:p>
      <w:pPr>
        <w:ind w:firstLine="8"/>
        <w:spacing w:after="0" w:line="282" w:lineRule="auto"/>
        <w:tabs>
          <w:tab w:leader="none" w:pos="29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 Dorado Chemical Company (“EDC”), one of our subsidiaries, is party to a secured promissory note due in June 2019. Principal and interest are payable in equal monthly installments with a final balloon payment of approximately $6.7 million.</w:t>
      </w:r>
    </w:p>
    <w:p>
      <w:pPr>
        <w:spacing w:after="0" w:line="53" w:lineRule="exact"/>
        <w:rPr>
          <w:rFonts w:ascii="Times New Roman" w:cs="Times New Roman" w:eastAsia="Times New Roman" w:hAnsi="Times New Roman"/>
          <w:sz w:val="18"/>
          <w:szCs w:val="18"/>
          <w:b w:val="1"/>
          <w:bCs w:val="1"/>
          <w:color w:val="auto"/>
        </w:rPr>
      </w:pPr>
    </w:p>
    <w:p>
      <w:pPr>
        <w:ind w:left="300" w:hanging="292"/>
        <w:spacing w:after="0"/>
        <w:tabs>
          <w:tab w:leader="none" w:pos="3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EDC is party to a secured promissory note due in March 2021. Principal and interest are payable in monthly installments.</w:t>
      </w:r>
    </w:p>
    <w:p>
      <w:pPr>
        <w:spacing w:after="0" w:line="117" w:lineRule="exact"/>
        <w:rPr>
          <w:rFonts w:ascii="Times New Roman" w:cs="Times New Roman" w:eastAsia="Times New Roman" w:hAnsi="Times New Roman"/>
          <w:sz w:val="18"/>
          <w:szCs w:val="18"/>
          <w:b w:val="1"/>
          <w:bCs w:val="1"/>
          <w:color w:val="auto"/>
        </w:rPr>
      </w:pPr>
    </w:p>
    <w:p>
      <w:pPr>
        <w:ind w:firstLine="8"/>
        <w:spacing w:after="0" w:line="282" w:lineRule="auto"/>
        <w:tabs>
          <w:tab w:leader="none" w:pos="29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 Dorado Ammonia L.L.C. (“EDA”), one of our subsidiaries, is party to a secured promissory note due in May 2023. Principal and interest are payable in equal monthly installments with a final balloon payment of approximately $6.1 million.</w:t>
      </w:r>
    </w:p>
    <w:p>
      <w:pPr>
        <w:spacing w:after="0" w:line="53" w:lineRule="exact"/>
        <w:rPr>
          <w:rFonts w:ascii="Times New Roman" w:cs="Times New Roman" w:eastAsia="Times New Roman" w:hAnsi="Times New Roman"/>
          <w:sz w:val="18"/>
          <w:szCs w:val="18"/>
          <w:b w:val="1"/>
          <w:bCs w:val="1"/>
          <w:color w:val="auto"/>
        </w:rPr>
      </w:pPr>
    </w:p>
    <w:p>
      <w:pPr>
        <w:jc w:val="both"/>
        <w:ind w:firstLine="8"/>
        <w:spacing w:after="0" w:line="261" w:lineRule="auto"/>
        <w:tabs>
          <w:tab w:leader="none" w:pos="29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Includes $0.8 million relating to a secured loan agreement EDC entered during March 2019. Under the terms of the agreement, EDC has up to $7.5 million of available borrowings (the “Interim Loan”) during the construction of certain equipment (the “Interim Loan Period), subject to certain conditions. During the Interim Loan Period, interest only is payable in monthly installments. The Interim Loan will be replaced by a term loan upon completion of the construction, which is expected to be during 2019. Principal and interest will be payable in 60 equal monthly installments under the term loan.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Purchase Commitments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March 31, 2019, our natural gas contracts, which qualify as normal purchases under GAAP and thus are not mark-to-market, included minimal volume purchase commitments with fixed prices through April 2019.</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Legal Matters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is a summary of certain legal matters involving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Environmental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In connection with certain acquisitions, we could acquire, or be required to provide indemnification against, environmental liabilities that could expose us to material losses. 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environmental, health and safety effects of our operations.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We did not operate the natural gas wells where we previously owned a working interest and compliance with Environmental and Health Laws was controlled by others. We were responsible for our working interest proportionate share of the costs involved.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2019, our accrued liabilities for environmental matters totaled $183,000 relating primarily to the matters discussed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(continued)</w:t>
      </w:r>
    </w:p>
    <w:p>
      <w:pPr>
        <w:spacing w:after="0" w:line="117"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Discharge Water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amount of effluents that can be discharged and control the method of such discharge.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2017, PCC filed a Permit Renewal Application for its Non-Hazardous Injection Well Permit at the Pryor Facility. Although the Injection Well Permit expired in 2018, PCC continues to operate the injection well pending the Oklahoma Department of Environmental Quality (“ODEQ”) action on the Permit Renewal Application. PCC and ODEQ are engaged in ongoing discussions related to the renewal of the injection well to address the wastewater stream.</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contains more restrictive discharge limits than the previous 2004 permit. In August 2017, ADEQ issued a final NPDES permit with new dissolved mineral limits. EDC filed an appeal in September 2017 and a Permit Appeal Resolution (“PAR”) was signed in July 2018. EDC is in compliance with the revised permit limits agreed upon in the PAR.</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2006, the El Dorado Facility entered into a Consent Administrative Order (“CAO”) that recognizes the presence of nitrate contamination in the shallow groundwater. The CAO requires EDC to perform semi-annual groundwater monitoring, continue operation of a groundwater recovery system, submit a human health and ecological risk assessment, and submit a remedial action plan. The risk assessment was submitted in August 2007. In February 2015, the ADEQ stated that El Dorado Chemical was meeting the requirements of the CAO and should continue semi-annual monitoring. Subsequent to the PAR mentioned previously, a new CAO was signed in October 2018 which required an Evaluation Report of the data and effectiveness of the groundwater remedy for nitrate contamination. That report was submitted to the ADEQ on February 11, 2019.</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any additional remediation that may be required would be determined based on the results of the investigation and risk assessment, of which cost (or range of costs, if any,) cannot currently be reasonably estimated. Therefore, no liability has been established at March 31, 2019, in connection with this matter.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Other Environmental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subsidiary and Chevron have retained an environmental consultant to prepare and perform a corrective action study work plan as to the appropriate method to remediate the Hallowell Facility. The proposed strategy includes long-term surface and groundwater monitoring to track the natural decline in contamination. The KDHE is currently evaluating the corrective action strategy, and, thus, it is unknown what additional work the KDHE may require, if any, at this time.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accrued our allocable portion of costs primarily for the additional testing, monitoring and risk assessments that could be reasonably estimated, which is included in our accrued liabilities for environmental matters discussed above. The estimated amount is not discounted to its present value. As more information becomes available, our estimated accrual will be refined.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(continued)</w:t>
      </w:r>
    </w:p>
    <w:p>
      <w:pPr>
        <w:spacing w:after="0" w:line="11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 Other Pending, Threatened or Settled Litigation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2014, EDC and LSB were named as defendants, together with other AN manufacturers and brokers that arranged the transport and delivery of AN to West Fertilizer, in the case styled </w:t>
      </w:r>
      <w:r>
        <w:rPr>
          <w:rFonts w:ascii="Times New Roman" w:cs="Times New Roman" w:eastAsia="Times New Roman" w:hAnsi="Times New Roman"/>
          <w:sz w:val="18"/>
          <w:szCs w:val="18"/>
          <w:i w:val="1"/>
          <w:iCs w:val="1"/>
          <w:color w:val="auto"/>
        </w:rPr>
        <w:t>City of West, Texas vs. CF Industries, Inc., et al.</w:t>
      </w:r>
      <w:r>
        <w:rPr>
          <w:rFonts w:ascii="Times New Roman" w:cs="Times New Roman" w:eastAsia="Times New Roman" w:hAnsi="Times New Roman"/>
          <w:sz w:val="18"/>
          <w:szCs w:val="18"/>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liability insurance policies have aggregate limits of general liability totaling $100 million, with a self-insured retention of $250,000, which retention limit has been met relating to this matter. In August 2015, the trial court dismissed plaintiff’s negligence claims against us and EDC based on a duty to inspect but allowed the plaintiffs to proceed on claims for design defect and failure to warn.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A portion of these settlements have been paid by the insurer as of March 31, 2019. While these settlements resolve the claims of a number of the claimants in this matter for us, we continue to be party to litigation related to this explosion by other plaintiffs, in addition to indemnification or defense obligations we may have to other defendants. We continue to defend these lawsuits vigorously and we are unable to estimate a possible range of loss at this time if there is an adverse outcome in this matter as to EDC. As of March 31, 2019, no liability reserve has been established in connection with this matter, except for the unpaid portion of the settlement agreements discussed above.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2015, a case styled </w:t>
      </w:r>
      <w:r>
        <w:rPr>
          <w:rFonts w:ascii="Times New Roman" w:cs="Times New Roman" w:eastAsia="Times New Roman" w:hAnsi="Times New Roman"/>
          <w:sz w:val="18"/>
          <w:szCs w:val="18"/>
          <w:i w:val="1"/>
          <w:iCs w:val="1"/>
          <w:color w:val="auto"/>
        </w:rPr>
        <w:t>Dennis Wilson vs. LSB Industries, Inc</w:t>
      </w:r>
      <w:r>
        <w:rPr>
          <w:rFonts w:ascii="Times New Roman" w:cs="Times New Roman" w:eastAsia="Times New Roman" w:hAnsi="Times New Roman"/>
          <w:sz w:val="18"/>
          <w:szCs w:val="18"/>
          <w:color w:val="auto"/>
        </w:rPr>
        <w:t>., et al., was filed in the United States District Court for the Southern District of New York. The plaintiff purports to represent a class of our shareholders and asserts that we violated federal securities laws by allegedly making material misstatements and omissions about delays and cost overruns at our El Dorado Chemical Company manufacturing facility and about our financial well-being and prospects. The lawsuit, which also names certain current and former officers, sought an unspecified amount of damages.</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October 2018, LSB entered into a preliminary, binding term sheet to settle </w:t>
      </w:r>
      <w:r>
        <w:rPr>
          <w:rFonts w:ascii="Times New Roman" w:cs="Times New Roman" w:eastAsia="Times New Roman" w:hAnsi="Times New Roman"/>
          <w:sz w:val="18"/>
          <w:szCs w:val="18"/>
          <w:i w:val="1"/>
          <w:iCs w:val="1"/>
          <w:color w:val="auto"/>
        </w:rPr>
        <w:t>Dennis Wilson vs. LSB Industries, Inc</w:t>
      </w:r>
      <w:r>
        <w:rPr>
          <w:rFonts w:ascii="Times New Roman" w:cs="Times New Roman" w:eastAsia="Times New Roman" w:hAnsi="Times New Roman"/>
          <w:sz w:val="18"/>
          <w:szCs w:val="18"/>
          <w:color w:val="auto"/>
        </w:rPr>
        <w:t>., et al., which was subject to approval by the court. On January 17, 2019, the parties entered into a Stipulation and Agreement of Settlement (The “Wilson Settlement Agreement”), pursuant to which the settlement amount of approximately $18.5 million was paid in March by our insurers on behalf of LSB and certain current and former officers in exchange for, among other things, a release of all claims. The Wilson Settlement Agreement received preliminary approval from the Court on February 25, 2019 and will be further reviewed by the Court at a settlement hearing schedule for June 28, 2019. As of March 31, 2019, no liability reserve has been established in connection with this matter.</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2015, we and EDA received formal written notice from Global Industrial, Inc. (“Global”) of Global’s intention to assert mechanic liens for labor, service, or materials furnished under certain subcontract agreements for the improvement of the new ammonia plant at our El Dorado Facility. Global is a subcontractor of Leidos Constructors, LLC (“Leidos”), the general contractor for EDA for the construction for the ammonia plant. Leidos terminated the services of Global with respect to their work performed at our El Dorado Facility.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LSB and EDA intend to pursue recovery of any damage or loss caused by Global’s work performed at our El Dorado Facility. In March 2016, EDC and we were served a summons in a case styled </w:t>
      </w:r>
      <w:r>
        <w:rPr>
          <w:rFonts w:ascii="Times New Roman" w:cs="Times New Roman" w:eastAsia="Times New Roman" w:hAnsi="Times New Roman"/>
          <w:sz w:val="18"/>
          <w:szCs w:val="18"/>
          <w:i w:val="1"/>
          <w:iCs w:val="1"/>
          <w:color w:val="auto"/>
        </w:rPr>
        <w:t>Global Industrial, Inc. d/b/a Global Turnaround vs. Leidos Constructors, LLC et al.,</w:t>
      </w:r>
      <w:r>
        <w:rPr>
          <w:rFonts w:ascii="Times New Roman" w:cs="Times New Roman" w:eastAsia="Times New Roman" w:hAnsi="Times New Roman"/>
          <w:sz w:val="18"/>
          <w:szCs w:val="18"/>
          <w:color w:val="auto"/>
        </w:rPr>
        <w:t xml:space="preserve"> where in Global seeks damages under breach of contract and other claims. We have requested indemnifications from Leidos under the terms of our contracts which they have denied, and we intend to vigorously defend against the allegation made by Global and seek reimbursement of legal expenses from Leidos under our contracts.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 (continued)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for the invoices totaling approximately $3.5 million that were not approved by Leidos for payment that are included in our accounts payable, no liability has been established in connection with the claims asserted by Global. On September 25, 2018, the Court bifurcated the case into: (1) Global’s claims against Leidos and LSB, and (2) the cross-claims between Leidos and LSB. Part (1) of the case was tried to the Court during the fall of 2018. The Court took the matter under advisement, will consider the evidence and render judgment. LSB intends to vigorously prosecute its claims against Leidos in Part (2) of the matter. Trial is scheduled for Part (2) of the matter in February of 2020.</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involved in various other claims and legal actions (including matters involving gain contingencies).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2017, the President of the United States signed into law the Tax Cuts and Jobs Act of 2017 (the “Act”), making significant changes to the Internal Revenue Code. Changes include, but are not limited to, a federal corporate tax rate of 21%, additional limitations on executive compensation, and limitations on the deductibility of interest.</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FASB issued ASU 2018-05, Income Taxes (Topic 740): </w:t>
      </w:r>
      <w:r>
        <w:rPr>
          <w:rFonts w:ascii="Times New Roman" w:cs="Times New Roman" w:eastAsia="Times New Roman" w:hAnsi="Times New Roman"/>
          <w:sz w:val="18"/>
          <w:szCs w:val="18"/>
          <w:i w:val="1"/>
          <w:iCs w:val="1"/>
          <w:color w:val="auto"/>
        </w:rPr>
        <w:t>Amendments to SEC Paragraphs Pursuant to SEC Staff Accounting Bulletin No. 118</w:t>
      </w:r>
      <w:r>
        <w:rPr>
          <w:rFonts w:ascii="Times New Roman" w:cs="Times New Roman" w:eastAsia="Times New Roman" w:hAnsi="Times New Roman"/>
          <w:sz w:val="18"/>
          <w:szCs w:val="18"/>
          <w:color w:val="auto"/>
        </w:rPr>
        <w:t xml:space="preserve"> to address the application of GAAP in situations when a registrant does not have the necessary information available, prepared, or analyzed (including computations) in reasonable detail to complete the accounting for certain income tax effects of the Act.</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first nine months of 2018, we recorded provisional amounts for certain enactment-date effects of the Act by applying the guidance in SAB 118 because we had not yet completed our enactment-date accounting for these effects. In 2018, we recorded tax expense related to these effects including the decrease in the federal corporate tax rate, additional limitations on executive compensation, and limitations on the deductibility of interest. During the fourth quarter of 2018, we completed the accounting for tax reform and there was no adjustment to provisional amounts recorded.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(benefit) for income taxes is as follows: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100" w:type="dxa"/>
            <w:vAlign w:val="bottom"/>
            <w:gridSpan w:val="4"/>
          </w:tcPr>
          <w:p>
            <w:pPr>
              <w:jc w:val="center"/>
              <w:ind w:left="254"/>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2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color w:val="auto"/>
                <w:w w:val="99"/>
              </w:rPr>
              <w:t>March 31,</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100" w:type="dxa"/>
            <w:vAlign w:val="bottom"/>
            <w:gridSpan w:val="4"/>
          </w:tcPr>
          <w:p>
            <w:pPr>
              <w:jc w:val="center"/>
              <w:ind w:left="254"/>
              <w:spacing w:after="0"/>
              <w:rPr>
                <w:sz w:val="20"/>
                <w:szCs w:val="20"/>
                <w:color w:val="auto"/>
              </w:rPr>
            </w:pPr>
            <w:r>
              <w:rPr>
                <w:rFonts w:ascii="Times New Roman" w:cs="Times New Roman" w:eastAsia="Times New Roman" w:hAnsi="Times New Roman"/>
                <w:sz w:val="16"/>
                <w:szCs w:val="16"/>
                <w:color w:val="auto"/>
              </w:rPr>
              <w:t>(In Thousands)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7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78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780" w:type="dxa"/>
            <w:vAlign w:val="bottom"/>
            <w:shd w:val="clear" w:color="auto" w:fill="CFF0FC"/>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Current</w:t>
            </w:r>
          </w:p>
        </w:tc>
        <w:tc>
          <w:tcPr>
            <w:tcW w:w="7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780" w:type="dxa"/>
            <w:vAlign w:val="bottom"/>
            <w:shd w:val="clear" w:color="auto" w:fill="CFF0FC"/>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Deferred</w:t>
            </w:r>
          </w:p>
        </w:tc>
        <w:tc>
          <w:tcPr>
            <w:tcW w:w="780" w:type="dxa"/>
            <w:vAlign w:val="bottom"/>
            <w:tcBorders>
              <w:top w:val="single" w:sz="8" w:color="auto"/>
              <w:bottom w:val="single" w:sz="8" w:color="auto"/>
            </w:tcBorders>
            <w:shd w:val="clear" w:color="auto" w:fill="CFF0FC"/>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7"/>
              </w:rPr>
              <w:t>(910)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7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(922)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and 2018, the current provision for state income taxes shown above includes regular state income tax and provisions for uncertain state income tax positions, and other similar adjustments.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estimated annual effective rate for 2019 includes the impact of permanent tax differences, limits on deductible compensation, valuation allowances, and other permanent items.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 (continued)</w:t>
      </w:r>
    </w:p>
    <w:p>
      <w:pPr>
        <w:spacing w:after="0" w:line="12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In the second quarter of 2018, we established a valuation allowance on a portion of our federal deferred tax assets. Valuation allowances are reflective of our quarterly analysis of the four sources of taxable income, including the calculation of the reversal of existing tax assets and liabilities, the impact of the recent financing activities and our quarterly results. Based on our analysis, we currently believe that it is more-likely-than-not that a portion of our federal deferred tax assets will not be able to be utilized and we estimate the valuation allowance to be recorded during 2019 to be approximately $8.3 million. We have also determined it was more-likely-than-not that a portion of the state NOL carryforwards would not be able to be utilized before expiration and we estimate the valuation allowance associated with these state deferred tax assets to be recorded during 2019 will be approximately $3.8 million.</w:t>
      </w:r>
    </w:p>
    <w:p>
      <w:pPr>
        <w:spacing w:after="0" w:line="8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and additional guidance for various provisions of the Act,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tax provision for the three months ended March 31, 2019 was $0.4 million (4% provision on pre-tax loss) and the tax benefit for the three months ended March 31, 2018 was $0.9 million (14% benefit on pre-tax loss). For the three months of 2019, the effective tax rate is less than the statutory tax rate primarily due to the impact of the valuation allowances.</w:t>
      </w:r>
    </w:p>
    <w:p>
      <w:pPr>
        <w:spacing w:after="0" w:line="6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LSB and certain of its subsidiaries file income tax returns in the U.S. federal jurisdiction and various state jurisdictions. With few exceptions, the 2015-2018 years remain open for all purposes of examination by the U.S. Internal Revenue Service and other major tax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Redeemable Preferred Stocks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E and Series F Redeemable Preferred</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of March 31, 2019, the Series E Redeemable Preferred has a 14% annual dividend rate and a participating right in dividends and liquidating distributions equal to 303,646 shares of common stock (participation rights value). Dividends accrue semi-annually in arrears and are compounded. The Series E Redeemable Preferred contains redemption features and a participation rights value that are being accounted for as derivative instruments and have been bifurcated from the Series E Redeemable Preferred as discussed below under Embedded Derivative.</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2019, the Series F Redeemable Preferred has voting rights (the “Series F Voting Rights”) to vote as a single class on all matters which the common stock have the right to vote and is entitled to a number of votes equal to 456,225 shares of our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Series E and Series F Redeemable Preferred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Series E Redeemable Preferred</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80" w:type="dxa"/>
            <w:vAlign w:val="bottom"/>
            <w:gridSpan w:val="4"/>
          </w:tcPr>
          <w:p>
            <w:pPr>
              <w:jc w:val="right"/>
              <w:ind w:right="430"/>
              <w:spacing w:after="0"/>
              <w:rPr>
                <w:sz w:val="20"/>
                <w:szCs w:val="20"/>
                <w:color w:val="auto"/>
              </w:rPr>
            </w:pPr>
            <w:r>
              <w:rPr>
                <w:rFonts w:ascii="Times New Roman" w:cs="Times New Roman" w:eastAsia="Times New Roman" w:hAnsi="Times New Roman"/>
                <w:sz w:val="16"/>
                <w:szCs w:val="16"/>
                <w:color w:val="auto"/>
              </w:rPr>
              <w:t>(Dollars In Thousands)</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720" w:type="dxa"/>
            <w:vAlign w:val="bottom"/>
          </w:tcPr>
          <w:p>
            <w:pPr>
              <w:spacing w:after="0"/>
              <w:rPr>
                <w:sz w:val="20"/>
                <w:szCs w:val="20"/>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139,768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202,169</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relating to liquidation preference on</w:t>
            </w: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w:t>
            </w:r>
          </w:p>
        </w:tc>
        <w:tc>
          <w:tcPr>
            <w:tcW w:w="17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Accretion for discount and issuance costs on</w:t>
            </w:r>
          </w:p>
        </w:tc>
        <w:tc>
          <w:tcPr>
            <w:tcW w:w="17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preferred stock</w:t>
            </w:r>
          </w:p>
        </w:tc>
        <w:tc>
          <w:tcPr>
            <w:tcW w:w="17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Accumulated dividends</w:t>
            </w:r>
          </w:p>
        </w:tc>
        <w:tc>
          <w:tcPr>
            <w:tcW w:w="17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17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139,768</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209,921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6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17</w:t>
            </w: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Redeemable Preferred Stocks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embedded features (“embedded derivative”) relating to the redemption of the Series E Redeemable Preferred, which includes certain contingent redemption features and the participation rights value have been bifurcated from the Series E Redeemable Preferred and recorded as a liability. As March 31, 2019 and December 31, 2018, we estimate that the contingent redemption features have fair value since we estimate that it is probable that a portion of the shares of this preferred stock would be redeemed prior to October 25, 2023. For certain other embedded features, we estimated no fair value based on our assessment that there is a remote probability that these features will be exercised.</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embedded derivative was valued using discounted cash flow models and primarily based on the difference in the present value of estimated future cash flows with no redemptions prior to October 25, 2023 compared to certain redemptions deemed probable during the same period and applying the effective dividend rate of the Series E Redeemable Preferred. In addition, at March 31, 2019 and December 31, 2018, the fair value of the embedded derivative included the valuation of the participation rights, which was based on the equivalent of 303,646 shares of our common stock at $6.24 and $5.52 per share, respectively.</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valuations of the embedded derivative are classified as Level 3. This derivative is valued using market information, management’s redemption assumptions, the underlying number of shares as defined in the terms of the Series E Redeemable Preferred, and the market price of our common stock. In addition, no valuation input adjustments were considered necessary relating to nonperformance risk for the embedded derivative. A Level 3 valuation is based on prices or valuation techniques that require inputs that are both unobservable and significant to the overall fair value measurement.</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2019 and December 31, 2018, the fair value of the embedded derivative was $1.8 million and $1.6 million, respectively, and are included in our noncurrent accrued and other liabilities. For the three months ended March 31, 2019 and 2018, we recognized unrealized loss of approximately $0.2 million and an unrealized gain of $0.8 million, respectively, due to the change in fair value of the embedded derivative, which unrealized loss/gain are included in our non-operating expense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Net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1, we primarily derive our revenues from the sales of various chemical products. The following table presents our net sales disaggregated by our principal markets, which disaggregation is consistent with other financial information utilized or provided outside of our consolidated financial statements: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20" w:type="dxa"/>
            <w:vAlign w:val="bottom"/>
            <w:gridSpan w:val="4"/>
          </w:tcPr>
          <w:p>
            <w:pPr>
              <w:jc w:val="center"/>
              <w:ind w:left="615"/>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20" w:type="dxa"/>
            <w:vAlign w:val="bottom"/>
            <w:gridSpan w:val="3"/>
          </w:tcPr>
          <w:p>
            <w:pPr>
              <w:jc w:val="center"/>
              <w:ind w:right="135"/>
              <w:spacing w:after="0"/>
              <w:rPr>
                <w:sz w:val="20"/>
                <w:szCs w:val="20"/>
                <w:color w:val="auto"/>
              </w:rPr>
            </w:pPr>
            <w:r>
              <w:rPr>
                <w:rFonts w:ascii="Times New Roman" w:cs="Times New Roman" w:eastAsia="Times New Roman" w:hAnsi="Times New Roman"/>
                <w:sz w:val="18"/>
                <w:szCs w:val="18"/>
                <w:color w:val="auto"/>
                <w:w w:val="99"/>
              </w:rPr>
              <w:t>March 31,</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240" w:type="dxa"/>
            <w:vAlign w:val="bottom"/>
          </w:tcPr>
          <w:p>
            <w:pPr>
              <w:spacing w:after="0"/>
              <w:rPr>
                <w:sz w:val="20"/>
                <w:szCs w:val="20"/>
                <w:color w:val="auto"/>
              </w:rPr>
            </w:pP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540" w:type="dxa"/>
            <w:vAlign w:val="bottom"/>
          </w:tcPr>
          <w:p>
            <w:pPr>
              <w:spacing w:after="0"/>
              <w:rPr>
                <w:sz w:val="20"/>
                <w:szCs w:val="20"/>
                <w:color w:val="auto"/>
              </w:rPr>
            </w:pPr>
          </w:p>
        </w:tc>
        <w:tc>
          <w:tcPr>
            <w:tcW w:w="170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r>
      <w:tr>
        <w:trPr>
          <w:trHeight w:val="204"/>
        </w:trPr>
        <w:tc>
          <w:tcPr>
            <w:tcW w:w="5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tcBorders>
              <w:top w:val="single" w:sz="8" w:color="auto"/>
            </w:tcBorders>
            <w:gridSpan w:val="4"/>
          </w:tcPr>
          <w:p>
            <w:pPr>
              <w:jc w:val="center"/>
              <w:ind w:left="595"/>
              <w:spacing w:after="0"/>
              <w:rPr>
                <w:sz w:val="20"/>
                <w:szCs w:val="20"/>
                <w:color w:val="auto"/>
              </w:rPr>
            </w:pPr>
            <w:r>
              <w:rPr>
                <w:rFonts w:ascii="Times New Roman" w:cs="Times New Roman" w:eastAsia="Times New Roman" w:hAnsi="Times New Roman"/>
                <w:sz w:val="16"/>
                <w:szCs w:val="16"/>
                <w:color w:val="auto"/>
              </w:rPr>
              <w:t>(Dollars In Thousands)</w:t>
            </w: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Agricultural products</w:t>
            </w:r>
          </w:p>
        </w:tc>
        <w:tc>
          <w:tcPr>
            <w:tcW w:w="2700" w:type="dxa"/>
            <w:vAlign w:val="bottom"/>
            <w:gridSpan w:val="2"/>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46,820</w:t>
            </w:r>
          </w:p>
        </w:tc>
        <w:tc>
          <w:tcPr>
            <w:tcW w:w="980" w:type="dxa"/>
            <w:vAlign w:val="bottom"/>
            <w:gridSpan w:val="2"/>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52,269</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Industrial acids and other chemical products</w:t>
            </w:r>
          </w:p>
        </w:tc>
        <w:tc>
          <w:tcPr>
            <w:tcW w:w="18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37,850</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38,137</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Mining products</w:t>
            </w:r>
          </w:p>
        </w:tc>
        <w:tc>
          <w:tcPr>
            <w:tcW w:w="18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2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net sales</w:t>
            </w:r>
          </w:p>
        </w:tc>
        <w:tc>
          <w:tcPr>
            <w:tcW w:w="18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94,152</w:t>
            </w:r>
          </w:p>
        </w:tc>
        <w:tc>
          <w:tcPr>
            <w:tcW w:w="2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Constraints and Variable Consideration</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For most of our contracts within the scope of Accounting Standards Codification,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(“ASC 606”), the transaction price from the inception of a contract is constrained to a short period of time (generally one month) as these contracts contain terms with variable consideration related to both price and quantity. These contract prices are often based on commodity indexes (such as NYMEX) published monthly and the contract quantities are typically based on estimated ranges. The quantities become fixed and determinable over a period of time as each sale order is received from the customer.</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nature of our contracts also gives rise to other types of variable consideration, including volume discounts and rebates, make-whole provisions, other pricing concessions, and short-fall charges. We estimate these amounts based on the expected amount to be provided to customers, which result in a transaction price adjustment reducing revenue (net sales) with the offset increasing contract or refund liabilities. These estimates are based on historical experience, anticipated performance and our best judgment at the time. We reassess these estimates on a quarterly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Sales (continued)</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aforementioned constraints over transaction prices in conjunction with the variable consideration included in our material contracts prevent a practical assignment of a specific dollar amount to performance obligations at the beginning and end of the period. Therefore, we have applied the variable consideration allocation exception.</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Future revenues to be earned from the satisfaction of performance obligations will be recognized when control transfers as goods are loaded and weighed or services are performed over the remaining duration of our contracts. Although most of our contracts have an original expected duration of one year or less, for our contracts with a duration greater than one year, the average remaining expected duration was approximately 14 months at March 31,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Liabilities and Other Information</w:t>
      </w:r>
    </w:p>
    <w:p>
      <w:pPr>
        <w:spacing w:after="0" w:line="12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Our contract assets consist of receivables from contracts with customers. Our accounts receivable primarily relate to these contract assets and are presented in our consolidated balance sheets. Customer payments are generally due thirty to sixty days after the invoice date.</w:t>
      </w:r>
    </w:p>
    <w:p>
      <w:pPr>
        <w:spacing w:after="0" w:line="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contract liabilities primarily relate to deferred revenue and customer deposits associated with cash payments received in advance from customers for volume shortfall charges and product shipments. We had approximately $8.1 million and $7.0 million of contract liabilities as of March 31, 2019 and December 31, 2018, respectively. For the three months ended March 31, 2019 and 2018, revenues of $1.4 million and $1.9 million, respectively, were recognized and included in the balance at the beginning of the respective period.</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recognized in the current period from performance obligations related to prior periods (for example, due to changes in transaction price) was not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2019, we entered into a secured loan agreement with an affiliate of LSB Funding L.L.C. (“LSB Funding”) as discussed in footnote</w:t>
      </w:r>
    </w:p>
    <w:p>
      <w:pPr>
        <w:spacing w:after="0" w:line="27" w:lineRule="exact"/>
        <w:rPr>
          <w:sz w:val="20"/>
          <w:szCs w:val="20"/>
          <w:color w:val="auto"/>
        </w:rPr>
      </w:pPr>
    </w:p>
    <w:p>
      <w:pPr>
        <w:ind w:right="40" w:firstLine="8"/>
        <w:spacing w:after="0" w:line="261" w:lineRule="auto"/>
        <w:tabs>
          <w:tab w:leader="none" w:pos="2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Note 5. Also, an affiliate of LSB Funding holds $50 million of our Senior Secured Notes discussed in footnote (B) of Note 6. In addition, LSB Funding holds all outstanding shares of the Series E and Series F Redeemable Preferred discussed in Note 8.</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Golsen Holders hold all outstanding shares of the Series B Preferred and Series D Preferred, which accumulated dividends on such shares totaled approximately $1.1 million at March 31, 2019.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Supplemental Cash Flow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additional information relating to cash flow activities: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left="491"/>
              <w:spacing w:after="0"/>
              <w:rPr>
                <w:sz w:val="20"/>
                <w:szCs w:val="20"/>
                <w:color w:val="auto"/>
              </w:rPr>
            </w:pPr>
            <w:r>
              <w:rPr>
                <w:rFonts w:ascii="Times New Roman" w:cs="Times New Roman" w:eastAsia="Times New Roman" w:hAnsi="Times New Roman"/>
                <w:sz w:val="18"/>
                <w:szCs w:val="18"/>
                <w:color w:val="auto"/>
                <w:w w:val="99"/>
              </w:rPr>
              <w:t>March 31,</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4"/>
        </w:trPr>
        <w:tc>
          <w:tcPr>
            <w:tcW w:w="17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04"/>
        </w:trPr>
        <w:tc>
          <w:tcPr>
            <w:tcW w:w="17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3"/>
          </w:tcPr>
          <w:p>
            <w:pPr>
              <w:jc w:val="center"/>
              <w:ind w:right="150"/>
              <w:spacing w:after="0"/>
              <w:rPr>
                <w:sz w:val="20"/>
                <w:szCs w:val="20"/>
                <w:color w:val="auto"/>
              </w:rPr>
            </w:pPr>
            <w:r>
              <w:rPr>
                <w:rFonts w:ascii="Times New Roman" w:cs="Times New Roman" w:eastAsia="Times New Roman" w:hAnsi="Times New Roman"/>
                <w:sz w:val="16"/>
                <w:szCs w:val="16"/>
                <w:color w:val="auto"/>
              </w:rPr>
              <w:t>(In Thousands)</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5"/>
        </w:trPr>
        <w:tc>
          <w:tcPr>
            <w:tcW w:w="1720" w:type="dxa"/>
            <w:vAlign w:val="bottom"/>
          </w:tcPr>
          <w:p>
            <w:pPr>
              <w:spacing w:after="0"/>
              <w:rPr>
                <w:sz w:val="20"/>
                <w:szCs w:val="20"/>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refunds for:</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net</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(851)</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continuing investing and financing activities:</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 accrued on Series E Redeemable Preferred</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7,256</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1"/>
        </w:trPr>
        <w:tc>
          <w:tcPr>
            <w:tcW w:w="1720" w:type="dxa"/>
            <w:vAlign w:val="bottom"/>
          </w:tcPr>
          <w:p>
            <w:pPr>
              <w:spacing w:after="0"/>
              <w:rPr>
                <w:sz w:val="18"/>
                <w:szCs w:val="18"/>
                <w:color w:val="auto"/>
              </w:rPr>
            </w:pPr>
          </w:p>
        </w:tc>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Supplies and accounts payable associated with</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1720" w:type="dxa"/>
            <w:vAlign w:val="bottom"/>
          </w:tcPr>
          <w:p>
            <w:pPr>
              <w:spacing w:after="0"/>
              <w:rPr>
                <w:sz w:val="20"/>
                <w:szCs w:val="20"/>
                <w:color w:val="auto"/>
              </w:rPr>
            </w:pPr>
          </w:p>
        </w:tc>
        <w:tc>
          <w:tcPr>
            <w:tcW w:w="54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additions of property, plant and equipment</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11,901</w:t>
            </w:r>
          </w:p>
        </w:tc>
        <w:tc>
          <w:tcPr>
            <w:tcW w:w="4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80" w:type="dxa"/>
            <w:vAlign w:val="bottom"/>
            <w:shd w:val="clear" w:color="auto" w:fill="CFF0FC"/>
          </w:tcPr>
          <w:p>
            <w:pPr>
              <w:spacing w:after="0"/>
              <w:rPr>
                <w:sz w:val="20"/>
                <w:szCs w:val="20"/>
                <w:color w:val="auto"/>
              </w:rPr>
            </w:pPr>
          </w:p>
        </w:tc>
        <w:tc>
          <w:tcPr>
            <w:tcW w:w="1740" w:type="dxa"/>
            <w:vAlign w:val="bottom"/>
          </w:tcPr>
          <w:p>
            <w:pPr>
              <w:spacing w:after="0"/>
              <w:rPr>
                <w:sz w:val="20"/>
                <w:szCs w:val="20"/>
                <w:color w:val="auto"/>
              </w:rPr>
            </w:pPr>
          </w:p>
        </w:tc>
      </w:tr>
      <w:tr>
        <w:trPr>
          <w:trHeight w:val="234"/>
        </w:trPr>
        <w:tc>
          <w:tcPr>
            <w:tcW w:w="1720" w:type="dxa"/>
            <w:vAlign w:val="bottom"/>
          </w:tcPr>
          <w:p>
            <w:pPr>
              <w:spacing w:after="0"/>
              <w:rPr>
                <w:sz w:val="20"/>
                <w:szCs w:val="20"/>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of Series E Redeemable Preferred</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496</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927"/>
        </w:trPr>
        <w:tc>
          <w:tcPr>
            <w:tcW w:w="716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a review of the other Items included in this Form 10-Q and our March 31, 2019 condensed consolidated financial statements included elsewhere in this report. A reference to a “Note” relates to a note in the accompanying notes to the condensed consolidated financial statements. This MD&amp;A reflects our operating results, unless otherwise noted. Certain statements contained in this MD&amp;A may be deemed to be forward-looking statements. See “Special Note Regarding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for Covestro in Baytown, Texas. Our products are sold through distributors and directly to end customers throughout the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Initiatives for 2019</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future results of operations and financial condition will depend significantly on our ability to successfully implement the following key initiatives:</w:t>
      </w:r>
    </w:p>
    <w:p>
      <w:pPr>
        <w:spacing w:after="0" w:line="52" w:lineRule="exact"/>
        <w:rPr>
          <w:sz w:val="20"/>
          <w:szCs w:val="20"/>
          <w:color w:val="auto"/>
        </w:rPr>
      </w:pPr>
    </w:p>
    <w:p>
      <w:pPr>
        <w:jc w:val="both"/>
        <w:ind w:left="760" w:hanging="374"/>
        <w:spacing w:after="0" w:line="254"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Improving the On-Stream Rates of our Chemical Plants. </w:t>
      </w:r>
      <w:r>
        <w:rPr>
          <w:rFonts w:ascii="Times New Roman" w:cs="Times New Roman" w:eastAsia="Times New Roman" w:hAnsi="Times New Roman"/>
          <w:sz w:val="18"/>
          <w:szCs w:val="18"/>
          <w:color w:val="auto"/>
        </w:rPr>
        <w:t>Over the past 24 months, our focus has been on upgrading our existing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system through technology enhancements and work processes to improve our predictive and preventative maintenance programs at our facilities. We engaged outside maintenance experts to assist us in expediting implementation and overall use. We completed the initial implementation during 2018. Additionally, beginning in the third quarter of 2018, we engaged outside consultants to do a thorough review of our operating and maintenance procedures and our preventive maintenance programs at all of our facilities in an effort to determine where we may have gaps in procedures and programs and where we may need enhancements. Based on the “Gap Analysis” completed, we have several initiatives underway that we believe will improve the overall reliability of our plants and allow us to produce more products for sale while lowering our cost of production. Those initiatives are focused on operating behavior and procedure enhancements including operator training, leadership training, shift change enhancements and operating and maintenance procedures</w:t>
      </w:r>
    </w:p>
    <w:p>
      <w:pPr>
        <w:spacing w:after="0" w:line="81" w:lineRule="exact"/>
        <w:rPr>
          <w:rFonts w:ascii="Times New Roman" w:cs="Times New Roman" w:eastAsia="Times New Roman" w:hAnsi="Times New Roman"/>
          <w:sz w:val="18"/>
          <w:szCs w:val="18"/>
          <w:color w:val="auto"/>
        </w:rPr>
      </w:pPr>
    </w:p>
    <w:p>
      <w:pPr>
        <w:jc w:val="both"/>
        <w:ind w:left="760" w:hanging="374"/>
        <w:spacing w:after="0" w:line="267"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Focus on the Continued Improvement of Our Safety Performance. </w:t>
      </w:r>
      <w:r>
        <w:rPr>
          <w:rFonts w:ascii="Times New Roman" w:cs="Times New Roman" w:eastAsia="Times New Roman" w:hAnsi="Times New Roman"/>
          <w:sz w:val="18"/>
          <w:szCs w:val="18"/>
          <w:color w:val="auto"/>
        </w:rPr>
        <w:t>We believe that high safety standards are critical and a precursor to improved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plant performance. With that in mind, we implemented and are currently managing enhanced safety programs at our facilities that focus on reducing risks and improving our safety culture.</w:t>
      </w:r>
    </w:p>
    <w:p>
      <w:pPr>
        <w:spacing w:after="0" w:line="65" w:lineRule="exact"/>
        <w:rPr>
          <w:rFonts w:ascii="Times New Roman" w:cs="Times New Roman" w:eastAsia="Times New Roman" w:hAnsi="Times New Roman"/>
          <w:sz w:val="18"/>
          <w:szCs w:val="18"/>
          <w:color w:val="auto"/>
        </w:rPr>
      </w:pPr>
    </w:p>
    <w:p>
      <w:pPr>
        <w:jc w:val="both"/>
        <w:ind w:left="760" w:hanging="374"/>
        <w:spacing w:after="0" w:line="25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Broadening of the Distribution of our Products. </w:t>
      </w:r>
      <w:r>
        <w:rPr>
          <w:rFonts w:ascii="Times New Roman" w:cs="Times New Roman" w:eastAsia="Times New Roman" w:hAnsi="Times New Roman"/>
          <w:sz w:val="18"/>
          <w:szCs w:val="18"/>
          <w:color w:val="auto"/>
        </w:rPr>
        <w:t>We have increased our overall sales volume of HDAN over the past several years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30% through various marketing initiatives including: (1) storing and distributing HDAN at our Pryor Facility which allows us to sell to new markets and customers out of that facility and; (2) educating growers on the agronomic benefits and the additional applications for HDAN. To further leverage our plants current production capacity, we are continuing to expand the distribution of our mining products by partnering with customers to take product further into the Western U.S. as well as markets outside the U.S. We also partnered with a current customer to position an emulsion explosives plant at our El Dorado Facility. We have been selling product to that facility since the fourth quarter of 2018. We will continue to explore further guest plant opportunities for various products at our facilities in 2019.</w:t>
      </w:r>
    </w:p>
    <w:p>
      <w:pPr>
        <w:spacing w:after="0" w:line="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through increased marketing efforts, we increased our sales volumes of nitric acid over the past 24 months by approximately 31%. We continue to focus our efforts to expand our market for our nitric acid products in North America and to fully utilize available nitric acid production capacity of our facilities.</w:t>
      </w:r>
    </w:p>
    <w:p>
      <w:pPr>
        <w:spacing w:after="0" w:line="66" w:lineRule="exact"/>
        <w:rPr>
          <w:sz w:val="20"/>
          <w:szCs w:val="20"/>
          <w:color w:val="auto"/>
        </w:rPr>
      </w:pPr>
    </w:p>
    <w:p>
      <w:pPr>
        <w:jc w:val="both"/>
        <w:ind w:left="760" w:hanging="374"/>
        <w:spacing w:after="0" w:line="261"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Improving the Margins on Sales of Our Products. </w:t>
      </w:r>
      <w:r>
        <w:rPr>
          <w:rFonts w:ascii="Times New Roman" w:cs="Times New Roman" w:eastAsia="Times New Roman" w:hAnsi="Times New Roman"/>
          <w:sz w:val="18"/>
          <w:szCs w:val="18"/>
          <w:color w:val="auto"/>
        </w:rPr>
        <w:t>Over the last several years, we have focused on increasing our sales volumes to produce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optimal on-stream rates and lower our manufacturing costs per ton of product. In 2019, we will undertake a review of all sales to customers to determine if there are opportunities to improve the margins on sales to those customers and to explore if there are further product upgrading opportunities.</w:t>
      </w:r>
    </w:p>
    <w:p>
      <w:pPr>
        <w:spacing w:after="0" w:line="71" w:lineRule="exact"/>
        <w:rPr>
          <w:rFonts w:ascii="Times New Roman" w:cs="Times New Roman" w:eastAsia="Times New Roman" w:hAnsi="Times New Roman"/>
          <w:sz w:val="18"/>
          <w:szCs w:val="18"/>
          <w:color w:val="auto"/>
        </w:rPr>
      </w:pPr>
    </w:p>
    <w:p>
      <w:pPr>
        <w:jc w:val="both"/>
        <w:ind w:left="760" w:hanging="374"/>
        <w:spacing w:after="0" w:line="257"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Focus on Procurement and Logistics. </w:t>
      </w:r>
      <w:r>
        <w:rPr>
          <w:rFonts w:ascii="Times New Roman" w:cs="Times New Roman" w:eastAsia="Times New Roman" w:hAnsi="Times New Roman"/>
          <w:sz w:val="18"/>
          <w:szCs w:val="18"/>
          <w:color w:val="auto"/>
        </w:rPr>
        <w:t>In 2018, we engaged outside experts to assist us in centralizing and expanding our company-wide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procurement efforts. We completed our initial areas of focus during the second quarter of 2018, completed the implementation of those changes, and continue to see benefits since the third quarter of 2018. We believe that these efforts, along with several additional identified areas of focus, will result in an overall reduction in expenses and capital spend in the aggregate of between $3 million to $5 million on an annualized basis, which we expect to realize over the next 12 to 24 months. Additionally, we will continue to focus on improving the effectiveness and overall cost of our logistics strategy through a centrally managed team focused on building logistics partners that will help us further drive efficiencies in 2019.</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0" w:name="page21"/>
    <w:bookmarkEnd w:id="20"/>
    <w:p>
      <w:pPr>
        <w:jc w:val="both"/>
        <w:ind w:left="760" w:hanging="374"/>
        <w:spacing w:after="0" w:line="267"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Focus on Improving Our Capital Structure and Overall Cost of Capital. </w:t>
      </w:r>
      <w:r>
        <w:rPr>
          <w:rFonts w:ascii="Times New Roman" w:cs="Times New Roman" w:eastAsia="Times New Roman" w:hAnsi="Times New Roman"/>
          <w:sz w:val="18"/>
          <w:szCs w:val="18"/>
          <w:color w:val="auto"/>
        </w:rPr>
        <w:t>We are actively seeking ways to improve our capital structure and reduce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overall cost of capital. We believe that the improving end markets for our products combined with our improved operating performance will be a benefit in achieving those efforts. We continue to actively seek ways to improve our capital structure going forward.</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successfully implement any or all of these initiatives. Even if we successfully implement the initiatives, they may not achieve the results that we expect or desire.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Expectations on increased planted corn acreage in the U.S. for the 2019/2020 season have supported nitrogen fertilizer demand outlooks through the first quarter of 2019. However, continued adverse weather in the Midwest, flooding throughout the Mississippi river region during March and saturated fields in Iowa and Nebraska have delayed fertilizer application and planting activities in the first quarter of 2019. Challenging weather patterns have continued into the second quarter of 2019. While pricing for our key agricultural products have improved compared to a year ago, we expect current high product inventory levels across the supply chain to challenge pricing in the near term.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Industry Factors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Supply and Demand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Agricultural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Sales of our agricultural products were approximately 50% of our total net sales for the first quarter of 2019. The </w:t>
      </w:r>
      <w:r>
        <w:rPr>
          <w:rFonts w:ascii="Times New Roman" w:cs="Times New Roman" w:eastAsia="Times New Roman" w:hAnsi="Times New Roman"/>
          <w:sz w:val="18"/>
          <w:szCs w:val="18"/>
          <w:color w:val="2E2E2E"/>
        </w:rPr>
        <w:t>price at which our agricultural products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E2E2E"/>
        </w:rPr>
        <w:t>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effect product margins.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changes in corn prices and those of soybean, cotton and wheat prices, can affect the number of acres of corn planted in a given year, and the number of acres planted will drive the level of nitrogen fertilizer consumption, likely effecting prices. Industry reports indicated China’s recent tariffs placed on U.S. soybeans could result in a shift of 2 to 4 million acres that will be rotated from soybeans to corn in the next planting season. The USDA also estimates an increase in 2019 corn acres that is in line with other industry reports of approximately 92 million to 93 million. Soybean pricing concerns may drive crop planting selection when final crop choices are made at the farm level. The following April estimates are associated with the corn market: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19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2019 Crop</w:t>
            </w:r>
          </w:p>
        </w:tc>
        <w:tc>
          <w:tcPr>
            <w:tcW w:w="23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2018 Crop</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99"/>
              </w:rPr>
              <w:t>Percentage</w:t>
            </w: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2017 Crop</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99"/>
              </w:rPr>
              <w:t>Percentage</w:t>
            </w:r>
          </w:p>
        </w:tc>
      </w:tr>
      <w:tr>
        <w:trPr>
          <w:trHeight w:val="233"/>
        </w:trPr>
        <w:tc>
          <w:tcPr>
            <w:tcW w:w="3620" w:type="dxa"/>
            <w:vAlign w:val="bottom"/>
            <w:tcBorders>
              <w:bottom w:val="single" w:sz="8" w:color="CFF0FC"/>
            </w:tcBorders>
          </w:tcPr>
          <w:p>
            <w:pPr>
              <w:spacing w:after="0"/>
              <w:rPr>
                <w:sz w:val="20"/>
                <w:szCs w:val="20"/>
                <w:color w:val="auto"/>
              </w:rPr>
            </w:pPr>
          </w:p>
        </w:tc>
        <w:tc>
          <w:tcPr>
            <w:tcW w:w="17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color w:val="auto"/>
              </w:rPr>
              <w:t xml:space="preserve">April Report </w:t>
            </w:r>
            <w:r>
              <w:rPr>
                <w:rFonts w:ascii="Times New Roman" w:cs="Times New Roman" w:eastAsia="Times New Roman" w:hAnsi="Times New Roman"/>
                <w:sz w:val="14"/>
                <w:szCs w:val="14"/>
                <w:color w:val="auto"/>
              </w:rPr>
              <w:t>(1)</w:t>
            </w:r>
          </w:p>
        </w:tc>
        <w:tc>
          <w:tcPr>
            <w:tcW w:w="240" w:type="dxa"/>
            <w:vAlign w:val="bottom"/>
            <w:tcBorders>
              <w:bottom w:val="single" w:sz="8" w:color="CFF0FC"/>
            </w:tcBorders>
          </w:tcPr>
          <w:p>
            <w:pPr>
              <w:spacing w:after="0"/>
              <w:rPr>
                <w:sz w:val="20"/>
                <w:szCs w:val="20"/>
                <w:color w:val="auto"/>
              </w:rPr>
            </w:pPr>
          </w:p>
        </w:tc>
        <w:tc>
          <w:tcPr>
            <w:tcW w:w="2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color w:val="auto"/>
              </w:rPr>
              <w:t xml:space="preserve">April Report </w:t>
            </w:r>
            <w:r>
              <w:rPr>
                <w:rFonts w:ascii="Times New Roman" w:cs="Times New Roman" w:eastAsia="Times New Roman" w:hAnsi="Times New Roman"/>
                <w:sz w:val="14"/>
                <w:szCs w:val="14"/>
                <w:color w:val="auto"/>
              </w:rPr>
              <w:t>(1)</w:t>
            </w:r>
          </w:p>
        </w:tc>
        <w:tc>
          <w:tcPr>
            <w:tcW w:w="22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xml:space="preserve">Change </w:t>
            </w:r>
            <w:r>
              <w:rPr>
                <w:rFonts w:ascii="Times New Roman" w:cs="Times New Roman" w:eastAsia="Times New Roman" w:hAnsi="Times New Roman"/>
                <w:sz w:val="14"/>
                <w:szCs w:val="14"/>
                <w:color w:val="auto"/>
              </w:rPr>
              <w:t>(2)</w:t>
            </w:r>
          </w:p>
        </w:tc>
        <w:tc>
          <w:tcPr>
            <w:tcW w:w="24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color w:val="auto"/>
              </w:rPr>
              <w:t xml:space="preserve">April Report </w:t>
            </w:r>
            <w:r>
              <w:rPr>
                <w:rFonts w:ascii="Times New Roman" w:cs="Times New Roman" w:eastAsia="Times New Roman" w:hAnsi="Times New Roman"/>
                <w:sz w:val="14"/>
                <w:szCs w:val="14"/>
                <w:color w:val="auto"/>
              </w:rPr>
              <w:t>(1)</w:t>
            </w:r>
          </w:p>
        </w:tc>
        <w:tc>
          <w:tcPr>
            <w:tcW w:w="22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xml:space="preserve">Change </w:t>
            </w:r>
            <w:r>
              <w:rPr>
                <w:rFonts w:ascii="Times New Roman" w:cs="Times New Roman" w:eastAsia="Times New Roman" w:hAnsi="Times New Roman"/>
                <w:sz w:val="14"/>
                <w:szCs w:val="14"/>
                <w:color w:val="auto"/>
              </w:rPr>
              <w:t>(3)</w:t>
            </w:r>
          </w:p>
        </w:tc>
        <w:tc>
          <w:tcPr>
            <w:tcW w:w="220" w:type="dxa"/>
            <w:vAlign w:val="bottom"/>
            <w:tcBorders>
              <w:bottom w:val="single" w:sz="8" w:color="CFF0FC"/>
            </w:tcBorders>
          </w:tcPr>
          <w:p>
            <w:pPr>
              <w:spacing w:after="0"/>
              <w:rPr>
                <w:sz w:val="20"/>
                <w:szCs w:val="20"/>
                <w:color w:val="auto"/>
              </w:rPr>
            </w:pPr>
          </w:p>
        </w:tc>
      </w:tr>
      <w:tr>
        <w:trPr>
          <w:trHeight w:val="22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U.S. Area Planted </w:t>
            </w:r>
            <w:r>
              <w:rPr>
                <w:rFonts w:ascii="Times New Roman" w:cs="Times New Roman" w:eastAsia="Times New Roman" w:hAnsi="Times New Roman"/>
                <w:sz w:val="14"/>
                <w:szCs w:val="14"/>
                <w:i w:val="1"/>
                <w:iCs w:val="1"/>
                <w:color w:val="auto"/>
              </w:rPr>
              <w:t>(Million acres)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4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U.S. Yield per Acre </w:t>
            </w:r>
            <w:r>
              <w:rPr>
                <w:rFonts w:ascii="Times New Roman" w:cs="Times New Roman" w:eastAsia="Times New Roman" w:hAnsi="Times New Roman"/>
                <w:sz w:val="14"/>
                <w:szCs w:val="14"/>
                <w:i w:val="1"/>
                <w:iCs w:val="1"/>
                <w:color w:val="auto"/>
              </w:rPr>
              <w:t>(Bushels)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U.S. Production </w:t>
            </w:r>
            <w:r>
              <w:rPr>
                <w:rFonts w:ascii="Times New Roman" w:cs="Times New Roman" w:eastAsia="Times New Roman" w:hAnsi="Times New Roman"/>
                <w:sz w:val="14"/>
                <w:szCs w:val="14"/>
                <w:i w:val="1"/>
                <w:iCs w:val="1"/>
                <w:color w:val="auto"/>
              </w:rPr>
              <w:t>(Million bushels)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14,420</w:t>
            </w:r>
          </w:p>
        </w:tc>
        <w:tc>
          <w:tcPr>
            <w:tcW w:w="24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14,609</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U.S. Ending Stocks </w:t>
            </w:r>
            <w:r>
              <w:rPr>
                <w:rFonts w:ascii="Times New Roman" w:cs="Times New Roman" w:eastAsia="Times New Roman" w:hAnsi="Times New Roman"/>
                <w:sz w:val="14"/>
                <w:szCs w:val="14"/>
                <w:i w:val="1"/>
                <w:iCs w:val="1"/>
                <w:color w:val="auto"/>
              </w:rPr>
              <w:t>(Million metric tons)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World Ending Stocks </w:t>
            </w:r>
            <w:r>
              <w:rPr>
                <w:rFonts w:ascii="Times New Roman" w:cs="Times New Roman" w:eastAsia="Times New Roman" w:hAnsi="Times New Roman"/>
                <w:sz w:val="14"/>
                <w:szCs w:val="14"/>
                <w:i w:val="1"/>
                <w:iCs w:val="1"/>
                <w:color w:val="auto"/>
              </w:rPr>
              <w:t>(Million metric tons)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24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r>
    </w:tbl>
    <w:p>
      <w:pPr>
        <w:spacing w:after="0" w:line="90" w:lineRule="exact"/>
        <w:rPr>
          <w:sz w:val="20"/>
          <w:szCs w:val="20"/>
          <w:color w:val="auto"/>
        </w:rPr>
      </w:pPr>
    </w:p>
    <w:p>
      <w:pPr>
        <w:ind w:left="760" w:right="20" w:hanging="374"/>
        <w:spacing w:after="0" w:line="26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obtained from WASDE reports dated April 9, 2019 (April Report) for the 2018/2019 (“2019 Crop”), 2017/2018 (“2018 Crop”) and 2016/2017 (“2017 Crop”) corn marketing years.</w:t>
      </w:r>
    </w:p>
    <w:p>
      <w:pPr>
        <w:ind w:left="760" w:hanging="37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change between the 2019 Crop amounts compared to the 2018 Crop amounts.</w:t>
      </w:r>
    </w:p>
    <w:p>
      <w:pPr>
        <w:spacing w:after="0" w:line="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change between the 2019 Crop amounts compared to the 2017 Crop amounts.</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supply side, given the low price of natural gas in North America over the last several years, North American fertilizer producers have become the global low-cost producers for delivered fertilizer products to the Midwest U.S. Several years ago, the market believed that low natural gas prices would continue. That belief, combined with favorable fertilizer pricing, stimulated investment in numerous expansions of existing nitrogen chemical facilities and the construction of new nitrogen chemical facilities. Since those announcements, global nitrogen fertilizer supply has outpaced global nitrogen fertilizer demand causing oversupply in the global and North American markets. The increased fertilizer supply led to lower nitrogen fertilizer sale prices during most of 2017. Also, additional domestic supply of ammonia and other fertilizer products changed the physical flow of ammonia in North America placing pressure on ammonia and other fertilizer prices until the distribution system accepted the new supply. Beginning in the fourth quarter of 2017 and through the first quarter of 2019, we have seen an increase in fertilizer prices as imports of fertilizers have decreased significantly and the distribution of the new domestic supply of fertilizer has been established. We expect this trend to continue through the remainder of 2019.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Industrial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our industrial products were approximately 40% of our total net sales for the first quarter of 2019. Our industrial products sales volumes are dependent upon general economic conditions primarily in the housing, automotive, and paper industries. According to the American Chemistry Council, the U.S. economic indicators generally continue to be positive for these sectors domestically. Our sales prices generally vary with the market price of ammonia or natural gas, as applicable, in our pricing arrangements with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E2E2E"/>
        </w:rPr>
        <w:t xml:space="preserve">Sales of our mining products were </w:t>
      </w:r>
      <w:r>
        <w:rPr>
          <w:rFonts w:ascii="Times New Roman" w:cs="Times New Roman" w:eastAsia="Times New Roman" w:hAnsi="Times New Roman"/>
          <w:sz w:val="18"/>
          <w:szCs w:val="18"/>
          <w:color w:val="000000"/>
        </w:rPr>
        <w:t>approximately 10% of our total net sales for the first quarter of 2019. Our mining products are LDAN and AN solutions,</w:t>
      </w:r>
      <w:r>
        <w:rPr>
          <w:rFonts w:ascii="Times New Roman" w:cs="Times New Roman" w:eastAsia="Times New Roman" w:hAnsi="Times New Roman"/>
          <w:sz w:val="18"/>
          <w:szCs w:val="18"/>
          <w:color w:val="2E2E2E"/>
        </w:rPr>
        <w:t xml:space="preserve"> </w:t>
      </w:r>
      <w:r>
        <w:rPr>
          <w:rFonts w:ascii="Times New Roman" w:cs="Times New Roman" w:eastAsia="Times New Roman" w:hAnsi="Times New Roman"/>
          <w:sz w:val="18"/>
          <w:szCs w:val="18"/>
          <w:color w:val="000000"/>
        </w:rPr>
        <w:t>which are primary used as AN fuel oil and specialty emulsions for surface mining of coal and for usage in quarries and the construction industry. As reported by the EIA, annual coal production in the U.S. for the full year of 2018 was down 2% from 2017 due to this market’s weak competitive position in the electrical generation sector compared with natural gas and to a lesser degree lower export demand. EIA is forecasting another 9% decrease in U.S. coal production in 2019 followed by a continued decline of 6% in 2020. This estimated decline is based on the continual shift in utility-scale electricity generation from coal to natural gas. We believe that coal production in the U.S. continues to face significant challenges from competition from natural gas and renewable sources of energy. While we believe, our plants are well located to support the more stable coal-producing regions in the upcoming years, our current mining sales volumes are being affected by overall lower customer demand for LDAN. As part of our continued effort to expand sales of our mining products, we entered into an agreement with a current customer, by which the customer has located an emulsion plant for the mining business at our El Dorado Facility.</w:t>
      </w: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Farmer Economics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Natural Gas Prices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historically have purchased natural gas in the spot market, using forward purchase contracts, or through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The following table shows the volume of natural gas we purchased and the average cost per MMBtu:</w:t>
      </w:r>
    </w:p>
    <w:p>
      <w:pPr>
        <w:spacing w:after="0" w:line="211"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2100" w:type="dxa"/>
            <w:vAlign w:val="bottom"/>
            <w:gridSpan w:val="5"/>
          </w:tcPr>
          <w:p>
            <w:pPr>
              <w:jc w:val="center"/>
              <w:ind w:left="252"/>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20" w:type="dxa"/>
            <w:vAlign w:val="bottom"/>
            <w:gridSpan w:val="4"/>
          </w:tcPr>
          <w:p>
            <w:pPr>
              <w:jc w:val="center"/>
              <w:ind w:right="335"/>
              <w:spacing w:after="0"/>
              <w:rPr>
                <w:sz w:val="20"/>
                <w:szCs w:val="20"/>
                <w:color w:val="auto"/>
              </w:rPr>
            </w:pPr>
            <w:r>
              <w:rPr>
                <w:rFonts w:ascii="Times New Roman" w:cs="Times New Roman" w:eastAsia="Times New Roman" w:hAnsi="Times New Roman"/>
                <w:sz w:val="18"/>
                <w:szCs w:val="18"/>
                <w:color w:val="auto"/>
                <w:w w:val="99"/>
              </w:rPr>
              <w:t>March 31,</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Natural gas volumes (MMBtu in millions)</w:t>
            </w: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Natural gas average cost per MMBtu</w:t>
            </w: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Transportation Costs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Costs for transporting nitrogen-based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was imported. Therefore, nitrogen fertilizers prices in the U.S. are influenced by the cost to transport product from exporting countries, giving domestic producers who transport shorter distances an advantage. However, we continue to evaluate the recent rising costs of rail and truck freight domestically. Higher transportation costs may impact our margins if we are not able to pass through these costs. As a result, we continue to evaluate supply chain efficiencies to reduce or counter the impact of higher logistics costs.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2" w:name="page23"/>
    <w:bookmarkEnd w:id="22"/>
    <w:p>
      <w:pPr>
        <w:jc w:val="center"/>
        <w:ind w:right="9500"/>
        <w:spacing w:after="0"/>
        <w:rPr>
          <w:sz w:val="20"/>
          <w:szCs w:val="20"/>
          <w:color w:val="auto"/>
        </w:rPr>
      </w:pPr>
      <w:r>
        <w:rPr>
          <w:rFonts w:ascii="Times New Roman" w:cs="Times New Roman" w:eastAsia="Times New Roman" w:hAnsi="Times New Roman"/>
          <w:sz w:val="18"/>
          <w:szCs w:val="18"/>
          <w:b w:val="1"/>
          <w:bCs w:val="1"/>
          <w:color w:val="auto"/>
        </w:rPr>
        <w:t>Key Operational Factors</w:t>
      </w:r>
    </w:p>
    <w:p>
      <w:pPr>
        <w:spacing w:after="0" w:line="117" w:lineRule="exact"/>
        <w:rPr>
          <w:sz w:val="20"/>
          <w:szCs w:val="20"/>
          <w:color w:val="auto"/>
        </w:rPr>
      </w:pPr>
    </w:p>
    <w:p>
      <w:pPr>
        <w:jc w:val="center"/>
        <w:ind w:right="9520"/>
        <w:spacing w:after="0"/>
        <w:rPr>
          <w:sz w:val="20"/>
          <w:szCs w:val="20"/>
          <w:color w:val="auto"/>
        </w:rPr>
      </w:pPr>
      <w:r>
        <w:rPr>
          <w:rFonts w:ascii="Times New Roman" w:cs="Times New Roman" w:eastAsia="Times New Roman" w:hAnsi="Times New Roman"/>
          <w:sz w:val="18"/>
          <w:szCs w:val="18"/>
          <w:b w:val="1"/>
          <w:bCs w:val="1"/>
          <w:i w:val="1"/>
          <w:iCs w:val="1"/>
          <w:color w:val="auto"/>
        </w:rPr>
        <w:t>Facility Reliability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Consistent, reliable and safe operations at our chemical plants are critical to our financial performance and results of operations. The financial effects of planned downtime at our plants, including Turnarounds is mitigated through a diligent planning process that considers the availability of resources to perform the needed maintenance, feedstock logistics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El Dorado Facility performed a partial Turnaround during the second and third quarters of 2018. The remaining portion of this Turnaround activity will be performed in the third quarter of 2019. Following the completion of this work, we expect the El Dorado Facility to move to a three-year Turnaround cycle with the next Turnaround planned in the third quarter of 2022.</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Cherokee Facility is currently on a three-year Turnaround cycle with the next Turnaround to be performed is expected to occur in the third quarter of 2021.</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Pryor Facility Turnaround is scheduled for the third quarter of 2019 and we expect to continue with a two-year Turnaround cycle at this facility with the next Turnaround planned for the third quarter of 2021. At that time, we will seek to move to a three-year Turnaround cycle.</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Prepay Contracts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which dates are usually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the First Quarter of 2019</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net sales for the first quarter of 2019 were $94.2 million compared to $100.5 million for the same period in 2018. Our consolidated operating income was $0.1 million compared to $1.9 million for the same period in 2019. The items impacting our operating results are discussed in more detail below and under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Affecting Comparability of Results of the First Quarter</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On-Stream Rates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on-stream rates of our plants affect our production, the absorption of fixed costs of each plant and sales of our products. It is a key operating metric that we use to manage our business. In particular, we closely monitor the on-stream rates of our ammonia plants as ammonia is the basic product as used to produce all upgraded products. The on-stream rates noted below exclude Turnaround days, when applicable.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our Cherokee Facility, the ammonia plant on-stream rate for first quarter of 2019 was 93% compared to 85% for the same period of 2018. During the first quarter of 2018, the Cherokee Facility’s on-stream rate was impacted by maintenance completed on its primary reformer. Our target on-stream rate for this ammonia plant for 2019 is 95%.</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our El Dorado Facility, the ammonia plant’s on-stream rate for first quarter of 2019 was 96% compared to 100% for the same period of 2018. Our target on-stream rate for this ammonia plant for 2019 is 95%.</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our Pryor Facility, the ammonia plant’s on-stream rate for first quarter of 2019 was 88% compared to 91% for the same period of 2018. While we anticipate brief periods of unscheduled downtime during the remainder of 2019 as we continue to take actions to improve long-term reliability, we are targeting an ammonia plant on-stream rate for 2019 of 90%.</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focus on improving on-stream rates as discussed in key operating initiatives will continue to improve our overall on-stream rate for the remainder of 2019.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3" w:name="page24"/>
    <w:bookmarkEnd w:id="23"/>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Prices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2019, average agricultural selling prices for our UAN, ammonia and HDAN increased 49%, 14%, and 7% respectively, compared to 2018 average selling prices for the same period reflecting a more favorable alignment of demand with market capacity for these products.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first quarter 2019 average industrial selling prices for our ammonia decreased compared to the same period of 2018. The first quarter 2019 Tampa Ammonia pricing declined approximately 15% as compared to the same period in 2018 which lead to a decrease in industrial selling prices as many of our industrial contracts are indexed to the Tampa Ammonia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Results of Operations should be read in conjunction with our condensed consolidated financial statements for the three months ended March 31, 2019 and 2018 and accompanying notes and the discussions under “Overview” and “Liquidity and Capital Resources” included in this MD&amp;A.</w:t>
      </w:r>
    </w:p>
    <w:p>
      <w:pPr>
        <w:spacing w:after="0" w:line="5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present the following information about our results of operations. Net sales to unaffiliated customers are reported in the condensed consolidated financial statements and gross profit represents net sales less cost of sales. Net sales are reported on a gross basis with the cost of freight being recorded in cost of sales.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March 31, 2019 Compared to Three Months Ended March 31,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contains certain financial information:</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Change</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(Dollars In Thousands)</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Agricultural products</w:t>
            </w:r>
          </w:p>
        </w:tc>
        <w:tc>
          <w:tcPr>
            <w:tcW w:w="9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46,820</w:t>
            </w:r>
          </w:p>
        </w:tc>
        <w:tc>
          <w:tcPr>
            <w:tcW w:w="220" w:type="dxa"/>
            <w:vAlign w:val="bottom"/>
          </w:tcPr>
          <w:p>
            <w:pPr>
              <w:spacing w:after="0"/>
              <w:rPr>
                <w:sz w:val="19"/>
                <w:szCs w:val="19"/>
                <w:color w:val="auto"/>
              </w:rPr>
            </w:pPr>
          </w:p>
        </w:tc>
        <w:tc>
          <w:tcPr>
            <w:tcW w:w="36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52,269</w:t>
            </w:r>
          </w:p>
        </w:tc>
        <w:tc>
          <w:tcPr>
            <w:tcW w:w="2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(5,449)</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Industrial and mining products</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47,332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48,181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(849)</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3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net sales</w:t>
            </w:r>
          </w:p>
        </w:tc>
        <w:tc>
          <w:tcPr>
            <w:tcW w:w="7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94,152</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100,450</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360" w:type="dxa"/>
            <w:vAlign w:val="bottom"/>
            <w:tcBorders>
              <w:bottom w:val="single" w:sz="8" w:color="CFF0FC"/>
            </w:tcBorders>
          </w:tcPr>
          <w:p>
            <w:pPr>
              <w:spacing w:after="0"/>
              <w:rPr>
                <w:sz w:val="22"/>
                <w:szCs w:val="22"/>
                <w:color w:val="auto"/>
              </w:rPr>
            </w:pPr>
          </w:p>
        </w:tc>
        <w:tc>
          <w:tcPr>
            <w:tcW w:w="110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Agricultural products </w:t>
            </w:r>
            <w:r>
              <w:rPr>
                <w:rFonts w:ascii="Times New Roman" w:cs="Times New Roman" w:eastAsia="Times New Roman" w:hAnsi="Times New Roman"/>
                <w:sz w:val="14"/>
                <w:szCs w:val="14"/>
                <w:color w:val="auto"/>
              </w:rPr>
              <w:t>(1)</w:t>
            </w:r>
          </w:p>
        </w:tc>
        <w:tc>
          <w:tcPr>
            <w:tcW w:w="9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Industrial and mining products </w:t>
            </w:r>
            <w:r>
              <w:rPr>
                <w:rFonts w:ascii="Times New Roman" w:cs="Times New Roman" w:eastAsia="Times New Roman" w:hAnsi="Times New Roman"/>
                <w:sz w:val="14"/>
                <w:szCs w:val="14"/>
                <w:color w:val="auto"/>
              </w:rPr>
              <w:t>(1)</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(5,722)</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Adjusted gross profit by market </w:t>
            </w:r>
            <w:r>
              <w:rPr>
                <w:rFonts w:ascii="Times New Roman" w:cs="Times New Roman" w:eastAsia="Times New Roman" w:hAnsi="Times New Roman"/>
                <w:sz w:val="14"/>
                <w:szCs w:val="14"/>
                <w:color w:val="auto"/>
              </w:rPr>
              <w:t>(1)</w:t>
            </w:r>
          </w:p>
        </w:tc>
        <w:tc>
          <w:tcPr>
            <w:tcW w:w="7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24,129</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28,100</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3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4"/>
                <w:szCs w:val="14"/>
                <w:color w:val="auto"/>
              </w:rPr>
              <w:t>(2)</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(16,811)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(17,705)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3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Turnaround expense</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gross profit</w:t>
            </w:r>
          </w:p>
        </w:tc>
        <w:tc>
          <w:tcPr>
            <w:tcW w:w="7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3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(1,079)</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tcBorders>
              <w:top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7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3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3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Non-operating other expense (income), net</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(909)</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3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Gross profit percentage </w:t>
            </w:r>
            <w:r>
              <w:rPr>
                <w:rFonts w:ascii="Times New Roman" w:cs="Times New Roman" w:eastAsia="Times New Roman" w:hAnsi="Times New Roman"/>
                <w:sz w:val="14"/>
                <w:szCs w:val="14"/>
                <w:color w:val="auto"/>
              </w:rPr>
              <w:t>(3)</w:t>
            </w: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expenditures</w:t>
            </w:r>
          </w:p>
        </w:tc>
        <w:tc>
          <w:tcPr>
            <w:tcW w:w="7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60" w:hanging="374"/>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non-GAAP measure since the amount excludes unallocated depreciation, amortization and Turnaround expenses.</w:t>
      </w:r>
    </w:p>
    <w:p>
      <w:pPr>
        <w:spacing w:after="0" w:line="26" w:lineRule="exact"/>
        <w:rPr>
          <w:rFonts w:ascii="Times New Roman" w:cs="Times New Roman" w:eastAsia="Times New Roman" w:hAnsi="Times New Roman"/>
          <w:sz w:val="16"/>
          <w:szCs w:val="16"/>
          <w:color w:val="auto"/>
        </w:rPr>
      </w:pPr>
    </w:p>
    <w:p>
      <w:pPr>
        <w:ind w:left="760" w:hanging="374"/>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amount classified as cost of sales.</w:t>
      </w:r>
    </w:p>
    <w:p>
      <w:pPr>
        <w:spacing w:after="0" w:line="18" w:lineRule="exact"/>
        <w:rPr>
          <w:rFonts w:ascii="Times New Roman" w:cs="Times New Roman" w:eastAsia="Times New Roman" w:hAnsi="Times New Roman"/>
          <w:sz w:val="16"/>
          <w:szCs w:val="16"/>
          <w:color w:val="auto"/>
        </w:rPr>
      </w:pPr>
    </w:p>
    <w:p>
      <w:pPr>
        <w:ind w:left="760" w:hanging="374"/>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percentage of the total net sales.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following table provides certain financial information by market (dollars in thousands):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8"/>
          </w:tcPr>
          <w:p>
            <w:pPr>
              <w:jc w:val="right"/>
              <w:ind w:right="12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ind w:right="30"/>
              <w:spacing w:after="0" w:line="205" w:lineRule="exact"/>
              <w:rPr>
                <w:sz w:val="20"/>
                <w:szCs w:val="20"/>
                <w:color w:val="auto"/>
              </w:rPr>
            </w:pPr>
            <w:r>
              <w:rPr>
                <w:rFonts w:ascii="Times New Roman" w:cs="Times New Roman" w:eastAsia="Times New Roman" w:hAnsi="Times New Roman"/>
                <w:sz w:val="18"/>
                <w:szCs w:val="18"/>
                <w:color w:val="auto"/>
                <w:w w:val="98"/>
              </w:rPr>
              <w:t>Industrial</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ind w:right="30"/>
              <w:spacing w:after="0" w:line="205" w:lineRule="exact"/>
              <w:rPr>
                <w:sz w:val="20"/>
                <w:szCs w:val="20"/>
                <w:color w:val="auto"/>
              </w:rPr>
            </w:pPr>
            <w:r>
              <w:rPr>
                <w:rFonts w:ascii="Times New Roman" w:cs="Times New Roman" w:eastAsia="Times New Roman" w:hAnsi="Times New Roman"/>
                <w:sz w:val="18"/>
                <w:szCs w:val="18"/>
                <w:color w:val="auto"/>
                <w:w w:val="98"/>
              </w:rPr>
              <w:t>Industrial</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ind w:right="30"/>
              <w:spacing w:after="0" w:line="205" w:lineRule="exact"/>
              <w:rPr>
                <w:sz w:val="20"/>
                <w:szCs w:val="20"/>
                <w:color w:val="auto"/>
              </w:rPr>
            </w:pPr>
            <w:r>
              <w:rPr>
                <w:rFonts w:ascii="Times New Roman" w:cs="Times New Roman" w:eastAsia="Times New Roman" w:hAnsi="Times New Roman"/>
                <w:sz w:val="18"/>
                <w:szCs w:val="18"/>
                <w:color w:val="auto"/>
                <w:w w:val="98"/>
              </w:rPr>
              <w:t>Industrial</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and</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4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Mining</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Agricultural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Mining</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Agricultural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Mining</w:t>
            </w: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Products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Products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Products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Products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Products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Products</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47,332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48,181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Adjusted gross profit by market </w:t>
            </w:r>
            <w:r>
              <w:rPr>
                <w:rFonts w:ascii="Times New Roman" w:cs="Times New Roman" w:eastAsia="Times New Roman" w:hAnsi="Times New Roman"/>
                <w:sz w:val="14"/>
                <w:szCs w:val="14"/>
                <w:color w:val="auto"/>
              </w:rPr>
              <w:t>(1)</w:t>
            </w:r>
          </w:p>
        </w:tc>
        <w:tc>
          <w:tcPr>
            <w:tcW w:w="4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FF0FC"/>
            </w:tcBorders>
            <w:vMerge w:val="continue"/>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4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17,676</w:t>
            </w: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2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23,398</w:t>
            </w: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240" w:type="dxa"/>
            <w:vAlign w:val="bottom"/>
            <w:tcBorders>
              <w:bottom w:val="single" w:sz="8" w:color="CFF0FC"/>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2"/>
        </w:trPr>
        <w:tc>
          <w:tcPr>
            <w:tcW w:w="286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Adjusted gross profit percentage</w:t>
            </w: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by market </w:t>
            </w:r>
            <w:r>
              <w:rPr>
                <w:rFonts w:ascii="Times New Roman" w:cs="Times New Roman" w:eastAsia="Times New Roman" w:hAnsi="Times New Roman"/>
                <w:sz w:val="14"/>
                <w:szCs w:val="14"/>
                <w:color w:val="auto"/>
              </w:rPr>
              <w:t>(2)</w:t>
            </w: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28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60" w:hanging="374"/>
        <w:spacing w:after="0" w:line="269"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non-GAAP measure since the amount excludes unallocated depreciation, amortization and Turnaround expenses. See reconciliation included in the financial information table above.</w:t>
      </w:r>
    </w:p>
    <w:p>
      <w:pPr>
        <w:ind w:left="760" w:hanging="374"/>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percentage of the respective net sales.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key operating metrics for the Agricultural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March 31,</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41"/>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Product (tons sold)</w:t>
            </w:r>
          </w:p>
        </w:tc>
        <w:tc>
          <w:tcPr>
            <w:tcW w:w="420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Change</w:t>
            </w: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7"/>
        </w:trPr>
        <w:tc>
          <w:tcPr>
            <w:tcW w:w="5300" w:type="dxa"/>
            <w:vAlign w:val="bottom"/>
            <w:tcBorders>
              <w:top w:val="single" w:sz="8" w:color="CFF0FC"/>
              <w:right w:val="single" w:sz="8" w:color="CFF0FC"/>
            </w:tcBorders>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UAN</w:t>
            </w: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94,577</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102,202</w:t>
            </w:r>
          </w:p>
        </w:tc>
        <w:tc>
          <w:tcPr>
            <w:tcW w:w="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top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HDAN</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(32,868)</w:t>
            </w:r>
          </w:p>
        </w:tc>
        <w:tc>
          <w:tcPr>
            <w:tcW w:w="2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5300" w:type="dxa"/>
            <w:vAlign w:val="bottom"/>
            <w:tcBorders>
              <w:right w:val="single" w:sz="8" w:color="CFF0FC"/>
            </w:tcBorders>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Ammonia</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19,205</w:t>
            </w:r>
          </w:p>
        </w:tc>
        <w:tc>
          <w:tcPr>
            <w:tcW w:w="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32,996</w:t>
            </w:r>
          </w:p>
        </w:tc>
        <w:tc>
          <w:tcPr>
            <w:tcW w:w="4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22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5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bottom w:val="single" w:sz="8" w:color="CFF0FC"/>
              <w:right w:val="single" w:sz="8" w:color="CFF0FC"/>
            </w:tcBorders>
            <w:gridSpan w:val="3"/>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176,955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232,094</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color w:val="auto"/>
                <w:w w:val="99"/>
              </w:rPr>
              <w:t>March 31,</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21"/>
        </w:trPr>
        <w:tc>
          <w:tcPr>
            <w:tcW w:w="5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Gross Average Selling Prices (price per ton)</w:t>
            </w:r>
          </w:p>
        </w:tc>
        <w:tc>
          <w:tcPr>
            <w:tcW w:w="20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Change</w:t>
            </w: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
        </w:trPr>
        <w:tc>
          <w:tcPr>
            <w:tcW w:w="2540" w:type="dxa"/>
            <w:vAlign w:val="bottom"/>
            <w:tcBorders>
              <w:top w:val="single" w:sz="8" w:color="auto"/>
            </w:tcBorders>
            <w:gridSpan w:val="2"/>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UAN</w:t>
            </w:r>
          </w:p>
        </w:tc>
        <w:tc>
          <w:tcPr>
            <w:tcW w:w="2760" w:type="dxa"/>
            <w:vAlign w:val="bottom"/>
            <w:tcBorders>
              <w:right w:val="single" w:sz="8" w:color="CFF0FC"/>
            </w:tcBorders>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FF0FC"/>
            </w:tcBorders>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FF0FC"/>
            </w:tcBorders>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FF0FC"/>
            </w:tcBorders>
            <w:vMerge w:val="restart"/>
            <w:shd w:val="clear" w:color="auto" w:fill="CFF0FC"/>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40" w:type="dxa"/>
            <w:vAlign w:val="bottom"/>
            <w:gridSpan w:val="2"/>
            <w:vMerge w:val="continue"/>
            <w:shd w:val="clear" w:color="auto" w:fill="CFF0FC"/>
          </w:tcPr>
          <w:p>
            <w:pPr>
              <w:spacing w:after="0"/>
              <w:rPr>
                <w:sz w:val="18"/>
                <w:szCs w:val="18"/>
                <w:color w:val="auto"/>
              </w:rPr>
            </w:pPr>
          </w:p>
        </w:tc>
        <w:tc>
          <w:tcPr>
            <w:tcW w:w="2760" w:type="dxa"/>
            <w:vAlign w:val="bottom"/>
            <w:tcBorders>
              <w:right w:val="single" w:sz="8" w:color="CFF0FC"/>
            </w:tcBorders>
            <w:vMerge w:val="continue"/>
            <w:shd w:val="clear" w:color="auto" w:fill="CFF0FC"/>
          </w:tcPr>
          <w:p>
            <w:pPr>
              <w:spacing w:after="0"/>
              <w:rPr>
                <w:sz w:val="18"/>
                <w:szCs w:val="18"/>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6"/>
              </w:rPr>
              <w:t>224</w:t>
            </w:r>
          </w:p>
        </w:tc>
        <w:tc>
          <w:tcPr>
            <w:tcW w:w="220" w:type="dxa"/>
            <w:vAlign w:val="bottom"/>
            <w:tcBorders>
              <w:right w:val="single" w:sz="8" w:color="CFF0FC"/>
            </w:tcBorders>
            <w:vMerge w:val="continue"/>
            <w:shd w:val="clear" w:color="auto" w:fill="CFF0FC"/>
          </w:tcPr>
          <w:p>
            <w:pPr>
              <w:spacing w:after="0"/>
              <w:rPr>
                <w:sz w:val="18"/>
                <w:szCs w:val="18"/>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right w:val="single" w:sz="8" w:color="CFF0FC"/>
            </w:tcBorders>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right w:val="single" w:sz="8" w:color="CFF0FC"/>
            </w:tcBorders>
            <w:vMerge w:val="continue"/>
            <w:shd w:val="clear" w:color="auto" w:fill="CFF0FC"/>
          </w:tcPr>
          <w:p>
            <w:pPr>
              <w:spacing w:after="0"/>
              <w:rPr>
                <w:sz w:val="18"/>
                <w:szCs w:val="18"/>
                <w:color w:val="auto"/>
              </w:rPr>
            </w:pPr>
          </w:p>
        </w:tc>
        <w:tc>
          <w:tcPr>
            <w:tcW w:w="12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5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HDAN</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6"/>
              </w:rPr>
              <w:t>264</w:t>
            </w:r>
          </w:p>
        </w:tc>
        <w:tc>
          <w:tcPr>
            <w:tcW w:w="220" w:type="dxa"/>
            <w:vAlign w:val="bottom"/>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5300" w:type="dxa"/>
            <w:vAlign w:val="bottom"/>
            <w:tcBorders>
              <w:right w:val="single" w:sz="8" w:color="CFF0FC"/>
            </w:tcBorders>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Ammonia</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6"/>
              </w:rPr>
              <w:t>372</w:t>
            </w:r>
          </w:p>
        </w:tc>
        <w:tc>
          <w:tcPr>
            <w:tcW w:w="22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sales of Industrial Products, the following table indicates the volumes sold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5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5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9"/>
              </w:rPr>
              <w:t>March 31,</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21"/>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Product (tons sold)</w:t>
            </w:r>
          </w:p>
        </w:tc>
        <w:tc>
          <w:tcPr>
            <w:tcW w:w="418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Change</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
        </w:trPr>
        <w:tc>
          <w:tcPr>
            <w:tcW w:w="5280" w:type="dxa"/>
            <w:vAlign w:val="bottom"/>
            <w:gridSpan w:val="2"/>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Ammonia</w:t>
            </w: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80" w:type="dxa"/>
            <w:vAlign w:val="bottom"/>
            <w:gridSpan w:val="2"/>
            <w:vMerge w:val="continue"/>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74,834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68,098</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Nitric Acid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20,213</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Industrial Products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(338)</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2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105,483</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96,923</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sales of Mining Products, the following table indicates the volumes sold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5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11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5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9"/>
              </w:rPr>
              <w:t>March 31,</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rPr>
              <w:t>Percentage</w:t>
            </w:r>
          </w:p>
        </w:tc>
      </w:tr>
      <w:tr>
        <w:trPr>
          <w:trHeight w:val="241"/>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Product (tons sold)</w:t>
            </w:r>
          </w:p>
        </w:tc>
        <w:tc>
          <w:tcPr>
            <w:tcW w:w="418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w:t>
            </w:r>
          </w:p>
        </w:tc>
        <w:tc>
          <w:tcPr>
            <w:tcW w:w="12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rPr>
              <w:t>Change</w:t>
            </w:r>
          </w:p>
        </w:tc>
      </w:tr>
      <w:tr>
        <w:trPr>
          <w:trHeight w:val="217"/>
        </w:trPr>
        <w:tc>
          <w:tcPr>
            <w:tcW w:w="5280" w:type="dxa"/>
            <w:vAlign w:val="bottom"/>
            <w:tcBorders>
              <w:top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LDAN/HDAN/AN Solution</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36,615</w:t>
            </w: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38,179</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Sales</w:t>
      </w:r>
    </w:p>
    <w:p>
      <w:pPr>
        <w:spacing w:after="0" w:line="121" w:lineRule="exact"/>
        <w:rPr>
          <w:sz w:val="20"/>
          <w:szCs w:val="20"/>
          <w:color w:val="auto"/>
        </w:rPr>
      </w:pPr>
    </w:p>
    <w:p>
      <w:pPr>
        <w:jc w:val="both"/>
        <w:ind w:left="760" w:hanging="374"/>
        <w:spacing w:after="0" w:line="263"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products sales decreased in the first quarter of 2019 primarily from lower sales volume for all of our agricultural products. Agricultural products volumes were negatively impacted by weather-driven planting delays and flooding experienced during the beginning of the 2019 spring application season. Partially offsetting the decrease in sales volumes were higher average selling prices for all our agricultural products.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5" w:name="page26"/>
    <w:bookmarkEnd w:id="25"/>
    <w:p>
      <w:pPr>
        <w:jc w:val="both"/>
        <w:ind w:left="760" w:right="20" w:hanging="374"/>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acids and other industrial chemical products sales decreased primarily from lower industrial ammonia selling prices due to lower Tampa ammonia index prices. Average Tampa ammonia pricing during the first quarter of 2019 was approximately $50 per ton lower compared to the same period of 2018. This decrease in sales prices was partially offset by an increase in sales volumes for most of our industrial products.</w:t>
      </w:r>
    </w:p>
    <w:p>
      <w:pPr>
        <w:spacing w:after="0" w:line="68"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products sales volumes are down due to timing of sales. We expect to make up this volume in the second quarter of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Profit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noted in the tables above, we recognized a gross profit $7.3 million in the first quarter of 2019 compared to $10.1 million in the first quarter of 2018, or a decrease of approximately $2.8 million. Overall, our gross profit percentage decreased 2% compared to the same period in 2018.</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agricultural products adjusted gross profit percentage increased 5% to 14% in the first quarter of 2019 from 9% in the first quarter of 2018 as selling prices for our products improved partially offset by delayed or lost volume resulting from overall poor weather conditions and flooding across the U.S. and primarily in the areas, we typically see fertilizer sales during the first quarter.</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Industrial and mining products adjusted gross profit percentage declined 11% in the first quarter of 2019 to 37% from 49% in the first quarter of 2018 primarily driven by lower overall Tampa ammonia pricing, which averaged approximately $280 per metric ton in the first quarter of 2019 compared to $330 per metric ton for the same period in 2018.</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net negative effect on gross profit from the lower sales discussed above, the decrease in gross profit includes approximately $1.0 million of higher freight costs incurred to move product for storage as a result of the delay in the spring application season and approximately $0.9 million from higher natural gas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SG&amp;A expenses were $7.2 million for the first quarter of 2019, a decrease of $1.1 million compared to the same period in 2018. The decrease was primarily driven by a reduction in compensation-related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 net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for the first quarter of 2019 was $11.0 million compared to $9.3 million for the same period in 2018. The increase relates primarily to the issuance of the Senior Secured Notes in 2018 as discussed in Note 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Non-operating Other Expense (Income), net</w:t>
      </w:r>
    </w:p>
    <w:p>
      <w:pPr>
        <w:spacing w:after="0" w:line="12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Non-operating other expense for the first quarter of 2019 was $0.2 million compared to non-operating income of $0.9 million for the same period in 2018 or a change of $1.1 million. This variance primarily relates to the change in fair value of the embedded derivative included in the Series E Preferred.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Provision (benefit) for Income Taxes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provision for income taxes for the first quarter of 2019 was $0.4 million compared to a benefit of $0.9 million for the same period in 2018. The resulting effective tax rate for the first quarters of 2019 and 2018 was 4% (provision on pre-tax loss) and 14% (benefit on pre-tax loss), respectively. For the first of 2019, the effective tax rate is less than the statutory rate primarily due to the impact of the valuation allowance. Also see discussion in Note 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three months ended March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Change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2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tcBorders>
              <w:top w:val="single" w:sz="8" w:color="CFF0FC"/>
            </w:tcBorders>
          </w:tcPr>
          <w:p>
            <w:pPr>
              <w:spacing w:after="0" w:line="20" w:lineRule="exact"/>
              <w:rPr>
                <w:sz w:val="1"/>
                <w:szCs w:val="1"/>
                <w:color w:val="auto"/>
              </w:rPr>
            </w:pPr>
          </w:p>
        </w:tc>
        <w:tc>
          <w:tcPr>
            <w:tcW w:w="20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 w:type="dxa"/>
            <w:vAlign w:val="bottom"/>
            <w:vMerge w:val="restart"/>
          </w:tcPr>
          <w:p>
            <w:pPr>
              <w:spacing w:after="0"/>
              <w:rPr>
                <w:sz w:val="19"/>
                <w:szCs w:val="19"/>
                <w:color w:val="auto"/>
              </w:rPr>
            </w:pPr>
          </w:p>
        </w:tc>
        <w:tc>
          <w:tcPr>
            <w:tcW w:w="39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2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(7,106)</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(1,891)</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(5,215)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tcBorders>
              <w:top w:val="single" w:sz="8" w:color="CFF0FC"/>
            </w:tcBorders>
          </w:tcPr>
          <w:p>
            <w:pPr>
              <w:spacing w:after="0" w:line="20" w:lineRule="exact"/>
              <w:rPr>
                <w:sz w:val="1"/>
                <w:szCs w:val="1"/>
                <w:color w:val="auto"/>
              </w:rPr>
            </w:pPr>
          </w:p>
        </w:tc>
        <w:tc>
          <w:tcPr>
            <w:tcW w:w="20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2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(4,298)</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(4,278)</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tcBorders>
              <w:top w:val="single" w:sz="8" w:color="CFF0FC"/>
            </w:tcBorders>
          </w:tcPr>
          <w:p>
            <w:pPr>
              <w:spacing w:after="0" w:line="20" w:lineRule="exact"/>
              <w:rPr>
                <w:sz w:val="1"/>
                <w:szCs w:val="1"/>
                <w:color w:val="auto"/>
              </w:rPr>
            </w:pPr>
          </w:p>
        </w:tc>
        <w:tc>
          <w:tcPr>
            <w:tcW w:w="2080" w:type="dxa"/>
            <w:vAlign w:val="bottom"/>
            <w:tcBorders>
              <w:top w:val="single" w:sz="8" w:color="CFF0FC"/>
              <w:bottom w:val="single" w:sz="8" w:color="CFF0FC"/>
            </w:tcBorders>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Cash Flow from Operating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$7.1 million for the first quarter 2019 compared to $1.2 million for the first quarter of 2018, a change of approximately $5.9 million.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quarter of 2019, the net cash provided is the result of a net loss of $11.5 million plus adjustments of $16.8 million for depreciation and amortization of PP&amp;E, $0.4 million for deferred taxes and other adjustments of $2.4 million and net cash used of approximately $1.0 million primarily from our working capital.</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quarter of 2018, the net cash provided is the result of a net loss of $5.6 million plus adjustments of $17.7 million for depreciation and amortization of PP&amp;E and other adjustments of $0.3 million and net cash used of $11.2 million primarily from our working capital, including a decrease in accrued interest and an increase in our trade accounts receivable.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Cash Flow from Investing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by investing activities was $7.1 million for the first quarter of 2019 compared to net cash used of $1.9 million for the first quarter of 2018, a change of $5.2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quarter of 2019, the net cash used relates primarily to expenditures for PP&amp;E.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quarter of 2018, the net cash used is primarily the result of $6.2 million for expenditures for PP&amp;E partially offset by $2.7 million representing the remaining proceeds from an indemnity escrow account associated with the sale of the Climate Control business in 2016 and $1.5 million relating to a recovery from a property insurance claim.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Cash Flow from Financing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by financing activities was $4.3 million for both the first quarter of 2019 and 2018.</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first quarter of 2019, the net cash used primarily consists of payments on other long-term debt and short-term financing of $4.3 million and payments of $0.8 million for other financing activities partially offset by proceeds $0.8 million from other long-term debt.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quarter of 2018, the net cash used consists primarily of payments on long-term debt and short-term financing of $4.1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our total current cash, long-term debt, redeemable preferred stock and stockholders’ equity:</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March 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5"/>
          </w:tcPr>
          <w:p>
            <w:pPr>
              <w:jc w:val="right"/>
              <w:ind w:right="1050"/>
              <w:spacing w:after="0"/>
              <w:rPr>
                <w:sz w:val="20"/>
                <w:szCs w:val="20"/>
                <w:color w:val="auto"/>
              </w:rPr>
            </w:pPr>
            <w:r>
              <w:rPr>
                <w:rFonts w:ascii="Times New Roman" w:cs="Times New Roman" w:eastAsia="Times New Roman" w:hAnsi="Times New Roman"/>
                <w:sz w:val="16"/>
                <w:szCs w:val="16"/>
                <w:color w:val="auto"/>
              </w:rPr>
              <w:t>(In Millions)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shd w:val="clear" w:color="auto" w:fill="CFF0FC"/>
          </w:tcPr>
          <w:p>
            <w:pPr>
              <w:spacing w:after="0"/>
              <w:rPr>
                <w:sz w:val="20"/>
                <w:szCs w:val="20"/>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Working Capital Revolver Loan</w:t>
            </w:r>
          </w:p>
        </w:tc>
        <w:tc>
          <w:tcPr>
            <w:tcW w:w="190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Secured Notes due 2023</w:t>
            </w: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Secured Promissory Note due 2019</w:t>
            </w: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Secured Promissory Note due 2021</w:t>
            </w: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Secured Promissory Note due 2023</w:t>
            </w: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4"/>
                <w:szCs w:val="14"/>
                <w:color w:val="auto"/>
              </w:rPr>
              <w:t>(1)</w:t>
            </w: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63"/>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long-term debt, including current portion, net</w:t>
            </w:r>
          </w:p>
        </w:tc>
        <w:tc>
          <w:tcPr>
            <w:tcW w:w="17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Series E and F redeemable preferred stock </w:t>
            </w:r>
            <w:r>
              <w:rPr>
                <w:rFonts w:ascii="Times New Roman" w:cs="Times New Roman" w:eastAsia="Times New Roman" w:hAnsi="Times New Roman"/>
                <w:sz w:val="14"/>
                <w:szCs w:val="14"/>
                <w:color w:val="auto"/>
              </w:rPr>
              <w:t>(2)</w:t>
            </w:r>
          </w:p>
        </w:tc>
        <w:tc>
          <w:tcPr>
            <w:tcW w:w="17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9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discussion contained in Note 5.</w:t>
      </w:r>
    </w:p>
    <w:p>
      <w:pPr>
        <w:spacing w:after="0" w:line="2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 of $219 million as of March 31, 2019.</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currently have a revolving credit facility, our Working Capital Revolver Loan, with a borrowing base of $75 million. As of March 31, 2019, our Working Capital Revolver Loan had outstanding borrowings of $10 million and $40.1 million of availability.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We have planned capital expenditures of approximately $23 million to $28 million for the remainder of 2019 for a total in 2019 of approximately $30 million to $35 million for reliability and maintenance capital. Included in our capital expenditures, we plan to install a new sulfuric acid converter at our El Dorado Facility during the fourth quarter of 2019 which will cost approximately $7.5 million. We have finalized the equipment financing for this capital project.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combination of our cash on hand, the availability on our revolving credit facility, and our cash flow from operations will be sufficient to fund our anticipated liquidity needs for the next twelve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Long - Term Debt Covenants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below in Notes 6, the Working Capital Revolver Loan requires, among other things, that we meet certain financial covenants. The Working Capital Revolver Loan does not include financial covenant requirements unless a defined covenant trigger event has occurred and is continuing. As of March 31, 2019, no trigger event had occurred.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Loan Agreements and Redeemable Preferred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Senior Secured Notes due 2023 </w:t>
      </w:r>
      <w:r>
        <w:rPr>
          <w:rFonts w:ascii="Times New Roman" w:cs="Times New Roman" w:eastAsia="Times New Roman" w:hAnsi="Times New Roman"/>
          <w:sz w:val="18"/>
          <w:szCs w:val="18"/>
          <w:color w:val="auto"/>
        </w:rPr>
        <w:t>– LSB has $400 million aggregate principal amount of the 9.625% Senior Secured Notes currently outstanding. Interest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paid semiannually on May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and November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maturing May 1, 2023.</w:t>
      </w:r>
    </w:p>
    <w:p>
      <w:pPr>
        <w:spacing w:after="0" w:line="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Secured Promissory Note due 2019 </w:t>
      </w:r>
      <w:r>
        <w:rPr>
          <w:rFonts w:ascii="Times New Roman" w:cs="Times New Roman" w:eastAsia="Times New Roman" w:hAnsi="Times New Roman"/>
          <w:sz w:val="18"/>
          <w:szCs w:val="18"/>
          <w:color w:val="auto"/>
        </w:rPr>
        <w:t>- EDC is party to a secured promissory note due June 29, 2019. This promissory note bears interest at the annual rate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5.73%. Principal and interest are payable in equal monthly installments with a final balloon payment of approximately $6.7 million. This promissory note is secured by the cogeneration facility equipment and is guaranteed by LSB.</w:t>
      </w:r>
    </w:p>
    <w:p>
      <w:pPr>
        <w:spacing w:after="0" w:line="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Secured Promissory Note due 2021 </w:t>
      </w:r>
      <w:r>
        <w:rPr>
          <w:rFonts w:ascii="Times New Roman" w:cs="Times New Roman" w:eastAsia="Times New Roman" w:hAnsi="Times New Roman"/>
          <w:sz w:val="18"/>
          <w:szCs w:val="18"/>
          <w:color w:val="auto"/>
        </w:rPr>
        <w:t>- EDC is party to a secured promissory note due March 26, 2021. This promissory note bears interest at the annual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5.25%. Principal and interest are payable in monthly installments. This promissory note is secured by a natural gas pipeline at the El Dorado Facility and is guaranteed by LSB.</w:t>
      </w:r>
    </w:p>
    <w:p>
      <w:pPr>
        <w:spacing w:after="0" w:line="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Secured Promissory Note due 2023 </w:t>
      </w:r>
      <w:r>
        <w:rPr>
          <w:rFonts w:ascii="Times New Roman" w:cs="Times New Roman" w:eastAsia="Times New Roman" w:hAnsi="Times New Roman"/>
          <w:sz w:val="18"/>
          <w:szCs w:val="18"/>
          <w:color w:val="auto"/>
        </w:rPr>
        <w:t>- EDA is party to a secured promissory note due May 10, 2023. Principal and interest are payable in equal monthly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installments with a final balloon payment of approximately $6.1 million. This promissory note bears interest at a rate that is based on the monthly LIBOR rate plus a base rate for a total of 6.74%. This promissory note is secured by the ammonia storage tank and related systems and is guaranteed by LSB.</w:t>
      </w:r>
    </w:p>
    <w:p>
      <w:pPr>
        <w:spacing w:after="0" w:line="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Working Capital Revolver Loan - </w:t>
      </w:r>
      <w:r>
        <w:rPr>
          <w:rFonts w:ascii="Times New Roman" w:cs="Times New Roman" w:eastAsia="Times New Roman" w:hAnsi="Times New Roman"/>
          <w:sz w:val="18"/>
          <w:szCs w:val="18"/>
          <w:color w:val="auto"/>
        </w:rPr>
        <w:t>At March 31, 2019, we had $10.0 million outstanding borrowings under the Working Capital Revolver Loan and the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available for borrowings under our Working Capital Revolver Loan was approximately $40.1 million, based on our eligible collateral, less outstanding letters of credit as of that date. Also see discussion above under “Compliance with Long-Term Debt Covenants.</w:t>
      </w:r>
    </w:p>
    <w:p>
      <w:pPr>
        <w:spacing w:after="0" w:line="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Redemption of Series E Redeemable Preferred </w:t>
      </w:r>
      <w:r>
        <w:rPr>
          <w:rFonts w:ascii="Times New Roman" w:cs="Times New Roman" w:eastAsia="Times New Roman" w:hAnsi="Times New Roman"/>
          <w:sz w:val="18"/>
          <w:szCs w:val="18"/>
          <w:color w:val="auto"/>
        </w:rPr>
        <w:t>– At March 31, 2019, there were 139,768 outstanding shares of Series E Redeemable Preferred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liquidation preference (par value plus accrued dividends) was $219 million.</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any time on or after October 25, 2023, each Series E holder has the right to elect to have such holder’s shares redeemed by us at a redemption price per share equal to the liquidation preference per share of $1,000 plus accrued and unpaid dividends plus the participation rights value (the “Liquidation Preference”). Additionally, at our option, we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 at the Liquidation Preference.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this accretion has and will continue to affect income (loss) per common share. However, this accretion will change if the expected redemption date changes.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 – First Quarter of 2019</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first quarter of 2019, capital expenditures relating to PP&amp;E were $7.1 million. The capital expenditures were funded primarily from cash and working capital.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discussion above under “Capitalization” for our expected capital expenditures for the remainder of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specific federal and state environmental compliance laws, regulations and guidelines. As a result, we incurred expenses of $1.2 million during the first quarter of 2019 in connection with environmental projects. For the remainder of 2019, we expect to incur expenses ranging from $3.4 million to $3.8 million in connection with additional environmental projects. However, it is possible that the actual costs could be significantly different than our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paid cash dividends on our outstanding common stock in many years, and we do not currently anticipate paying cash dividends on our outstanding common stock in the near future.</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Dividends on the Series E Redeemable Preferred are cumulative and payable semi-annually (May 1 and November 1) in arrears at the current annual rate of 14% of the liquidation value of $1,000 per share, but such annual rate will increase beginning on April 25, 2021 as discussed in Note 8. Each share of Series E Redeemable Preferred is entitled to receive a semi-annual dividend, only when declared by our Board. In addition, dividends in arrears at the dividend date, until paid, shall compound additional dividends at the current annual rate of 14%, but such annual rate will increase beginning on April 25, 2021. The current semi-annual compounded dividend is approximately $103.83 per share for the current aggregate semi-annual dividend of $14.5 million.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March 31, 2019, the amount of accumulated dividends on the Series E Redeemable Preferred was approximately $79.6 million.</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on the Series D 6% cumulative convertible Class C preferred stock (the “Series D Preferred”) and Series B 12% cumulative convertible Class C Preferred Stock (the “Series B Preferred”) are payable annually, only when declared by our Board, as follows:</w:t>
      </w:r>
    </w:p>
    <w:p>
      <w:pPr>
        <w:spacing w:after="0" w:line="54" w:lineRule="exact"/>
        <w:rPr>
          <w:sz w:val="20"/>
          <w:szCs w:val="20"/>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$0.06 per share on our outstanding non-redeemable Series D Preferred for an aggregate dividend of $60,000,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 per share on our outstanding non-redeemable Series B Preferred for an aggregate dividend of $240,000.</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2019, the amount of accumulated dividends on the Series D Preferred and Series B Preferred totaled approximately $1.1 million. All shares of the Series D Preferred and Series B Preferred are owned by the Golsen Holders. There are no optional or mandatory redemption rights with respect to the Series B Preferred or Series D Preferred.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Seasonality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fertilizer products sold to the agricultural industry are seasonal while sales into the industrial and mining sectors generally are less susceptible. The selling seasons for agricultural products are primarily during the spring and fall planting seasons, which typically extend from March through June and from September through November in the geographical markets we distribute the majority of our agricultural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March 31, 2019, we have agreed to indemnify the sureties for payments, up to $9.7 million, made by them in respect of such bonds. These insurance bonds are expected to expire or be renewed in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Notes 1 and 2 for recently adopted accounting standards.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See “Critical Accounting Policies and Estimates,” Item 7 of our 2018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that require us to make estimates and assumptions, including costs relating to a corrective action study work plan approved by the KDHE discussed under footnote 2 – Other Environmental Matters of Note 6 and the lawsuits styled </w:t>
      </w:r>
      <w:r>
        <w:rPr>
          <w:rFonts w:ascii="Times New Roman" w:cs="Times New Roman" w:eastAsia="Times New Roman" w:hAnsi="Times New Roman"/>
          <w:sz w:val="18"/>
          <w:szCs w:val="18"/>
          <w:i w:val="1"/>
          <w:iCs w:val="1"/>
          <w:color w:val="auto"/>
        </w:rPr>
        <w:t>City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West, Texas vs. CF Industries, Inc., et al., </w:t>
      </w:r>
      <w:r>
        <w:rPr>
          <w:rFonts w:ascii="Times New Roman" w:cs="Times New Roman" w:eastAsia="Times New Roman" w:hAnsi="Times New Roman"/>
          <w:sz w:val="18"/>
          <w:szCs w:val="18"/>
          <w:color w:val="auto"/>
        </w:rPr>
        <w:t>discussed under “Other Pending, Threatened or Settled Litigation” of Note 6.</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values of the redeemable preferred stocks discussed in Note 8 are being increased by periodic accretions (recorded to retained earnings and included in determining income or loss per share) using the interest method so that the carrying amount will equal the redemption value as of October 25, 2023, the earliest possible redemption date by the holder.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also reasonably possible that the estimates and assumptions utilized as of March 31, 2019 could change in the near term.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 as defined in Item 303(a)(4)(ii) of Regulation S-K under the Exchange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Aggregate Contractual Obligations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operation of our businesses, we enter into contracts, leases and borrowing arrangements. As discussed in our 2018 Form 10-K, we had certain contractual obligations as of December 31, 2018, with various maturity dates, showing payments due for the next five years and thereafter related to the following:</w:t>
      </w:r>
    </w:p>
    <w:p>
      <w:pPr>
        <w:spacing w:after="0" w:line="68" w:lineRule="exact"/>
        <w:rPr>
          <w:sz w:val="20"/>
          <w:szCs w:val="20"/>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and interest,</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E Redeemable Preferred and dividends,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capital expenditures,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pipeline commitment,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contractual obligations.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discussion in Note 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and operating cash flows are impacted by changes in market prices of ammonia and natural gas and changes in market interest rates.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Periodically, we enter into forward firm sales commitments for products to be delivered in future periods. As a result, we could be exposed to embedded losses should our product costs exceed the firm sales prices. At March 31, 2019, we had no embedded losses associated with sales commitments with firm sales prices.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Commodity Price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substantial portion of our products and raw materials are commodities whose prices fluctuate as market supply and demand fundamentals change. We are exposed to commodity price risk as we generally do not use derivative financial instruments to manage risks related to changes in prices of commodities. We periodically enter into contracts to purchase natural gas for anticipated production needs.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March 31, 2019, we did not have any natural gas derivatives not meeting the definition of a normal purchase and sale.</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Interest Rate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we are exposed to variable interest rate risk with respect to our revolving credit facility. As of March 31, 2019, we have $10 million of borrowings on this credit facility. We are also exposed to interest rate risk on variable rate borrowings for certain commercial loans in the amount of approximately $15.2 million. We currently do not hedge our interest rate risk associated with these variable interest loans.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March 31, 2019. Based on this evaluation, the Company's Chief Executive Officer and Chief Financial Officer have concluded that the Company's disclosure controls and procedures were effective as of March 31, 2019, at the reasonable assurance level.</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SPECIAL NOTE REGARDING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9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“plan,” “may,” “could” and similar expressions identify Forward-Looking Statements. Forward-Looking Statements contained herein include, but are not limited to, the following: our ability to invest in projects that will generate best returns for our stockholders;</w:t>
      </w:r>
    </w:p>
    <w:p>
      <w:pPr>
        <w:spacing w:after="0" w:line="81" w:lineRule="exact"/>
        <w:rPr>
          <w:sz w:val="20"/>
          <w:szCs w:val="20"/>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liquidity outlook;</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our chemical products and related markets;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effect on the nitrogen market from the current nitrogen expansion projects;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from the lack of non-seasonal volume;</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competition is based upon service, price, location of production and distribution sites, and product quality and performance;</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outlook for the coal industry;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our product and market diversification strategy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fertilizer production;</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output and capacity of our existing production facilities;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on-stream rates at our production facilities;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moderate risk inherent in agricultural markets;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to fund our cash needs and how this cash will be used;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enter into the additional borrowings;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cost and timing of our capital projects;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covered under warranty provisions;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pass to our customers cost increases in the form of higher prices;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as to whether we have sufficient sources for materials and components;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natural gas requirements;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our Facilities with the terms of our permits;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compliance with environmental laws, health laws, security regulations and transportation regulations;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as to when Turnarounds will be performed and completed;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costs of Turnarounds during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1" w:name="page32"/>
    <w:bookmarkEnd w:id="31"/>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 connection with environmental projects;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litigation and other contingencies;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depreciation, depletion and amortization;</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from the El Dorado expansion project;</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debt servicing and covenants;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debt maturities or redemption obligations when due; and</w:t>
      </w:r>
    </w:p>
    <w:p>
      <w:pPr>
        <w:spacing w:after="0" w:line="10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as to whether we can meet all required covenant tests for the next twelve months.</w:t>
      </w:r>
    </w:p>
    <w:p>
      <w:pPr>
        <w:spacing w:after="0" w:line="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78" w:lineRule="exact"/>
        <w:rPr>
          <w:sz w:val="20"/>
          <w:szCs w:val="20"/>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both domestic and foreign;</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reductions in revenues;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interest rates;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in a timely manner a material amount of receivables;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competitive pressures;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increases in prices of raw materials;</w:t>
      </w:r>
    </w:p>
    <w:p>
      <w:pPr>
        <w:spacing w:after="0" w:line="11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state and local laws and regulations, especially environmental regulations or the American Reinvestment and Recovery Act, or in the interpretation of such;</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other issues related to climate change;</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releases of pollutants into the environment exceeding our permitted limits;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increases in equipment, maintenance, operating or labor costs not presently anticipated by us;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use internally generated funds for purposes not presently anticipated;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secure additional financing for planned capital expenditures or financing obligations due in the near future;</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existing indebtedness;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the cost of certain precious metals, natural gas, and ammonia;</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due to financial covenants;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competition;</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significant customer;</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 to maintain internal controls over financial reporting;</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strategy or development plans;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fund the working capital and expansion of our businesses;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production efficiency of our facilities;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our contingencies including pending litigation;</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downtime at one or more of our chemical facilities;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production rates at any of our chemical plants;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necessary raw materials and purchased components;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increases in cost of raw materials;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our accounting estimates;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problems within our production equipment;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2" w:name="page33"/>
    <w:bookmarkEnd w:id="32"/>
    <w:p>
      <w:pPr>
        <w:ind w:left="760" w:hanging="37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 or natural disasters;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or retain our insurance coverage;</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necessary permits;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third-party financing;</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proxy contests initiated by dissident stockholders;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fertilizer production;</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acres planted for crops requiring fertilizer;</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duties for products we sell resulting in an increase in imported products into the U.S.;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natural gas prices;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10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imported agricultural products; and</w:t>
      </w:r>
    </w:p>
    <w:p>
      <w:pPr>
        <w:spacing w:after="0" w:line="90"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“Risk Factors” in our Form 10-K for the year ended December 31, 2018.</w:t>
      </w:r>
    </w:p>
    <w:p>
      <w:pPr>
        <w:spacing w:after="0" w:line="90"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The Tax Cuts and Jobs Act of 2017.</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ADEQ</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The Arkansas Department of Environmental Quality.</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w:t>
            </w:r>
          </w:p>
        </w:tc>
        <w:tc>
          <w:tcPr>
            <w:tcW w:w="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Ammonium nitrate.</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ASU</w:t>
            </w:r>
          </w:p>
        </w:tc>
        <w:tc>
          <w:tcPr>
            <w:tcW w:w="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Accounting Standard Update.</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Baytown Facility</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The nitric acid production facility located in Baytown, Texas.</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CAO</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A consent administrative order.</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Cherokee Facility</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Our chemical production facility located in Cherokee, Alabama.</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Chevron</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Chevron Environmental Management Company.</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Climate Control Business</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Former business conducted through the Climate Control Group.</w:t>
            </w:r>
          </w:p>
        </w:tc>
      </w:tr>
      <w:tr>
        <w:trPr>
          <w:trHeight w:val="238"/>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Covestro</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The party with whom our subsidiary in Baytown has entered into an agreement for supply of nitric acid through at</w:t>
            </w:r>
          </w:p>
        </w:tc>
      </w:tr>
      <w:tr>
        <w:trPr>
          <w:trHeight w:val="234"/>
        </w:trPr>
        <w:tc>
          <w:tcPr>
            <w:tcW w:w="2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least June 2021, the Covestro Agreement.</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EDA</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El Dorado Ammonia L.L.C.</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EDC</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El Dorado Chemical Company.</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EIA</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The U.S. Energy Information Administration.</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 Dorado Facility</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Our chemical production facility located in El Dorado, Arkansas.</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Environmental and Health Laws</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Numerous federal, state and local environmental, health and safety laws.</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FASB</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Financial Accounting Standards Board.</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Certain springing financial covenants associated with the working capital revolver loan.</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U. S. Generally Accepted Accounting Principles.</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Global</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Global Industrial, Inc., a subcontractor asserting mechanics liens for work rendered to LSB and EDC.</w:t>
            </w:r>
          </w:p>
        </w:tc>
      </w:tr>
      <w:tr>
        <w:trPr>
          <w:trHeight w:val="238"/>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Golsen Holders</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Jack E. Golsen, our Executive Chairman of the Board, and Barry H. Golsen, a member of the Board, entities</w:t>
            </w:r>
          </w:p>
        </w:tc>
      </w:tr>
      <w:tr>
        <w:trPr>
          <w:trHeight w:val="234"/>
        </w:trPr>
        <w:tc>
          <w:tcPr>
            <w:tcW w:w="2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owned by them and trusts for which they possess voting or dispositive power as trustee.</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Hallowell Facility</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A chemical facility previously owned by two of our subsidiaries located in Kansas.</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HDAN</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High density ammonium nitrate prills used in the agricultural industry.</w:t>
            </w:r>
          </w:p>
        </w:tc>
      </w:tr>
      <w:tr>
        <w:trPr>
          <w:trHeight w:val="25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KDHE</w:t>
            </w:r>
          </w:p>
        </w:tc>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The Kansas Department of Health and Environment.</w:t>
            </w:r>
          </w:p>
        </w:tc>
      </w:tr>
      <w:tr>
        <w:trPr>
          <w:trHeight w:val="432"/>
        </w:trPr>
        <w:tc>
          <w:tcPr>
            <w:tcW w:w="2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33</w:t>
            </w:r>
          </w:p>
        </w:tc>
      </w:tr>
      <w:tr>
        <w:trPr>
          <w:trHeight w:val="115"/>
        </w:trPr>
        <w:tc>
          <w:tcPr>
            <w:tcW w:w="2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0"/>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Interim Loan</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A loan agreement between EDC and a lender with up to $7.5 million of available borrowing for the construction</w:t>
            </w:r>
          </w:p>
        </w:tc>
      </w:tr>
      <w:tr>
        <w:trPr>
          <w:trHeight w:val="234"/>
        </w:trPr>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certain equipment.</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Interim Loan Period</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The time period covered by the Interim Loan for certain equipment construction between EDC and a lender.</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LDAN</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Low density ammonium nitrate prills used in the mining industry.</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Leidos</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Leidos Constructors L.L.C.</w:t>
            </w: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The Series E Redeemable Preferred liquidation preference of $1,000 per share plus accrued and unpaid dividends</w:t>
            </w:r>
          </w:p>
        </w:tc>
      </w:tr>
      <w:tr>
        <w:trPr>
          <w:trHeight w:val="234"/>
        </w:trPr>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plus the participation rights value.</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LSB</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LSB Industries, Inc.</w:t>
            </w: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MD&amp;A</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Management’s Discussion and Analysis of Financial Condition and Results of Operations found in Item 7 of this</w:t>
            </w:r>
          </w:p>
        </w:tc>
      </w:tr>
      <w:tr>
        <w:trPr>
          <w:trHeight w:val="234"/>
        </w:trPr>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NOL</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Operating Loss</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A note in the accompanying notes to the condensed consolidated financial statements.</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NPDES</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National Pollutant Discharge Elimination System.</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ODEQ</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The Oklahoma Department of Environmental Quality.</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Permit Appeal Resolution.</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PCC</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Pryor Chemical Company.</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PP&amp;E</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Plant, property and equipment.</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Pryor Facility</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Our chemical production facility located in Pryor, Oklahoma.</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LSB Funding L.L.C.</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The U.S. Securities and Exchange Commission.</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Secured Promissory Note due 2019</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A secured promissory note between EDC and a lender which matures in June 2019.</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Secured Promissory Note due 2021</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A secured promissory note between EDC and a lender which matures in March 2021.</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Secured Promissory Note due 2023</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A secured promissory note between EDA and a lender which matures in May 2023.</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Secured Notes</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The Senior Secured Notes with a current interest rate of 9.625% which mature in May 2023.</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B Preferred</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The Series B 12% cumulative convertible Class C Preferred stock.</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D Preferred</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The Series D 6% cumulative convertible Class C preferred stock.</w:t>
            </w: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E Redeemable Preferred</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The 14% Series E Redeemable Preferred stock with participating rights and liquidating distributions based on a</w:t>
            </w:r>
          </w:p>
        </w:tc>
      </w:tr>
      <w:tr>
        <w:trPr>
          <w:trHeight w:val="234"/>
        </w:trPr>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number of shares of our common stock.</w:t>
            </w: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F Redeemable Preferred</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The Series F Redeemable Preferred stock with one share to vote as a single class on all matters with our common</w:t>
            </w:r>
          </w:p>
        </w:tc>
      </w:tr>
      <w:tr>
        <w:trPr>
          <w:trHeight w:val="234"/>
        </w:trPr>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equal to 456,225 shares of our common stock.</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SG&amp;A</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Selling, general and administrative expense.</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Turnaround</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A planned major maintenance activity.</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UAN</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Urea ammonium nitrate.</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USDA</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United States Department of Agriculture.</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WASDE</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World Agricultural Supply and Demand Estimates Report.</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West Fertilizer</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West Fertilizer Company.</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Wilson Settlement Agreement</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 An agreement in the </w:t>
            </w:r>
            <w:r>
              <w:rPr>
                <w:rFonts w:ascii="Times New Roman" w:cs="Times New Roman" w:eastAsia="Times New Roman" w:hAnsi="Times New Roman"/>
                <w:sz w:val="18"/>
                <w:szCs w:val="18"/>
                <w:i w:val="1"/>
                <w:iCs w:val="1"/>
                <w:color w:val="auto"/>
              </w:rPr>
              <w:t>Dennis Wilson vs. LSB Industries, Inc</w:t>
            </w:r>
            <w:r>
              <w:rPr>
                <w:rFonts w:ascii="Times New Roman" w:cs="Times New Roman" w:eastAsia="Times New Roman" w:hAnsi="Times New Roman"/>
                <w:sz w:val="18"/>
                <w:szCs w:val="18"/>
                <w:color w:val="auto"/>
              </w:rPr>
              <w:t>., et al.</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Our secured revolving credit facility.</w:t>
            </w: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Revolver Loan</w:t>
            </w:r>
          </w:p>
        </w:tc>
        <w:tc>
          <w:tcPr>
            <w:tcW w:w="260" w:type="dxa"/>
            <w:vAlign w:val="bottom"/>
          </w:tcPr>
          <w:p>
            <w:pPr>
              <w:spacing w:after="0"/>
              <w:rPr>
                <w:sz w:val="20"/>
                <w:szCs w:val="20"/>
                <w:color w:val="auto"/>
              </w:rPr>
            </w:pPr>
          </w:p>
        </w:tc>
        <w:tc>
          <w:tcPr>
            <w:tcW w:w="8360" w:type="dxa"/>
            <w:vAlign w:val="bottom"/>
          </w:tcPr>
          <w:p>
            <w:pPr>
              <w:spacing w:after="0"/>
              <w:rPr>
                <w:sz w:val="20"/>
                <w:szCs w:val="20"/>
                <w:color w:val="auto"/>
              </w:rPr>
            </w:pP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2017 Crop</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Corn crop marketing year (September 1 - August 31), which began in 2016 and ending in 2017.</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2018 Crop</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Corn crop marketing year (September 1 - August 31), which began in 2017 and ending in 2018.</w:t>
            </w: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2019 Crop</w:t>
            </w:r>
          </w:p>
        </w:tc>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Corn crop marketing year (September 1 - August 31), which began in 2018 and ending in 2019.</w:t>
            </w:r>
          </w:p>
        </w:tc>
      </w:tr>
      <w:tr>
        <w:trPr>
          <w:trHeight w:val="648"/>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3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34</w:t>
            </w:r>
          </w:p>
        </w:tc>
      </w:tr>
      <w:tr>
        <w:trPr>
          <w:trHeight w:val="115"/>
        </w:trPr>
        <w:tc>
          <w:tcPr>
            <w:tcW w:w="2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from time to time subject to various legal proceedings and claims arising in the ordinary course of business, including, but not limited to, examinations by the Internal Revenue Service. For further discussion of our legal matters, see “Note 6—Commitments and Contingencies—Legal Matters” in the Notes to the Condensed Consolidated Financial Statements in this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Item 1A of our 2018 Form 10-K, filed with the SEC on February 26, 2019 for our discussion regarding risk factors.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Exhibits” on page 36.</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Index to Exhibits Item 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20" w:type="dxa"/>
            <w:vAlign w:val="bottom"/>
            <w:gridSpan w:val="9"/>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00" w:type="dxa"/>
            <w:vAlign w:val="bottom"/>
          </w:tcPr>
          <w:p>
            <w:pPr>
              <w:spacing w:after="0"/>
              <w:rPr>
                <w:sz w:val="13"/>
                <w:szCs w:val="13"/>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9"/>
            <w:vMerge w:val="continue"/>
          </w:tcPr>
          <w:p>
            <w:pPr>
              <w:spacing w:after="0"/>
              <w:rPr>
                <w:sz w:val="15"/>
                <w:szCs w:val="15"/>
                <w:color w:val="auto"/>
              </w:rPr>
            </w:pPr>
          </w:p>
        </w:tc>
        <w:tc>
          <w:tcPr>
            <w:tcW w:w="100" w:type="dxa"/>
            <w:vAlign w:val="bottom"/>
          </w:tcPr>
          <w:p>
            <w:pPr>
              <w:spacing w:after="0"/>
              <w:rPr>
                <w:sz w:val="15"/>
                <w:szCs w:val="15"/>
                <w:color w:val="auto"/>
              </w:rPr>
            </w:pP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the Following</w:t>
            </w:r>
          </w:p>
        </w:tc>
        <w:tc>
          <w:tcPr>
            <w:tcW w:w="0" w:type="dxa"/>
            <w:vAlign w:val="bottom"/>
          </w:tcPr>
          <w:p>
            <w:pPr>
              <w:spacing w:after="0"/>
              <w:rPr>
                <w:sz w:val="1"/>
                <w:szCs w:val="1"/>
                <w:color w:val="auto"/>
              </w:rPr>
            </w:pPr>
          </w:p>
        </w:tc>
      </w:tr>
      <w:tr>
        <w:trPr>
          <w:trHeight w:val="291"/>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3(i).1</w:t>
            </w:r>
          </w:p>
        </w:tc>
        <w:tc>
          <w:tcPr>
            <w:tcW w:w="140" w:type="dxa"/>
            <w:vAlign w:val="bottom"/>
          </w:tcPr>
          <w:p>
            <w:pPr>
              <w:spacing w:after="0"/>
              <w:rPr>
                <w:sz w:val="24"/>
                <w:szCs w:val="24"/>
                <w:color w:val="auto"/>
              </w:rPr>
            </w:pPr>
          </w:p>
        </w:tc>
        <w:tc>
          <w:tcPr>
            <w:tcW w:w="5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Restated Certificate of Incorporation of LSB Industries, Inc., dated January</w:t>
              </w:r>
            </w:hyperlink>
          </w:p>
        </w:tc>
        <w:tc>
          <w:tcPr>
            <w:tcW w:w="4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Exhibit  3(i).1  to  the  Company’s  Form  10-K  filed  on</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21, 1977, as amended August 27, 1987</w:t>
              </w:r>
            </w:hyperlink>
          </w:p>
        </w:tc>
        <w:tc>
          <w:tcPr>
            <w:tcW w:w="2660" w:type="dxa"/>
            <w:vAlign w:val="bottom"/>
            <w:gridSpan w:val="7"/>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February 28, 2013</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3(ii).1</w:t>
            </w:r>
          </w:p>
        </w:tc>
        <w:tc>
          <w:tcPr>
            <w:tcW w:w="140" w:type="dxa"/>
            <w:vAlign w:val="bottom"/>
          </w:tcPr>
          <w:p>
            <w:pPr>
              <w:spacing w:after="0"/>
              <w:rPr>
                <w:sz w:val="24"/>
                <w:szCs w:val="24"/>
                <w:color w:val="auto"/>
              </w:rPr>
            </w:pPr>
          </w:p>
        </w:tc>
        <w:tc>
          <w:tcPr>
            <w:tcW w:w="5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Amended and Restated Bylaws of LSB Industries, Inc. dated August 20,</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2009, as amended February 18, 2010, January 17, 2014, February 4, 2014</w:t>
              </w:r>
            </w:hyperlink>
          </w:p>
        </w:tc>
        <w:tc>
          <w:tcPr>
            <w:tcW w:w="46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Exhibit 3(ii).1 to the Company’s Form 8-K filed August 27,</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63">
              <w:r>
                <w:rPr>
                  <w:rFonts w:ascii="Times New Roman" w:cs="Times New Roman" w:eastAsia="Times New Roman" w:hAnsi="Times New Roman"/>
                  <w:sz w:val="18"/>
                  <w:szCs w:val="18"/>
                  <w:color w:val="0000EE"/>
                  <w:w w:val="98"/>
                </w:rPr>
                <w:t>and August 21, 2014</w:t>
              </w:r>
            </w:hyperlink>
          </w:p>
        </w:tc>
        <w:tc>
          <w:tcPr>
            <w:tcW w:w="3960" w:type="dxa"/>
            <w:vAlign w:val="bottom"/>
            <w:gridSpan w:val="10"/>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3(ii).2</w:t>
            </w:r>
          </w:p>
        </w:tc>
        <w:tc>
          <w:tcPr>
            <w:tcW w:w="140" w:type="dxa"/>
            <w:vAlign w:val="bottom"/>
          </w:tcPr>
          <w:p>
            <w:pPr>
              <w:spacing w:after="0"/>
              <w:rPr>
                <w:sz w:val="24"/>
                <w:szCs w:val="24"/>
                <w:color w:val="auto"/>
              </w:rPr>
            </w:pPr>
          </w:p>
        </w:tc>
        <w:tc>
          <w:tcPr>
            <w:tcW w:w="5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Fifth Amendment to the Amended and Restated Bylaws of LSB Industries,</w:t>
              </w:r>
            </w:hyperlink>
          </w:p>
        </w:tc>
        <w:tc>
          <w:tcPr>
            <w:tcW w:w="4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Exhibit 3(ii) to the Company’s Form 8-K filed April 30,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64">
              <w:r>
                <w:rPr>
                  <w:rFonts w:ascii="Times New Roman" w:cs="Times New Roman" w:eastAsia="Times New Roman" w:hAnsi="Times New Roman"/>
                  <w:sz w:val="18"/>
                  <w:szCs w:val="18"/>
                  <w:color w:val="0000EE"/>
                  <w:w w:val="98"/>
                </w:rPr>
                <w:t>Inc., dated as of April 26, 2015</w:t>
              </w:r>
            </w:hyperlink>
          </w:p>
        </w:tc>
        <w:tc>
          <w:tcPr>
            <w:tcW w:w="3220" w:type="dxa"/>
            <w:vAlign w:val="bottom"/>
            <w:gridSpan w:val="9"/>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3(ii).3</w:t>
            </w:r>
          </w:p>
        </w:tc>
        <w:tc>
          <w:tcPr>
            <w:tcW w:w="140" w:type="dxa"/>
            <w:vAlign w:val="bottom"/>
          </w:tcPr>
          <w:p>
            <w:pPr>
              <w:spacing w:after="0"/>
              <w:rPr>
                <w:sz w:val="24"/>
                <w:szCs w:val="24"/>
                <w:color w:val="auto"/>
              </w:rPr>
            </w:pPr>
          </w:p>
        </w:tc>
        <w:tc>
          <w:tcPr>
            <w:tcW w:w="5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Sixth Amendment to the Amended and Restated Bylaws of LSB Industries,</w:t>
              </w:r>
            </w:hyperlink>
          </w:p>
        </w:tc>
        <w:tc>
          <w:tcPr>
            <w:tcW w:w="4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Exhibit 3(ii) to the Company’s Form 8-K filed December 8,</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gridSpan w:val="11"/>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Inc., dated as of December 2, 2015</w:t>
              </w:r>
            </w:hyperlink>
          </w:p>
        </w:tc>
        <w:tc>
          <w:tcPr>
            <w:tcW w:w="46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3(ii).4</w:t>
            </w:r>
          </w:p>
        </w:tc>
        <w:tc>
          <w:tcPr>
            <w:tcW w:w="140" w:type="dxa"/>
            <w:vAlign w:val="bottom"/>
          </w:tcPr>
          <w:p>
            <w:pPr>
              <w:spacing w:after="0"/>
              <w:rPr>
                <w:sz w:val="24"/>
                <w:szCs w:val="24"/>
                <w:color w:val="auto"/>
              </w:rPr>
            </w:pPr>
          </w:p>
        </w:tc>
        <w:tc>
          <w:tcPr>
            <w:tcW w:w="5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Seventh Amendment to the Amended and Restated Bylaws of LSB</w:t>
              </w:r>
            </w:hyperlink>
          </w:p>
        </w:tc>
        <w:tc>
          <w:tcPr>
            <w:tcW w:w="4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Exhibit 3(ii) to the Company’s Form 8-K filed December 29,</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Industries, Inc., dated as of December 22, 2015</w:t>
              </w:r>
            </w:hyperlink>
          </w:p>
        </w:tc>
        <w:tc>
          <w:tcPr>
            <w:tcW w:w="2060" w:type="dxa"/>
            <w:vAlign w:val="bottom"/>
            <w:gridSpan w:val="4"/>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5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Second Amendment to Third Amended and Restated Loan and Security</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Agreement, dated as of February 26, 2019, by and among Wells Fargo</w:t>
              </w:r>
            </w:hyperlink>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Capital Finance, LLC, as the arranger and administrative agent, the lenders</w:t>
              </w:r>
            </w:hyperlink>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party thereto, LSB Industries, Inc. and its subsidiaries identified on the</w:t>
              </w:r>
            </w:hyperlink>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signature pages thereto as borrowers and the Company’s subsidiaries</w:t>
              </w:r>
            </w:hyperlink>
          </w:p>
        </w:tc>
        <w:tc>
          <w:tcPr>
            <w:tcW w:w="466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Exhibit 4.1 to the Company’s Form 8-K filed February 28,</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identified on the signature pages thereto as guarantors.</w:t>
              </w:r>
            </w:hyperlink>
          </w:p>
        </w:tc>
        <w:tc>
          <w:tcPr>
            <w:tcW w:w="1540" w:type="dxa"/>
            <w:vAlign w:val="bottom"/>
            <w:gridSpan w:val="2"/>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31.1(a)</w:t>
            </w:r>
          </w:p>
        </w:tc>
        <w:tc>
          <w:tcPr>
            <w:tcW w:w="140" w:type="dxa"/>
            <w:vAlign w:val="bottom"/>
          </w:tcPr>
          <w:p>
            <w:pPr>
              <w:spacing w:after="0"/>
              <w:rPr>
                <w:sz w:val="24"/>
                <w:szCs w:val="24"/>
                <w:color w:val="auto"/>
              </w:rPr>
            </w:pPr>
          </w:p>
        </w:tc>
        <w:tc>
          <w:tcPr>
            <w:tcW w:w="5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Certification of Mark T. Behrman, Chief Executive Officer, pursuant to</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Sarbanes-Oxley Act of 2002, Section 302</w:t>
              </w:r>
            </w:hyperlink>
          </w:p>
        </w:tc>
        <w:tc>
          <w:tcPr>
            <w:tcW w:w="246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31.2(a)</w:t>
            </w:r>
          </w:p>
        </w:tc>
        <w:tc>
          <w:tcPr>
            <w:tcW w:w="140" w:type="dxa"/>
            <w:vAlign w:val="bottom"/>
          </w:tcPr>
          <w:p>
            <w:pPr>
              <w:spacing w:after="0"/>
              <w:rPr>
                <w:sz w:val="24"/>
                <w:szCs w:val="24"/>
                <w:color w:val="auto"/>
              </w:rPr>
            </w:pPr>
          </w:p>
        </w:tc>
        <w:tc>
          <w:tcPr>
            <w:tcW w:w="5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Certification of Cheryl A. Maguire, Chief Financial Officer, pursuant to</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Sarbanes-Oxley Act of 2002, Section 302</w:t>
              </w:r>
            </w:hyperlink>
          </w:p>
        </w:tc>
        <w:tc>
          <w:tcPr>
            <w:tcW w:w="246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32.1(b)</w:t>
            </w:r>
          </w:p>
        </w:tc>
        <w:tc>
          <w:tcPr>
            <w:tcW w:w="140" w:type="dxa"/>
            <w:vAlign w:val="bottom"/>
          </w:tcPr>
          <w:p>
            <w:pPr>
              <w:spacing w:after="0"/>
              <w:rPr>
                <w:sz w:val="24"/>
                <w:szCs w:val="24"/>
                <w:color w:val="auto"/>
              </w:rPr>
            </w:pPr>
          </w:p>
        </w:tc>
        <w:tc>
          <w:tcPr>
            <w:tcW w:w="5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5"/>
              </w:rPr>
            </w:pPr>
            <w:hyperlink w:anchor="page40">
              <w:r>
                <w:rPr>
                  <w:rFonts w:ascii="Times New Roman" w:cs="Times New Roman" w:eastAsia="Times New Roman" w:hAnsi="Times New Roman"/>
                  <w:sz w:val="18"/>
                  <w:szCs w:val="18"/>
                  <w:color w:val="0000EE"/>
                  <w:w w:val="95"/>
                </w:rPr>
                <w:t>Certification of Mark T. Behrman, Chief Executive Officer, furnished pursuant</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gridSpan w:val="11"/>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to Sarbanes-Oxley Act of 2002, Section 906</w:t>
              </w:r>
            </w:hyperlink>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gridSpan w:val="6"/>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32.2(b)</w:t>
            </w:r>
          </w:p>
        </w:tc>
        <w:tc>
          <w:tcPr>
            <w:tcW w:w="140" w:type="dxa"/>
            <w:vAlign w:val="bottom"/>
          </w:tcPr>
          <w:p>
            <w:pPr>
              <w:spacing w:after="0"/>
              <w:rPr>
                <w:sz w:val="24"/>
                <w:szCs w:val="24"/>
                <w:color w:val="auto"/>
              </w:rPr>
            </w:pPr>
          </w:p>
        </w:tc>
        <w:tc>
          <w:tcPr>
            <w:tcW w:w="5460" w:type="dxa"/>
            <w:vAlign w:val="bottom"/>
            <w:gridSpan w:val="11"/>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Certification of Cheryl A. Maguire, Chief Financial Officer, furnished</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pursuant to Sarbanes-Oxley Act of 2002, Section 906</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101.INS(a)</w:t>
            </w:r>
          </w:p>
        </w:tc>
        <w:tc>
          <w:tcPr>
            <w:tcW w:w="140" w:type="dxa"/>
            <w:vAlign w:val="bottom"/>
          </w:tcPr>
          <w:p>
            <w:pPr>
              <w:spacing w:after="0"/>
              <w:rPr>
                <w:sz w:val="24"/>
                <w:szCs w:val="24"/>
                <w:color w:val="auto"/>
              </w:rPr>
            </w:pPr>
          </w:p>
        </w:tc>
        <w:tc>
          <w:tcPr>
            <w:tcW w:w="37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7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101.SCH(a)</w:t>
            </w:r>
          </w:p>
        </w:tc>
        <w:tc>
          <w:tcPr>
            <w:tcW w:w="140" w:type="dxa"/>
            <w:vAlign w:val="bottom"/>
          </w:tcPr>
          <w:p>
            <w:pPr>
              <w:spacing w:after="0"/>
              <w:rPr>
                <w:sz w:val="24"/>
                <w:szCs w:val="24"/>
                <w:color w:val="auto"/>
              </w:rPr>
            </w:pPr>
          </w:p>
        </w:tc>
        <w:tc>
          <w:tcPr>
            <w:tcW w:w="54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101.CAL(a)</w:t>
            </w:r>
          </w:p>
        </w:tc>
        <w:tc>
          <w:tcPr>
            <w:tcW w:w="140" w:type="dxa"/>
            <w:vAlign w:val="bottom"/>
          </w:tcPr>
          <w:p>
            <w:pPr>
              <w:spacing w:after="0"/>
              <w:rPr>
                <w:sz w:val="24"/>
                <w:szCs w:val="24"/>
                <w:color w:val="auto"/>
              </w:rPr>
            </w:pPr>
          </w:p>
        </w:tc>
        <w:tc>
          <w:tcPr>
            <w:tcW w:w="54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101.DEF(a)</w:t>
            </w:r>
          </w:p>
        </w:tc>
        <w:tc>
          <w:tcPr>
            <w:tcW w:w="140" w:type="dxa"/>
            <w:vAlign w:val="bottom"/>
          </w:tcPr>
          <w:p>
            <w:pPr>
              <w:spacing w:after="0"/>
              <w:rPr>
                <w:sz w:val="24"/>
                <w:szCs w:val="24"/>
                <w:color w:val="auto"/>
              </w:rPr>
            </w:pPr>
          </w:p>
        </w:tc>
        <w:tc>
          <w:tcPr>
            <w:tcW w:w="54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101.LAB(a)</w:t>
            </w:r>
          </w:p>
        </w:tc>
        <w:tc>
          <w:tcPr>
            <w:tcW w:w="140" w:type="dxa"/>
            <w:vAlign w:val="bottom"/>
          </w:tcPr>
          <w:p>
            <w:pPr>
              <w:spacing w:after="0"/>
              <w:rPr>
                <w:sz w:val="24"/>
                <w:szCs w:val="24"/>
                <w:color w:val="auto"/>
              </w:rPr>
            </w:pPr>
          </w:p>
        </w:tc>
        <w:tc>
          <w:tcPr>
            <w:tcW w:w="54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101.PRE(a)</w:t>
            </w:r>
          </w:p>
        </w:tc>
        <w:tc>
          <w:tcPr>
            <w:tcW w:w="140" w:type="dxa"/>
            <w:vAlign w:val="bottom"/>
          </w:tcPr>
          <w:p>
            <w:pPr>
              <w:spacing w:after="0"/>
              <w:rPr>
                <w:sz w:val="24"/>
                <w:szCs w:val="24"/>
                <w:color w:val="auto"/>
              </w:rPr>
            </w:pPr>
          </w:p>
        </w:tc>
        <w:tc>
          <w:tcPr>
            <w:tcW w:w="54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Company has caused the undersigned, duly authorized, to sign this report on its behalf on this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April 2019.</w:t>
      </w:r>
    </w:p>
    <w:p>
      <w:pPr>
        <w:spacing w:after="0" w:line="16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Cheryl A. Maguire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Harold L. Rieker, Jr.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Vice President – Financial Reporting</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333"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T. Behrman, certify that:</w:t>
      </w:r>
    </w:p>
    <w:p>
      <w:pPr>
        <w:spacing w:after="0" w:line="117"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LSB Industries, Inc. (the “registrant”);</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540" w:hanging="506"/>
        <w:spacing w:after="0" w:line="266"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540" w:hanging="506"/>
        <w:spacing w:after="0" w:line="266"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540" w:hanging="506"/>
        <w:spacing w:after="0" w:line="282"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540" w:hanging="506"/>
        <w:spacing w:after="0" w:line="266"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06"/>
        <w:spacing w:after="0" w:line="282"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hanging="506"/>
        <w:spacing w:after="0" w:line="282"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T. Behrman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President, Chief Executive Officer andDirector</w:t>
      </w:r>
    </w:p>
    <w:p>
      <w:pPr>
        <w:sectPr>
          <w:pgSz w:w="11900" w:h="16838" w:orient="portrait"/>
          <w:cols w:equalWidth="0" w:num="1">
            <w:col w:w="11420"/>
          </w:cols>
          <w:pgMar w:left="240" w:top="333"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Cheryl A. Maguire, certify that:</w:t>
      </w:r>
    </w:p>
    <w:p>
      <w:pPr>
        <w:spacing w:after="0" w:line="117"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LSB Industries, Inc. (the “registrant”);</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540" w:hanging="506"/>
        <w:spacing w:after="0" w:line="266"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540" w:hanging="506"/>
        <w:spacing w:after="0" w:line="266"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540" w:hanging="506"/>
        <w:spacing w:after="0" w:line="282"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540" w:hanging="506"/>
        <w:spacing w:after="0" w:line="266"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06"/>
        <w:spacing w:after="0" w:line="282"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hanging="506"/>
        <w:spacing w:after="0" w:line="282"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Cheryl A. Maguire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420"/>
          </w:cols>
          <w:pgMar w:left="240" w:top="333"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LSB Industries, Inc. (“LSB”) on Form 10-Q for the period ended March 31, 2019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68" w:lineRule="exact"/>
        <w:rPr>
          <w:sz w:val="20"/>
          <w:szCs w:val="20"/>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LSB.</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Mark T. Behrman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2019</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20"/>
          </w:cols>
          <w:pgMar w:left="240" w:top="333"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LSB Industries, Inc. (“LSB”) on Form 10-Q for the period ended March 31, 2019 as filed with the Securities and Exchange Commission on the date hereof (the “Report”), I, Cheryl A. Maguire, Senior Vice President and Chief Financial Officer of LSB, certify pursuant to 18 U.S.C. §1350, as adopted pursuant to §906 of the Sarbanes-Oxley Act of 2002, that:</w:t>
      </w:r>
    </w:p>
    <w:p>
      <w:pPr>
        <w:spacing w:after="0" w:line="68" w:lineRule="exact"/>
        <w:rPr>
          <w:sz w:val="20"/>
          <w:szCs w:val="20"/>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 (a) or 15 (d)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LSB.</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Cheryl A. Maguire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2019</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upperLetter"/>
      <w:start w:val="1"/>
    </w:lvl>
  </w:abstractNum>
  <w:abstractNum w:abstractNumId="7">
    <w:nsid w:val="62BBD95A"/>
    <w:multiLevelType w:val="hybridMultilevel"/>
    <w:lvl w:ilvl="0">
      <w:lvlJc w:val="left"/>
      <w:lvlText w:val="(%1)"/>
      <w:numFmt w:val="upperLetter"/>
      <w:start w:val="2"/>
    </w:lvl>
  </w:abstractNum>
  <w:abstractNum w:abstractNumId="8">
    <w:nsid w:val="436C6125"/>
    <w:multiLevelType w:val="hybridMultilevel"/>
    <w:lvl w:ilvl="0">
      <w:lvlJc w:val="left"/>
      <w:lvlText w:val="%1."/>
      <w:numFmt w:val="decimal"/>
      <w:start w:val="6"/>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6"/>
    </w:lvl>
  </w:abstractNum>
  <w:abstractNum w:abstractNumId="11">
    <w:nsid w:val="721DA317"/>
    <w:multiLevelType w:val="hybridMultilevel"/>
    <w:lvl w:ilvl="0">
      <w:lvlJc w:val="left"/>
      <w:lvlText w:val="(%1)"/>
      <w:numFmt w:val="upperLetter"/>
      <w:start w:val="6"/>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62" Type="http://schemas.openxmlformats.org/officeDocument/2006/relationships/hyperlink" Target="http://www.sec.gov/Archives/edgar/data/60714/000119312513084410/d447083dex3i1.htm" TargetMode="External"/><Relationship Id="rId63" Type="http://schemas.openxmlformats.org/officeDocument/2006/relationships/hyperlink" Target="http://www.sec.gov/Archives/edgar/data/60714/000119312514323405/d781455dex3ii.htm" TargetMode="External"/><Relationship Id="rId64" Type="http://schemas.openxmlformats.org/officeDocument/2006/relationships/hyperlink" Target="http://www.sec.gov/Archives/edgar/data/60714/000119312515161375/d918969dex3ii.htm" TargetMode="External"/><Relationship Id="rId65" Type="http://schemas.openxmlformats.org/officeDocument/2006/relationships/hyperlink" Target="http://www.sec.gov/Archives/edgar/data/60714/000119312515397856/d22963dex3ii.htm" TargetMode="External"/><Relationship Id="rId66" Type="http://schemas.openxmlformats.org/officeDocument/2006/relationships/hyperlink" Target="http://www.sec.gov/Archives/edgar/data/60714/000119312515415325/d102136dex3ii.htm" TargetMode="External"/><Relationship Id="rId67" Type="http://schemas.openxmlformats.org/officeDocument/2006/relationships/hyperlink" Target="http://www.sec.gov/Archives/edgar/data/60714/000089914019000267/l28210130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2019-12-28T13:28:14Z</dcterms:created>
  <dcterms:modified xsi:type="dcterms:W3CDTF">2019-12-28T13:28:14Z</dcterms:modified>
</cp:coreProperties>
</file>