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60729.htm"/>
      <w:bookmarkStart w:id="1" w:name="kslxu20260729"/>
      <w:bookmarkEnd w:id="0"/>
      <w:bookmarkEnd w:id="1"/>
      <w:r>
        <w:rPr/>
        <w:t> </w:t>
      </w:r>
    </w:p>
    <w:p>
      <w:pPr>
        <w:pStyle w:val="TextBody"/>
        <w:bidi w:val="0"/>
        <w:spacing w:before="80" w:after="283"/>
        <w:jc w:val="center"/>
        <w:rPr>
          <w:rFonts w:ascii="Times New Roman" w:hAnsi="Times New Roman"/>
          <w:b/>
          <w:color w:val="000000"/>
          <w:sz w:val="36"/>
        </w:rPr>
      </w:pPr>
      <w:bookmarkStart w:id="2" w:name="fis_top_of_document"/>
      <w:bookmarkStart w:id="3" w:name="fis_form"/>
      <w:bookmarkStart w:id="4" w:name="eolpage1"/>
      <w:bookmarkStart w:id="5" w:name="d719269d8k_htm"/>
      <w:bookmarkEnd w:id="2"/>
      <w:bookmarkEnd w:id="3"/>
      <w:bookmarkEnd w:id="4"/>
      <w:bookmarkEnd w:id="5"/>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29, 2026</w:t>
      </w:r>
    </w:p>
    <w:p>
      <w:pPr>
        <w:pStyle w:val="TextBody"/>
        <w:bidi w:val="0"/>
        <w:spacing w:before="240" w:after="283"/>
        <w:jc w:val="center"/>
        <w:rPr>
          <w:rFonts w:ascii="Times New Roman" w:hAnsi="Times New Roman"/>
          <w:b/>
          <w:color w:val="000000"/>
          <w:sz w:val="48"/>
        </w:rPr>
      </w:pPr>
      <w:bookmarkStart w:id="6" w:name="fis_unidentified_table"/>
      <w:bookmarkEnd w:id="6"/>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191" w:type="dxa"/>
        <w:jc w:val="left"/>
        <w:tblInd w:w="0" w:type="dxa"/>
        <w:tblLayout w:type="fixed"/>
        <w:tblCellMar>
          <w:top w:w="28" w:type="dxa"/>
          <w:left w:w="28" w:type="dxa"/>
          <w:bottom w:w="28" w:type="dxa"/>
          <w:right w:w="28" w:type="dxa"/>
        </w:tblCellMar>
      </w:tblPr>
      <w:tblGrid>
        <w:gridCol w:w="2935"/>
        <w:gridCol w:w="234"/>
        <w:gridCol w:w="1540"/>
        <w:gridCol w:w="146"/>
        <w:gridCol w:w="1336"/>
      </w:tblGrid>
      <w:tr>
        <w:trPr/>
        <w:tc>
          <w:tcPr>
            <w:tcW w:w="29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1-7677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73-1015226</w:t>
            </w:r>
          </w:p>
        </w:tc>
      </w:tr>
      <w:tr>
        <w:trPr/>
        <w:tc>
          <w:tcPr>
            <w:tcW w:w="293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incorporation)</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(Commission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3503 NW 63rd 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73116</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(405)</w:t>
      </w:r>
      <w:r>
        <w:rPr>
          <w:rFonts w:ascii="Times New Roman" w:hAnsi="Times New Roman"/>
          <w:color w:val="000000"/>
          <w:sz w:val="20"/>
        </w:rPr>
        <w:t xml:space="preserve"> </w:t>
      </w:r>
      <w:r>
        <w:rPr>
          <w:rFonts w:ascii="Times New Roman" w:hAnsi="Times New Roman"/>
          <w:b/>
          <w:color w:val="000000"/>
          <w:sz w:val="20"/>
        </w:rPr>
        <w:t>235-4546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2866"/>
        <w:gridCol w:w="146"/>
        <w:gridCol w:w="1696"/>
        <w:gridCol w:w="146"/>
        <w:gridCol w:w="382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LXU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bookmarkStart w:id="7" w:name="eolpage2"/>
      <w:bookmarkEnd w:id="7"/>
      <w:r>
        <w:rPr/>
        <w:t> </w:t>
      </w:r>
    </w:p>
    <w:p>
      <w:pPr>
        <w:pStyle w:val="TextBody"/>
        <w:bidi w:val="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5102" w:type="dxa"/>
        <w:jc w:val="left"/>
        <w:tblInd w:w="0" w:type="dxa"/>
        <w:tblLayout w:type="fixed"/>
        <w:tblCellMar>
          <w:top w:w="28" w:type="dxa"/>
          <w:left w:w="28" w:type="dxa"/>
          <w:bottom w:w="28" w:type="dxa"/>
          <w:right w:w="28" w:type="dxa"/>
        </w:tblCellMar>
      </w:tblPr>
      <w:tblGrid>
        <w:gridCol w:w="961"/>
        <w:gridCol w:w="4141"/>
      </w:tblGrid>
      <w:tr>
        <w:trPr/>
        <w:tc>
          <w:tcPr>
            <w:tcW w:w="96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29, 2026, LSB Industries, Inc. (the “Company”) issued a press release to report its financial results for the second quarter ended June 30, 2026. The press release is attached hereto as Exhibit 99.1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previously announced, on July 30, 2026, at 10:00 a.m. (Eastern time) / 9:00 a.m. (Central time), the Company will hold a conference call broadcast live over the Internet to discuss the financial results of the second quarter ended June 30, 2026. </w:t>
      </w:r>
    </w:p>
    <w:p>
      <w:pPr>
        <w:pStyle w:val="TextBody"/>
        <w:bidi w:val="0"/>
        <w:spacing w:before="240" w:after="283"/>
        <w:jc w:val="left"/>
        <w:rPr>
          <w:rFonts w:ascii="Times New Roman" w:hAnsi="Times New Roman"/>
          <w:sz w:val="20"/>
        </w:rPr>
      </w:pPr>
      <w:r>
        <w:rPr>
          <w:rFonts w:ascii="Times New Roman" w:hAnsi="Times New Roman"/>
          <w:i/>
          <w:color w:val="000000"/>
          <w:sz w:val="20"/>
        </w:rPr>
        <w:t>The information contained in Item 2.02 of this Form 8-K and the Exhibit 99.1 attached hereto are being furnished and shall not be deemed “filed” for the purposes of Section 18 of the Securities Act of 1934, as amended (the “Exchanged Act”), or otherwise subject to the liabilities of such section, nor shall it be deemed incorporated by reference in any filing under the Securities Act of 1933, as amended or the Exchange Act, except as shall be expressly set forth by specific reference to this Item 2.02 in such filing.</w:t>
      </w:r>
      <w:r>
        <w:rPr>
          <w:rFonts w:ascii="Times New Roman" w:hAnsi="Times New Roman"/>
          <w:color w:val="000000"/>
          <w:sz w:val="20"/>
        </w:rPr>
        <w:t xml:space="preserve"> </w:t>
      </w:r>
    </w:p>
    <w:tbl>
      <w:tblPr>
        <w:tblW w:w="1862" w:type="dxa"/>
        <w:jc w:val="left"/>
        <w:tblInd w:w="0" w:type="dxa"/>
        <w:tblLayout w:type="fixed"/>
        <w:tblCellMar>
          <w:top w:w="28" w:type="dxa"/>
          <w:left w:w="28" w:type="dxa"/>
          <w:bottom w:w="28" w:type="dxa"/>
          <w:right w:w="28" w:type="dxa"/>
        </w:tblCellMar>
      </w:tblPr>
      <w:tblGrid>
        <w:gridCol w:w="916"/>
        <w:gridCol w:w="946"/>
      </w:tblGrid>
      <w:tr>
        <w:trPr/>
        <w:tc>
          <w:tcPr>
            <w:tcW w:w="9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691"/>
        <w:gridCol w:w="146"/>
        <w:gridCol w:w="9368"/>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9368"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69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95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8" w:type="dxa"/>
            <w:tcBorders/>
            <w:tcMar>
              <w:top w:w="0" w:type="dxa"/>
              <w:left w:w="0" w:type="dxa"/>
              <w:bottom w:w="0" w:type="dxa"/>
              <w:right w:w="0" w:type="dxa"/>
            </w:tcMar>
            <w:vAlign w:val="center"/>
          </w:tcPr>
          <w:p>
            <w:pPr>
              <w:pStyle w:val="TableContents"/>
              <w:bidi w:val="0"/>
              <w:spacing w:before="0" w:after="283"/>
              <w:jc w:val="left"/>
              <w:rPr/>
            </w:pPr>
            <w:hyperlink w:anchor="lxu-ex99_1.htm">
              <w:r>
                <w:rPr>
                  <w:rStyle w:val="InternetLink"/>
                  <w:rFonts w:ascii="Times New Roman" w:hAnsi="Times New Roman"/>
                  <w:color w:val="0000FF"/>
                  <w:sz w:val="20"/>
                  <w:u w:val="single"/>
                </w:rPr>
                <w:t>Press Release issued by LSB Industries, Inc. dated July 29, 2026, titled “LSB Industries, Inc. Reports Operating Results for the 2026 Second Quarter.</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bookmarkStart w:id="8" w:name="part_1_2_3"/>
      <w:bookmarkEnd w:id="8"/>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SIGNATURES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Dated: July 29, 2026</w:t>
      </w:r>
    </w:p>
    <w:tbl>
      <w:tblPr>
        <w:tblW w:w="5233" w:type="dxa"/>
        <w:jc w:val="left"/>
        <w:tblInd w:w="0" w:type="dxa"/>
        <w:tblLayout w:type="fixed"/>
        <w:tblCellMar>
          <w:top w:w="28" w:type="dxa"/>
          <w:left w:w="28" w:type="dxa"/>
          <w:bottom w:w="28" w:type="dxa"/>
          <w:right w:w="28" w:type="dxa"/>
        </w:tblCellMar>
      </w:tblPr>
      <w:tblGrid>
        <w:gridCol w:w="646"/>
        <w:gridCol w:w="146"/>
        <w:gridCol w:w="44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9" w:name="lxu-ex99_1.htm"/>
      <w:bookmarkStart w:id="10" w:name="kslxuex99_1"/>
      <w:bookmarkEnd w:id="9"/>
      <w:bookmarkEnd w:id="10"/>
      <w:r>
        <w:rPr>
          <w:rFonts w:ascii="Times New Roman" w:hAnsi="Times New Roman"/>
          <w:color w:val="000000"/>
          <w:sz w:val="24"/>
        </w:rPr>
        <w:t>Exhibit 99.1</w:t>
      </w:r>
      <w:r>
        <w:br w:type="page"/>
      </w:r>
    </w:p>
    <w:p>
      <w:pPr>
        <w:pStyle w:val="TextBody"/>
        <w:bidi w:val="0"/>
        <w:jc w:val="left"/>
        <w:rPr/>
      </w:pPr>
      <w:r>
        <w:rPr/>
        <w:drawing>
          <wp:inline distT="0" distB="0" distL="0" distR="0">
            <wp:extent cx="14859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781050"/>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4"/>
          <w:u w:val="single"/>
        </w:rPr>
      </w:pPr>
      <w:r>
        <w:rPr>
          <w:rFonts w:ascii="sans-serif" w:hAnsi="sans-serif"/>
          <w:b/>
          <w:color w:val="000000"/>
          <w:sz w:val="24"/>
          <w:u w:val="single"/>
        </w:rPr>
        <w:t>LSB INDUSTRIES, INC. REPORTS OPERATING RESULTS FOR THE 2026 SECOND QUARTER</w:t>
      </w:r>
    </w:p>
    <w:p>
      <w:pPr>
        <w:pStyle w:val="TextBody"/>
        <w:bidi w:val="0"/>
        <w:spacing w:before="120" w:after="283"/>
        <w:jc w:val="center"/>
        <w:rPr/>
      </w:pPr>
      <w:r>
        <w:rPr/>
        <w:t> </w:t>
      </w:r>
    </w:p>
    <w:p>
      <w:pPr>
        <w:pStyle w:val="TextBody"/>
        <w:bidi w:val="0"/>
        <w:spacing w:before="0" w:after="120"/>
        <w:jc w:val="both"/>
        <w:rPr>
          <w:rFonts w:ascii="Times New Roman" w:hAnsi="Times New Roman"/>
          <w:sz w:val="20"/>
        </w:rPr>
      </w:pPr>
      <w:r>
        <w:rPr>
          <w:rFonts w:ascii="sans-serif" w:hAnsi="sans-serif"/>
          <w:color w:val="000000"/>
          <w:sz w:val="24"/>
        </w:rPr>
        <w:t>OKLAHOMA CITY, Oklahoma—July 29, 2026—</w:t>
      </w:r>
      <w:r>
        <w:rPr>
          <w:rFonts w:ascii="sans-serif" w:hAnsi="sans-serif"/>
          <w:sz w:val="24"/>
        </w:rPr>
        <w:t>LSB Industries, Inc. (NYSE: LXU)</w:t>
      </w:r>
      <w:r>
        <w:rPr>
          <w:rFonts w:ascii="Times New Roman" w:hAnsi="Times New Roman"/>
          <w:color w:val="000000"/>
          <w:sz w:val="20"/>
        </w:rPr>
        <w:t xml:space="preserve"> </w:t>
      </w:r>
      <w:r>
        <w:rPr>
          <w:rFonts w:ascii="sans-serif" w:hAnsi="sans-serif"/>
          <w:color w:val="000000"/>
          <w:sz w:val="24"/>
        </w:rPr>
        <w:t>(“LSB,” “we,” “us,” “our,” or the “Company”) today announced results for the second quarter ended June 30, 2026.</w:t>
      </w:r>
    </w:p>
    <w:p>
      <w:pPr>
        <w:pStyle w:val="TextBody"/>
        <w:bidi w:val="0"/>
        <w:jc w:val="both"/>
        <w:rPr>
          <w:rFonts w:ascii="sans-serif" w:hAnsi="sans-serif"/>
          <w:b/>
          <w:color w:val="000000"/>
          <w:sz w:val="24"/>
        </w:rPr>
      </w:pPr>
      <w:r>
        <w:rPr>
          <w:rFonts w:ascii="sans-serif" w:hAnsi="sans-serif"/>
          <w:b/>
          <w:color w:val="000000"/>
          <w:sz w:val="24"/>
        </w:rPr>
        <w:t>Second Quarter 2026 Results and Recent Highlights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Net sales of $168.1 million compared to $151.3 million in the second quarter of 2025</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Net loss of $6.2 million, inclusive of approximately $28.8 million of turnaround expenses, compared to net income of $3.0 million in the second quarter of 2025, inclusive of approximately $2.6 million of turnaround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Diluted loss per share of $0.09 compared to diluted EPS of $0.04 for the second quarter of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Adjusted EBITDA</w:t>
      </w:r>
      <w:r>
        <w:rPr>
          <w:rFonts w:ascii="sans-serif" w:hAnsi="sans-serif"/>
          <w:color w:val="000000"/>
          <w:sz w:val="16"/>
        </w:rPr>
        <w:t xml:space="preserve">(1) </w:t>
      </w:r>
      <w:r>
        <w:rPr>
          <w:rFonts w:ascii="sans-serif" w:hAnsi="sans-serif"/>
          <w:color w:val="000000"/>
          <w:sz w:val="24"/>
        </w:rPr>
        <w:t>of $53.1 million compared to $38.3 million in the second quarter of 2025</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Total cash, cash equivalents and short-term investments of approximately $218.0 million and total debt of $441.3 million as of June 30, 2026</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Our second quarter results reflect solid execution through an important period of planned maintenance at two of our three production facilities,” stated Mark Behrman, LSB Industries' Chairman &amp; Chief Executive Officer. “During the quarter we successfully completed an extensive and complex turnaround of our El Dorado ammonia plant on time, within budget and injury free. We also made the decision to pull forward scheduled turnaround work at our Pryor facility from the third quarter into the second quarter. While this planned activity impacted second quarter production and earnings, it was an important investment in our facilities and supports our broader reliability and operating performance objectives.”</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We are already seeing the benefits of the work completed at El Dorado, including higher production rates, and expect improved performance at Pryor as that turnaround is completed in the third quarter. While nitrogen prices have moderated from first half highs, market conditions for both our industrial and fertilizer business remain constructive. Alongside our continued focus on reliability, efficiency and product mix optimization, we believe our improved operating platform positions us to generate stronger results in the second half of 2026, supported by higher expected production rates, continued reliability improvements and constructive market conditions.”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16"/>
        </w:rPr>
      </w:pPr>
      <w:r>
        <w:rPr>
          <w:rFonts w:ascii="sans-serif" w:hAnsi="sans-serif"/>
          <w:color w:val="000000"/>
          <w:sz w:val="16"/>
        </w:rPr>
        <w:t>(1) Adjusted EBITDA and EBITDA are non-GAAP financial measures. Please see the discussion below under the heading “Non-GAAP Reconciliations” and the reconciliations at the end of this release for additional information concerning these and other non-GAAP financial measures</w:t>
      </w:r>
    </w:p>
    <w:p>
      <w:pPr>
        <w:pStyle w:val="TextBody"/>
        <w:bidi w:val="0"/>
        <w:jc w:val="center"/>
        <w:rPr>
          <w:rFonts w:ascii="sans-serif" w:hAnsi="sans-serif"/>
          <w:color w:val="000000"/>
          <w:sz w:val="24"/>
        </w:rPr>
      </w:pPr>
      <w:r>
        <w:rPr>
          <w:rFonts w:ascii="sans-serif" w:hAnsi="sans-serif"/>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sans-serif" w:hAnsi="sans-serif"/>
          <w:b/>
          <w:color w:val="000000"/>
          <w:sz w:val="24"/>
        </w:rPr>
      </w:pPr>
      <w:r>
        <w:rPr>
          <w:rFonts w:ascii="sans-serif" w:hAnsi="sans-serif"/>
          <w:b/>
          <w:color w:val="000000"/>
          <w:sz w:val="24"/>
        </w:rPr>
        <w:t>Market Outlook</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Industrial business is strong with positive market conditions: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both"/>
        <w:rPr>
          <w:rFonts w:ascii="sans-serif" w:hAnsi="sans-serif"/>
          <w:color w:val="000000"/>
          <w:sz w:val="24"/>
        </w:rPr>
      </w:pPr>
      <w:r>
        <w:rPr>
          <w:rFonts w:ascii="sans-serif" w:hAnsi="sans-serif"/>
          <w:color w:val="000000"/>
          <w:sz w:val="24"/>
        </w:rPr>
        <w:t>Demand for Ammonium Nitrate (AN) remains strong, supported by continued mining-sector investment across North America and globally, as well as broader capital spending tied to AI-related infrastructure, data centers, power generation and electrification. Favorable supply / demand fundamentals, further supported by producer outages, continue to underpin both spot and contract pricing, while new mining and aggregate projects are expected to support medium- to longer-term demand for explosives used in copper, iron ore, quarrying and infrastructure-related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The fertilizer markets remain constructive as conditions continue to evolve following the Strait of Hormuz disruption earlier this year: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both"/>
        <w:rPr>
          <w:rFonts w:ascii="sans-serif" w:hAnsi="sans-serif"/>
          <w:color w:val="000000"/>
          <w:sz w:val="24"/>
        </w:rPr>
      </w:pPr>
      <w:r>
        <w:rPr>
          <w:rFonts w:ascii="sans-serif" w:hAnsi="sans-serif"/>
          <w:color w:val="000000"/>
          <w:sz w:val="24"/>
        </w:rPr>
        <w:t>Ammonia prices remain elevated relative to historical averages although they have moderated from first-half highs as seasonal demand normalizes and supply conditions improve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both"/>
        <w:rPr>
          <w:rFonts w:ascii="sans-serif" w:hAnsi="sans-serif"/>
          <w:color w:val="000000"/>
          <w:sz w:val="24"/>
        </w:rPr>
      </w:pPr>
      <w:r>
        <w:rPr>
          <w:rFonts w:ascii="sans-serif" w:hAnsi="sans-serif"/>
          <w:color w:val="000000"/>
          <w:sz w:val="24"/>
        </w:rPr>
        <w:t>Urea Ammonium Nitrate (UAN) pricing remains favorable, even as prices normalize from elevated levels, with a constructive demand outlook expected to support increased demand in the second half of 2026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both"/>
        <w:rPr>
          <w:rFonts w:ascii="sans-serif" w:hAnsi="sans-serif"/>
          <w:color w:val="000000"/>
          <w:sz w:val="24"/>
        </w:rPr>
      </w:pPr>
      <w:r>
        <w:rPr>
          <w:rFonts w:ascii="sans-serif" w:hAnsi="sans-serif"/>
          <w:color w:val="000000"/>
          <w:sz w:val="24"/>
        </w:rPr>
        <w:t>Other notable developments that could impact product pricing include:</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Continued attacks affecting Russian nitrogen plants, ports, and ships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Ongoing risk related to instability in the Middle East, including the U.S. – Iran conflict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Corn market dynamics support fertilizer demand:</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both"/>
        <w:rPr>
          <w:rFonts w:ascii="sans-serif" w:hAnsi="sans-serif"/>
          <w:color w:val="000000"/>
          <w:sz w:val="24"/>
        </w:rPr>
      </w:pPr>
      <w:r>
        <w:rPr>
          <w:rFonts w:ascii="sans-serif" w:hAnsi="sans-serif"/>
          <w:color w:val="000000"/>
          <w:sz w:val="24"/>
        </w:rPr>
        <w:t>USDA projects 95+ million planted acres of corn for the 2026/27 marketing season with global ending stocks projected to be at the lowest levels in over a decade supporting improved corn prices. This will support strong fertilizer application rates and we anticipate robust nitrogen demand through the full fertilizer application season</w:t>
      </w:r>
    </w:p>
    <w:p>
      <w:pPr>
        <w:pStyle w:val="TextBody"/>
        <w:bidi w:val="0"/>
        <w:jc w:val="both"/>
        <w:rPr/>
      </w:pPr>
      <w:r>
        <w:rPr/>
        <w:t> </w:t>
      </w:r>
    </w:p>
    <w:p>
      <w:pPr>
        <w:pStyle w:val="TextBody"/>
        <w:bidi w:val="0"/>
        <w:spacing w:before="0" w:after="240"/>
        <w:jc w:val="both"/>
        <w:rPr>
          <w:rFonts w:ascii="sans-serif" w:hAnsi="sans-serif"/>
          <w:b/>
          <w:color w:val="000000"/>
          <w:sz w:val="24"/>
        </w:rPr>
      </w:pPr>
      <w:r>
        <w:rPr>
          <w:rFonts w:ascii="sans-serif" w:hAnsi="sans-serif"/>
          <w:b/>
          <w:color w:val="000000"/>
          <w:sz w:val="24"/>
        </w:rPr>
        <w:t>Low Carbon Ammonia Project Summary</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b/>
          <w:color w:val="000000"/>
          <w:sz w:val="24"/>
        </w:rPr>
      </w:pPr>
      <w:r>
        <w:rPr>
          <w:rFonts w:ascii="sans-serif" w:hAnsi="sans-serif"/>
          <w:b/>
          <w:color w:val="000000"/>
          <w:sz w:val="24"/>
        </w:rPr>
        <w:t>El Dorado Carbon Capture and Sequestration (CCS) Project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In May 2026, we reached an agreement to assume full ownership of the project to capture and sequester CO2 at our El Dorado facility from Lapis Carbon Solutions. The project is expected to be completed and operational in the first quarter of 2027, subject to EPA approval of our Class VI permit, at which time CO2 injections are expected to begin</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We expect to capture and sequester between 400,000 and 500,000 metric tons of CO2 per year, which is expected to reduce our Scope 1 emissions by approximately 25%, and yield between 305,000 and 380,000 metric tons per year of low carbon ammonia</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The sequestered CO₂ generated from the facility's ammonia production is expected to qualify for the enhanced federal tax credit, currently $85 per metric ton of CO2, under Internal Revenue Code Section 45Q. Based on expected capture volumes, the Company estimates the project could generate approximately $25 million to $30 million of annual earnings when fully operational, net of CCS operating costs, over the 12-year credit period, subject to continued qualification</w:t>
      </w:r>
    </w:p>
    <w:p>
      <w:pPr>
        <w:pStyle w:val="TextBody"/>
        <w:bidi w:val="0"/>
        <w:jc w:val="center"/>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Although the credits are expected to be recognized in earnings as they are earned, the timing of related cash inflows may vary depending on the tax credit monetization method selected. As a result, cash receipts may not coincide with earnings recognition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sans-serif" w:hAnsi="sans-serif"/>
          <w:color w:val="000000"/>
          <w:sz w:val="24"/>
        </w:rPr>
        <w:t>A stratigraphic well was completed in June 2025 to provide data to support the EPA in review of our Class VI application and we intend to use the completed stratigraphic well for CO</w:t>
      </w:r>
      <w:r>
        <w:rPr>
          <w:rFonts w:ascii="sans-serif" w:hAnsi="sans-serif"/>
          <w:color w:val="000000"/>
          <w:sz w:val="16"/>
        </w:rPr>
        <w:t>2</w:t>
      </w:r>
      <w:r>
        <w:rPr>
          <w:color w:val="000000"/>
        </w:rPr>
        <w:t xml:space="preserve"> </w:t>
      </w:r>
      <w:r>
        <w:rPr>
          <w:rFonts w:ascii="sans-serif" w:hAnsi="sans-serif"/>
          <w:color w:val="000000"/>
          <w:sz w:val="24"/>
        </w:rPr>
        <w:t>injection once EPA approval is received</w:t>
      </w:r>
    </w:p>
    <w:p>
      <w:pPr>
        <w:pStyle w:val="TextBody"/>
        <w:bidi w:val="0"/>
        <w:jc w:val="both"/>
        <w:rPr/>
      </w:pPr>
      <w:r>
        <w:rPr/>
        <w:t> </w:t>
      </w:r>
    </w:p>
    <w:p>
      <w:pPr>
        <w:pStyle w:val="TextBody"/>
        <w:bidi w:val="0"/>
        <w:jc w:val="both"/>
        <w:rPr>
          <w:rFonts w:ascii="sans-serif" w:hAnsi="sans-serif"/>
          <w:b/>
          <w:color w:val="000000"/>
          <w:sz w:val="24"/>
        </w:rPr>
      </w:pPr>
      <w:r>
        <w:rPr>
          <w:rFonts w:ascii="sans-serif" w:hAnsi="sans-serif"/>
          <w:b/>
          <w:color w:val="000000"/>
          <w:sz w:val="24"/>
        </w:rPr>
        <w:t>Second Quarter Results Overview</w:t>
      </w:r>
    </w:p>
    <w:p>
      <w:pPr>
        <w:pStyle w:val="TextBody"/>
        <w:bidi w:val="0"/>
        <w:jc w:val="both"/>
        <w:rPr/>
      </w:pPr>
      <w:r>
        <w:rPr/>
        <w:t> </w:t>
      </w:r>
    </w:p>
    <w:tbl>
      <w:tblPr>
        <w:tblW w:w="8305" w:type="dxa"/>
        <w:jc w:val="left"/>
        <w:tblInd w:w="0" w:type="dxa"/>
        <w:tblLayout w:type="fixed"/>
        <w:tblCellMar>
          <w:top w:w="28" w:type="dxa"/>
          <w:left w:w="28" w:type="dxa"/>
          <w:bottom w:w="28" w:type="dxa"/>
          <w:right w:w="28" w:type="dxa"/>
        </w:tblCellMar>
      </w:tblPr>
      <w:tblGrid>
        <w:gridCol w:w="3321"/>
        <w:gridCol w:w="146"/>
        <w:gridCol w:w="229"/>
        <w:gridCol w:w="898"/>
        <w:gridCol w:w="148"/>
        <w:gridCol w:w="148"/>
        <w:gridCol w:w="229"/>
        <w:gridCol w:w="898"/>
        <w:gridCol w:w="148"/>
        <w:gridCol w:w="148"/>
        <w:gridCol w:w="356"/>
        <w:gridCol w:w="845"/>
        <w:gridCol w:w="791"/>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69,539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61,707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62,488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25,511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26,830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10,497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sans-serif" w:hAnsi="sans-serif"/>
                <w:color w:val="000000"/>
                <w:sz w:val="20"/>
              </w:rPr>
              <w:t>%</w:t>
            </w:r>
          </w:p>
        </w:tc>
      </w:tr>
      <w:tr>
        <w:trPr/>
        <w:tc>
          <w:tcPr>
            <w:tcW w:w="3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168,092</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151,296</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rFonts w:ascii="sans-serif" w:hAnsi="sans-serif"/>
          <w:color w:val="000000"/>
          <w:sz w:val="24"/>
        </w:rPr>
      </w:pPr>
      <w:r>
        <w:rPr>
          <w:rFonts w:ascii="sans-serif" w:hAnsi="sans-serif"/>
          <w:color w:val="000000"/>
          <w:sz w:val="24"/>
        </w:rPr>
        <w:t>Comparison of Second Quarter of 2026 to 2025:</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4"/>
        </w:rPr>
      </w:pPr>
      <w:r>
        <w:rPr>
          <w:rFonts w:ascii="sans-serif" w:hAnsi="sans-serif"/>
          <w:color w:val="000000"/>
          <w:sz w:val="24"/>
        </w:rPr>
        <w:t>Higher selling prices combined with increased AN and Nitric Acid volumes resulted in higher net sales for the period compared to the previous year. Tight market conditions shifted some production toward AN, resulting in lower UAN sales volumes. In addition, ammonia and UAN sales volumes were impacted as a result of significant planned turnaround activity at our El Dorado and Pryor facilities during the second quarter.</w:t>
      </w:r>
    </w:p>
    <w:p>
      <w:pPr>
        <w:pStyle w:val="TextBody"/>
        <w:bidi w:val="0"/>
        <w:spacing w:before="120" w:after="283"/>
        <w:jc w:val="both"/>
        <w:rPr>
          <w:rFonts w:ascii="sans-serif" w:hAnsi="sans-serif"/>
          <w:color w:val="000000"/>
          <w:sz w:val="24"/>
        </w:rPr>
      </w:pPr>
      <w:r>
        <w:rPr>
          <w:rFonts w:ascii="sans-serif" w:hAnsi="sans-serif"/>
          <w:color w:val="000000"/>
          <w:sz w:val="24"/>
        </w:rPr>
        <w:t>The following tables provide key sales metrics for our products:</w:t>
      </w:r>
    </w:p>
    <w:p>
      <w:pPr>
        <w:pStyle w:val="TextBody"/>
        <w:bidi w:val="0"/>
        <w:jc w:val="left"/>
        <w:rPr/>
      </w:pPr>
      <w:r>
        <w:rPr/>
        <w:t> </w:t>
      </w:r>
    </w:p>
    <w:tbl>
      <w:tblPr>
        <w:tblW w:w="7804" w:type="dxa"/>
        <w:jc w:val="left"/>
        <w:tblInd w:w="0" w:type="dxa"/>
        <w:tblLayout w:type="fixed"/>
        <w:tblCellMar>
          <w:top w:w="28" w:type="dxa"/>
          <w:left w:w="28" w:type="dxa"/>
          <w:bottom w:w="28" w:type="dxa"/>
          <w:right w:w="28" w:type="dxa"/>
        </w:tblCellMar>
      </w:tblPr>
      <w:tblGrid>
        <w:gridCol w:w="3301"/>
        <w:gridCol w:w="146"/>
        <w:gridCol w:w="151"/>
        <w:gridCol w:w="922"/>
        <w:gridCol w:w="151"/>
        <w:gridCol w:w="151"/>
        <w:gridCol w:w="151"/>
        <w:gridCol w:w="922"/>
        <w:gridCol w:w="151"/>
        <w:gridCol w:w="151"/>
        <w:gridCol w:w="309"/>
        <w:gridCol w:w="892"/>
        <w:gridCol w:w="40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u w:val="single"/>
              </w:rPr>
            </w:pPr>
            <w:r>
              <w:rPr>
                <w:rFonts w:ascii="sans-serif" w:hAnsi="sans-serif"/>
                <w:color w:val="000000"/>
                <w:sz w:val="16"/>
                <w:u w:val="single"/>
              </w:rPr>
              <w:t>Key Product Volumes (short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179,339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130,818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151,807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66,069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345,824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379,385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tbl>
      <w:tblPr>
        <w:tblW w:w="7773" w:type="dxa"/>
        <w:jc w:val="left"/>
        <w:tblInd w:w="0" w:type="dxa"/>
        <w:tblLayout w:type="fixed"/>
        <w:tblCellMar>
          <w:top w:w="28" w:type="dxa"/>
          <w:left w:w="28" w:type="dxa"/>
          <w:bottom w:w="28" w:type="dxa"/>
          <w:right w:w="28" w:type="dxa"/>
        </w:tblCellMar>
      </w:tblPr>
      <w:tblGrid>
        <w:gridCol w:w="4636"/>
        <w:gridCol w:w="146"/>
        <w:gridCol w:w="226"/>
        <w:gridCol w:w="466"/>
        <w:gridCol w:w="146"/>
        <w:gridCol w:w="146"/>
        <w:gridCol w:w="226"/>
        <w:gridCol w:w="466"/>
        <w:gridCol w:w="146"/>
        <w:gridCol w:w="146"/>
        <w:gridCol w:w="146"/>
        <w:gridCol w:w="346"/>
        <w:gridCol w:w="53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Average Selling Prices (price per short ton)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0"/>
        </w:rPr>
        <w:t>(A) Average selling prices represent “net back” prices which are calculated as sales less freight expenses divided by product sales volume in tons. Please see the discussion below under the heading “Ammonia, AN, Nitric Acid, UAN Sales Price Reconciliation” and the reconciliations at the end of this release for additional information concerning this financial measure.</w:t>
      </w:r>
      <w:r>
        <w:rPr>
          <w:rFonts w:ascii="Times New Roman" w:hAnsi="Times New Roman"/>
          <w:color w:val="000000"/>
          <w:sz w:val="20"/>
        </w:rPr>
        <w:t xml:space="preserve"> </w:t>
      </w:r>
    </w:p>
    <w:p>
      <w:pPr>
        <w:pStyle w:val="TextBody"/>
        <w:bidi w:val="0"/>
        <w:jc w:val="both"/>
        <w:rPr/>
      </w:pPr>
      <w:r>
        <w:rPr/>
        <w:t> </w:t>
      </w:r>
    </w:p>
    <w:tbl>
      <w:tblPr>
        <w:tblW w:w="8041" w:type="dxa"/>
        <w:jc w:val="left"/>
        <w:tblInd w:w="0" w:type="dxa"/>
        <w:tblLayout w:type="fixed"/>
        <w:tblCellMar>
          <w:top w:w="28" w:type="dxa"/>
          <w:left w:w="28" w:type="dxa"/>
          <w:bottom w:w="28" w:type="dxa"/>
          <w:right w:w="28" w:type="dxa"/>
        </w:tblCellMar>
      </w:tblPr>
      <w:tblGrid>
        <w:gridCol w:w="3631"/>
        <w:gridCol w:w="146"/>
        <w:gridCol w:w="307"/>
        <w:gridCol w:w="633"/>
        <w:gridCol w:w="198"/>
        <w:gridCol w:w="198"/>
        <w:gridCol w:w="307"/>
        <w:gridCol w:w="633"/>
        <w:gridCol w:w="198"/>
        <w:gridCol w:w="198"/>
        <w:gridCol w:w="356"/>
        <w:gridCol w:w="845"/>
        <w:gridCol w:w="3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u w:val="single"/>
              </w:rPr>
            </w:pPr>
            <w:r>
              <w:rPr>
                <w:rFonts w:ascii="sans-serif" w:hAnsi="sans-serif"/>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w:t>
            </w:r>
          </w:p>
        </w:tc>
      </w:tr>
    </w:tbl>
    <w:p>
      <w:pPr>
        <w:pStyle w:val="TextBody"/>
        <w:bidi w:val="0"/>
        <w:jc w:val="both"/>
        <w:rPr/>
      </w:pPr>
      <w:r>
        <w:rPr/>
        <w:t> </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4"/>
        <w:gridCol w:w="146"/>
        <w:gridCol w:w="278"/>
        <w:gridCol w:w="648"/>
        <w:gridCol w:w="179"/>
        <w:gridCol w:w="179"/>
        <w:gridCol w:w="278"/>
        <w:gridCol w:w="648"/>
        <w:gridCol w:w="179"/>
        <w:gridCol w:w="179"/>
        <w:gridCol w:w="309"/>
        <w:gridCol w:w="892"/>
        <w:gridCol w:w="406"/>
      </w:tblGrid>
      <w:tr>
        <w:trPr/>
        <w:tc>
          <w:tcPr>
            <w:tcW w:w="5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Input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Average natural gas cost/MMBtu in cost of materials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both"/>
        <w:rPr/>
      </w:pPr>
      <w:r>
        <w:rPr/>
        <w:t> </w:t>
      </w:r>
    </w:p>
    <w:p>
      <w:pPr>
        <w:pStyle w:val="TextBody"/>
        <w:bidi w:val="0"/>
        <w:jc w:val="both"/>
        <w:rPr>
          <w:rFonts w:ascii="sans-serif" w:hAnsi="sans-serif"/>
          <w:b/>
          <w:color w:val="000000"/>
          <w:sz w:val="24"/>
          <w:u w:val="single"/>
        </w:rPr>
      </w:pPr>
      <w:r>
        <w:rPr>
          <w:rFonts w:ascii="sans-serif" w:hAnsi="sans-serif"/>
          <w:b/>
          <w:color w:val="000000"/>
          <w:sz w:val="24"/>
          <w:u w:val="single"/>
        </w:rPr>
        <w:t>Conference Call</w:t>
      </w:r>
    </w:p>
    <w:p>
      <w:pPr>
        <w:pStyle w:val="TextBody"/>
        <w:bidi w:val="0"/>
        <w:jc w:val="left"/>
        <w:rPr>
          <w:rFonts w:ascii="sans-serif" w:hAnsi="sans-serif"/>
          <w:color w:val="000000"/>
          <w:sz w:val="24"/>
        </w:rPr>
      </w:pPr>
      <w:r>
        <w:rPr>
          <w:rFonts w:ascii="sans-serif" w:hAnsi="sans-serif"/>
          <w:color w:val="000000"/>
          <w:sz w:val="24"/>
        </w:rPr>
        <w:t>LSB’s management will host a conference call on Thursday, July 30, 2026 at 10:00 am ET / 9:00 am CT to discuss second quarter 2026 results and recent corporate developments. Participating in the call will be Chairman &amp; Chief Executive Officer, Mark Behrman, Executive Vice President &amp; Chief Financial Officer, Cheryl Maguire and Executive Vice President &amp; Chief Commercial Officer, Damien Renwick. Interested parties may participate in the call by dialing (877) 407-6176 / (201) 689-8451. Please call in 10 minutes before the conference is scheduled to begin and ask for the LSB conference call.</w:t>
      </w:r>
    </w:p>
    <w:p>
      <w:pPr>
        <w:pStyle w:val="TextBody"/>
        <w:bidi w:val="0"/>
        <w:jc w:val="both"/>
        <w:rPr>
          <w:rFonts w:ascii="Times New Roman" w:hAnsi="Times New Roman"/>
          <w:sz w:val="20"/>
        </w:rPr>
      </w:pPr>
      <w:r>
        <w:rPr>
          <w:rFonts w:ascii="sans-serif" w:hAnsi="sans-serif"/>
          <w:color w:val="000000"/>
          <w:sz w:val="24"/>
        </w:rPr>
        <w:t xml:space="preserve">A webcast of the call, along with a slide presentation that coincides with management’s prepared remarks, will be available in the Investors section of LSB’s website, at </w:t>
      </w:r>
      <w:r>
        <w:rPr>
          <w:rFonts w:ascii="sans-serif" w:hAnsi="sans-serif"/>
          <w:color w:val="0000FF"/>
          <w:sz w:val="24"/>
          <w:u w:val="single"/>
        </w:rPr>
        <w:t>www.lsbindustries.com</w:t>
      </w:r>
      <w:r>
        <w:rPr>
          <w:rFonts w:ascii="sans-serif" w:hAnsi="sans-serif"/>
          <w:color w:val="0000FF"/>
          <w:sz w:val="24"/>
        </w:rPr>
        <w:t xml:space="preserve">. </w:t>
      </w:r>
      <w:r>
        <w:rPr>
          <w:rFonts w:ascii="sans-serif" w:hAnsi="sans-serif"/>
          <w:color w:val="000000"/>
          <w:sz w:val="24"/>
        </w:rPr>
        <w:t>The webcast can be found under Events &amp; Presentations. If you are unable to listen to the live call, the conference call webcast will be archived on LSB’s website.</w:t>
      </w:r>
      <w:r>
        <w:rPr>
          <w:rFonts w:ascii="Times New Roman" w:hAnsi="Times New Roman"/>
          <w:color w:val="000000"/>
          <w:sz w:val="20"/>
        </w:rPr>
        <w:t xml:space="preserve"> </w:t>
      </w:r>
    </w:p>
    <w:p>
      <w:pPr>
        <w:pStyle w:val="TextBody"/>
        <w:bidi w:val="0"/>
        <w:spacing w:before="120" w:after="283"/>
        <w:jc w:val="both"/>
        <w:rPr>
          <w:rFonts w:ascii="sans-serif" w:hAnsi="sans-serif"/>
          <w:b/>
          <w:color w:val="000000"/>
          <w:sz w:val="24"/>
          <w:u w:val="single"/>
        </w:rPr>
      </w:pPr>
      <w:r>
        <w:rPr>
          <w:rFonts w:ascii="sans-serif" w:hAnsi="sans-serif"/>
          <w:b/>
          <w:color w:val="000000"/>
          <w:sz w:val="24"/>
          <w:u w:val="single"/>
        </w:rPr>
        <w:t>LSB Industries, Inc.</w:t>
      </w:r>
    </w:p>
    <w:p>
      <w:pPr>
        <w:pStyle w:val="TextBody"/>
        <w:bidi w:val="0"/>
        <w:jc w:val="both"/>
        <w:rPr>
          <w:rFonts w:ascii="Times New Roman" w:hAnsi="Times New Roman"/>
          <w:sz w:val="20"/>
        </w:rPr>
      </w:pPr>
      <w:r>
        <w:rPr>
          <w:rFonts w:ascii="sans-serif" w:hAnsi="sans-serif"/>
          <w:color w:val="000000"/>
          <w:sz w:val="24"/>
        </w:rPr>
        <w:t xml:space="preserve">LSB Industries, Inc., headquartered in Oklahoma City, Oklahoma, is committed to playing a leadership role in the production of low and no carbon products that build, feed and power the world. The LSB team is dedicated to building a culture of excellence in customer experiences as we currently deliver essential products across the agricultural and industrial end markets and, in the future, the energy markets. The company manufactures ammonia and ammonia-related products at facilities in Cherokee, Alabama, El Dorado, Arkansas and Pryor, Oklahoma and operates a facility for a global chemical company in Baytown, Texas. Additional information about LSB can be found on our website at </w:t>
      </w:r>
      <w:r>
        <w:rPr>
          <w:rFonts w:ascii="sans-serif" w:hAnsi="sans-serif"/>
          <w:color w:val="0000FF"/>
          <w:sz w:val="24"/>
          <w:u w:val="single"/>
        </w:rPr>
        <w:t>www.lsbindustries.com</w:t>
      </w:r>
      <w:r>
        <w:rPr>
          <w:rFonts w:ascii="sans-serif" w:hAnsi="sans-serif"/>
          <w:color w:val="000000"/>
          <w:sz w:val="24"/>
        </w:rPr>
        <w:t>.</w:t>
      </w:r>
    </w:p>
    <w:p>
      <w:pPr>
        <w:pStyle w:val="TextBody"/>
        <w:bidi w:val="0"/>
        <w:spacing w:before="120" w:after="283"/>
        <w:jc w:val="both"/>
        <w:rPr>
          <w:rFonts w:ascii="sans-serif" w:hAnsi="sans-serif"/>
          <w:b/>
          <w:color w:val="000000"/>
          <w:sz w:val="24"/>
          <w:u w:val="single"/>
        </w:rPr>
      </w:pPr>
      <w:r>
        <w:rPr>
          <w:rFonts w:ascii="sans-serif" w:hAnsi="sans-serif"/>
          <w:b/>
          <w:color w:val="000000"/>
          <w:sz w:val="24"/>
          <w:u w:val="single"/>
        </w:rPr>
        <w:t>Forward-Looking Statements</w:t>
      </w:r>
    </w:p>
    <w:p>
      <w:pPr>
        <w:pStyle w:val="TextBody"/>
        <w:bidi w:val="0"/>
        <w:spacing w:before="120" w:after="283"/>
        <w:jc w:val="both"/>
        <w:rPr/>
      </w:pPr>
      <w:r>
        <w:rPr/>
        <w:t> </w:t>
      </w:r>
    </w:p>
    <w:p>
      <w:pPr>
        <w:pStyle w:val="TextBody"/>
        <w:bidi w:val="0"/>
        <w:jc w:val="left"/>
        <w:rPr>
          <w:rFonts w:ascii="Times New Roman" w:hAnsi="Times New Roman"/>
          <w:sz w:val="20"/>
        </w:rPr>
      </w:pPr>
      <w:r>
        <w:rPr>
          <w:rFonts w:ascii="sans-serif" w:hAnsi="sans-serif"/>
          <w:color w:val="000000"/>
          <w:sz w:val="24"/>
        </w:rPr>
        <w:t>Statements in this release that are not historical are forward-looking statements within the meaning of the U.S. Private Securities Litigation Reform Act of 1995. These forward-looking statements, which are subject to known and unknown risks, uncertainties and assumptions about us, include, but are not limited to, statements regarding: our business strategy; anticipated future operating results and operating expenses, cash flows, capital resources and liquidity; trends, opportunities and risks affecting our business, industry and financial results; our ability to successfully leverage our existing business platform and portfolio of assets to produce low carbon products; the timing for completion of the CCS project at our El Dorado facility, including receipt of Class VI permit approval by the EPA; the cost and expected benefits of the CCS project; the impact of trade policy on our business; the availability of raw materials; production volumes at our production facilities; and the anticipated cost and timing of our capital projects, including turnarounds. Forward-looking statements can generally be identified by words or phrases such as “anticipate,” “believe,” “could,” “estimate,” “expect,” “will,” “may,” “plan,” “potential,” “should,” “would,” and similar words or phrases, as well as by discussions of strategy, plans or intentions. These statements are only predictions based on our current expectations and projections about future events. There are important factors that could cause our actual results, level of activity, performance or actual achievements to differ materially from the results, level of activity, performance or anticipated achievements expressed or implied by the forward-looking statements. Significant risks and uncertainties relate to, but are not limited to, business and market disruptions; market conditions and price volatility for our products and feedstocks; global and regional economic downturns that adversely</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affect the demand for our end-use products; disruptions in production at our manufacturing facilities; increased competitive pressures; our ability to fund the working capital and expansion of our businesses; recruiting and retaining skilled and qualified personnel; our ability to obtain necessary raw materials and purchased components; material increases in cost of raw materials; obtaining and maintaining necessary permits; and other financial, economic, competitive, environmental, political, legal and regulatory factors, including tariffs. These and other risk factors are discussed in the Company’s filings with the Securities and Exchange Commission, including but not limited to our most recent Annual Report on Form 10-K and Quarterly Reports on Form 10-Q.</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 Although we believe the expectations reflected in the forward-looking statements are reasonable, we cannot guarantee future results, level of activity, performance or achievements. Neither we nor any other person assumes responsibility for the accuracy or completeness of any of these forward-looking statements. You should not rely upon forward-looking statements as predictions of future events. Unless otherwise required by applicable laws, we undertake no obligation to update or revise any forward-looking statements, whether because of new information or future developments.</w:t>
      </w:r>
    </w:p>
    <w:p>
      <w:pPr>
        <w:pStyle w:val="TextBody"/>
        <w:bidi w:val="0"/>
        <w:jc w:val="both"/>
        <w:rPr/>
      </w:pPr>
      <w:r>
        <w:rPr/>
        <w:t> </w:t>
      </w:r>
    </w:p>
    <w:tbl>
      <w:tblPr>
        <w:tblW w:w="6042" w:type="dxa"/>
        <w:jc w:val="left"/>
        <w:tblInd w:w="0" w:type="dxa"/>
        <w:tblLayout w:type="fixed"/>
        <w:tblCellMar>
          <w:top w:w="28" w:type="dxa"/>
          <w:left w:w="28" w:type="dxa"/>
          <w:bottom w:w="28" w:type="dxa"/>
          <w:right w:w="28" w:type="dxa"/>
        </w:tblCellMar>
      </w:tblPr>
      <w:tblGrid>
        <w:gridCol w:w="5851"/>
        <w:gridCol w:w="191"/>
      </w:tblGrid>
      <w:tr>
        <w:trPr/>
        <w:tc>
          <w:tcPr>
            <w:tcW w:w="5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51" w:type="dxa"/>
            <w:tcBorders/>
            <w:tcMar>
              <w:top w:w="0" w:type="dxa"/>
              <w:left w:w="0" w:type="dxa"/>
              <w:bottom w:w="0" w:type="dxa"/>
              <w:right w:w="0" w:type="dxa"/>
            </w:tcMar>
            <w:vAlign w:val="center"/>
          </w:tcPr>
          <w:p>
            <w:pPr>
              <w:pStyle w:val="TableContents"/>
              <w:bidi w:val="0"/>
              <w:jc w:val="left"/>
              <w:rPr>
                <w:rFonts w:ascii="sans-serif" w:hAnsi="sans-serif"/>
                <w:b/>
                <w:color w:val="000000"/>
                <w:sz w:val="24"/>
              </w:rPr>
            </w:pPr>
            <w:r>
              <w:rPr>
                <w:rFonts w:ascii="sans-serif" w:hAnsi="sans-serif"/>
                <w:b/>
                <w:color w:val="000000"/>
                <w:sz w:val="24"/>
              </w:rPr>
              <w:t>Company Contact:</w:t>
            </w:r>
          </w:p>
          <w:p>
            <w:pPr>
              <w:pStyle w:val="TableContents"/>
              <w:bidi w:val="0"/>
              <w:jc w:val="left"/>
              <w:rPr>
                <w:rFonts w:ascii="sans-serif" w:hAnsi="sans-serif"/>
                <w:color w:val="000000"/>
                <w:sz w:val="24"/>
              </w:rPr>
            </w:pPr>
            <w:r>
              <w:rPr>
                <w:rFonts w:ascii="sans-serif" w:hAnsi="sans-serif"/>
                <w:color w:val="000000"/>
                <w:sz w:val="24"/>
              </w:rPr>
              <w:t>Cheryl Maguire, Executive Vice President &amp; CFO</w:t>
            </w:r>
          </w:p>
          <w:p>
            <w:pPr>
              <w:pStyle w:val="TableContents"/>
              <w:bidi w:val="0"/>
              <w:jc w:val="left"/>
              <w:rPr>
                <w:rFonts w:ascii="Times New Roman" w:hAnsi="Times New Roman"/>
                <w:sz w:val="24"/>
              </w:rPr>
            </w:pPr>
            <w:r>
              <w:rPr>
                <w:rFonts w:ascii="sans-serif" w:hAnsi="sans-serif"/>
                <w:color w:val="000000"/>
                <w:sz w:val="24"/>
              </w:rPr>
              <w:t>(405) 510-3524</w:t>
            </w:r>
            <w:r>
              <w:rPr>
                <w:rFonts w:ascii="Times New Roman" w:hAnsi="Times New Roman"/>
                <w:color w:val="000000"/>
                <w:sz w:val="24"/>
              </w:rPr>
              <w:t xml:space="preserve"> </w:t>
            </w:r>
          </w:p>
          <w:p>
            <w:pPr>
              <w:pStyle w:val="TableContents"/>
              <w:bidi w:val="0"/>
              <w:jc w:val="left"/>
              <w:rPr>
                <w:rFonts w:ascii="sans-serif" w:hAnsi="sans-serif"/>
                <w:color w:val="000000"/>
                <w:sz w:val="24"/>
              </w:rPr>
            </w:pPr>
            <w:r>
              <w:rPr>
                <w:rFonts w:ascii="sans-serif" w:hAnsi="sans-serif"/>
                <w:color w:val="000000"/>
                <w:sz w:val="24"/>
              </w:rPr>
              <w:t>Investors@lsbindustries.com</w:t>
            </w:r>
          </w:p>
          <w:p>
            <w:pPr>
              <w:pStyle w:val="TableContents"/>
              <w:bidi w:val="0"/>
              <w:jc w:val="left"/>
              <w:rPr>
                <w:rFonts w:ascii="sans-serif" w:hAnsi="sans-serif"/>
                <w:color w:val="000000"/>
                <w:sz w:val="24"/>
              </w:rPr>
            </w:pPr>
            <w:r>
              <w:rPr>
                <w:rFonts w:ascii="sans-serif" w:hAnsi="sans-serif"/>
                <w:color w:val="000000"/>
                <w:sz w:val="24"/>
              </w:rPr>
              <w:t>David Kimmel, Director of Communications</w:t>
            </w:r>
          </w:p>
          <w:p>
            <w:pPr>
              <w:pStyle w:val="TableContents"/>
              <w:bidi w:val="0"/>
              <w:jc w:val="left"/>
              <w:rPr>
                <w:rFonts w:ascii="sans-serif" w:hAnsi="sans-serif"/>
                <w:color w:val="000000"/>
                <w:sz w:val="24"/>
              </w:rPr>
            </w:pPr>
            <w:r>
              <w:rPr>
                <w:rFonts w:ascii="sans-serif" w:hAnsi="sans-serif"/>
                <w:color w:val="000000"/>
                <w:sz w:val="24"/>
              </w:rPr>
              <w:t>(405) 815-4645</w:t>
            </w:r>
          </w:p>
          <w:p>
            <w:pPr>
              <w:pStyle w:val="TableContents"/>
              <w:bidi w:val="0"/>
              <w:spacing w:before="0" w:after="283"/>
              <w:jc w:val="left"/>
              <w:rPr>
                <w:rFonts w:ascii="sans-serif" w:hAnsi="sans-serif"/>
                <w:color w:val="000000"/>
                <w:sz w:val="24"/>
              </w:rPr>
            </w:pPr>
            <w:r>
              <w:rPr>
                <w:rFonts w:ascii="sans-serif" w:hAnsi="sans-serif"/>
                <w:color w:val="000000"/>
                <w:sz w:val="24"/>
              </w:rPr>
              <w:t>dkimmel@lsbindustries.com</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LSB Industries, Inc.</w:t>
      </w:r>
    </w:p>
    <w:p>
      <w:pPr>
        <w:pStyle w:val="TextBody"/>
        <w:bidi w:val="0"/>
        <w:jc w:val="center"/>
        <w:rPr>
          <w:rFonts w:ascii="sans-serif" w:hAnsi="sans-serif"/>
          <w:b/>
          <w:color w:val="000000"/>
          <w:sz w:val="24"/>
        </w:rPr>
      </w:pPr>
      <w:r>
        <w:rPr>
          <w:rFonts w:ascii="sans-serif" w:hAnsi="sans-serif"/>
          <w:b/>
          <w:color w:val="000000"/>
          <w:sz w:val="24"/>
        </w:rPr>
        <w:t>Consolidated Statements of Operations</w:t>
      </w:r>
    </w:p>
    <w:p>
      <w:pPr>
        <w:pStyle w:val="TextBody"/>
        <w:bidi w:val="0"/>
        <w:jc w:val="center"/>
        <w:rPr/>
      </w:pPr>
      <w:r>
        <w:rPr/>
        <w:t> </w:t>
      </w:r>
    </w:p>
    <w:tbl>
      <w:tblPr>
        <w:tblW w:w="9302" w:type="dxa"/>
        <w:jc w:val="left"/>
        <w:tblInd w:w="0" w:type="dxa"/>
        <w:tblLayout w:type="fixed"/>
        <w:tblCellMar>
          <w:top w:w="28" w:type="dxa"/>
          <w:left w:w="28" w:type="dxa"/>
          <w:bottom w:w="28" w:type="dxa"/>
          <w:right w:w="28" w:type="dxa"/>
        </w:tblCellMar>
      </w:tblPr>
      <w:tblGrid>
        <w:gridCol w:w="3661"/>
        <w:gridCol w:w="146"/>
        <w:gridCol w:w="211"/>
        <w:gridCol w:w="781"/>
        <w:gridCol w:w="166"/>
        <w:gridCol w:w="146"/>
        <w:gridCol w:w="211"/>
        <w:gridCol w:w="781"/>
        <w:gridCol w:w="166"/>
        <w:gridCol w:w="146"/>
        <w:gridCol w:w="211"/>
        <w:gridCol w:w="781"/>
        <w:gridCol w:w="166"/>
        <w:gridCol w:w="146"/>
        <w:gridCol w:w="211"/>
        <w:gridCol w:w="781"/>
        <w:gridCol w:w="5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LSB Industries, Inc.</w:t>
      </w:r>
    </w:p>
    <w:p>
      <w:pPr>
        <w:pStyle w:val="TextBody"/>
        <w:bidi w:val="0"/>
        <w:jc w:val="center"/>
        <w:rPr>
          <w:rFonts w:ascii="sans-serif" w:hAnsi="sans-serif"/>
          <w:b/>
          <w:color w:val="000000"/>
          <w:sz w:val="24"/>
        </w:rPr>
      </w:pPr>
      <w:r>
        <w:rPr>
          <w:rFonts w:ascii="sans-serif" w:hAnsi="sans-serif"/>
          <w:b/>
          <w:color w:val="000000"/>
          <w:sz w:val="24"/>
        </w:rPr>
        <w:t>Consolidated Balance Sheets</w:t>
      </w:r>
    </w:p>
    <w:p>
      <w:pPr>
        <w:pStyle w:val="TextBody"/>
        <w:bidi w:val="0"/>
        <w:jc w:val="center"/>
        <w:rPr/>
      </w:pPr>
      <w:r>
        <w:rPr/>
        <w:t> </w:t>
      </w:r>
    </w:p>
    <w:tbl>
      <w:tblPr>
        <w:tblW w:w="9935" w:type="dxa"/>
        <w:jc w:val="left"/>
        <w:tblInd w:w="0" w:type="dxa"/>
        <w:tblLayout w:type="fixed"/>
        <w:tblCellMar>
          <w:top w:w="28" w:type="dxa"/>
          <w:left w:w="28" w:type="dxa"/>
          <w:bottom w:w="28" w:type="dxa"/>
          <w:right w:w="28" w:type="dxa"/>
        </w:tblCellMar>
      </w:tblPr>
      <w:tblGrid>
        <w:gridCol w:w="4546"/>
        <w:gridCol w:w="746"/>
        <w:gridCol w:w="257"/>
        <w:gridCol w:w="1213"/>
        <w:gridCol w:w="181"/>
        <w:gridCol w:w="146"/>
        <w:gridCol w:w="359"/>
        <w:gridCol w:w="1696"/>
        <w:gridCol w:w="791"/>
      </w:tblGrid>
      <w:tr>
        <w:trPr/>
        <w:tc>
          <w:tcPr>
            <w:tcW w:w="45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 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19,511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Short-term investments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197,624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128,960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53,058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57,609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doubtful accounts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52,692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57,208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Finished goods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16,705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Raw materials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inventories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Supplies, prepaid items and 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Prepaid insurance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12,588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Precious metals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Supplies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33,399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supplies, prepaid items and other</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58,048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65,905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 assets held for sale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345,571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293,294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833,243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833,525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Operating lease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44,601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45,571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Intangible and other assets,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other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1,224,600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1,173,539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LSB Industries, Inc.</w:t>
      </w:r>
    </w:p>
    <w:p>
      <w:pPr>
        <w:pStyle w:val="TextBody"/>
        <w:bidi w:val="0"/>
        <w:jc w:val="center"/>
        <w:rPr>
          <w:rFonts w:ascii="sans-serif" w:hAnsi="sans-serif"/>
          <w:b/>
          <w:color w:val="000000"/>
          <w:sz w:val="24"/>
        </w:rPr>
      </w:pPr>
      <w:r>
        <w:rPr>
          <w:rFonts w:ascii="sans-serif" w:hAnsi="sans-serif"/>
          <w:b/>
          <w:color w:val="000000"/>
          <w:sz w:val="24"/>
        </w:rPr>
        <w:t>Consolidated Balance Sheets (continued)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54"/>
        <w:gridCol w:w="146"/>
        <w:gridCol w:w="247"/>
        <w:gridCol w:w="1165"/>
        <w:gridCol w:w="146"/>
        <w:gridCol w:w="146"/>
        <w:gridCol w:w="316"/>
        <w:gridCol w:w="1492"/>
        <w:gridCol w:w="493"/>
      </w:tblGrid>
      <w:tr>
        <w:trPr/>
        <w:tc>
          <w:tcPr>
            <w:tcW w:w="6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 2025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Thousands)</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64,514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Short-term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10,686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29,551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105,511</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440,295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37,668</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noncurrent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69,557</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Common stock, $.10 par value per share; 150 million shares authorized, </w:t>
              <w:br/>
              <w:t>   91.2 million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9,117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Capital in excess of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508,493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506,821</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232,275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763,381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748,213</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Common stock, 19.2 million shares (19.5 million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228,240</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519,973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1,224,600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1,173,539</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Non-GAAP Reconciliations</w:t>
      </w:r>
    </w:p>
    <w:p>
      <w:pPr>
        <w:pStyle w:val="TextBody"/>
        <w:bidi w:val="0"/>
        <w:jc w:val="center"/>
        <w:rPr/>
      </w:pPr>
      <w:r>
        <w:rPr/>
        <w:t> </w:t>
      </w:r>
    </w:p>
    <w:p>
      <w:pPr>
        <w:pStyle w:val="TextBody"/>
        <w:bidi w:val="0"/>
        <w:jc w:val="both"/>
        <w:rPr>
          <w:rFonts w:ascii="Times New Roman" w:hAnsi="Times New Roman"/>
          <w:sz w:val="20"/>
        </w:rPr>
      </w:pPr>
      <w:r>
        <w:rPr>
          <w:rFonts w:ascii="sans-serif" w:hAnsi="sans-serif"/>
          <w:color w:val="000000"/>
          <w:sz w:val="24"/>
        </w:rPr>
        <w:t>To supplement our financial information presented in accordance with generally accepted accounting principles in the United States (“GAAP”), we present certain non-GAAP financial measures in this press release and on the related teleconference call.</w:t>
      </w:r>
      <w:r>
        <w:rPr>
          <w:rFonts w:ascii="Times New Roman" w:hAnsi="Times New Roman"/>
          <w:color w:val="000000"/>
          <w:sz w:val="20"/>
        </w:rPr>
        <w:t xml:space="preserve"> </w:t>
      </w:r>
    </w:p>
    <w:p>
      <w:pPr>
        <w:pStyle w:val="TextBody"/>
        <w:bidi w:val="0"/>
        <w:spacing w:before="120" w:after="283"/>
        <w:jc w:val="both"/>
        <w:rPr>
          <w:rFonts w:ascii="sans-serif" w:hAnsi="sans-serif"/>
          <w:b/>
          <w:color w:val="000000"/>
          <w:sz w:val="24"/>
          <w:u w:val="single"/>
        </w:rPr>
      </w:pPr>
      <w:r>
        <w:rPr>
          <w:rFonts w:ascii="sans-serif" w:hAnsi="sans-serif"/>
          <w:b/>
          <w:color w:val="000000"/>
          <w:sz w:val="24"/>
          <w:u w:val="single"/>
        </w:rPr>
        <w:t>EBITDA and Adjusted EBITDA Reconciliation</w:t>
      </w:r>
    </w:p>
    <w:p>
      <w:pPr>
        <w:pStyle w:val="TextBody"/>
        <w:bidi w:val="0"/>
        <w:jc w:val="both"/>
        <w:rPr>
          <w:rFonts w:ascii="sans-serif" w:hAnsi="sans-serif"/>
          <w:color w:val="000000"/>
          <w:sz w:val="24"/>
        </w:rPr>
      </w:pPr>
      <w:r>
        <w:rPr>
          <w:rFonts w:ascii="sans-serif" w:hAnsi="sans-serif"/>
          <w:color w:val="000000"/>
          <w:sz w:val="24"/>
        </w:rPr>
        <w:t>Management uses EBITDA and adjusted EBITDA as supplemental measures to review and assess the performance of our core business operations and for planning purposes. EBITDA is defined as net income (loss) plus interest expense and interest income, net, less gain on extinguishment of debt, plus depreciation and amortization (D&amp;A) (which includes D&amp;A of property, plant and equipment and amortization of intangible and other assets), plus provision (benefit) for income taxes. Adjusted EBITDA is reported to show the impact of non-cash stock-based compensation, non-routine specific legal costs or settlements, one time/non-cash or non-operating items, such as one-time income or fees, loss (gain) on sale of a business and/or other property and equipment, certain costs incurred on growth initiatives, and significant planned maintenance/turnaround costs. We historically have performed turnaround activities on an annual basis; however, we have moved towards extending turnarounds to a two or three-year cycle. Rather than being capitalized and amortized over the period of benefit, our accounting policy is to recognize the costs as incurred. Given these turnarounds are essentially investments that provide benefits over multiple years, they are not reflective of our operating performance in a given year.</w:t>
      </w:r>
    </w:p>
    <w:p>
      <w:pPr>
        <w:pStyle w:val="TextBody"/>
        <w:bidi w:val="0"/>
        <w:spacing w:before="120" w:after="283"/>
        <w:jc w:val="both"/>
        <w:rPr>
          <w:rFonts w:ascii="Times New Roman" w:hAnsi="Times New Roman"/>
          <w:sz w:val="20"/>
        </w:rPr>
      </w:pPr>
      <w:r>
        <w:rPr>
          <w:rFonts w:ascii="sans-serif" w:hAnsi="sans-serif"/>
          <w:color w:val="000000"/>
          <w:sz w:val="24"/>
        </w:rPr>
        <w:t>We believe that certain investors consider EBITDA a useful means of measuring our ability to meet our debt service obligations and evaluating our financial performance. In addition, we believe that certain investors consider adjusted EBITDA as more meaningful to further assess our performance. We believe that the inclusion of supplementary adjustments to EBITDA is appropriate to provide additional information to investors about certain items.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sans-serif" w:hAnsi="sans-serif"/>
          <w:color w:val="000000"/>
          <w:sz w:val="24"/>
        </w:rPr>
        <w:t>EBITDA and adjusted EBITDA have limitations and should not be considered in isolation or as a substitute for net income, operating income, cash flow from operations or other consolidated income or cash flow data prepared in accordance with GAAP. Because not all companies use identical calculations, this presentation of EBITDA and adjusted EBITDA may not be comparable to a similarly titled measure of other companies. The following table provides a reconciliation of net income (loss) to EBITDA and adjusted EBITDA for the periods indicated.</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center"/>
        <w:rPr>
          <w:rFonts w:ascii="sans-serif" w:hAnsi="sans-serif"/>
          <w:color w:val="000000"/>
          <w:sz w:val="24"/>
        </w:rPr>
      </w:pPr>
      <w:r>
        <w:rPr>
          <w:rFonts w:ascii="sans-serif" w:hAnsi="sans-serif"/>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Non-GAAP Reconciliations (continued)</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9"/>
        <w:gridCol w:w="146"/>
        <w:gridCol w:w="241"/>
        <w:gridCol w:w="856"/>
        <w:gridCol w:w="196"/>
        <w:gridCol w:w="146"/>
        <w:gridCol w:w="241"/>
        <w:gridCol w:w="856"/>
        <w:gridCol w:w="181"/>
        <w:gridCol w:w="146"/>
        <w:gridCol w:w="241"/>
        <w:gridCol w:w="991"/>
        <w:gridCol w:w="181"/>
        <w:gridCol w:w="146"/>
        <w:gridCol w:w="241"/>
        <w:gridCol w:w="856"/>
        <w:gridCol w:w="391"/>
      </w:tblGrid>
      <w:tr>
        <w:trPr/>
        <w:tc>
          <w:tcPr>
            <w:tcW w:w="4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u w:val="single"/>
              </w:rPr>
            </w:pPr>
            <w:r>
              <w:rPr>
                <w:rFonts w:ascii="sans-serif" w:hAnsi="sans-serif"/>
                <w:b/>
                <w:color w:val="000000"/>
                <w:sz w:val="20"/>
                <w:u w:val="single"/>
              </w:rPr>
              <w:t>LSB Consolidated ($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(6,189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3,006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13,496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expense and 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21,946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42,865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19,159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31,138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63,218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55,698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Legal Fees &amp; Settlements - Specific Matters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Loss on disposal or write down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Turnaround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32,695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Growth Initiatives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53,112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38,276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105,218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67,359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4"/>
          <w:u w:val="single"/>
        </w:rPr>
      </w:pPr>
      <w:r>
        <w:rPr>
          <w:rFonts w:ascii="sans-serif" w:hAnsi="sans-serif"/>
          <w:b/>
          <w:color w:val="000000"/>
          <w:sz w:val="24"/>
          <w:u w:val="single"/>
        </w:rPr>
        <w:t>Ammonia, AN, Nitric Acid, UAN Sales Price Reconciliation</w:t>
      </w:r>
    </w:p>
    <w:p>
      <w:pPr>
        <w:pStyle w:val="TextBody"/>
        <w:bidi w:val="0"/>
        <w:spacing w:before="120" w:after="283"/>
        <w:jc w:val="both"/>
        <w:rPr>
          <w:rFonts w:ascii="sans-serif" w:hAnsi="sans-serif"/>
          <w:color w:val="000000"/>
          <w:sz w:val="24"/>
        </w:rPr>
      </w:pPr>
      <w:r>
        <w:rPr>
          <w:rFonts w:ascii="sans-serif" w:hAnsi="sans-serif"/>
          <w:color w:val="000000"/>
          <w:sz w:val="24"/>
        </w:rPr>
        <w:t>The following table provides a reconciliation of total identified net sales as reported under GAAP in our consolidated financial statements reconciled to netback sales which is calculated as net sales less freight and other non-netback costs. We believe this provides a relevant industry comparison among our peer group.</w:t>
      </w:r>
    </w:p>
    <w:p>
      <w:pPr>
        <w:pStyle w:val="TextBody"/>
        <w:bidi w:val="0"/>
        <w:jc w:val="both"/>
        <w:rPr/>
      </w:pPr>
      <w:r>
        <w:rPr/>
        <w:t> </w:t>
      </w:r>
    </w:p>
    <w:tbl>
      <w:tblPr>
        <w:tblW w:w="7560" w:type="dxa"/>
        <w:jc w:val="left"/>
        <w:tblInd w:w="0" w:type="dxa"/>
        <w:tblLayout w:type="fixed"/>
        <w:tblCellMar>
          <w:top w:w="28" w:type="dxa"/>
          <w:left w:w="28" w:type="dxa"/>
          <w:bottom w:w="28" w:type="dxa"/>
          <w:right w:w="28" w:type="dxa"/>
        </w:tblCellMar>
      </w:tblPr>
      <w:tblGrid>
        <w:gridCol w:w="4561"/>
        <w:gridCol w:w="146"/>
        <w:gridCol w:w="226"/>
        <w:gridCol w:w="886"/>
        <w:gridCol w:w="146"/>
        <w:gridCol w:w="146"/>
        <w:gridCol w:w="226"/>
        <w:gridCol w:w="886"/>
        <w:gridCol w:w="146"/>
        <w:gridCol w:w="1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Ammonia, AN, Nitric Acid, UAN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freight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Ammonia, AN, Nitric Acid, UAN netback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123,958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sans-serif" w:hAnsi="sans-serif"/>
          <w:color w:val="000000"/>
          <w:sz w:val="24"/>
        </w:rPr>
      </w:pPr>
      <w:r>
        <w:rPr>
          <w:rFonts w:ascii="sans-serif" w:hAnsi="sans-serif"/>
          <w:color w:val="000000"/>
          <w:sz w:val="24"/>
        </w:rPr>
        <w:t>10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3716</Words>
  <Characters>20552</Characters>
  <CharactersWithSpaces>24751</CharactersWithSpaces>
  <Paragraphs>1694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