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9" w:lineRule="exact"/>
        <w:rPr>
          <w:sz w:val="24"/>
          <w:szCs w:val="24"/>
          <w:color w:val="auto"/>
        </w:rPr>
      </w:pPr>
    </w:p>
    <w:p>
      <w:pPr>
        <w:ind w:left="500" w:right="20" w:hanging="492"/>
        <w:spacing w:after="0" w:line="248" w:lineRule="auto"/>
        <w:tabs>
          <w:tab w:leader="none" w:pos="50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500" w:hanging="492"/>
        <w:spacing w:after="0" w:line="256" w:lineRule="auto"/>
        <w:tabs>
          <w:tab w:leader="none" w:pos="50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360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720" w:type="dxa"/>
            <w:vAlign w:val="bottom"/>
            <w:tcBorders>
              <w:bottom w:val="single" w:sz="8" w:color="auto"/>
            </w:tcBorders>
          </w:tcPr>
          <w:p>
            <w:pPr>
              <w:spacing w:after="0"/>
              <w:rPr>
                <w:sz w:val="17"/>
                <w:szCs w:val="17"/>
                <w:color w:val="auto"/>
              </w:rPr>
            </w:pPr>
          </w:p>
        </w:tc>
        <w:tc>
          <w:tcPr>
            <w:tcW w:w="200" w:type="dxa"/>
            <w:vAlign w:val="bottom"/>
          </w:tcPr>
          <w:p>
            <w:pPr>
              <w:ind w:left="60"/>
              <w:spacing w:after="0"/>
              <w:rPr>
                <w:sz w:val="20"/>
                <w:szCs w:val="20"/>
                <w:color w:val="auto"/>
              </w:rPr>
            </w:pPr>
            <w:r>
              <w:rPr>
                <w:rFonts w:ascii="Arial" w:cs="Arial" w:eastAsia="Arial" w:hAnsi="Arial"/>
                <w:sz w:val="18"/>
                <w:szCs w:val="18"/>
                <w:b w:val="1"/>
                <w:bCs w:val="1"/>
                <w:color w:val="auto"/>
                <w:w w:val="70"/>
              </w:rPr>
              <w:t>to</w:t>
            </w:r>
          </w:p>
        </w:tc>
      </w:tr>
      <w:tr>
        <w:trPr>
          <w:trHeight w:val="318"/>
        </w:trPr>
        <w:tc>
          <w:tcPr>
            <w:tcW w:w="3280" w:type="dxa"/>
            <w:vAlign w:val="bottom"/>
            <w:gridSpan w:val="3"/>
          </w:tcPr>
          <w:p>
            <w:pPr>
              <w:ind w:left="800"/>
              <w:spacing w:after="0"/>
              <w:rPr>
                <w:sz w:val="20"/>
                <w:szCs w:val="20"/>
                <w:color w:val="auto"/>
              </w:rPr>
            </w:pPr>
            <w:r>
              <w:rPr>
                <w:rFonts w:ascii="Arial" w:cs="Arial" w:eastAsia="Arial" w:hAnsi="Arial"/>
                <w:sz w:val="18"/>
                <w:szCs w:val="18"/>
                <w:b w:val="1"/>
                <w:bCs w:val="1"/>
                <w:color w:val="auto"/>
                <w:w w:val="90"/>
              </w:rPr>
              <w:t>Commission file number 1-7677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59690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4399915</wp:posOffset>
            </wp:positionH>
            <wp:positionV relativeFrom="paragraph">
              <wp:posOffset>-213995</wp:posOffset>
            </wp:positionV>
            <wp:extent cx="457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LSB Industries,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2" w:lineRule="exact"/>
        <w:rPr>
          <w:sz w:val="24"/>
          <w:szCs w:val="24"/>
          <w:color w:val="auto"/>
        </w:rPr>
      </w:pPr>
    </w:p>
    <w:tbl>
      <w:tblPr>
        <w:tblLayout w:type="fixed"/>
        <w:tblInd w:w="480" w:type="dxa"/>
        <w:tblCellMar>
          <w:top w:w="0" w:type="dxa"/>
          <w:left w:w="0" w:type="dxa"/>
          <w:bottom w:w="0" w:type="dxa"/>
          <w:right w:w="0" w:type="dxa"/>
        </w:tblCellMar>
      </w:tblPr>
      <w:tr>
        <w:trPr>
          <w:trHeight w:val="212"/>
        </w:trPr>
        <w:tc>
          <w:tcPr>
            <w:tcW w:w="7400" w:type="dxa"/>
            <w:vAlign w:val="bottom"/>
          </w:tcPr>
          <w:p>
            <w:pPr>
              <w:jc w:val="center"/>
              <w:ind w:right="2762"/>
              <w:spacing w:after="0"/>
              <w:rPr>
                <w:sz w:val="20"/>
                <w:szCs w:val="20"/>
                <w:color w:val="auto"/>
              </w:rPr>
            </w:pPr>
            <w:r>
              <w:rPr>
                <w:rFonts w:ascii="Arial" w:cs="Arial" w:eastAsia="Arial" w:hAnsi="Arial"/>
                <w:sz w:val="18"/>
                <w:szCs w:val="18"/>
                <w:b w:val="1"/>
                <w:bCs w:val="1"/>
                <w:color w:val="auto"/>
                <w:w w:val="91"/>
              </w:rPr>
              <w:t>Delaware</w:t>
            </w:r>
          </w:p>
        </w:tc>
        <w:tc>
          <w:tcPr>
            <w:tcW w:w="1180" w:type="dxa"/>
            <w:vAlign w:val="bottom"/>
          </w:tcPr>
          <w:p>
            <w:pPr>
              <w:jc w:val="right"/>
              <w:ind w:right="61"/>
              <w:spacing w:after="0"/>
              <w:rPr>
                <w:sz w:val="20"/>
                <w:szCs w:val="20"/>
                <w:color w:val="auto"/>
              </w:rPr>
            </w:pPr>
            <w:r>
              <w:rPr>
                <w:rFonts w:ascii="Arial" w:cs="Arial" w:eastAsia="Arial" w:hAnsi="Arial"/>
                <w:sz w:val="18"/>
                <w:szCs w:val="18"/>
                <w:b w:val="1"/>
                <w:bCs w:val="1"/>
                <w:color w:val="auto"/>
              </w:rPr>
              <w:t>73-1015226</w:t>
            </w:r>
          </w:p>
        </w:tc>
      </w:tr>
      <w:tr>
        <w:trPr>
          <w:trHeight w:val="148"/>
        </w:trPr>
        <w:tc>
          <w:tcPr>
            <w:tcW w:w="7400" w:type="dxa"/>
            <w:vAlign w:val="bottom"/>
          </w:tcPr>
          <w:p>
            <w:pPr>
              <w:jc w:val="center"/>
              <w:ind w:right="276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400" w:type="dxa"/>
            <w:vAlign w:val="bottom"/>
          </w:tcPr>
          <w:p>
            <w:pPr>
              <w:jc w:val="center"/>
              <w:ind w:right="2762"/>
              <w:spacing w:after="0"/>
              <w:rPr>
                <w:sz w:val="20"/>
                <w:szCs w:val="20"/>
                <w:color w:val="auto"/>
              </w:rPr>
            </w:pPr>
            <w:r>
              <w:rPr>
                <w:rFonts w:ascii="Arial" w:cs="Arial" w:eastAsia="Arial" w:hAnsi="Arial"/>
                <w:sz w:val="14"/>
                <w:szCs w:val="14"/>
                <w:b w:val="1"/>
                <w:bCs w:val="1"/>
                <w:color w:val="auto"/>
                <w:w w:val="94"/>
              </w:rPr>
              <w:t>incorporation or organization)</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6"/>
              </w:rPr>
              <w:t>Identification No.)</w:t>
            </w:r>
          </w:p>
        </w:tc>
      </w:tr>
      <w:tr>
        <w:trPr>
          <w:trHeight w:val="259"/>
        </w:trPr>
        <w:tc>
          <w:tcPr>
            <w:tcW w:w="7400" w:type="dxa"/>
            <w:vAlign w:val="bottom"/>
          </w:tcPr>
          <w:p>
            <w:pPr>
              <w:jc w:val="center"/>
              <w:ind w:right="2762"/>
              <w:spacing w:after="0"/>
              <w:rPr>
                <w:sz w:val="20"/>
                <w:szCs w:val="20"/>
                <w:color w:val="auto"/>
              </w:rPr>
            </w:pPr>
            <w:r>
              <w:rPr>
                <w:rFonts w:ascii="Arial" w:cs="Arial" w:eastAsia="Arial" w:hAnsi="Arial"/>
                <w:sz w:val="18"/>
                <w:szCs w:val="18"/>
                <w:b w:val="1"/>
                <w:bCs w:val="1"/>
                <w:color w:val="auto"/>
                <w:w w:val="92"/>
              </w:rPr>
              <w:t>3503 NW 63</w:t>
            </w:r>
            <w:r>
              <w:rPr>
                <w:rFonts w:ascii="Arial" w:cs="Arial" w:eastAsia="Arial" w:hAnsi="Arial"/>
                <w:sz w:val="15"/>
                <w:szCs w:val="15"/>
                <w:b w:val="1"/>
                <w:bCs w:val="1"/>
                <w:color w:val="auto"/>
                <w:w w:val="92"/>
              </w:rPr>
              <w:t>rd</w:t>
            </w:r>
            <w:r>
              <w:rPr>
                <w:rFonts w:ascii="Arial" w:cs="Arial" w:eastAsia="Arial" w:hAnsi="Arial"/>
                <w:sz w:val="18"/>
                <w:szCs w:val="18"/>
                <w:b w:val="1"/>
                <w:bCs w:val="1"/>
                <w:color w:val="auto"/>
                <w:w w:val="92"/>
              </w:rPr>
              <w:t xml:space="preserve"> Street, Suite 500, Oklahoma City, Oklahoma</w:t>
            </w:r>
          </w:p>
        </w:tc>
        <w:tc>
          <w:tcPr>
            <w:tcW w:w="1180" w:type="dxa"/>
            <w:vAlign w:val="bottom"/>
          </w:tcPr>
          <w:p>
            <w:pPr>
              <w:jc w:val="right"/>
              <w:ind w:right="261"/>
              <w:spacing w:after="0"/>
              <w:rPr>
                <w:sz w:val="20"/>
                <w:szCs w:val="20"/>
                <w:color w:val="auto"/>
              </w:rPr>
            </w:pPr>
            <w:r>
              <w:rPr>
                <w:rFonts w:ascii="Arial" w:cs="Arial" w:eastAsia="Arial" w:hAnsi="Arial"/>
                <w:sz w:val="18"/>
                <w:szCs w:val="18"/>
                <w:b w:val="1"/>
                <w:bCs w:val="1"/>
                <w:color w:val="auto"/>
              </w:rPr>
              <w:t>73116</w:t>
            </w:r>
          </w:p>
        </w:tc>
      </w:tr>
      <w:tr>
        <w:trPr>
          <w:trHeight w:val="186"/>
        </w:trPr>
        <w:tc>
          <w:tcPr>
            <w:tcW w:w="7400" w:type="dxa"/>
            <w:vAlign w:val="bottom"/>
          </w:tcPr>
          <w:p>
            <w:pPr>
              <w:jc w:val="center"/>
              <w:ind w:right="274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r>
        <w:trPr>
          <w:trHeight w:val="282"/>
        </w:trPr>
        <w:tc>
          <w:tcPr>
            <w:tcW w:w="7400" w:type="dxa"/>
            <w:vAlign w:val="bottom"/>
          </w:tcPr>
          <w:p>
            <w:pPr>
              <w:ind w:left="2940"/>
              <w:spacing w:after="0"/>
              <w:rPr>
                <w:sz w:val="20"/>
                <w:szCs w:val="20"/>
                <w:color w:val="auto"/>
              </w:rPr>
            </w:pPr>
            <w:r>
              <w:rPr>
                <w:rFonts w:ascii="Arial" w:cs="Arial" w:eastAsia="Arial" w:hAnsi="Arial"/>
                <w:sz w:val="14"/>
                <w:szCs w:val="14"/>
                <w:b w:val="1"/>
                <w:bCs w:val="1"/>
                <w:color w:val="auto"/>
                <w:w w:val="93"/>
              </w:rPr>
              <w:t xml:space="preserve">(Registrant's telephone number, including area code) </w:t>
            </w:r>
            <w:r>
              <w:rPr>
                <w:rFonts w:ascii="Arial" w:cs="Arial" w:eastAsia="Arial" w:hAnsi="Arial"/>
                <w:sz w:val="17"/>
                <w:szCs w:val="17"/>
                <w:b w:val="1"/>
                <w:bCs w:val="1"/>
                <w:color w:val="auto"/>
                <w:w w:val="93"/>
              </w:rPr>
              <w:t>(405) 235-4546</w:t>
            </w:r>
          </w:p>
        </w:tc>
        <w:tc>
          <w:tcPr>
            <w:tcW w:w="1180" w:type="dxa"/>
            <w:vAlign w:val="bottom"/>
          </w:tcPr>
          <w:p>
            <w:pPr>
              <w:spacing w:after="0"/>
              <w:rPr>
                <w:sz w:val="24"/>
                <w:szCs w:val="24"/>
                <w:color w:val="auto"/>
              </w:rPr>
            </w:pPr>
          </w:p>
        </w:tc>
      </w:tr>
    </w:tbl>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08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65"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20" w:type="dxa"/>
            <w:vAlign w:val="bottom"/>
          </w:tcPr>
          <w:p>
            <w:pPr>
              <w:spacing w:after="0"/>
              <w:rPr>
                <w:sz w:val="14"/>
                <w:szCs w:val="14"/>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91"/>
        </w:trPr>
        <w:tc>
          <w:tcPr>
            <w:tcW w:w="42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Par Value $.10</w:t>
            </w:r>
          </w:p>
        </w:tc>
        <w:tc>
          <w:tcPr>
            <w:tcW w:w="120" w:type="dxa"/>
            <w:vAlign w:val="bottom"/>
          </w:tcPr>
          <w:p>
            <w:pPr>
              <w:spacing w:after="0"/>
              <w:rPr>
                <w:sz w:val="16"/>
                <w:szCs w:val="16"/>
                <w:color w:val="auto"/>
              </w:rPr>
            </w:pP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LXU</w:t>
            </w:r>
          </w:p>
        </w:tc>
        <w:tc>
          <w:tcPr>
            <w:tcW w:w="50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63"/>
        </w:trPr>
        <w:tc>
          <w:tcPr>
            <w:tcW w:w="44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8"/>
              </w:rPr>
              <w:t>Preferred Stock Purchase Rights</w:t>
            </w:r>
          </w:p>
        </w:tc>
        <w:tc>
          <w:tcPr>
            <w:tcW w:w="1800" w:type="dxa"/>
            <w:vAlign w:val="bottom"/>
            <w:gridSpan w:val="2"/>
            <w:vMerge w:val="continue"/>
          </w:tcPr>
          <w:p>
            <w:pPr>
              <w:spacing w:after="0"/>
              <w:rPr>
                <w:sz w:val="5"/>
                <w:szCs w:val="5"/>
                <w:color w:val="auto"/>
              </w:rPr>
            </w:pPr>
          </w:p>
        </w:tc>
        <w:tc>
          <w:tcPr>
            <w:tcW w:w="5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186"/>
        </w:trPr>
        <w:tc>
          <w:tcPr>
            <w:tcW w:w="4400" w:type="dxa"/>
            <w:vAlign w:val="bottom"/>
            <w:gridSpan w:val="2"/>
            <w:vMerge w:val="continue"/>
          </w:tcPr>
          <w:p>
            <w:pPr>
              <w:spacing w:after="0"/>
              <w:rPr>
                <w:sz w:val="16"/>
                <w:szCs w:val="16"/>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N/A</w:t>
            </w:r>
          </w:p>
        </w:tc>
        <w:tc>
          <w:tcPr>
            <w:tcW w:w="5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260" w:hanging="252"/>
        <w:spacing w:after="0" w:line="207" w:lineRule="exact"/>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34" w:lineRule="exact"/>
        <w:rPr>
          <w:sz w:val="24"/>
          <w:szCs w:val="24"/>
          <w:color w:val="auto"/>
        </w:rPr>
      </w:pPr>
    </w:p>
    <w:p>
      <w:pPr>
        <w:jc w:val="both"/>
        <w:spacing w:after="0" w:line="28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ind w:left="260" w:hanging="252"/>
        <w:spacing w:after="0" w:line="207" w:lineRule="exact"/>
        <w:tabs>
          <w:tab w:leader="none" w:pos="2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4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6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35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60"/>
              <w:spacing w:after="0"/>
              <w:rPr>
                <w:sz w:val="20"/>
                <w:szCs w:val="20"/>
                <w:color w:val="auto"/>
              </w:rPr>
            </w:pPr>
            <w:r>
              <w:rPr>
                <w:rFonts w:ascii="Arial" w:cs="Arial" w:eastAsia="Arial" w:hAnsi="Arial"/>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5020" w:type="dxa"/>
            <w:vAlign w:val="bottom"/>
          </w:tcPr>
          <w:p>
            <w:pPr>
              <w:ind w:left="2860"/>
              <w:spacing w:after="0"/>
              <w:rPr>
                <w:sz w:val="20"/>
                <w:szCs w:val="20"/>
                <w:color w:val="auto"/>
              </w:rPr>
            </w:pPr>
            <w:r>
              <w:rPr>
                <w:rFonts w:ascii="Arial" w:cs="Arial" w:eastAsia="Arial" w:hAnsi="Arial"/>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260" w:hanging="252"/>
        <w:spacing w:after="0" w:line="207" w:lineRule="exact"/>
        <w:tabs>
          <w:tab w:leader="none" w:pos="2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was 88,824,475 shares as of October 27,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430530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FORM 10-Q OF 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340" w:type="dxa"/>
            <w:vAlign w:val="bottom"/>
            <w:gridSpan w:val="4"/>
          </w:tcPr>
          <w:p>
            <w:pPr>
              <w:jc w:val="center"/>
              <w:ind w:right="2420"/>
              <w:spacing w:after="0"/>
              <w:rPr>
                <w:sz w:val="20"/>
                <w:szCs w:val="20"/>
                <w:color w:val="auto"/>
              </w:rPr>
            </w:pPr>
            <w:r>
              <w:rPr>
                <w:rFonts w:ascii="Arial" w:cs="Arial" w:eastAsia="Arial" w:hAnsi="Arial"/>
                <w:sz w:val="18"/>
                <w:szCs w:val="18"/>
                <w:color w:val="auto"/>
                <w:w w:val="93"/>
              </w:rPr>
              <w:t>PART I – Financial Information</w:t>
            </w: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Page</w:t>
            </w: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8140" w:type="dxa"/>
            <w:vAlign w:val="bottom"/>
            <w:gridSpan w:val="7"/>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660" w:type="dxa"/>
            <w:vAlign w:val="bottom"/>
            <w:gridSpan w:val="1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Quantitative and Qualitative Disclosures About Market Risk</w:t>
              </w:r>
            </w:hyperlink>
          </w:p>
        </w:tc>
        <w:tc>
          <w:tcPr>
            <w:tcW w:w="2060" w:type="dxa"/>
            <w:vAlign w:val="bottom"/>
            <w:tcBorders>
              <w:top w:val="single" w:sz="8" w:color="0000EE"/>
            </w:tcBorders>
          </w:tcPr>
          <w:p>
            <w:pPr>
              <w:spacing w:after="0"/>
              <w:rPr>
                <w:sz w:val="24"/>
                <w:szCs w:val="24"/>
                <w:color w:val="auto"/>
              </w:rPr>
            </w:pPr>
          </w:p>
        </w:tc>
        <w:tc>
          <w:tcPr>
            <w:tcW w:w="3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9660" w:type="dxa"/>
            <w:vAlign w:val="bottom"/>
            <w:gridSpan w:val="1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53"/>
        </w:trPr>
        <w:tc>
          <w:tcPr>
            <w:tcW w:w="9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340" w:type="dxa"/>
            <w:vAlign w:val="bottom"/>
            <w:gridSpan w:val="4"/>
          </w:tcPr>
          <w:p>
            <w:pPr>
              <w:jc w:val="center"/>
              <w:ind w:right="2420"/>
              <w:spacing w:after="0"/>
              <w:rPr>
                <w:sz w:val="20"/>
                <w:szCs w:val="20"/>
                <w:color w:val="auto"/>
              </w:rPr>
            </w:pPr>
            <w:r>
              <w:rPr>
                <w:rFonts w:ascii="Arial" w:cs="Arial" w:eastAsia="Arial" w:hAnsi="Arial"/>
                <w:sz w:val="18"/>
                <w:szCs w:val="18"/>
                <w:color w:val="auto"/>
                <w:w w:val="93"/>
              </w:rPr>
              <w:t>PART II – Other Information</w:t>
            </w:r>
          </w:p>
        </w:tc>
        <w:tc>
          <w:tcPr>
            <w:tcW w:w="660" w:type="dxa"/>
            <w:vAlign w:val="bottom"/>
          </w:tcPr>
          <w:p>
            <w:pPr>
              <w:spacing w:after="0"/>
              <w:rPr>
                <w:sz w:val="24"/>
                <w:szCs w:val="24"/>
                <w:color w:val="auto"/>
              </w:rPr>
            </w:pPr>
          </w:p>
        </w:tc>
      </w:tr>
      <w:tr>
        <w:trPr>
          <w:trHeight w:val="391"/>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43">
              <w:r>
                <w:rPr>
                  <w:rFonts w:ascii="Arial" w:cs="Arial" w:eastAsia="Arial" w:hAnsi="Arial"/>
                  <w:sz w:val="18"/>
                  <w:szCs w:val="18"/>
                  <w:color w:val="0000EE"/>
                  <w:w w:val="88"/>
                </w:rPr>
                <w:t>Legal Proceedings</w:t>
              </w:r>
            </w:hyperlink>
          </w:p>
        </w:tc>
        <w:tc>
          <w:tcPr>
            <w:tcW w:w="8320" w:type="dxa"/>
            <w:vAlign w:val="bottom"/>
            <w:gridSpan w:val="8"/>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Risk Factors</w:t>
              </w:r>
            </w:hyperlink>
          </w:p>
        </w:tc>
        <w:tc>
          <w:tcPr>
            <w:tcW w:w="8740" w:type="dxa"/>
            <w:vAlign w:val="bottom"/>
            <w:gridSpan w:val="10"/>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Unregistered Sales of Equity Securities and Use of Proceeds</w:t>
              </w:r>
            </w:hyperlink>
          </w:p>
        </w:tc>
        <w:tc>
          <w:tcPr>
            <w:tcW w:w="5300" w:type="dxa"/>
            <w:vAlign w:val="bottom"/>
            <w:gridSpan w:val="3"/>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9660" w:type="dxa"/>
            <w:vAlign w:val="bottom"/>
            <w:gridSpan w:val="12"/>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Defaults Upon Senior Securities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Mining Safety Disclosures</w:t>
              </w:r>
            </w:hyperlink>
          </w:p>
        </w:tc>
        <w:tc>
          <w:tcPr>
            <w:tcW w:w="7340" w:type="dxa"/>
            <w:vAlign w:val="bottom"/>
            <w:gridSpan w:val="4"/>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Other Information</w:t>
              </w:r>
            </w:hyperlink>
          </w:p>
        </w:tc>
        <w:tc>
          <w:tcPr>
            <w:tcW w:w="600" w:type="dxa"/>
            <w:vAlign w:val="bottom"/>
            <w:tcBorders>
              <w:top w:val="single" w:sz="8" w:color="0000EE"/>
            </w:tcBorders>
            <w:gridSpan w:val="4"/>
          </w:tcPr>
          <w:p>
            <w:pPr>
              <w:spacing w:after="0"/>
              <w:rPr>
                <w:sz w:val="24"/>
                <w:szCs w:val="24"/>
                <w:color w:val="auto"/>
              </w:rPr>
            </w:pPr>
          </w:p>
        </w:tc>
        <w:tc>
          <w:tcPr>
            <w:tcW w:w="7740" w:type="dxa"/>
            <w:vAlign w:val="bottom"/>
            <w:gridSpan w:val="5"/>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9660" w:type="dxa"/>
            <w:vAlign w:val="bottom"/>
            <w:gridSpan w:val="12"/>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Exhibits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885"/>
        </w:trPr>
        <w:tc>
          <w:tcPr>
            <w:tcW w:w="9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5840" w:type="dxa"/>
            <w:vAlign w:val="bottom"/>
            <w:gridSpan w:val="10"/>
          </w:tcPr>
          <w:p>
            <w:pPr>
              <w:jc w:val="right"/>
              <w:ind w:right="1700"/>
              <w:spacing w:after="0"/>
              <w:rPr>
                <w:sz w:val="20"/>
                <w:szCs w:val="20"/>
                <w:color w:val="auto"/>
              </w:rPr>
            </w:pPr>
            <w:r>
              <w:rPr>
                <w:rFonts w:ascii="Arial" w:cs="Arial" w:eastAsia="Arial" w:hAnsi="Arial"/>
                <w:sz w:val="18"/>
                <w:szCs w:val="18"/>
                <w:color w:val="auto"/>
              </w:rPr>
              <w:t>2</w:t>
            </w:r>
          </w:p>
        </w:tc>
        <w:tc>
          <w:tcPr>
            <w:tcW w:w="3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4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34"/>
        </w:trPr>
        <w:tc>
          <w:tcPr>
            <w:tcW w:w="220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4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LSB INDUSTRIES, INC.</w:t>
            </w: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2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(Information at September 30, 2021 is unaudited)</w:t>
            </w: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5"/>
        </w:trPr>
        <w:tc>
          <w:tcPr>
            <w:tcW w:w="2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September 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December 31,</w:t>
            </w:r>
          </w:p>
        </w:tc>
      </w:tr>
      <w:tr>
        <w:trPr>
          <w:trHeight w:val="230"/>
        </w:trPr>
        <w:tc>
          <w:tcPr>
            <w:tcW w:w="2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r>
      <w:tr>
        <w:trPr>
          <w:trHeight w:val="207"/>
        </w:trPr>
        <w:tc>
          <w:tcPr>
            <w:tcW w:w="2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80" w:type="dxa"/>
            <w:vAlign w:val="bottom"/>
            <w:gridSpan w:val="6"/>
          </w:tcPr>
          <w:p>
            <w:pPr>
              <w:jc w:val="right"/>
              <w:ind w:right="1360"/>
              <w:spacing w:after="0"/>
              <w:rPr>
                <w:sz w:val="20"/>
                <w:szCs w:val="20"/>
                <w:color w:val="auto"/>
              </w:rPr>
            </w:pPr>
            <w:r>
              <w:rPr>
                <w:rFonts w:ascii="Arial" w:cs="Arial" w:eastAsia="Arial" w:hAnsi="Arial"/>
                <w:sz w:val="16"/>
                <w:szCs w:val="16"/>
                <w:color w:val="auto"/>
              </w:rPr>
              <w:t>(In Thousands)</w:t>
            </w:r>
          </w:p>
        </w:tc>
      </w:tr>
      <w:tr>
        <w:trPr>
          <w:trHeight w:val="233"/>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33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3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Cash and cash equivalents</w:t>
            </w:r>
          </w:p>
        </w:tc>
        <w:tc>
          <w:tcPr>
            <w:tcW w:w="45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32,855</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16,264</w:t>
            </w:r>
          </w:p>
        </w:tc>
        <w:tc>
          <w:tcPr>
            <w:tcW w:w="120" w:type="dxa"/>
            <w:vAlign w:val="bottom"/>
            <w:shd w:val="clear" w:color="auto" w:fill="CFF0FC"/>
          </w:tcPr>
          <w:p>
            <w:pPr>
              <w:spacing w:after="0"/>
              <w:rPr>
                <w:sz w:val="19"/>
                <w:szCs w:val="19"/>
                <w:color w:val="auto"/>
              </w:rPr>
            </w:pPr>
          </w:p>
        </w:tc>
      </w:tr>
      <w:tr>
        <w:trPr>
          <w:trHeight w:val="229"/>
        </w:trPr>
        <w:tc>
          <w:tcPr>
            <w:tcW w:w="3320" w:type="dxa"/>
            <w:vAlign w:val="bottom"/>
            <w:gridSpan w:val="2"/>
          </w:tcPr>
          <w:p>
            <w:pPr>
              <w:ind w:left="140"/>
              <w:spacing w:after="0"/>
              <w:rPr>
                <w:sz w:val="20"/>
                <w:szCs w:val="20"/>
                <w:color w:val="auto"/>
              </w:rPr>
            </w:pPr>
            <w:r>
              <w:rPr>
                <w:rFonts w:ascii="Arial" w:cs="Arial" w:eastAsia="Arial" w:hAnsi="Arial"/>
                <w:sz w:val="18"/>
                <w:szCs w:val="18"/>
                <w:color w:val="auto"/>
              </w:rPr>
              <w:t>Accounts receivable</w:t>
            </w:r>
          </w:p>
        </w:tc>
        <w:tc>
          <w:tcPr>
            <w:tcW w:w="4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66,082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42,929</w:t>
            </w:r>
          </w:p>
        </w:tc>
        <w:tc>
          <w:tcPr>
            <w:tcW w:w="120" w:type="dxa"/>
            <w:vAlign w:val="bottom"/>
          </w:tcPr>
          <w:p>
            <w:pPr>
              <w:spacing w:after="0"/>
              <w:rPr>
                <w:sz w:val="19"/>
                <w:szCs w:val="19"/>
                <w:color w:val="auto"/>
              </w:rPr>
            </w:pPr>
          </w:p>
        </w:tc>
      </w:tr>
      <w:tr>
        <w:trPr>
          <w:trHeight w:val="230"/>
        </w:trPr>
        <w:tc>
          <w:tcPr>
            <w:tcW w:w="3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Allowance for doubtful accounts</w:t>
            </w:r>
          </w:p>
        </w:tc>
        <w:tc>
          <w:tcPr>
            <w:tcW w:w="4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(377)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(378)</w:t>
            </w:r>
          </w:p>
        </w:tc>
      </w:tr>
      <w:tr>
        <w:trPr>
          <w:trHeight w:val="223"/>
        </w:trPr>
        <w:tc>
          <w:tcPr>
            <w:tcW w:w="3320" w:type="dxa"/>
            <w:vAlign w:val="bottom"/>
            <w:gridSpan w:val="2"/>
          </w:tcPr>
          <w:p>
            <w:pPr>
              <w:ind w:left="260"/>
              <w:spacing w:after="0"/>
              <w:rPr>
                <w:sz w:val="20"/>
                <w:szCs w:val="20"/>
                <w:color w:val="auto"/>
              </w:rPr>
            </w:pPr>
            <w:r>
              <w:rPr>
                <w:rFonts w:ascii="Arial" w:cs="Arial" w:eastAsia="Arial" w:hAnsi="Arial"/>
                <w:sz w:val="18"/>
                <w:szCs w:val="18"/>
                <w:color w:val="auto"/>
              </w:rPr>
              <w:t>Accounts receivable, net</w:t>
            </w:r>
          </w:p>
        </w:tc>
        <w:tc>
          <w:tcPr>
            <w:tcW w:w="4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65,705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42,551</w:t>
            </w:r>
          </w:p>
        </w:tc>
        <w:tc>
          <w:tcPr>
            <w:tcW w:w="120" w:type="dxa"/>
            <w:vAlign w:val="bottom"/>
          </w:tcPr>
          <w:p>
            <w:pPr>
              <w:spacing w:after="0"/>
              <w:rPr>
                <w:sz w:val="19"/>
                <w:szCs w:val="19"/>
                <w:color w:val="auto"/>
              </w:rPr>
            </w:pPr>
          </w:p>
        </w:tc>
      </w:tr>
      <w:tr>
        <w:trPr>
          <w:trHeight w:val="230"/>
        </w:trPr>
        <w:tc>
          <w:tcPr>
            <w:tcW w:w="3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Inventories:</w:t>
            </w:r>
          </w:p>
        </w:tc>
        <w:tc>
          <w:tcPr>
            <w:tcW w:w="4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3320" w:type="dxa"/>
            <w:vAlign w:val="bottom"/>
            <w:gridSpan w:val="2"/>
          </w:tcPr>
          <w:p>
            <w:pPr>
              <w:ind w:left="260"/>
              <w:spacing w:after="0"/>
              <w:rPr>
                <w:sz w:val="20"/>
                <w:szCs w:val="20"/>
                <w:color w:val="auto"/>
              </w:rPr>
            </w:pPr>
            <w:r>
              <w:rPr>
                <w:rFonts w:ascii="Arial" w:cs="Arial" w:eastAsia="Arial" w:hAnsi="Arial"/>
                <w:sz w:val="18"/>
                <w:szCs w:val="18"/>
                <w:color w:val="auto"/>
              </w:rPr>
              <w:t>Finished goods</w:t>
            </w:r>
          </w:p>
        </w:tc>
        <w:tc>
          <w:tcPr>
            <w:tcW w:w="4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16,536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17,778</w:t>
            </w:r>
          </w:p>
        </w:tc>
        <w:tc>
          <w:tcPr>
            <w:tcW w:w="120" w:type="dxa"/>
            <w:vAlign w:val="bottom"/>
          </w:tcPr>
          <w:p>
            <w:pPr>
              <w:spacing w:after="0"/>
              <w:rPr>
                <w:sz w:val="19"/>
                <w:szCs w:val="19"/>
                <w:color w:val="auto"/>
              </w:rPr>
            </w:pPr>
          </w:p>
        </w:tc>
      </w:tr>
      <w:tr>
        <w:trPr>
          <w:trHeight w:val="229"/>
        </w:trPr>
        <w:tc>
          <w:tcPr>
            <w:tcW w:w="3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Raw materials</w:t>
            </w:r>
          </w:p>
        </w:tc>
        <w:tc>
          <w:tcPr>
            <w:tcW w:w="43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1,795</w:t>
            </w:r>
          </w:p>
        </w:tc>
        <w:tc>
          <w:tcPr>
            <w:tcW w:w="120" w:type="dxa"/>
            <w:vAlign w:val="bottom"/>
            <w:shd w:val="clear" w:color="auto" w:fill="CFF0FC"/>
          </w:tcPr>
          <w:p>
            <w:pPr>
              <w:spacing w:after="0"/>
              <w:rPr>
                <w:sz w:val="19"/>
                <w:szCs w:val="19"/>
                <w:color w:val="auto"/>
              </w:rPr>
            </w:pPr>
          </w:p>
        </w:tc>
      </w:tr>
      <w:tr>
        <w:trPr>
          <w:trHeight w:val="223"/>
        </w:trPr>
        <w:tc>
          <w:tcPr>
            <w:tcW w:w="3320" w:type="dxa"/>
            <w:vAlign w:val="bottom"/>
            <w:gridSpan w:val="2"/>
          </w:tcPr>
          <w:p>
            <w:pPr>
              <w:ind w:left="380"/>
              <w:spacing w:after="0"/>
              <w:rPr>
                <w:sz w:val="20"/>
                <w:szCs w:val="20"/>
                <w:color w:val="auto"/>
              </w:rPr>
            </w:pPr>
            <w:r>
              <w:rPr>
                <w:rFonts w:ascii="Arial" w:cs="Arial" w:eastAsia="Arial" w:hAnsi="Arial"/>
                <w:sz w:val="18"/>
                <w:szCs w:val="18"/>
                <w:color w:val="auto"/>
              </w:rPr>
              <w:t>Total inventories</w:t>
            </w:r>
          </w:p>
        </w:tc>
        <w:tc>
          <w:tcPr>
            <w:tcW w:w="4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18,206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19,573</w:t>
            </w:r>
          </w:p>
        </w:tc>
        <w:tc>
          <w:tcPr>
            <w:tcW w:w="120" w:type="dxa"/>
            <w:vAlign w:val="bottom"/>
          </w:tcPr>
          <w:p>
            <w:pPr>
              <w:spacing w:after="0"/>
              <w:rPr>
                <w:sz w:val="19"/>
                <w:szCs w:val="19"/>
                <w:color w:val="auto"/>
              </w:rPr>
            </w:pPr>
          </w:p>
        </w:tc>
      </w:tr>
      <w:tr>
        <w:trPr>
          <w:trHeight w:val="229"/>
        </w:trPr>
        <w:tc>
          <w:tcPr>
            <w:tcW w:w="3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Supplies, prepaid items and other:</w:t>
            </w:r>
          </w:p>
        </w:tc>
        <w:tc>
          <w:tcPr>
            <w:tcW w:w="4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320" w:type="dxa"/>
            <w:vAlign w:val="bottom"/>
            <w:gridSpan w:val="2"/>
          </w:tcPr>
          <w:p>
            <w:pPr>
              <w:ind w:left="260"/>
              <w:spacing w:after="0"/>
              <w:rPr>
                <w:sz w:val="20"/>
                <w:szCs w:val="20"/>
                <w:color w:val="auto"/>
              </w:rPr>
            </w:pPr>
            <w:r>
              <w:rPr>
                <w:rFonts w:ascii="Arial" w:cs="Arial" w:eastAsia="Arial" w:hAnsi="Arial"/>
                <w:sz w:val="18"/>
                <w:szCs w:val="18"/>
                <w:color w:val="auto"/>
              </w:rPr>
              <w:t>Prepaid insurance</w:t>
            </w:r>
          </w:p>
        </w:tc>
        <w:tc>
          <w:tcPr>
            <w:tcW w:w="4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1,879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12,315</w:t>
            </w:r>
          </w:p>
        </w:tc>
        <w:tc>
          <w:tcPr>
            <w:tcW w:w="120" w:type="dxa"/>
            <w:vAlign w:val="bottom"/>
          </w:tcPr>
          <w:p>
            <w:pPr>
              <w:spacing w:after="0"/>
              <w:rPr>
                <w:sz w:val="19"/>
                <w:szCs w:val="19"/>
                <w:color w:val="auto"/>
              </w:rPr>
            </w:pPr>
          </w:p>
        </w:tc>
      </w:tr>
      <w:tr>
        <w:trPr>
          <w:trHeight w:val="229"/>
        </w:trPr>
        <w:tc>
          <w:tcPr>
            <w:tcW w:w="3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Precious metals</w:t>
            </w:r>
          </w:p>
        </w:tc>
        <w:tc>
          <w:tcPr>
            <w:tcW w:w="4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6,787</w:t>
            </w:r>
          </w:p>
        </w:tc>
        <w:tc>
          <w:tcPr>
            <w:tcW w:w="120" w:type="dxa"/>
            <w:vAlign w:val="bottom"/>
            <w:shd w:val="clear" w:color="auto" w:fill="CFF0FC"/>
          </w:tcPr>
          <w:p>
            <w:pPr>
              <w:spacing w:after="0"/>
              <w:rPr>
                <w:sz w:val="19"/>
                <w:szCs w:val="19"/>
                <w:color w:val="auto"/>
              </w:rPr>
            </w:pPr>
          </w:p>
        </w:tc>
      </w:tr>
      <w:tr>
        <w:trPr>
          <w:trHeight w:val="229"/>
        </w:trPr>
        <w:tc>
          <w:tcPr>
            <w:tcW w:w="3320" w:type="dxa"/>
            <w:vAlign w:val="bottom"/>
            <w:gridSpan w:val="2"/>
          </w:tcPr>
          <w:p>
            <w:pPr>
              <w:ind w:left="260"/>
              <w:spacing w:after="0"/>
              <w:rPr>
                <w:sz w:val="20"/>
                <w:szCs w:val="20"/>
                <w:color w:val="auto"/>
              </w:rPr>
            </w:pPr>
            <w:r>
              <w:rPr>
                <w:rFonts w:ascii="Arial" w:cs="Arial" w:eastAsia="Arial" w:hAnsi="Arial"/>
                <w:sz w:val="18"/>
                <w:szCs w:val="18"/>
                <w:color w:val="auto"/>
              </w:rPr>
              <w:t>Supplies</w:t>
            </w:r>
          </w:p>
        </w:tc>
        <w:tc>
          <w:tcPr>
            <w:tcW w:w="4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26,011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25,288</w:t>
            </w:r>
          </w:p>
        </w:tc>
        <w:tc>
          <w:tcPr>
            <w:tcW w:w="120" w:type="dxa"/>
            <w:vAlign w:val="bottom"/>
          </w:tcPr>
          <w:p>
            <w:pPr>
              <w:spacing w:after="0"/>
              <w:rPr>
                <w:sz w:val="19"/>
                <w:szCs w:val="19"/>
                <w:color w:val="auto"/>
              </w:rPr>
            </w:pPr>
          </w:p>
        </w:tc>
      </w:tr>
      <w:tr>
        <w:trPr>
          <w:trHeight w:val="230"/>
        </w:trPr>
        <w:tc>
          <w:tcPr>
            <w:tcW w:w="3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43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6,802</w:t>
            </w:r>
          </w:p>
        </w:tc>
        <w:tc>
          <w:tcPr>
            <w:tcW w:w="120" w:type="dxa"/>
            <w:vAlign w:val="bottom"/>
            <w:shd w:val="clear" w:color="auto" w:fill="CFF0FC"/>
          </w:tcPr>
          <w:p>
            <w:pPr>
              <w:spacing w:after="0"/>
              <w:rPr>
                <w:sz w:val="19"/>
                <w:szCs w:val="19"/>
                <w:color w:val="auto"/>
              </w:rPr>
            </w:pPr>
          </w:p>
        </w:tc>
      </w:tr>
      <w:tr>
        <w:trPr>
          <w:trHeight w:val="223"/>
        </w:trPr>
        <w:tc>
          <w:tcPr>
            <w:tcW w:w="332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w w:val="94"/>
              </w:rPr>
              <w:t>Total supplies, prepaid items and other</w:t>
            </w:r>
          </w:p>
        </w:tc>
        <w:tc>
          <w:tcPr>
            <w:tcW w:w="43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46,189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51,192</w:t>
            </w:r>
          </w:p>
        </w:tc>
        <w:tc>
          <w:tcPr>
            <w:tcW w:w="120" w:type="dxa"/>
            <w:vAlign w:val="bottom"/>
            <w:tcBorders>
              <w:bottom w:val="single" w:sz="8" w:color="CFF0FC"/>
            </w:tcBorders>
          </w:tcPr>
          <w:p>
            <w:pPr>
              <w:spacing w:after="0"/>
              <w:rPr>
                <w:sz w:val="19"/>
                <w:szCs w:val="19"/>
                <w:color w:val="auto"/>
              </w:rPr>
            </w:pPr>
          </w:p>
        </w:tc>
      </w:tr>
      <w:tr>
        <w:trPr>
          <w:trHeight w:val="223"/>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4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162,955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129,580</w:t>
            </w:r>
          </w:p>
        </w:tc>
        <w:tc>
          <w:tcPr>
            <w:tcW w:w="120" w:type="dxa"/>
            <w:vAlign w:val="bottom"/>
            <w:shd w:val="clear" w:color="auto" w:fill="CFF0FC"/>
          </w:tcPr>
          <w:p>
            <w:pPr>
              <w:spacing w:after="0"/>
              <w:rPr>
                <w:sz w:val="19"/>
                <w:szCs w:val="19"/>
                <w:color w:val="auto"/>
              </w:rPr>
            </w:pPr>
          </w:p>
        </w:tc>
      </w:tr>
      <w:tr>
        <w:trPr>
          <w:trHeight w:val="230"/>
        </w:trPr>
        <w:tc>
          <w:tcPr>
            <w:tcW w:w="2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plant and equipment, net</w:t>
            </w:r>
          </w:p>
        </w:tc>
        <w:tc>
          <w:tcPr>
            <w:tcW w:w="4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869,497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891,198</w:t>
            </w:r>
          </w:p>
        </w:tc>
        <w:tc>
          <w:tcPr>
            <w:tcW w:w="120" w:type="dxa"/>
            <w:vAlign w:val="bottom"/>
            <w:shd w:val="clear" w:color="auto" w:fill="CFF0FC"/>
          </w:tcPr>
          <w:p>
            <w:pPr>
              <w:spacing w:after="0"/>
              <w:rPr>
                <w:sz w:val="19"/>
                <w:szCs w:val="19"/>
                <w:color w:val="auto"/>
              </w:rPr>
            </w:pPr>
          </w:p>
        </w:tc>
      </w:tr>
      <w:tr>
        <w:trPr>
          <w:trHeight w:val="230"/>
        </w:trPr>
        <w:tc>
          <w:tcPr>
            <w:tcW w:w="2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assets:</w:t>
            </w:r>
          </w:p>
        </w:tc>
        <w:tc>
          <w:tcPr>
            <w:tcW w:w="4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320" w:type="dxa"/>
            <w:vAlign w:val="bottom"/>
            <w:gridSpan w:val="2"/>
          </w:tcPr>
          <w:p>
            <w:pPr>
              <w:ind w:left="140"/>
              <w:spacing w:after="0"/>
              <w:rPr>
                <w:sz w:val="20"/>
                <w:szCs w:val="20"/>
                <w:color w:val="auto"/>
              </w:rPr>
            </w:pPr>
            <w:r>
              <w:rPr>
                <w:rFonts w:ascii="Arial" w:cs="Arial" w:eastAsia="Arial" w:hAnsi="Arial"/>
                <w:sz w:val="18"/>
                <w:szCs w:val="18"/>
                <w:color w:val="auto"/>
              </w:rPr>
              <w:t>Operating lease assets</w:t>
            </w:r>
          </w:p>
        </w:tc>
        <w:tc>
          <w:tcPr>
            <w:tcW w:w="4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28,308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26,403</w:t>
            </w:r>
          </w:p>
        </w:tc>
        <w:tc>
          <w:tcPr>
            <w:tcW w:w="120" w:type="dxa"/>
            <w:vAlign w:val="bottom"/>
          </w:tcPr>
          <w:p>
            <w:pPr>
              <w:spacing w:after="0"/>
              <w:rPr>
                <w:sz w:val="19"/>
                <w:szCs w:val="19"/>
                <w:color w:val="auto"/>
              </w:rPr>
            </w:pPr>
          </w:p>
        </w:tc>
      </w:tr>
      <w:tr>
        <w:trPr>
          <w:trHeight w:val="230"/>
        </w:trPr>
        <w:tc>
          <w:tcPr>
            <w:tcW w:w="3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Intangible and other assets, net</w:t>
            </w:r>
          </w:p>
        </w:tc>
        <w:tc>
          <w:tcPr>
            <w:tcW w:w="43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13,784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6,121</w:t>
            </w:r>
          </w:p>
        </w:tc>
        <w:tc>
          <w:tcPr>
            <w:tcW w:w="120" w:type="dxa"/>
            <w:vAlign w:val="bottom"/>
            <w:shd w:val="clear" w:color="auto" w:fill="CFF0FC"/>
          </w:tcPr>
          <w:p>
            <w:pPr>
              <w:spacing w:after="0"/>
              <w:rPr>
                <w:sz w:val="19"/>
                <w:szCs w:val="19"/>
                <w:color w:val="auto"/>
              </w:rPr>
            </w:pPr>
          </w:p>
        </w:tc>
      </w:tr>
      <w:tr>
        <w:trPr>
          <w:trHeight w:val="223"/>
        </w:trPr>
        <w:tc>
          <w:tcPr>
            <w:tcW w:w="2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42,092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32,524</w:t>
            </w:r>
          </w:p>
        </w:tc>
        <w:tc>
          <w:tcPr>
            <w:tcW w:w="120" w:type="dxa"/>
            <w:vAlign w:val="bottom"/>
          </w:tcPr>
          <w:p>
            <w:pPr>
              <w:spacing w:after="0"/>
              <w:rPr>
                <w:sz w:val="19"/>
                <w:szCs w:val="19"/>
                <w:color w:val="auto"/>
              </w:rPr>
            </w:pPr>
          </w:p>
        </w:tc>
      </w:tr>
      <w:tr>
        <w:trPr>
          <w:trHeight w:val="229"/>
        </w:trPr>
        <w:tc>
          <w:tcPr>
            <w:tcW w:w="2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3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3"/>
        </w:trPr>
        <w:tc>
          <w:tcPr>
            <w:tcW w:w="2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1,074,544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1,053,302</w:t>
            </w:r>
          </w:p>
        </w:tc>
        <w:tc>
          <w:tcPr>
            <w:tcW w:w="120" w:type="dxa"/>
            <w:vAlign w:val="bottom"/>
          </w:tcPr>
          <w:p>
            <w:pPr>
              <w:spacing w:after="0"/>
              <w:rPr>
                <w:sz w:val="19"/>
                <w:szCs w:val="19"/>
                <w:color w:val="auto"/>
              </w:rPr>
            </w:pPr>
          </w:p>
        </w:tc>
      </w:tr>
      <w:tr>
        <w:trPr>
          <w:trHeight w:val="20"/>
        </w:trPr>
        <w:tc>
          <w:tcPr>
            <w:tcW w:w="2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2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540" w:type="dxa"/>
            <w:vAlign w:val="bottom"/>
            <w:gridSpan w:val="2"/>
          </w:tcPr>
          <w:p>
            <w:pPr>
              <w:jc w:val="center"/>
              <w:spacing w:after="0"/>
              <w:rPr>
                <w:sz w:val="20"/>
                <w:szCs w:val="20"/>
                <w:color w:val="auto"/>
              </w:rPr>
            </w:pPr>
            <w:r>
              <w:rPr>
                <w:rFonts w:ascii="Arial" w:cs="Arial" w:eastAsia="Arial" w:hAnsi="Arial"/>
                <w:sz w:val="18"/>
                <w:szCs w:val="18"/>
                <w:color w:val="auto"/>
                <w:w w:val="92"/>
              </w:rPr>
              <w:t>(Continued on following page)</w:t>
            </w: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2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340" w:type="dxa"/>
            <w:vAlign w:val="bottom"/>
          </w:tcPr>
          <w:p>
            <w:pPr>
              <w:jc w:val="center"/>
              <w:ind w:left="170"/>
              <w:spacing w:after="0"/>
              <w:rPr>
                <w:sz w:val="20"/>
                <w:szCs w:val="20"/>
                <w:color w:val="auto"/>
              </w:rPr>
            </w:pPr>
            <w:r>
              <w:rPr>
                <w:rFonts w:ascii="Arial" w:cs="Arial" w:eastAsia="Arial" w:hAnsi="Arial"/>
                <w:sz w:val="18"/>
                <w:szCs w:val="18"/>
                <w:color w:val="auto"/>
                <w:w w:val="79"/>
              </w:rPr>
              <w:t>3</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2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at September 30, 2021 is 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2"/>
          </w:tcPr>
          <w:p>
            <w:pPr>
              <w:jc w:val="right"/>
              <w:ind w:right="580"/>
              <w:spacing w:after="0"/>
              <w:rPr>
                <w:sz w:val="20"/>
                <w:szCs w:val="20"/>
                <w:color w:val="auto"/>
              </w:rPr>
            </w:pPr>
            <w:r>
              <w:rPr>
                <w:rFonts w:ascii="Arial" w:cs="Arial" w:eastAsia="Arial" w:hAnsi="Arial"/>
                <w:sz w:val="18"/>
                <w:szCs w:val="18"/>
                <w:color w:val="auto"/>
                <w:w w:val="94"/>
              </w:rPr>
              <w:t>September 30,</w:t>
            </w:r>
          </w:p>
        </w:tc>
        <w:tc>
          <w:tcPr>
            <w:tcW w:w="180" w:type="dxa"/>
            <w:vAlign w:val="bottom"/>
          </w:tcPr>
          <w:p>
            <w:pPr>
              <w:spacing w:after="0"/>
              <w:rPr>
                <w:sz w:val="19"/>
                <w:szCs w:val="19"/>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December 31,</w:t>
            </w:r>
          </w:p>
        </w:tc>
      </w:tr>
      <w:tr>
        <w:trPr>
          <w:trHeight w:val="230"/>
        </w:trPr>
        <w:tc>
          <w:tcPr>
            <w:tcW w:w="43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r>
      <w:tr>
        <w:trPr>
          <w:trHeight w:val="207"/>
        </w:trPr>
        <w:tc>
          <w:tcPr>
            <w:tcW w:w="43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0" w:type="dxa"/>
            <w:vAlign w:val="bottom"/>
            <w:gridSpan w:val="5"/>
          </w:tcPr>
          <w:p>
            <w:pPr>
              <w:jc w:val="right"/>
              <w:ind w:right="1380"/>
              <w:spacing w:after="0"/>
              <w:rPr>
                <w:sz w:val="20"/>
                <w:szCs w:val="20"/>
                <w:color w:val="auto"/>
              </w:rPr>
            </w:pPr>
            <w:r>
              <w:rPr>
                <w:rFonts w:ascii="Arial" w:cs="Arial" w:eastAsia="Arial" w:hAnsi="Arial"/>
                <w:sz w:val="16"/>
                <w:szCs w:val="16"/>
                <w:color w:val="auto"/>
              </w:rPr>
              <w:t>(In Thousands)</w:t>
            </w:r>
          </w:p>
        </w:tc>
      </w:tr>
      <w:tr>
        <w:trPr>
          <w:trHeight w:val="233"/>
        </w:trPr>
        <w:tc>
          <w:tcPr>
            <w:tcW w:w="4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Current liabilities:</w:t>
            </w: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Accounts payable</w:t>
            </w:r>
          </w:p>
        </w:tc>
        <w:tc>
          <w:tcPr>
            <w:tcW w:w="3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73,658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46,551</w:t>
            </w:r>
          </w:p>
        </w:tc>
        <w:tc>
          <w:tcPr>
            <w:tcW w:w="120" w:type="dxa"/>
            <w:vAlign w:val="bottom"/>
            <w:shd w:val="clear" w:color="auto" w:fill="CFF0FC"/>
          </w:tcPr>
          <w:p>
            <w:pPr>
              <w:spacing w:after="0"/>
              <w:rPr>
                <w:sz w:val="19"/>
                <w:szCs w:val="19"/>
                <w:color w:val="auto"/>
              </w:rPr>
            </w:pPr>
          </w:p>
        </w:tc>
      </w:tr>
      <w:tr>
        <w:trPr>
          <w:trHeight w:val="230"/>
        </w:trPr>
        <w:tc>
          <w:tcPr>
            <w:tcW w:w="4380" w:type="dxa"/>
            <w:vAlign w:val="bottom"/>
          </w:tcPr>
          <w:p>
            <w:pPr>
              <w:ind w:left="140"/>
              <w:spacing w:after="0"/>
              <w:rPr>
                <w:sz w:val="20"/>
                <w:szCs w:val="20"/>
                <w:color w:val="auto"/>
              </w:rPr>
            </w:pPr>
            <w:r>
              <w:rPr>
                <w:rFonts w:ascii="Arial" w:cs="Arial" w:eastAsia="Arial" w:hAnsi="Arial"/>
                <w:sz w:val="18"/>
                <w:szCs w:val="18"/>
                <w:color w:val="auto"/>
              </w:rPr>
              <w:t>Short-term financing</w:t>
            </w: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1,083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13,576</w:t>
            </w:r>
          </w:p>
        </w:tc>
        <w:tc>
          <w:tcPr>
            <w:tcW w:w="120" w:type="dxa"/>
            <w:vAlign w:val="bottom"/>
          </w:tcPr>
          <w:p>
            <w:pPr>
              <w:spacing w:after="0"/>
              <w:rPr>
                <w:sz w:val="19"/>
                <w:szCs w:val="19"/>
                <w:color w:val="auto"/>
              </w:rPr>
            </w:pPr>
          </w:p>
        </w:tc>
      </w:tr>
      <w:tr>
        <w:trPr>
          <w:trHeight w:val="229"/>
        </w:trPr>
        <w:tc>
          <w:tcPr>
            <w:tcW w:w="4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Accrued and other liabilities</w:t>
            </w:r>
          </w:p>
        </w:tc>
        <w:tc>
          <w:tcPr>
            <w:tcW w:w="3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50,772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30,367</w:t>
            </w:r>
          </w:p>
        </w:tc>
        <w:tc>
          <w:tcPr>
            <w:tcW w:w="120" w:type="dxa"/>
            <w:vAlign w:val="bottom"/>
            <w:shd w:val="clear" w:color="auto" w:fill="CFF0FC"/>
          </w:tcPr>
          <w:p>
            <w:pPr>
              <w:spacing w:after="0"/>
              <w:rPr>
                <w:sz w:val="19"/>
                <w:szCs w:val="19"/>
                <w:color w:val="auto"/>
              </w:rPr>
            </w:pPr>
          </w:p>
        </w:tc>
      </w:tr>
      <w:tr>
        <w:trPr>
          <w:trHeight w:val="230"/>
        </w:trPr>
        <w:tc>
          <w:tcPr>
            <w:tcW w:w="43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Current portion of long-term debt</w:t>
            </w:r>
          </w:p>
        </w:tc>
        <w:tc>
          <w:tcPr>
            <w:tcW w:w="3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9,249</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16,801</w:t>
            </w:r>
          </w:p>
        </w:tc>
        <w:tc>
          <w:tcPr>
            <w:tcW w:w="120" w:type="dxa"/>
            <w:vAlign w:val="bottom"/>
            <w:tcBorders>
              <w:bottom w:val="single" w:sz="8" w:color="CFF0FC"/>
            </w:tcBorders>
          </w:tcPr>
          <w:p>
            <w:pPr>
              <w:spacing w:after="0"/>
              <w:rPr>
                <w:sz w:val="19"/>
                <w:szCs w:val="19"/>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3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134,762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107,295</w:t>
            </w:r>
          </w:p>
        </w:tc>
        <w:tc>
          <w:tcPr>
            <w:tcW w:w="120" w:type="dxa"/>
            <w:vAlign w:val="bottom"/>
            <w:shd w:val="clear" w:color="auto" w:fill="CFF0FC"/>
          </w:tcPr>
          <w:p>
            <w:pPr>
              <w:spacing w:after="0"/>
              <w:rPr>
                <w:sz w:val="19"/>
                <w:szCs w:val="19"/>
                <w:color w:val="auto"/>
              </w:rPr>
            </w:pPr>
          </w:p>
        </w:tc>
      </w:tr>
      <w:tr>
        <w:trPr>
          <w:trHeight w:val="229"/>
        </w:trPr>
        <w:tc>
          <w:tcPr>
            <w:tcW w:w="43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Long-term debt, net</w:t>
            </w:r>
          </w:p>
        </w:tc>
        <w:tc>
          <w:tcPr>
            <w:tcW w:w="3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460,637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467,389</w:t>
            </w:r>
          </w:p>
        </w:tc>
        <w:tc>
          <w:tcPr>
            <w:tcW w:w="120" w:type="dxa"/>
            <w:vAlign w:val="bottom"/>
            <w:shd w:val="clear" w:color="auto" w:fill="CFF0FC"/>
          </w:tcPr>
          <w:p>
            <w:pPr>
              <w:spacing w:after="0"/>
              <w:rPr>
                <w:sz w:val="19"/>
                <w:szCs w:val="19"/>
                <w:color w:val="auto"/>
              </w:rPr>
            </w:pPr>
          </w:p>
        </w:tc>
      </w:tr>
      <w:tr>
        <w:trPr>
          <w:trHeight w:val="229"/>
        </w:trPr>
        <w:tc>
          <w:tcPr>
            <w:tcW w:w="43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Noncurrent operating lease liabilities</w:t>
            </w:r>
          </w:p>
        </w:tc>
        <w:tc>
          <w:tcPr>
            <w:tcW w:w="3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20,704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19,845</w:t>
            </w:r>
          </w:p>
        </w:tc>
        <w:tc>
          <w:tcPr>
            <w:tcW w:w="120" w:type="dxa"/>
            <w:vAlign w:val="bottom"/>
            <w:shd w:val="clear" w:color="auto" w:fill="CFF0FC"/>
          </w:tcPr>
          <w:p>
            <w:pPr>
              <w:spacing w:after="0"/>
              <w:rPr>
                <w:sz w:val="19"/>
                <w:szCs w:val="19"/>
                <w:color w:val="auto"/>
              </w:rPr>
            </w:pPr>
          </w:p>
        </w:tc>
      </w:tr>
      <w:tr>
        <w:trPr>
          <w:trHeight w:val="229"/>
        </w:trPr>
        <w:tc>
          <w:tcPr>
            <w:tcW w:w="43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accrued and other liabilities</w:t>
            </w:r>
          </w:p>
        </w:tc>
        <w:tc>
          <w:tcPr>
            <w:tcW w:w="3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6,090</w:t>
            </w:r>
          </w:p>
        </w:tc>
        <w:tc>
          <w:tcPr>
            <w:tcW w:w="120" w:type="dxa"/>
            <w:vAlign w:val="bottom"/>
            <w:shd w:val="clear" w:color="auto" w:fill="CFF0FC"/>
          </w:tcPr>
          <w:p>
            <w:pPr>
              <w:spacing w:after="0"/>
              <w:rPr>
                <w:sz w:val="19"/>
                <w:szCs w:val="19"/>
                <w:color w:val="auto"/>
              </w:rPr>
            </w:pPr>
          </w:p>
        </w:tc>
      </w:tr>
      <w:tr>
        <w:trPr>
          <w:trHeight w:val="230"/>
        </w:trPr>
        <w:tc>
          <w:tcPr>
            <w:tcW w:w="43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3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31,333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30,939</w:t>
            </w:r>
          </w:p>
        </w:tc>
        <w:tc>
          <w:tcPr>
            <w:tcW w:w="120" w:type="dxa"/>
            <w:vAlign w:val="bottom"/>
            <w:shd w:val="clear" w:color="auto" w:fill="CFF0FC"/>
          </w:tcPr>
          <w:p>
            <w:pPr>
              <w:spacing w:after="0"/>
              <w:rPr>
                <w:sz w:val="19"/>
                <w:szCs w:val="19"/>
                <w:color w:val="auto"/>
              </w:rPr>
            </w:pPr>
          </w:p>
        </w:tc>
      </w:tr>
      <w:tr>
        <w:trPr>
          <w:trHeight w:val="230"/>
        </w:trPr>
        <w:tc>
          <w:tcPr>
            <w:tcW w:w="43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6)</w:t>
            </w:r>
          </w:p>
        </w:tc>
        <w:tc>
          <w:tcPr>
            <w:tcW w:w="3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3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Redeemable preferred stocks:</w:t>
            </w:r>
          </w:p>
        </w:tc>
        <w:tc>
          <w:tcPr>
            <w:tcW w:w="3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840" w:type="dxa"/>
            <w:vAlign w:val="bottom"/>
            <w:gridSpan w:val="3"/>
          </w:tcPr>
          <w:p>
            <w:pPr>
              <w:ind w:left="140"/>
              <w:spacing w:after="0"/>
              <w:rPr>
                <w:sz w:val="20"/>
                <w:szCs w:val="20"/>
                <w:color w:val="auto"/>
              </w:rPr>
            </w:pPr>
            <w:r>
              <w:rPr>
                <w:rFonts w:ascii="Arial" w:cs="Arial" w:eastAsia="Arial" w:hAnsi="Arial"/>
                <w:sz w:val="18"/>
                <w:szCs w:val="18"/>
                <w:color w:val="auto"/>
              </w:rPr>
              <w:t>Series E 14% cumulative, redeemable Class C preferred stock, no par value,</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40" w:type="dxa"/>
            <w:vAlign w:val="bottom"/>
            <w:gridSpan w:val="3"/>
          </w:tcPr>
          <w:p>
            <w:pPr>
              <w:ind w:left="260"/>
              <w:spacing w:after="0"/>
              <w:rPr>
                <w:sz w:val="20"/>
                <w:szCs w:val="20"/>
                <w:color w:val="auto"/>
              </w:rPr>
            </w:pPr>
            <w:r>
              <w:rPr>
                <w:rFonts w:ascii="Arial" w:cs="Arial" w:eastAsia="Arial" w:hAnsi="Arial"/>
                <w:sz w:val="18"/>
                <w:szCs w:val="18"/>
                <w:color w:val="auto"/>
              </w:rPr>
              <w:t>no shares issued or outstanding at September 30, 2021; (210,000 shares</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40" w:type="dxa"/>
            <w:vAlign w:val="bottom"/>
            <w:gridSpan w:val="3"/>
          </w:tcPr>
          <w:p>
            <w:pPr>
              <w:ind w:left="260"/>
              <w:spacing w:after="0"/>
              <w:rPr>
                <w:sz w:val="20"/>
                <w:szCs w:val="20"/>
                <w:color w:val="auto"/>
              </w:rPr>
            </w:pPr>
            <w:r>
              <w:rPr>
                <w:rFonts w:ascii="Arial" w:cs="Arial" w:eastAsia="Arial" w:hAnsi="Arial"/>
                <w:sz w:val="18"/>
                <w:szCs w:val="18"/>
                <w:color w:val="auto"/>
              </w:rPr>
              <w:t>issued; 139,768 outstanding; aggregate liquidation preference</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380" w:type="dxa"/>
            <w:vAlign w:val="bottom"/>
          </w:tcPr>
          <w:p>
            <w:pPr>
              <w:ind w:left="260"/>
              <w:spacing w:after="0"/>
              <w:rPr>
                <w:sz w:val="20"/>
                <w:szCs w:val="20"/>
                <w:color w:val="auto"/>
              </w:rPr>
            </w:pPr>
            <w:r>
              <w:rPr>
                <w:rFonts w:ascii="Arial" w:cs="Arial" w:eastAsia="Arial" w:hAnsi="Arial"/>
                <w:sz w:val="18"/>
                <w:szCs w:val="18"/>
                <w:color w:val="auto"/>
              </w:rPr>
              <w:t>$278 million at December 31, 2020)</w:t>
            </w:r>
          </w:p>
        </w:tc>
        <w:tc>
          <w:tcPr>
            <w:tcW w:w="3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272,101</w:t>
            </w:r>
          </w:p>
        </w:tc>
        <w:tc>
          <w:tcPr>
            <w:tcW w:w="120" w:type="dxa"/>
            <w:vAlign w:val="bottom"/>
          </w:tcPr>
          <w:p>
            <w:pPr>
              <w:spacing w:after="0"/>
              <w:rPr>
                <w:sz w:val="20"/>
                <w:szCs w:val="20"/>
                <w:color w:val="auto"/>
              </w:rPr>
            </w:pPr>
          </w:p>
        </w:tc>
      </w:tr>
      <w:tr>
        <w:trPr>
          <w:trHeight w:val="215"/>
        </w:trPr>
        <w:tc>
          <w:tcPr>
            <w:tcW w:w="4380" w:type="dxa"/>
            <w:vAlign w:val="bottom"/>
            <w:shd w:val="clear" w:color="auto" w:fill="CFF0FC"/>
          </w:tcPr>
          <w:p>
            <w:pPr>
              <w:ind w:left="140"/>
              <w:spacing w:after="0"/>
              <w:rPr>
                <w:sz w:val="20"/>
                <w:szCs w:val="20"/>
                <w:color w:val="auto"/>
              </w:rPr>
            </w:pPr>
            <w:r>
              <w:rPr>
                <w:rFonts w:ascii="Arial" w:cs="Arial" w:eastAsia="Arial" w:hAnsi="Arial"/>
                <w:sz w:val="18"/>
                <w:szCs w:val="18"/>
                <w:color w:val="auto"/>
                <w:w w:val="88"/>
              </w:rPr>
              <w:t>Series F redeemable Class C preferred stock, no par value,</w:t>
            </w:r>
          </w:p>
        </w:tc>
        <w:tc>
          <w:tcPr>
            <w:tcW w:w="3460" w:type="dxa"/>
            <w:vAlign w:val="bottom"/>
            <w:gridSpan w:val="2"/>
            <w:shd w:val="clear" w:color="auto" w:fill="CFF0FC"/>
          </w:tcPr>
          <w:p>
            <w:pPr>
              <w:jc w:val="right"/>
              <w:ind w:right="2650"/>
              <w:spacing w:after="0"/>
              <w:rPr>
                <w:sz w:val="20"/>
                <w:szCs w:val="20"/>
                <w:color w:val="auto"/>
              </w:rPr>
            </w:pPr>
            <w:r>
              <w:rPr>
                <w:rFonts w:ascii="Arial" w:cs="Arial" w:eastAsia="Arial" w:hAnsi="Arial"/>
                <w:sz w:val="18"/>
                <w:szCs w:val="18"/>
                <w:color w:val="auto"/>
                <w:w w:val="88"/>
              </w:rPr>
              <w:t>no shares</w:t>
            </w:r>
          </w:p>
        </w:tc>
        <w:tc>
          <w:tcPr>
            <w:tcW w:w="1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8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issued or outstanding at September 30, 2021; (1 share issued and</w:t>
            </w:r>
          </w:p>
        </w:tc>
        <w:tc>
          <w:tcPr>
            <w:tcW w:w="1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6"/>
              </w:rPr>
              <w:t>outstanding; aggregate liquidation preference of $100</w:t>
            </w:r>
          </w:p>
        </w:tc>
        <w:tc>
          <w:tcPr>
            <w:tcW w:w="3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at December 31, 2020)</w:t>
            </w:r>
          </w:p>
        </w:tc>
        <w:tc>
          <w:tcPr>
            <w:tcW w:w="3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43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3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840" w:type="dxa"/>
            <w:vAlign w:val="bottom"/>
            <w:gridSpan w:val="3"/>
          </w:tcPr>
          <w:p>
            <w:pPr>
              <w:ind w:left="140"/>
              <w:spacing w:after="0"/>
              <w:rPr>
                <w:sz w:val="20"/>
                <w:szCs w:val="20"/>
                <w:color w:val="auto"/>
              </w:rPr>
            </w:pPr>
            <w:r>
              <w:rPr>
                <w:rFonts w:ascii="Arial" w:cs="Arial" w:eastAsia="Arial" w:hAnsi="Arial"/>
                <w:sz w:val="18"/>
                <w:szCs w:val="18"/>
                <w:color w:val="auto"/>
              </w:rPr>
              <w:t>Series B 12% cumulative, convertible preferred stock, $100 par value; 20,000</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40" w:type="dxa"/>
            <w:vAlign w:val="bottom"/>
            <w:gridSpan w:val="3"/>
          </w:tcPr>
          <w:p>
            <w:pPr>
              <w:ind w:left="260"/>
              <w:spacing w:after="0"/>
              <w:rPr>
                <w:sz w:val="20"/>
                <w:szCs w:val="20"/>
                <w:color w:val="auto"/>
              </w:rPr>
            </w:pPr>
            <w:r>
              <w:rPr>
                <w:rFonts w:ascii="Arial" w:cs="Arial" w:eastAsia="Arial" w:hAnsi="Arial"/>
                <w:sz w:val="18"/>
                <w:szCs w:val="18"/>
                <w:color w:val="auto"/>
              </w:rPr>
              <w:t>shares issued and outstanding; aggregate liquidation preference</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380" w:type="dxa"/>
            <w:vAlign w:val="bottom"/>
          </w:tcPr>
          <w:p>
            <w:pPr>
              <w:ind w:left="260"/>
              <w:spacing w:after="0"/>
              <w:rPr>
                <w:sz w:val="20"/>
                <w:szCs w:val="20"/>
                <w:color w:val="auto"/>
              </w:rPr>
            </w:pPr>
            <w:r>
              <w:rPr>
                <w:rFonts w:ascii="Arial" w:cs="Arial" w:eastAsia="Arial" w:hAnsi="Arial"/>
                <w:sz w:val="18"/>
                <w:szCs w:val="18"/>
                <w:color w:val="auto"/>
              </w:rPr>
              <w:t>of $3.4 million ($3.3 million at December 31, 2020)</w:t>
            </w:r>
          </w:p>
        </w:tc>
        <w:tc>
          <w:tcPr>
            <w:tcW w:w="3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2,000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0"/>
                <w:szCs w:val="20"/>
                <w:color w:val="auto"/>
              </w:rPr>
            </w:pPr>
          </w:p>
        </w:tc>
      </w:tr>
      <w:tr>
        <w:trPr>
          <w:trHeight w:val="215"/>
        </w:trPr>
        <w:tc>
          <w:tcPr>
            <w:tcW w:w="784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Series D 6% cumulative, convertible Class C preferred stock, no par value;</w:t>
            </w:r>
          </w:p>
        </w:tc>
        <w:tc>
          <w:tcPr>
            <w:tcW w:w="1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8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1,000,000 shares issued and outstanding; aggregate liquidation preference</w:t>
            </w:r>
          </w:p>
        </w:tc>
        <w:tc>
          <w:tcPr>
            <w:tcW w:w="1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of $1.4 million ($1.3 million at December 31, 2020)</w:t>
            </w:r>
          </w:p>
        </w:tc>
        <w:tc>
          <w:tcPr>
            <w:tcW w:w="3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20"/>
                <w:szCs w:val="20"/>
                <w:color w:val="auto"/>
              </w:rPr>
            </w:pPr>
          </w:p>
        </w:tc>
      </w:tr>
      <w:tr>
        <w:trPr>
          <w:trHeight w:val="215"/>
        </w:trPr>
        <w:tc>
          <w:tcPr>
            <w:tcW w:w="7840" w:type="dxa"/>
            <w:vAlign w:val="bottom"/>
            <w:gridSpan w:val="3"/>
          </w:tcPr>
          <w:p>
            <w:pPr>
              <w:ind w:left="140"/>
              <w:spacing w:after="0"/>
              <w:rPr>
                <w:sz w:val="20"/>
                <w:szCs w:val="20"/>
                <w:color w:val="auto"/>
              </w:rPr>
            </w:pPr>
            <w:r>
              <w:rPr>
                <w:rFonts w:ascii="Arial" w:cs="Arial" w:eastAsia="Arial" w:hAnsi="Arial"/>
                <w:sz w:val="18"/>
                <w:szCs w:val="18"/>
                <w:color w:val="auto"/>
              </w:rPr>
              <w:t>Common stock, $.10 par value; 150 million shares authorized, 90 million</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40" w:type="dxa"/>
            <w:vAlign w:val="bottom"/>
            <w:gridSpan w:val="3"/>
          </w:tcPr>
          <w:p>
            <w:pPr>
              <w:ind w:left="260"/>
              <w:spacing w:after="0"/>
              <w:rPr>
                <w:sz w:val="20"/>
                <w:szCs w:val="20"/>
                <w:color w:val="auto"/>
              </w:rPr>
            </w:pPr>
            <w:r>
              <w:rPr>
                <w:rFonts w:ascii="Arial" w:cs="Arial" w:eastAsia="Arial" w:hAnsi="Arial"/>
                <w:sz w:val="18"/>
                <w:szCs w:val="18"/>
                <w:color w:val="auto"/>
              </w:rPr>
              <w:t>shares issued (75 million shares authorized, 40 million shares issued</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380" w:type="dxa"/>
            <w:vAlign w:val="bottom"/>
          </w:tcPr>
          <w:p>
            <w:pPr>
              <w:ind w:left="260"/>
              <w:spacing w:after="0"/>
              <w:rPr>
                <w:sz w:val="20"/>
                <w:szCs w:val="20"/>
                <w:color w:val="auto"/>
              </w:rPr>
            </w:pPr>
            <w:r>
              <w:rPr>
                <w:rFonts w:ascii="Arial" w:cs="Arial" w:eastAsia="Arial" w:hAnsi="Arial"/>
                <w:sz w:val="18"/>
                <w:szCs w:val="18"/>
                <w:color w:val="auto"/>
              </w:rPr>
              <w:t>at December 31, 2020)</w:t>
            </w:r>
          </w:p>
        </w:tc>
        <w:tc>
          <w:tcPr>
            <w:tcW w:w="3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8,983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3,991</w:t>
            </w:r>
          </w:p>
        </w:tc>
        <w:tc>
          <w:tcPr>
            <w:tcW w:w="120" w:type="dxa"/>
            <w:vAlign w:val="bottom"/>
          </w:tcPr>
          <w:p>
            <w:pPr>
              <w:spacing w:after="0"/>
              <w:rPr>
                <w:sz w:val="20"/>
                <w:szCs w:val="20"/>
                <w:color w:val="auto"/>
              </w:rPr>
            </w:pPr>
          </w:p>
        </w:tc>
      </w:tr>
      <w:tr>
        <w:trPr>
          <w:trHeight w:val="230"/>
        </w:trPr>
        <w:tc>
          <w:tcPr>
            <w:tcW w:w="4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Capital in excess of par value</w:t>
            </w:r>
          </w:p>
        </w:tc>
        <w:tc>
          <w:tcPr>
            <w:tcW w:w="3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489,107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197,352</w:t>
            </w:r>
          </w:p>
        </w:tc>
        <w:tc>
          <w:tcPr>
            <w:tcW w:w="120" w:type="dxa"/>
            <w:vAlign w:val="bottom"/>
            <w:shd w:val="clear" w:color="auto" w:fill="CFF0FC"/>
          </w:tcPr>
          <w:p>
            <w:pPr>
              <w:spacing w:after="0"/>
              <w:rPr>
                <w:sz w:val="19"/>
                <w:szCs w:val="19"/>
                <w:color w:val="auto"/>
              </w:rPr>
            </w:pPr>
          </w:p>
        </w:tc>
      </w:tr>
      <w:tr>
        <w:trPr>
          <w:trHeight w:val="229"/>
        </w:trPr>
        <w:tc>
          <w:tcPr>
            <w:tcW w:w="438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(71,461)</w:t>
            </w:r>
          </w:p>
        </w:tc>
        <w:tc>
          <w:tcPr>
            <w:tcW w:w="18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(41,487)</w:t>
            </w:r>
          </w:p>
        </w:tc>
      </w:tr>
      <w:tr>
        <w:trPr>
          <w:trHeight w:val="223"/>
        </w:trPr>
        <w:tc>
          <w:tcPr>
            <w:tcW w:w="4380" w:type="dxa"/>
            <w:vAlign w:val="bottom"/>
            <w:tcBorders>
              <w:top w:val="single" w:sz="8" w:color="CFF0FC"/>
            </w:tcBorders>
            <w:shd w:val="clear" w:color="auto" w:fill="CFF0FC"/>
          </w:tcPr>
          <w:p>
            <w:pPr>
              <w:spacing w:after="0"/>
              <w:rPr>
                <w:sz w:val="19"/>
                <w:szCs w:val="19"/>
                <w:color w:val="auto"/>
              </w:rPr>
            </w:pPr>
          </w:p>
        </w:tc>
        <w:tc>
          <w:tcPr>
            <w:tcW w:w="3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429,629</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162,856</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4380" w:type="dxa"/>
            <w:vAlign w:val="bottom"/>
          </w:tcPr>
          <w:p>
            <w:pPr>
              <w:ind w:left="140"/>
              <w:spacing w:after="0"/>
              <w:rPr>
                <w:sz w:val="20"/>
                <w:szCs w:val="20"/>
                <w:color w:val="auto"/>
              </w:rPr>
            </w:pPr>
            <w:r>
              <w:rPr>
                <w:rFonts w:ascii="Arial" w:cs="Arial" w:eastAsia="Arial" w:hAnsi="Arial"/>
                <w:sz w:val="18"/>
                <w:szCs w:val="18"/>
                <w:color w:val="auto"/>
              </w:rPr>
              <w:t>Less treasury stock, at cost:</w:t>
            </w: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840" w:type="dxa"/>
            <w:vAlign w:val="bottom"/>
            <w:gridSpan w:val="3"/>
            <w:shd w:val="clear" w:color="auto" w:fill="CFF0FC"/>
          </w:tcPr>
          <w:p>
            <w:pPr>
              <w:ind w:left="380"/>
              <w:spacing w:after="0"/>
              <w:rPr>
                <w:sz w:val="20"/>
                <w:szCs w:val="20"/>
                <w:color w:val="auto"/>
              </w:rPr>
            </w:pPr>
            <w:r>
              <w:rPr>
                <w:rFonts w:ascii="Arial" w:cs="Arial" w:eastAsia="Arial" w:hAnsi="Arial"/>
                <w:sz w:val="18"/>
                <w:szCs w:val="18"/>
                <w:color w:val="auto"/>
              </w:rPr>
              <w:t>Common stock, 1 million shares (2.1 million shares at December 31, 2020)</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13,213</w:t>
            </w:r>
          </w:p>
        </w:tc>
        <w:tc>
          <w:tcPr>
            <w:tcW w:w="120" w:type="dxa"/>
            <w:vAlign w:val="bottom"/>
            <w:shd w:val="clear" w:color="auto" w:fill="CFF0FC"/>
          </w:tcPr>
          <w:p>
            <w:pPr>
              <w:spacing w:after="0"/>
              <w:rPr>
                <w:sz w:val="19"/>
                <w:szCs w:val="19"/>
                <w:color w:val="auto"/>
              </w:rPr>
            </w:pPr>
          </w:p>
        </w:tc>
      </w:tr>
      <w:tr>
        <w:trPr>
          <w:trHeight w:val="223"/>
        </w:trPr>
        <w:tc>
          <w:tcPr>
            <w:tcW w:w="43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stockholders' equity</w:t>
            </w:r>
          </w:p>
        </w:tc>
        <w:tc>
          <w:tcPr>
            <w:tcW w:w="326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423,068</w:t>
            </w:r>
          </w:p>
        </w:tc>
        <w:tc>
          <w:tcPr>
            <w:tcW w:w="2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149,643</w:t>
            </w:r>
          </w:p>
        </w:tc>
        <w:tc>
          <w:tcPr>
            <w:tcW w:w="120" w:type="dxa"/>
            <w:vAlign w:val="bottom"/>
            <w:tcBorders>
              <w:bottom w:val="single" w:sz="8" w:color="CFF0FC"/>
            </w:tcBorders>
          </w:tcPr>
          <w:p>
            <w:pPr>
              <w:spacing w:after="0"/>
              <w:rPr>
                <w:sz w:val="19"/>
                <w:szCs w:val="19"/>
                <w:color w:val="auto"/>
              </w:rPr>
            </w:pPr>
          </w:p>
        </w:tc>
      </w:tr>
      <w:tr>
        <w:trPr>
          <w:trHeight w:val="223"/>
        </w:trPr>
        <w:tc>
          <w:tcPr>
            <w:tcW w:w="4380" w:type="dxa"/>
            <w:vAlign w:val="bottom"/>
            <w:tcBorders>
              <w:bottom w:val="single" w:sz="8" w:color="CFF0FC"/>
            </w:tcBorders>
            <w:shd w:val="clear" w:color="auto" w:fill="CFF0FC"/>
          </w:tcPr>
          <w:p>
            <w:pPr>
              <w:spacing w:after="0"/>
              <w:rPr>
                <w:sz w:val="19"/>
                <w:szCs w:val="19"/>
                <w:color w:val="auto"/>
              </w:rPr>
            </w:pPr>
          </w:p>
        </w:tc>
        <w:tc>
          <w:tcPr>
            <w:tcW w:w="3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1,074,544</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1,053,302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20" w:type="dxa"/>
            <w:vAlign w:val="bottom"/>
            <w:gridSpan w:val="6"/>
          </w:tcPr>
          <w:p>
            <w:pPr>
              <w:jc w:val="right"/>
              <w:ind w:right="76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9"/>
                <w:szCs w:val="19"/>
                <w:color w:val="auto"/>
              </w:rPr>
            </w:pPr>
          </w:p>
        </w:tc>
        <w:tc>
          <w:tcPr>
            <w:tcW w:w="2400" w:type="dxa"/>
            <w:vAlign w:val="bottom"/>
            <w:gridSpan w:val="6"/>
          </w:tcPr>
          <w:p>
            <w:pPr>
              <w:jc w:val="right"/>
              <w:ind w:right="660"/>
              <w:spacing w:after="0"/>
              <w:rPr>
                <w:sz w:val="20"/>
                <w:szCs w:val="20"/>
                <w:color w:val="auto"/>
              </w:rPr>
            </w:pPr>
            <w:r>
              <w:rPr>
                <w:rFonts w:ascii="Arial" w:cs="Arial" w:eastAsia="Arial" w:hAnsi="Arial"/>
                <w:sz w:val="18"/>
                <w:szCs w:val="18"/>
                <w:color w:val="auto"/>
              </w:rPr>
              <w:t>Nine Months Ended</w:t>
            </w:r>
          </w:p>
        </w:tc>
      </w:tr>
      <w:tr>
        <w:trPr>
          <w:trHeight w:val="229"/>
        </w:trPr>
        <w:tc>
          <w:tcPr>
            <w:tcW w:w="4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20" w:type="dxa"/>
            <w:vAlign w:val="bottom"/>
            <w:gridSpan w:val="6"/>
          </w:tcPr>
          <w:p>
            <w:pPr>
              <w:jc w:val="right"/>
              <w:ind w:right="1000"/>
              <w:spacing w:after="0"/>
              <w:rPr>
                <w:sz w:val="20"/>
                <w:szCs w:val="20"/>
                <w:color w:val="auto"/>
              </w:rPr>
            </w:pPr>
            <w:r>
              <w:rPr>
                <w:rFonts w:ascii="Arial" w:cs="Arial" w:eastAsia="Arial" w:hAnsi="Arial"/>
                <w:sz w:val="18"/>
                <w:szCs w:val="18"/>
                <w:color w:val="auto"/>
              </w:rPr>
              <w:t>September 30,</w:t>
            </w:r>
          </w:p>
        </w:tc>
        <w:tc>
          <w:tcPr>
            <w:tcW w:w="240" w:type="dxa"/>
            <w:vAlign w:val="bottom"/>
          </w:tcPr>
          <w:p>
            <w:pPr>
              <w:spacing w:after="0"/>
              <w:rPr>
                <w:sz w:val="19"/>
                <w:szCs w:val="19"/>
                <w:color w:val="auto"/>
              </w:rPr>
            </w:pPr>
          </w:p>
        </w:tc>
        <w:tc>
          <w:tcPr>
            <w:tcW w:w="2400" w:type="dxa"/>
            <w:vAlign w:val="bottom"/>
            <w:gridSpan w:val="6"/>
          </w:tcPr>
          <w:p>
            <w:pPr>
              <w:jc w:val="right"/>
              <w:ind w:right="860"/>
              <w:spacing w:after="0"/>
              <w:rPr>
                <w:sz w:val="20"/>
                <w:szCs w:val="20"/>
                <w:color w:val="auto"/>
              </w:rPr>
            </w:pPr>
            <w:r>
              <w:rPr>
                <w:rFonts w:ascii="Arial" w:cs="Arial" w:eastAsia="Arial" w:hAnsi="Arial"/>
                <w:sz w:val="18"/>
                <w:szCs w:val="18"/>
                <w:color w:val="auto"/>
              </w:rPr>
              <w:t>September 30,</w:t>
            </w:r>
          </w:p>
        </w:tc>
      </w:tr>
      <w:tr>
        <w:trPr>
          <w:trHeight w:val="230"/>
        </w:trPr>
        <w:tc>
          <w:tcPr>
            <w:tcW w:w="4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07"/>
        </w:trPr>
        <w:tc>
          <w:tcPr>
            <w:tcW w:w="4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80" w:type="dxa"/>
            <w:vAlign w:val="bottom"/>
            <w:gridSpan w:val="7"/>
          </w:tcPr>
          <w:p>
            <w:pPr>
              <w:jc w:val="right"/>
              <w:ind w:right="60"/>
              <w:spacing w:after="0"/>
              <w:rPr>
                <w:sz w:val="20"/>
                <w:szCs w:val="20"/>
                <w:color w:val="auto"/>
              </w:rPr>
            </w:pPr>
            <w:r>
              <w:rPr>
                <w:rFonts w:ascii="Arial" w:cs="Arial" w:eastAsia="Arial" w:hAnsi="Arial"/>
                <w:sz w:val="16"/>
                <w:szCs w:val="16"/>
                <w:color w:val="auto"/>
                <w:w w:val="90"/>
              </w:rPr>
              <w:t>(In Thousands, Except Per Share Amounts)</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2"/>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6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127,199</w:t>
            </w:r>
          </w:p>
        </w:tc>
        <w:tc>
          <w:tcPr>
            <w:tcW w:w="8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73,969</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366,011</w:t>
            </w:r>
          </w:p>
        </w:tc>
        <w:tc>
          <w:tcPr>
            <w:tcW w:w="2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262,413</w:t>
            </w:r>
          </w:p>
        </w:tc>
        <w:tc>
          <w:tcPr>
            <w:tcW w:w="100" w:type="dxa"/>
            <w:vAlign w:val="bottom"/>
            <w:shd w:val="clear" w:color="auto" w:fill="CFF0FC"/>
          </w:tcPr>
          <w:p>
            <w:pPr>
              <w:spacing w:after="0"/>
              <w:rPr>
                <w:sz w:val="20"/>
                <w:szCs w:val="20"/>
                <w:color w:val="auto"/>
              </w:rPr>
            </w:pPr>
          </w:p>
        </w:tc>
      </w:tr>
      <w:tr>
        <w:trPr>
          <w:trHeight w:val="229"/>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4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109,752</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75,028</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305,496</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241,900</w:t>
            </w:r>
          </w:p>
        </w:tc>
        <w:tc>
          <w:tcPr>
            <w:tcW w:w="100" w:type="dxa"/>
            <w:vAlign w:val="bottom"/>
            <w:tcBorders>
              <w:bottom w:val="single" w:sz="8" w:color="CFF0FC"/>
            </w:tcBorders>
          </w:tcPr>
          <w:p>
            <w:pPr>
              <w:spacing w:after="0"/>
              <w:rPr>
                <w:sz w:val="19"/>
                <w:szCs w:val="19"/>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Gross profit (loss)</w:t>
            </w: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17,447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60,515</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20,513</w:t>
            </w:r>
          </w:p>
        </w:tc>
        <w:tc>
          <w:tcPr>
            <w:tcW w:w="100" w:type="dxa"/>
            <w:vAlign w:val="bottom"/>
            <w:shd w:val="clear" w:color="auto" w:fill="CFF0FC"/>
          </w:tcPr>
          <w:p>
            <w:pPr>
              <w:spacing w:after="0"/>
              <w:rPr>
                <w:sz w:val="19"/>
                <w:szCs w:val="19"/>
                <w:color w:val="auto"/>
              </w:rPr>
            </w:pPr>
          </w:p>
        </w:tc>
      </w:tr>
      <w:tr>
        <w:trPr>
          <w:trHeight w:val="229"/>
        </w:trPr>
        <w:tc>
          <w:tcPr>
            <w:tcW w:w="4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w:t>
            </w: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28,938</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25,578</w:t>
            </w:r>
          </w:p>
        </w:tc>
        <w:tc>
          <w:tcPr>
            <w:tcW w:w="100" w:type="dxa"/>
            <w:vAlign w:val="bottom"/>
            <w:shd w:val="clear" w:color="auto" w:fill="CFF0FC"/>
          </w:tcPr>
          <w:p>
            <w:pPr>
              <w:spacing w:after="0"/>
              <w:rPr>
                <w:sz w:val="19"/>
                <w:szCs w:val="19"/>
                <w:color w:val="auto"/>
              </w:rPr>
            </w:pPr>
          </w:p>
        </w:tc>
      </w:tr>
      <w:tr>
        <w:trPr>
          <w:trHeight w:val="229"/>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expense, net</w:t>
            </w:r>
          </w:p>
        </w:tc>
        <w:tc>
          <w:tcPr>
            <w:tcW w:w="14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FF0FC"/>
            </w:tcBorders>
          </w:tcPr>
          <w:p>
            <w:pPr>
              <w:spacing w:after="0"/>
              <w:rPr>
                <w:sz w:val="19"/>
                <w:szCs w:val="19"/>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31,360</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(5,305)</w:t>
            </w:r>
          </w:p>
        </w:tc>
        <w:tc>
          <w:tcPr>
            <w:tcW w:w="100" w:type="dxa"/>
            <w:vAlign w:val="bottom"/>
            <w:shd w:val="clear" w:color="auto" w:fill="CFF0FC"/>
          </w:tcPr>
          <w:p>
            <w:pPr>
              <w:spacing w:after="0"/>
              <w:rPr>
                <w:sz w:val="19"/>
                <w:szCs w:val="19"/>
                <w:color w:val="auto"/>
              </w:rPr>
            </w:pPr>
          </w:p>
        </w:tc>
      </w:tr>
      <w:tr>
        <w:trPr>
          <w:trHeight w:val="229"/>
        </w:trPr>
        <w:tc>
          <w:tcPr>
            <w:tcW w:w="4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37,618</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38,509</w:t>
            </w:r>
          </w:p>
        </w:tc>
        <w:tc>
          <w:tcPr>
            <w:tcW w:w="100" w:type="dxa"/>
            <w:vAlign w:val="bottom"/>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Gain on extinguishment of debt</w:t>
            </w: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(10,000)</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Non-operating other expense (income), net</w:t>
            </w: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2,466</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(587)</w:t>
            </w: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w w:val="97"/>
              </w:rPr>
              <w:t>Income (loss) before provision (benefit) for income taxes</w:t>
            </w:r>
          </w:p>
        </w:tc>
        <w:tc>
          <w:tcPr>
            <w:tcW w:w="14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(21,772)</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(43,227)</w:t>
            </w:r>
          </w:p>
        </w:tc>
        <w:tc>
          <w:tcPr>
            <w:tcW w:w="100" w:type="dxa"/>
            <w:vAlign w:val="bottom"/>
          </w:tcPr>
          <w:p>
            <w:pPr>
              <w:spacing w:after="0"/>
              <w:rPr>
                <w:sz w:val="19"/>
                <w:szCs w:val="19"/>
                <w:color w:val="auto"/>
              </w:rPr>
            </w:pPr>
          </w:p>
        </w:tc>
      </w:tr>
      <w:tr>
        <w:trPr>
          <w:trHeight w:val="229"/>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(1,370)</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(187)</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(3,008)</w:t>
            </w: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Net income (loss)</w:t>
            </w:r>
          </w:p>
        </w:tc>
        <w:tc>
          <w:tcPr>
            <w:tcW w:w="14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(20,402)</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1,463</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(40,219)</w:t>
            </w:r>
          </w:p>
        </w:tc>
        <w:tc>
          <w:tcPr>
            <w:tcW w:w="100" w:type="dxa"/>
            <w:vAlign w:val="bottom"/>
          </w:tcPr>
          <w:p>
            <w:pPr>
              <w:spacing w:after="0"/>
              <w:rPr>
                <w:sz w:val="19"/>
                <w:szCs w:val="19"/>
                <w:color w:val="auto"/>
              </w:rPr>
            </w:pPr>
          </w:p>
        </w:tc>
      </w:tr>
      <w:tr>
        <w:trPr>
          <w:trHeight w:val="229"/>
        </w:trPr>
        <w:tc>
          <w:tcPr>
            <w:tcW w:w="44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Dividends on convertible preferred stocks</w:t>
            </w: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r>
      <w:tr>
        <w:trPr>
          <w:trHeight w:val="229"/>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Dividends on Series E redeemable preferred stock</w:t>
            </w: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29,914</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25,885</w:t>
            </w:r>
          </w:p>
        </w:tc>
        <w:tc>
          <w:tcPr>
            <w:tcW w:w="100" w:type="dxa"/>
            <w:vAlign w:val="bottom"/>
            <w:shd w:val="clear" w:color="auto" w:fill="CFF0FC"/>
          </w:tcPr>
          <w:p>
            <w:pPr>
              <w:spacing w:after="0"/>
              <w:rPr>
                <w:sz w:val="19"/>
                <w:szCs w:val="19"/>
                <w:color w:val="auto"/>
              </w:rPr>
            </w:pPr>
          </w:p>
        </w:tc>
      </w:tr>
      <w:tr>
        <w:trPr>
          <w:trHeight w:val="229"/>
        </w:trPr>
        <w:tc>
          <w:tcPr>
            <w:tcW w:w="4420" w:type="dxa"/>
            <w:vAlign w:val="bottom"/>
          </w:tcPr>
          <w:p>
            <w:pPr>
              <w:spacing w:after="0"/>
              <w:rPr>
                <w:sz w:val="20"/>
                <w:szCs w:val="20"/>
                <w:color w:val="auto"/>
              </w:rPr>
            </w:pPr>
            <w:r>
              <w:rPr>
                <w:rFonts w:ascii="Arial" w:cs="Arial" w:eastAsia="Arial" w:hAnsi="Arial"/>
                <w:sz w:val="18"/>
                <w:szCs w:val="18"/>
                <w:color w:val="auto"/>
              </w:rPr>
              <w:t>Accretion of Series E redeemable preferred stock</w:t>
            </w: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1,523</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19"/>
                <w:szCs w:val="19"/>
                <w:color w:val="auto"/>
              </w:rPr>
            </w:pPr>
          </w:p>
        </w:tc>
      </w:tr>
      <w:tr>
        <w:trPr>
          <w:trHeight w:val="215"/>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Deemed dividend on Series E and Series F</w:t>
            </w:r>
          </w:p>
        </w:tc>
        <w:tc>
          <w:tcPr>
            <w:tcW w:w="1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redeemable preferred stocks</w:t>
            </w:r>
          </w:p>
        </w:tc>
        <w:tc>
          <w:tcPr>
            <w:tcW w:w="14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231,812</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231,812</w:t>
            </w:r>
          </w:p>
        </w:tc>
        <w:tc>
          <w:tcPr>
            <w:tcW w:w="2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attributable to common stockholders</w:t>
            </w:r>
          </w:p>
        </w:tc>
        <w:tc>
          <w:tcPr>
            <w:tcW w:w="142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(251,504)</w:t>
            </w:r>
          </w:p>
        </w:tc>
        <w:tc>
          <w:tcPr>
            <w:tcW w:w="8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(29,874)</w:t>
            </w:r>
          </w:p>
        </w:tc>
        <w:tc>
          <w:tcPr>
            <w:tcW w:w="2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(262,011)</w:t>
            </w:r>
          </w:p>
        </w:tc>
        <w:tc>
          <w:tcPr>
            <w:tcW w:w="20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(67,846)</w:t>
            </w:r>
          </w:p>
        </w:tc>
        <w:tc>
          <w:tcPr>
            <w:tcW w:w="100" w:type="dxa"/>
            <w:vAlign w:val="bottom"/>
            <w:tcBorders>
              <w:bottom w:val="single" w:sz="8" w:color="CFF0FC"/>
            </w:tcBorders>
          </w:tcPr>
          <w:p>
            <w:pPr>
              <w:spacing w:after="0"/>
              <w:rPr>
                <w:sz w:val="22"/>
                <w:szCs w:val="22"/>
                <w:color w:val="auto"/>
              </w:rPr>
            </w:pPr>
          </w:p>
        </w:tc>
      </w:tr>
      <w:tr>
        <w:trPr>
          <w:trHeight w:val="210"/>
        </w:trPr>
        <w:tc>
          <w:tcPr>
            <w:tcW w:w="44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Basic and dilutive net loss per common share</w:t>
            </w:r>
          </w:p>
        </w:tc>
        <w:tc>
          <w:tcPr>
            <w:tcW w:w="16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(6.39)</w:t>
            </w:r>
          </w:p>
        </w:tc>
        <w:tc>
          <w:tcPr>
            <w:tcW w:w="4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(0.81)</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(6.94)</w:t>
            </w: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r>
      <w:tr>
        <w:trPr>
          <w:trHeight w:val="20"/>
        </w:trPr>
        <w:tc>
          <w:tcPr>
            <w:tcW w:w="4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4420" w:type="dxa"/>
            <w:vAlign w:val="bottom"/>
          </w:tcPr>
          <w:p>
            <w:pPr>
              <w:spacing w:after="0"/>
              <w:rPr>
                <w:sz w:val="24"/>
                <w:szCs w:val="24"/>
                <w:color w:val="auto"/>
              </w:rPr>
            </w:pPr>
          </w:p>
        </w:tc>
        <w:tc>
          <w:tcPr>
            <w:tcW w:w="2640" w:type="dxa"/>
            <w:vAlign w:val="bottom"/>
            <w:gridSpan w:val="4"/>
          </w:tcPr>
          <w:p>
            <w:pPr>
              <w:jc w:val="center"/>
              <w:ind w:right="220"/>
              <w:spacing w:after="0"/>
              <w:rPr>
                <w:sz w:val="20"/>
                <w:szCs w:val="20"/>
                <w:color w:val="auto"/>
              </w:rPr>
            </w:pPr>
            <w:r>
              <w:rPr>
                <w:rFonts w:ascii="Arial" w:cs="Arial" w:eastAsia="Arial" w:hAnsi="Arial"/>
                <w:sz w:val="18"/>
                <w:szCs w:val="18"/>
                <w:color w:val="auto"/>
                <w:w w:val="87"/>
              </w:rPr>
              <w:t>See accompanying notes.</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420" w:type="dxa"/>
            <w:vAlign w:val="bottom"/>
          </w:tcPr>
          <w:p>
            <w:pPr>
              <w:spacing w:after="0"/>
              <w:rPr>
                <w:sz w:val="24"/>
                <w:szCs w:val="24"/>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8"/>
                <w:szCs w:val="18"/>
                <w:color w:val="auto"/>
                <w:w w:val="90"/>
              </w:rPr>
              <w:t>Treasury</w:t>
            </w:r>
          </w:p>
        </w:tc>
        <w:tc>
          <w:tcPr>
            <w:tcW w:w="100" w:type="dxa"/>
            <w:vAlign w:val="bottom"/>
          </w:tcPr>
          <w:p>
            <w:pPr>
              <w:spacing w:after="0"/>
              <w:rPr>
                <w:sz w:val="18"/>
                <w:szCs w:val="18"/>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8"/>
                <w:szCs w:val="18"/>
                <w:color w:val="auto"/>
                <w:w w:val="97"/>
              </w:rPr>
              <w:t>Non-</w:t>
            </w:r>
          </w:p>
        </w:tc>
        <w:tc>
          <w:tcPr>
            <w:tcW w:w="700" w:type="dxa"/>
            <w:vAlign w:val="bottom"/>
            <w:gridSpan w:val="2"/>
          </w:tcPr>
          <w:p>
            <w:pPr>
              <w:ind w:left="20"/>
              <w:spacing w:after="0"/>
              <w:rPr>
                <w:sz w:val="20"/>
                <w:szCs w:val="20"/>
                <w:color w:val="auto"/>
              </w:rPr>
            </w:pPr>
            <w:r>
              <w:rPr>
                <w:rFonts w:ascii="Arial" w:cs="Arial" w:eastAsia="Arial" w:hAnsi="Arial"/>
                <w:sz w:val="18"/>
                <w:szCs w:val="18"/>
                <w:color w:val="auto"/>
                <w:w w:val="90"/>
              </w:rPr>
              <w:t>Common</w:t>
            </w:r>
          </w:p>
        </w:tc>
        <w:tc>
          <w:tcPr>
            <w:tcW w:w="100" w:type="dxa"/>
            <w:vAlign w:val="bottom"/>
          </w:tcPr>
          <w:p>
            <w:pPr>
              <w:spacing w:after="0"/>
              <w:rPr>
                <w:sz w:val="18"/>
                <w:szCs w:val="18"/>
                <w:color w:val="auto"/>
              </w:rPr>
            </w:pPr>
          </w:p>
        </w:tc>
        <w:tc>
          <w:tcPr>
            <w:tcW w:w="1000" w:type="dxa"/>
            <w:vAlign w:val="bottom"/>
            <w:gridSpan w:val="5"/>
          </w:tcPr>
          <w:p>
            <w:pPr>
              <w:ind w:left="80"/>
              <w:spacing w:after="0"/>
              <w:rPr>
                <w:sz w:val="20"/>
                <w:szCs w:val="20"/>
                <w:color w:val="auto"/>
              </w:rPr>
            </w:pPr>
            <w:r>
              <w:rPr>
                <w:rFonts w:ascii="Arial" w:cs="Arial" w:eastAsia="Arial" w:hAnsi="Arial"/>
                <w:sz w:val="18"/>
                <w:szCs w:val="18"/>
                <w:color w:val="auto"/>
              </w:rPr>
              <w:t>Capital in</w:t>
            </w:r>
          </w:p>
        </w:tc>
        <w:tc>
          <w:tcPr>
            <w:tcW w:w="120" w:type="dxa"/>
            <w:vAlign w:val="bottom"/>
          </w:tcPr>
          <w:p>
            <w:pPr>
              <w:spacing w:after="0"/>
              <w:rPr>
                <w:sz w:val="18"/>
                <w:szCs w:val="18"/>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8"/>
                <w:szCs w:val="18"/>
                <w:color w:val="auto"/>
                <w:w w:val="88"/>
              </w:rPr>
              <w:t>Retained</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Common</w:t>
            </w:r>
          </w:p>
        </w:tc>
        <w:tc>
          <w:tcPr>
            <w:tcW w:w="1200" w:type="dxa"/>
            <w:vAlign w:val="bottom"/>
            <w:gridSpan w:val="2"/>
          </w:tcPr>
          <w:p>
            <w:pPr>
              <w:jc w:val="center"/>
              <w:ind w:right="500"/>
              <w:spacing w:after="0"/>
              <w:rPr>
                <w:sz w:val="20"/>
                <w:szCs w:val="20"/>
                <w:color w:val="auto"/>
              </w:rPr>
            </w:pPr>
            <w:r>
              <w:rPr>
                <w:rFonts w:ascii="Arial" w:cs="Arial" w:eastAsia="Arial" w:hAnsi="Arial"/>
                <w:sz w:val="18"/>
                <w:szCs w:val="18"/>
                <w:color w:val="auto"/>
                <w:w w:val="90"/>
              </w:rPr>
              <w:t>Stock-</w:t>
            </w:r>
          </w:p>
        </w:tc>
        <w:tc>
          <w:tcPr>
            <w:tcW w:w="1080" w:type="dxa"/>
            <w:vAlign w:val="bottom"/>
            <w:gridSpan w:val="4"/>
          </w:tcPr>
          <w:p>
            <w:pPr>
              <w:spacing w:after="0"/>
              <w:rPr>
                <w:sz w:val="20"/>
                <w:szCs w:val="20"/>
                <w:color w:val="auto"/>
              </w:rPr>
            </w:pPr>
            <w:r>
              <w:rPr>
                <w:rFonts w:ascii="Arial" w:cs="Arial" w:eastAsia="Arial" w:hAnsi="Arial"/>
                <w:sz w:val="18"/>
                <w:szCs w:val="18"/>
                <w:color w:val="auto"/>
              </w:rPr>
              <w:t>Redeemable</w:t>
            </w:r>
          </w:p>
        </w:tc>
        <w:tc>
          <w:tcPr>
            <w:tcW w:w="120" w:type="dxa"/>
            <w:vAlign w:val="bottom"/>
          </w:tcPr>
          <w:p>
            <w:pPr>
              <w:spacing w:after="0"/>
              <w:rPr>
                <w:sz w:val="18"/>
                <w:szCs w:val="18"/>
                <w:color w:val="auto"/>
              </w:rPr>
            </w:pPr>
          </w:p>
        </w:tc>
        <w:tc>
          <w:tcPr>
            <w:tcW w:w="580" w:type="dxa"/>
            <w:vAlign w:val="bottom"/>
          </w:tcPr>
          <w:p>
            <w:pPr>
              <w:jc w:val="center"/>
              <w:ind w:right="44"/>
              <w:spacing w:after="0"/>
              <w:rPr>
                <w:sz w:val="20"/>
                <w:szCs w:val="20"/>
                <w:color w:val="auto"/>
              </w:rPr>
            </w:pPr>
            <w:r>
              <w:rPr>
                <w:rFonts w:ascii="Arial" w:cs="Arial" w:eastAsia="Arial" w:hAnsi="Arial"/>
                <w:sz w:val="18"/>
                <w:szCs w:val="18"/>
                <w:color w:val="auto"/>
                <w:w w:val="93"/>
              </w:rPr>
              <w:t>Stock</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4"/>
          </w:tcPr>
          <w:p>
            <w:pPr>
              <w:ind w:left="20"/>
              <w:spacing w:after="0"/>
              <w:rPr>
                <w:sz w:val="20"/>
                <w:szCs w:val="20"/>
                <w:color w:val="auto"/>
              </w:rPr>
            </w:pPr>
            <w:r>
              <w:rPr>
                <w:rFonts w:ascii="Arial" w:cs="Arial" w:eastAsia="Arial" w:hAnsi="Arial"/>
                <w:sz w:val="18"/>
                <w:szCs w:val="18"/>
                <w:color w:val="auto"/>
              </w:rPr>
              <w:t>Excess of</w:t>
            </w:r>
          </w:p>
        </w:tc>
        <w:tc>
          <w:tcPr>
            <w:tcW w:w="120" w:type="dxa"/>
            <w:vAlign w:val="bottom"/>
          </w:tcPr>
          <w:p>
            <w:pPr>
              <w:spacing w:after="0"/>
              <w:rPr>
                <w:sz w:val="18"/>
                <w:szCs w:val="18"/>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8"/>
                <w:szCs w:val="18"/>
                <w:color w:val="auto"/>
                <w:w w:val="90"/>
              </w:rPr>
              <w:t>Earnings</w:t>
            </w:r>
          </w:p>
        </w:tc>
        <w:tc>
          <w:tcPr>
            <w:tcW w:w="800" w:type="dxa"/>
            <w:vAlign w:val="bottom"/>
            <w:gridSpan w:val="3"/>
          </w:tcPr>
          <w:p>
            <w:pPr>
              <w:jc w:val="right"/>
              <w:ind w:right="99"/>
              <w:spacing w:after="0"/>
              <w:rPr>
                <w:sz w:val="20"/>
                <w:szCs w:val="20"/>
                <w:color w:val="auto"/>
              </w:rPr>
            </w:pPr>
            <w:r>
              <w:rPr>
                <w:rFonts w:ascii="Arial" w:cs="Arial" w:eastAsia="Arial" w:hAnsi="Arial"/>
                <w:sz w:val="18"/>
                <w:szCs w:val="18"/>
                <w:color w:val="auto"/>
                <w:w w:val="90"/>
              </w:rPr>
              <w:t>Treasury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Stock</w:t>
            </w:r>
          </w:p>
        </w:tc>
        <w:tc>
          <w:tcPr>
            <w:tcW w:w="1200" w:type="dxa"/>
            <w:vAlign w:val="bottom"/>
            <w:gridSpan w:val="2"/>
          </w:tcPr>
          <w:p>
            <w:pPr>
              <w:jc w:val="center"/>
              <w:ind w:right="500"/>
              <w:spacing w:after="0"/>
              <w:rPr>
                <w:sz w:val="20"/>
                <w:szCs w:val="20"/>
                <w:color w:val="auto"/>
              </w:rPr>
            </w:pPr>
            <w:r>
              <w:rPr>
                <w:rFonts w:ascii="Arial" w:cs="Arial" w:eastAsia="Arial" w:hAnsi="Arial"/>
                <w:sz w:val="18"/>
                <w:szCs w:val="18"/>
                <w:color w:val="auto"/>
                <w:w w:val="90"/>
              </w:rPr>
              <w:t>Common</w:t>
            </w:r>
          </w:p>
        </w:tc>
        <w:tc>
          <w:tcPr>
            <w:tcW w:w="100" w:type="dxa"/>
            <w:vAlign w:val="bottom"/>
          </w:tcPr>
          <w:p>
            <w:pPr>
              <w:spacing w:after="0"/>
              <w:rPr>
                <w:sz w:val="18"/>
                <w:szCs w:val="18"/>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8"/>
                <w:szCs w:val="18"/>
                <w:color w:val="auto"/>
                <w:w w:val="87"/>
              </w:rPr>
              <w:t>Preferred</w:t>
            </w:r>
          </w:p>
        </w:tc>
        <w:tc>
          <w:tcPr>
            <w:tcW w:w="120" w:type="dxa"/>
            <w:vAlign w:val="bottom"/>
          </w:tcPr>
          <w:p>
            <w:pPr>
              <w:spacing w:after="0"/>
              <w:rPr>
                <w:sz w:val="18"/>
                <w:szCs w:val="18"/>
                <w:color w:val="auto"/>
              </w:rPr>
            </w:pPr>
          </w:p>
        </w:tc>
        <w:tc>
          <w:tcPr>
            <w:tcW w:w="580" w:type="dxa"/>
            <w:vAlign w:val="bottom"/>
          </w:tcPr>
          <w:p>
            <w:pPr>
              <w:jc w:val="center"/>
              <w:ind w:right="64"/>
              <w:spacing w:after="0"/>
              <w:rPr>
                <w:sz w:val="20"/>
                <w:szCs w:val="20"/>
                <w:color w:val="auto"/>
              </w:rPr>
            </w:pPr>
            <w:r>
              <w:rPr>
                <w:rFonts w:ascii="Arial" w:cs="Arial" w:eastAsia="Arial" w:hAnsi="Arial"/>
                <w:sz w:val="18"/>
                <w:szCs w:val="18"/>
                <w:color w:val="auto"/>
                <w:w w:val="85"/>
              </w:rPr>
              <w:t>Par</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center"/>
              <w:ind w:right="320"/>
              <w:spacing w:after="0"/>
              <w:rPr>
                <w:sz w:val="20"/>
                <w:szCs w:val="20"/>
                <w:color w:val="auto"/>
              </w:rPr>
            </w:pPr>
            <w:r>
              <w:rPr>
                <w:rFonts w:ascii="Arial" w:cs="Arial" w:eastAsia="Arial" w:hAnsi="Arial"/>
                <w:sz w:val="18"/>
                <w:szCs w:val="18"/>
                <w:color w:val="auto"/>
                <w:w w:val="85"/>
              </w:rPr>
              <w:t>Par</w:t>
            </w:r>
          </w:p>
        </w:tc>
        <w:tc>
          <w:tcPr>
            <w:tcW w:w="1200" w:type="dxa"/>
            <w:vAlign w:val="bottom"/>
            <w:gridSpan w:val="4"/>
          </w:tcPr>
          <w:p>
            <w:pPr>
              <w:spacing w:after="0"/>
              <w:rPr>
                <w:sz w:val="20"/>
                <w:szCs w:val="20"/>
                <w:color w:val="auto"/>
              </w:rPr>
            </w:pPr>
            <w:r>
              <w:rPr>
                <w:rFonts w:ascii="Arial" w:cs="Arial" w:eastAsia="Arial" w:hAnsi="Arial"/>
                <w:sz w:val="18"/>
                <w:szCs w:val="18"/>
                <w:color w:val="auto"/>
              </w:rPr>
              <w:t>(Accumulated</w:t>
            </w:r>
          </w:p>
        </w:tc>
        <w:tc>
          <w:tcPr>
            <w:tcW w:w="100" w:type="dxa"/>
            <w:vAlign w:val="bottom"/>
          </w:tcPr>
          <w:p>
            <w:pPr>
              <w:spacing w:after="0"/>
              <w:rPr>
                <w:sz w:val="18"/>
                <w:szCs w:val="18"/>
                <w:color w:val="auto"/>
              </w:rPr>
            </w:pPr>
          </w:p>
        </w:tc>
        <w:tc>
          <w:tcPr>
            <w:tcW w:w="700" w:type="dxa"/>
            <w:vAlign w:val="bottom"/>
            <w:gridSpan w:val="2"/>
          </w:tcPr>
          <w:p>
            <w:pPr>
              <w:jc w:val="right"/>
              <w:ind w:right="179"/>
              <w:spacing w:after="0"/>
              <w:rPr>
                <w:sz w:val="20"/>
                <w:szCs w:val="20"/>
                <w:color w:val="auto"/>
              </w:rPr>
            </w:pPr>
            <w:r>
              <w:rPr>
                <w:rFonts w:ascii="Arial" w:cs="Arial" w:eastAsia="Arial" w:hAnsi="Arial"/>
                <w:sz w:val="18"/>
                <w:szCs w:val="18"/>
                <w:color w:val="auto"/>
                <w:w w:val="90"/>
              </w:rPr>
              <w:t>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400" w:type="dxa"/>
            <w:vAlign w:val="bottom"/>
          </w:tcPr>
          <w:p>
            <w:pPr>
              <w:spacing w:after="0"/>
              <w:rPr>
                <w:sz w:val="20"/>
                <w:szCs w:val="2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Shares</w:t>
            </w:r>
          </w:p>
        </w:tc>
        <w:tc>
          <w:tcPr>
            <w:tcW w:w="1200" w:type="dxa"/>
            <w:vAlign w:val="bottom"/>
            <w:gridSpan w:val="2"/>
          </w:tcPr>
          <w:p>
            <w:pPr>
              <w:jc w:val="center"/>
              <w:ind w:right="520"/>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20"/>
                <w:szCs w:val="20"/>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8"/>
                <w:szCs w:val="18"/>
                <w:color w:val="auto"/>
                <w:w w:val="93"/>
              </w:rPr>
              <w:t>Stock</w:t>
            </w:r>
          </w:p>
        </w:tc>
        <w:tc>
          <w:tcPr>
            <w:tcW w:w="120" w:type="dxa"/>
            <w:vAlign w:val="bottom"/>
          </w:tcPr>
          <w:p>
            <w:pPr>
              <w:spacing w:after="0"/>
              <w:rPr>
                <w:sz w:val="20"/>
                <w:szCs w:val="20"/>
                <w:color w:val="auto"/>
              </w:rPr>
            </w:pPr>
          </w:p>
        </w:tc>
        <w:tc>
          <w:tcPr>
            <w:tcW w:w="580" w:type="dxa"/>
            <w:vAlign w:val="bottom"/>
          </w:tcPr>
          <w:p>
            <w:pPr>
              <w:jc w:val="center"/>
              <w:ind w:right="44"/>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3"/>
          </w:tcPr>
          <w:p>
            <w:pPr>
              <w:jc w:val="center"/>
              <w:ind w:right="320"/>
              <w:spacing w:after="0"/>
              <w:rPr>
                <w:sz w:val="20"/>
                <w:szCs w:val="20"/>
                <w:color w:val="auto"/>
              </w:rPr>
            </w:pPr>
            <w:r>
              <w:rPr>
                <w:rFonts w:ascii="Arial" w:cs="Arial" w:eastAsia="Arial" w:hAnsi="Arial"/>
                <w:sz w:val="18"/>
                <w:szCs w:val="18"/>
                <w:color w:val="auto"/>
                <w:w w:val="86"/>
              </w:rPr>
              <w:t>Value</w:t>
            </w:r>
          </w:p>
        </w:tc>
        <w:tc>
          <w:tcPr>
            <w:tcW w:w="120" w:type="dxa"/>
            <w:vAlign w:val="bottom"/>
          </w:tcPr>
          <w:p>
            <w:pPr>
              <w:spacing w:after="0"/>
              <w:rPr>
                <w:sz w:val="20"/>
                <w:szCs w:val="20"/>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8"/>
                <w:szCs w:val="18"/>
                <w:color w:val="auto"/>
                <w:w w:val="99"/>
              </w:rPr>
              <w:t>Deficit)</w:t>
            </w:r>
          </w:p>
        </w:tc>
        <w:tc>
          <w:tcPr>
            <w:tcW w:w="800" w:type="dxa"/>
            <w:vAlign w:val="bottom"/>
            <w:gridSpan w:val="3"/>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Total</w:t>
            </w:r>
          </w:p>
        </w:tc>
      </w:tr>
      <w:tr>
        <w:trPr>
          <w:trHeight w:val="207"/>
        </w:trPr>
        <w:tc>
          <w:tcPr>
            <w:tcW w:w="34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gridSpan w:val="7"/>
          </w:tcPr>
          <w:p>
            <w:pPr>
              <w:ind w:left="100"/>
              <w:spacing w:after="0"/>
              <w:rPr>
                <w:sz w:val="20"/>
                <w:szCs w:val="20"/>
                <w:color w:val="auto"/>
              </w:rPr>
            </w:pPr>
            <w:r>
              <w:rPr>
                <w:rFonts w:ascii="Arial" w:cs="Arial" w:eastAsia="Arial" w:hAnsi="Arial"/>
                <w:sz w:val="16"/>
                <w:szCs w:val="16"/>
                <w:color w:val="auto"/>
              </w:rPr>
              <w:t>(In Thousands)</w:t>
            </w: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65"/>
        </w:trPr>
        <w:tc>
          <w:tcPr>
            <w:tcW w:w="3400" w:type="dxa"/>
            <w:vAlign w:val="bottom"/>
            <w:shd w:val="clear" w:color="auto" w:fill="CFF0FC"/>
          </w:tcPr>
          <w:p>
            <w:pPr>
              <w:spacing w:after="0"/>
              <w:rPr>
                <w:sz w:val="20"/>
                <w:szCs w:val="20"/>
                <w:color w:val="auto"/>
              </w:rPr>
            </w:pPr>
            <w:r>
              <w:rPr>
                <w:rFonts w:ascii="Arial" w:cs="Arial" w:eastAsia="Arial" w:hAnsi="Arial"/>
                <w:sz w:val="14"/>
                <w:szCs w:val="14"/>
                <w:color w:val="auto"/>
              </w:rPr>
              <w:t>Balance at December 31, 2020</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39,926</w:t>
            </w:r>
          </w:p>
        </w:tc>
        <w:tc>
          <w:tcPr>
            <w:tcW w:w="1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460"/>
              <w:spacing w:after="0"/>
              <w:rPr>
                <w:sz w:val="20"/>
                <w:szCs w:val="20"/>
                <w:color w:val="auto"/>
              </w:rPr>
            </w:pPr>
            <w:r>
              <w:rPr>
                <w:rFonts w:ascii="Arial" w:cs="Arial" w:eastAsia="Arial" w:hAnsi="Arial"/>
                <w:sz w:val="14"/>
                <w:szCs w:val="14"/>
                <w:color w:val="auto"/>
              </w:rPr>
              <w:t>(2,075)</w:t>
            </w: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3,000</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3,991</w:t>
            </w:r>
          </w:p>
        </w:tc>
        <w:tc>
          <w:tcPr>
            <w:tcW w:w="300" w:type="dxa"/>
            <w:vAlign w:val="bottom"/>
            <w:gridSpan w:val="3"/>
            <w:shd w:val="clear" w:color="auto" w:fill="CFF0FC"/>
          </w:tcPr>
          <w:p>
            <w:pPr>
              <w:ind w:left="1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197,352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(41,487)</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(13,213)</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149,643</w:t>
            </w:r>
          </w:p>
        </w:tc>
        <w:tc>
          <w:tcPr>
            <w:tcW w:w="100" w:type="dxa"/>
            <w:vAlign w:val="bottom"/>
            <w:shd w:val="clear" w:color="auto" w:fill="CFF0FC"/>
          </w:tcPr>
          <w:p>
            <w:pPr>
              <w:spacing w:after="0"/>
              <w:rPr>
                <w:sz w:val="14"/>
                <w:szCs w:val="14"/>
                <w:color w:val="auto"/>
              </w:rPr>
            </w:pPr>
          </w:p>
        </w:tc>
      </w:tr>
      <w:tr>
        <w:trPr>
          <w:trHeight w:val="162"/>
        </w:trPr>
        <w:tc>
          <w:tcPr>
            <w:tcW w:w="3400" w:type="dxa"/>
            <w:vAlign w:val="bottom"/>
          </w:tcPr>
          <w:p>
            <w:pPr>
              <w:spacing w:after="0"/>
              <w:rPr>
                <w:sz w:val="20"/>
                <w:szCs w:val="20"/>
                <w:color w:val="auto"/>
              </w:rPr>
            </w:pPr>
            <w:r>
              <w:rPr>
                <w:rFonts w:ascii="Arial" w:cs="Arial" w:eastAsia="Arial" w:hAnsi="Arial"/>
                <w:sz w:val="14"/>
                <w:szCs w:val="14"/>
                <w:color w:val="auto"/>
              </w:rPr>
              <w:t>Net loss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(13,279)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(13,279)</w:t>
            </w:r>
          </w:p>
        </w:tc>
      </w:tr>
      <w:tr>
        <w:trPr>
          <w:trHeight w:val="143"/>
        </w:trPr>
        <w:tc>
          <w:tcPr>
            <w:tcW w:w="34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Dividend accrued on redeemable</w:t>
            </w: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34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preferred stock</w:t>
            </w: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(9,511)</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(9,511)</w:t>
            </w:r>
          </w:p>
        </w:tc>
      </w:tr>
      <w:tr>
        <w:trPr>
          <w:trHeight w:val="162"/>
        </w:trPr>
        <w:tc>
          <w:tcPr>
            <w:tcW w:w="3400" w:type="dxa"/>
            <w:vAlign w:val="bottom"/>
          </w:tcPr>
          <w:p>
            <w:pPr>
              <w:spacing w:after="0"/>
              <w:rPr>
                <w:sz w:val="20"/>
                <w:szCs w:val="20"/>
                <w:color w:val="auto"/>
              </w:rPr>
            </w:pPr>
            <w:r>
              <w:rPr>
                <w:rFonts w:ascii="Arial" w:cs="Arial" w:eastAsia="Arial" w:hAnsi="Arial"/>
                <w:sz w:val="14"/>
                <w:szCs w:val="14"/>
                <w:color w:val="auto"/>
              </w:rPr>
              <w:t>Accretion of redeemable preferred stock</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(511)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(511)</w:t>
            </w:r>
          </w:p>
        </w:tc>
      </w:tr>
      <w:tr>
        <w:trPr>
          <w:trHeight w:val="162"/>
        </w:trPr>
        <w:tc>
          <w:tcPr>
            <w:tcW w:w="340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713</w:t>
            </w:r>
          </w:p>
        </w:tc>
        <w:tc>
          <w:tcPr>
            <w:tcW w:w="100" w:type="dxa"/>
            <w:vAlign w:val="bottom"/>
            <w:shd w:val="clear" w:color="auto" w:fill="CFF0FC"/>
          </w:tcPr>
          <w:p>
            <w:pPr>
              <w:spacing w:after="0"/>
              <w:rPr>
                <w:sz w:val="14"/>
                <w:szCs w:val="14"/>
                <w:color w:val="auto"/>
              </w:rPr>
            </w:pPr>
          </w:p>
        </w:tc>
      </w:tr>
      <w:tr>
        <w:trPr>
          <w:trHeight w:val="162"/>
        </w:trPr>
        <w:tc>
          <w:tcPr>
            <w:tcW w:w="3400" w:type="dxa"/>
            <w:vAlign w:val="bottom"/>
          </w:tcPr>
          <w:p>
            <w:pPr>
              <w:spacing w:after="0"/>
              <w:rPr>
                <w:sz w:val="20"/>
                <w:szCs w:val="20"/>
                <w:color w:val="auto"/>
              </w:rPr>
            </w:pPr>
            <w:r>
              <w:rPr>
                <w:rFonts w:ascii="Arial" w:cs="Arial" w:eastAsia="Arial" w:hAnsi="Arial"/>
                <w:sz w:val="14"/>
                <w:szCs w:val="14"/>
                <w:color w:val="auto"/>
              </w:rPr>
              <w:t>Issuance of restricted stock</w:t>
            </w:r>
          </w:p>
        </w:tc>
        <w:tc>
          <w:tcPr>
            <w:tcW w:w="700" w:type="dxa"/>
            <w:vAlign w:val="bottom"/>
          </w:tcPr>
          <w:p>
            <w:pPr>
              <w:jc w:val="right"/>
              <w:spacing w:after="0"/>
              <w:rPr>
                <w:sz w:val="20"/>
                <w:szCs w:val="20"/>
                <w:color w:val="auto"/>
              </w:rPr>
            </w:pPr>
            <w:r>
              <w:rPr>
                <w:rFonts w:ascii="Arial" w:cs="Arial" w:eastAsia="Arial" w:hAnsi="Arial"/>
                <w:sz w:val="14"/>
                <w:szCs w:val="14"/>
                <w:color w:val="auto"/>
              </w:rPr>
              <w:t>250</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835</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(5,335)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5,310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3400" w:type="dxa"/>
            <w:vAlign w:val="bottom"/>
            <w:shd w:val="clear" w:color="auto" w:fill="CFF0FC"/>
          </w:tcPr>
          <w:p>
            <w:pPr>
              <w:spacing w:after="0"/>
              <w:rPr>
                <w:sz w:val="20"/>
                <w:szCs w:val="20"/>
                <w:color w:val="auto"/>
              </w:rPr>
            </w:pPr>
            <w:r>
              <w:rPr>
                <w:rFonts w:ascii="Arial" w:cs="Arial" w:eastAsia="Arial" w:hAnsi="Arial"/>
                <w:sz w:val="14"/>
                <w:szCs w:val="14"/>
                <w:color w:val="auto"/>
              </w:rPr>
              <w:t>Other</w:t>
            </w: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46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(18)</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(18)</w:t>
            </w:r>
          </w:p>
        </w:tc>
      </w:tr>
      <w:tr>
        <w:trPr>
          <w:trHeight w:val="155"/>
        </w:trPr>
        <w:tc>
          <w:tcPr>
            <w:tcW w:w="3400" w:type="dxa"/>
            <w:vAlign w:val="bottom"/>
          </w:tcPr>
          <w:p>
            <w:pPr>
              <w:spacing w:after="0" w:line="155" w:lineRule="exact"/>
              <w:rPr>
                <w:sz w:val="20"/>
                <w:szCs w:val="20"/>
                <w:color w:val="auto"/>
              </w:rPr>
            </w:pPr>
            <w:r>
              <w:rPr>
                <w:rFonts w:ascii="Arial" w:cs="Arial" w:eastAsia="Arial" w:hAnsi="Arial"/>
                <w:sz w:val="14"/>
                <w:szCs w:val="14"/>
                <w:color w:val="auto"/>
              </w:rPr>
              <w:t>Balance at March 31, 2021</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40,176</w:t>
            </w:r>
          </w:p>
        </w:tc>
        <w:tc>
          <w:tcPr>
            <w:tcW w:w="180" w:type="dxa"/>
            <w:vAlign w:val="bottom"/>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(1,245)</w:t>
            </w:r>
          </w:p>
        </w:tc>
        <w:tc>
          <w:tcPr>
            <w:tcW w:w="5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3,000</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4,016</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192,730</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(64,788)</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(7,921)</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127,037</w:t>
            </w:r>
          </w:p>
        </w:tc>
        <w:tc>
          <w:tcPr>
            <w:tcW w:w="100" w:type="dxa"/>
            <w:vAlign w:val="bottom"/>
          </w:tcPr>
          <w:p>
            <w:pPr>
              <w:spacing w:after="0"/>
              <w:rPr>
                <w:sz w:val="13"/>
                <w:szCs w:val="13"/>
                <w:color w:val="auto"/>
              </w:rPr>
            </w:pPr>
          </w:p>
        </w:tc>
      </w:tr>
      <w:tr>
        <w:trPr>
          <w:trHeight w:val="162"/>
        </w:trPr>
        <w:tc>
          <w:tcPr>
            <w:tcW w:w="3400" w:type="dxa"/>
            <w:vAlign w:val="bottom"/>
            <w:shd w:val="clear" w:color="auto" w:fill="CFF0FC"/>
          </w:tcPr>
          <w:p>
            <w:pPr>
              <w:spacing w:after="0"/>
              <w:rPr>
                <w:sz w:val="20"/>
                <w:szCs w:val="20"/>
                <w:color w:val="auto"/>
              </w:rPr>
            </w:pPr>
            <w:r>
              <w:rPr>
                <w:rFonts w:ascii="Arial" w:cs="Arial" w:eastAsia="Arial" w:hAnsi="Arial"/>
                <w:sz w:val="14"/>
                <w:szCs w:val="14"/>
                <w:color w:val="auto"/>
              </w:rPr>
              <w:t>Net income</w:t>
            </w: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23,670</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23,670</w:t>
            </w:r>
          </w:p>
        </w:tc>
        <w:tc>
          <w:tcPr>
            <w:tcW w:w="100" w:type="dxa"/>
            <w:vAlign w:val="bottom"/>
            <w:shd w:val="clear" w:color="auto" w:fill="CFF0FC"/>
          </w:tcPr>
          <w:p>
            <w:pPr>
              <w:spacing w:after="0"/>
              <w:rPr>
                <w:sz w:val="14"/>
                <w:szCs w:val="14"/>
                <w:color w:val="auto"/>
              </w:rPr>
            </w:pPr>
          </w:p>
        </w:tc>
      </w:tr>
      <w:tr>
        <w:trPr>
          <w:trHeight w:val="143"/>
        </w:trPr>
        <w:tc>
          <w:tcPr>
            <w:tcW w:w="3400" w:type="dxa"/>
            <w:vAlign w:val="bottom"/>
          </w:tcPr>
          <w:p>
            <w:pPr>
              <w:spacing w:after="0" w:line="143" w:lineRule="exact"/>
              <w:rPr>
                <w:sz w:val="20"/>
                <w:szCs w:val="20"/>
                <w:color w:val="auto"/>
              </w:rPr>
            </w:pPr>
            <w:r>
              <w:rPr>
                <w:rFonts w:ascii="Arial" w:cs="Arial" w:eastAsia="Arial" w:hAnsi="Arial"/>
                <w:sz w:val="14"/>
                <w:szCs w:val="14"/>
                <w:color w:val="auto"/>
              </w:rPr>
              <w:t>Dividend accrued on redeemable</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400" w:type="dxa"/>
            <w:vAlign w:val="bottom"/>
          </w:tcPr>
          <w:p>
            <w:pPr>
              <w:ind w:left="120"/>
              <w:spacing w:after="0"/>
              <w:rPr>
                <w:sz w:val="20"/>
                <w:szCs w:val="20"/>
                <w:color w:val="auto"/>
              </w:rPr>
            </w:pPr>
            <w:r>
              <w:rPr>
                <w:rFonts w:ascii="Arial" w:cs="Arial" w:eastAsia="Arial" w:hAnsi="Arial"/>
                <w:sz w:val="14"/>
                <w:szCs w:val="14"/>
                <w:color w:val="auto"/>
              </w:rPr>
              <w:t>preferred stock</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(10,213)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(10,213)</w:t>
            </w:r>
          </w:p>
        </w:tc>
      </w:tr>
      <w:tr>
        <w:trPr>
          <w:trHeight w:val="162"/>
        </w:trPr>
        <w:tc>
          <w:tcPr>
            <w:tcW w:w="3400" w:type="dxa"/>
            <w:vAlign w:val="bottom"/>
            <w:shd w:val="clear" w:color="auto" w:fill="CFF0FC"/>
          </w:tcPr>
          <w:p>
            <w:pPr>
              <w:spacing w:after="0"/>
              <w:rPr>
                <w:sz w:val="20"/>
                <w:szCs w:val="20"/>
                <w:color w:val="auto"/>
              </w:rPr>
            </w:pPr>
            <w:r>
              <w:rPr>
                <w:rFonts w:ascii="Arial" w:cs="Arial" w:eastAsia="Arial" w:hAnsi="Arial"/>
                <w:sz w:val="14"/>
                <w:szCs w:val="14"/>
                <w:color w:val="auto"/>
              </w:rPr>
              <w:t>Accretion of redeemable preferred stock</w:t>
            </w: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(513)</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(513)</w:t>
            </w:r>
          </w:p>
        </w:tc>
      </w:tr>
      <w:tr>
        <w:trPr>
          <w:trHeight w:val="162"/>
        </w:trPr>
        <w:tc>
          <w:tcPr>
            <w:tcW w:w="340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1,062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1,062</w:t>
            </w:r>
          </w:p>
        </w:tc>
        <w:tc>
          <w:tcPr>
            <w:tcW w:w="100" w:type="dxa"/>
            <w:vAlign w:val="bottom"/>
          </w:tcPr>
          <w:p>
            <w:pPr>
              <w:spacing w:after="0"/>
              <w:rPr>
                <w:sz w:val="14"/>
                <w:szCs w:val="14"/>
                <w:color w:val="auto"/>
              </w:rPr>
            </w:pPr>
          </w:p>
        </w:tc>
      </w:tr>
      <w:tr>
        <w:trPr>
          <w:trHeight w:val="162"/>
        </w:trPr>
        <w:tc>
          <w:tcPr>
            <w:tcW w:w="3400" w:type="dxa"/>
            <w:vAlign w:val="bottom"/>
            <w:shd w:val="clear" w:color="auto" w:fill="CFF0FC"/>
          </w:tcPr>
          <w:p>
            <w:pPr>
              <w:spacing w:after="0"/>
              <w:rPr>
                <w:sz w:val="20"/>
                <w:szCs w:val="20"/>
                <w:color w:val="auto"/>
              </w:rPr>
            </w:pPr>
            <w:r>
              <w:rPr>
                <w:rFonts w:ascii="Arial" w:cs="Arial" w:eastAsia="Arial" w:hAnsi="Arial"/>
                <w:sz w:val="14"/>
                <w:szCs w:val="14"/>
                <w:color w:val="auto"/>
              </w:rPr>
              <w:t>Issuance of unrestricted stock</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267</w:t>
            </w:r>
          </w:p>
        </w:tc>
        <w:tc>
          <w:tcPr>
            <w:tcW w:w="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(1,708)</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1,700</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3400" w:type="dxa"/>
            <w:vAlign w:val="bottom"/>
          </w:tcPr>
          <w:p>
            <w:pPr>
              <w:spacing w:after="0"/>
              <w:rPr>
                <w:sz w:val="20"/>
                <w:szCs w:val="20"/>
                <w:color w:val="auto"/>
              </w:rPr>
            </w:pPr>
            <w:r>
              <w:rPr>
                <w:rFonts w:ascii="Arial" w:cs="Arial" w:eastAsia="Arial" w:hAnsi="Arial"/>
                <w:sz w:val="14"/>
                <w:szCs w:val="14"/>
                <w:color w:val="auto"/>
              </w:rPr>
              <w:t>Other</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9"/>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(28)</w:t>
            </w:r>
          </w:p>
        </w:tc>
      </w:tr>
      <w:tr>
        <w:trPr>
          <w:trHeight w:val="155"/>
        </w:trPr>
        <w:tc>
          <w:tcPr>
            <w:tcW w:w="34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June 30, 2021</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40,256</w:t>
            </w:r>
          </w:p>
        </w:tc>
        <w:tc>
          <w:tcPr>
            <w:tcW w:w="18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(983)</w:t>
            </w:r>
          </w:p>
        </w:tc>
        <w:tc>
          <w:tcPr>
            <w:tcW w:w="5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3,000</w:t>
            </w: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4,024</w:t>
            </w: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192,084</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(51,844)</w:t>
            </w: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(6,249)</w:t>
            </w: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141,015</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3400" w:type="dxa"/>
            <w:vAlign w:val="bottom"/>
          </w:tcPr>
          <w:p>
            <w:pPr>
              <w:spacing w:after="0"/>
              <w:rPr>
                <w:sz w:val="20"/>
                <w:szCs w:val="20"/>
                <w:color w:val="auto"/>
              </w:rPr>
            </w:pPr>
            <w:r>
              <w:rPr>
                <w:rFonts w:ascii="Arial" w:cs="Arial" w:eastAsia="Arial" w:hAnsi="Arial"/>
                <w:sz w:val="14"/>
                <w:szCs w:val="14"/>
                <w:color w:val="auto"/>
              </w:rPr>
              <w:t>Net loss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(8,928)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(8,928)</w:t>
            </w:r>
          </w:p>
        </w:tc>
      </w:tr>
      <w:tr>
        <w:trPr>
          <w:trHeight w:val="143"/>
        </w:trPr>
        <w:tc>
          <w:tcPr>
            <w:tcW w:w="34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common stock in exchange</w:t>
            </w: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3400" w:type="dxa"/>
            <w:vAlign w:val="bottom"/>
            <w:shd w:val="clear" w:color="auto" w:fill="CFF0FC"/>
          </w:tcPr>
          <w:p>
            <w:pPr>
              <w:ind w:left="160"/>
              <w:spacing w:after="0"/>
              <w:rPr>
                <w:sz w:val="20"/>
                <w:szCs w:val="20"/>
                <w:color w:val="auto"/>
              </w:rPr>
            </w:pPr>
            <w:r>
              <w:rPr>
                <w:rFonts w:ascii="Arial" w:cs="Arial" w:eastAsia="Arial" w:hAnsi="Arial"/>
                <w:sz w:val="14"/>
                <w:szCs w:val="14"/>
                <w:color w:val="auto"/>
              </w:rPr>
              <w:t>for redeemable preferred stocks</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49,066</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4,907</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526,232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531,139</w:t>
            </w:r>
          </w:p>
        </w:tc>
        <w:tc>
          <w:tcPr>
            <w:tcW w:w="100" w:type="dxa"/>
            <w:vAlign w:val="bottom"/>
            <w:shd w:val="clear" w:color="auto" w:fill="CFF0FC"/>
          </w:tcPr>
          <w:p>
            <w:pPr>
              <w:spacing w:after="0"/>
              <w:rPr>
                <w:sz w:val="14"/>
                <w:szCs w:val="14"/>
                <w:color w:val="auto"/>
              </w:rPr>
            </w:pPr>
          </w:p>
        </w:tc>
      </w:tr>
      <w:tr>
        <w:trPr>
          <w:trHeight w:val="143"/>
        </w:trPr>
        <w:tc>
          <w:tcPr>
            <w:tcW w:w="3400" w:type="dxa"/>
            <w:vAlign w:val="bottom"/>
          </w:tcPr>
          <w:p>
            <w:pPr>
              <w:spacing w:after="0" w:line="143" w:lineRule="exact"/>
              <w:rPr>
                <w:sz w:val="20"/>
                <w:szCs w:val="20"/>
                <w:color w:val="auto"/>
              </w:rPr>
            </w:pPr>
            <w:r>
              <w:rPr>
                <w:rFonts w:ascii="Arial" w:cs="Arial" w:eastAsia="Arial" w:hAnsi="Arial"/>
                <w:sz w:val="14"/>
                <w:szCs w:val="14"/>
                <w:color w:val="auto"/>
              </w:rPr>
              <w:t>Deemed dividend on redeemable</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400" w:type="dxa"/>
            <w:vAlign w:val="bottom"/>
          </w:tcPr>
          <w:p>
            <w:pPr>
              <w:ind w:left="120"/>
              <w:spacing w:after="0"/>
              <w:rPr>
                <w:sz w:val="20"/>
                <w:szCs w:val="20"/>
                <w:color w:val="auto"/>
              </w:rPr>
            </w:pPr>
            <w:r>
              <w:rPr>
                <w:rFonts w:ascii="Arial" w:cs="Arial" w:eastAsia="Arial" w:hAnsi="Arial"/>
                <w:sz w:val="14"/>
                <w:szCs w:val="14"/>
                <w:color w:val="auto"/>
              </w:rPr>
              <w:t>preferred stocks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(231,812)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(231,812)</w:t>
            </w:r>
          </w:p>
        </w:tc>
      </w:tr>
      <w:tr>
        <w:trPr>
          <w:trHeight w:val="143"/>
        </w:trPr>
        <w:tc>
          <w:tcPr>
            <w:tcW w:w="34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Dividend accrued on redeemable</w:t>
            </w: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34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preferred stock prior to exchange</w:t>
            </w: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(10,190)</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(10,190)</w:t>
            </w:r>
          </w:p>
        </w:tc>
      </w:tr>
      <w:tr>
        <w:trPr>
          <w:trHeight w:val="143"/>
        </w:trPr>
        <w:tc>
          <w:tcPr>
            <w:tcW w:w="3400" w:type="dxa"/>
            <w:vAlign w:val="bottom"/>
          </w:tcPr>
          <w:p>
            <w:pPr>
              <w:spacing w:after="0" w:line="143" w:lineRule="exact"/>
              <w:rPr>
                <w:sz w:val="20"/>
                <w:szCs w:val="20"/>
                <w:color w:val="auto"/>
              </w:rPr>
            </w:pPr>
            <w:r>
              <w:rPr>
                <w:rFonts w:ascii="Arial" w:cs="Arial" w:eastAsia="Arial" w:hAnsi="Arial"/>
                <w:sz w:val="14"/>
                <w:szCs w:val="14"/>
                <w:color w:val="auto"/>
              </w:rPr>
              <w:t>Accretion of redeemable preferred</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400" w:type="dxa"/>
            <w:vAlign w:val="bottom"/>
          </w:tcPr>
          <w:p>
            <w:pPr>
              <w:ind w:left="120"/>
              <w:spacing w:after="0"/>
              <w:rPr>
                <w:sz w:val="20"/>
                <w:szCs w:val="20"/>
                <w:color w:val="auto"/>
              </w:rPr>
            </w:pPr>
            <w:r>
              <w:rPr>
                <w:rFonts w:ascii="Arial" w:cs="Arial" w:eastAsia="Arial" w:hAnsi="Arial"/>
                <w:sz w:val="14"/>
                <w:szCs w:val="14"/>
                <w:color w:val="auto"/>
              </w:rPr>
              <w:t>stock prior to exchange</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(499)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(499)</w:t>
            </w:r>
          </w:p>
        </w:tc>
      </w:tr>
      <w:tr>
        <w:trPr>
          <w:trHeight w:val="162"/>
        </w:trPr>
        <w:tc>
          <w:tcPr>
            <w:tcW w:w="340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2,553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2,553</w:t>
            </w:r>
          </w:p>
        </w:tc>
        <w:tc>
          <w:tcPr>
            <w:tcW w:w="100" w:type="dxa"/>
            <w:vAlign w:val="bottom"/>
            <w:shd w:val="clear" w:color="auto" w:fill="CFF0FC"/>
          </w:tcPr>
          <w:p>
            <w:pPr>
              <w:spacing w:after="0"/>
              <w:rPr>
                <w:sz w:val="14"/>
                <w:szCs w:val="14"/>
                <w:color w:val="auto"/>
              </w:rPr>
            </w:pPr>
          </w:p>
        </w:tc>
      </w:tr>
      <w:tr>
        <w:trPr>
          <w:trHeight w:val="162"/>
        </w:trPr>
        <w:tc>
          <w:tcPr>
            <w:tcW w:w="3400" w:type="dxa"/>
            <w:vAlign w:val="bottom"/>
          </w:tcPr>
          <w:p>
            <w:pPr>
              <w:spacing w:after="0"/>
              <w:rPr>
                <w:sz w:val="20"/>
                <w:szCs w:val="20"/>
                <w:color w:val="auto"/>
              </w:rPr>
            </w:pPr>
            <w:r>
              <w:rPr>
                <w:rFonts w:ascii="Arial" w:cs="Arial" w:eastAsia="Arial" w:hAnsi="Arial"/>
                <w:sz w:val="14"/>
                <w:szCs w:val="14"/>
                <w:color w:val="auto"/>
              </w:rPr>
              <w:t>Issuance of restricted and unrestricted stock</w:t>
            </w:r>
          </w:p>
        </w:tc>
        <w:tc>
          <w:tcPr>
            <w:tcW w:w="700" w:type="dxa"/>
            <w:vAlign w:val="bottom"/>
          </w:tcPr>
          <w:p>
            <w:pPr>
              <w:jc w:val="right"/>
              <w:spacing w:after="0"/>
              <w:rPr>
                <w:sz w:val="20"/>
                <w:szCs w:val="20"/>
                <w:color w:val="auto"/>
              </w:rPr>
            </w:pPr>
            <w:r>
              <w:rPr>
                <w:rFonts w:ascii="Arial" w:cs="Arial" w:eastAsia="Arial" w:hAnsi="Arial"/>
                <w:sz w:val="14"/>
                <w:szCs w:val="14"/>
                <w:color w:val="auto"/>
              </w:rPr>
              <w:t>520</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3400" w:type="dxa"/>
            <w:vAlign w:val="bottom"/>
            <w:shd w:val="clear" w:color="auto" w:fill="CFF0FC"/>
          </w:tcPr>
          <w:p>
            <w:pPr>
              <w:spacing w:after="0"/>
              <w:rPr>
                <w:sz w:val="20"/>
                <w:szCs w:val="20"/>
                <w:color w:val="auto"/>
              </w:rPr>
            </w:pPr>
            <w:r>
              <w:rPr>
                <w:rFonts w:ascii="Arial" w:cs="Arial" w:eastAsia="Arial" w:hAnsi="Arial"/>
                <w:sz w:val="14"/>
                <w:szCs w:val="14"/>
                <w:color w:val="auto"/>
              </w:rPr>
              <w:t>Other</w:t>
            </w: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460"/>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(312)</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(210)</w:t>
            </w:r>
          </w:p>
        </w:tc>
      </w:tr>
      <w:tr>
        <w:trPr>
          <w:trHeight w:val="195"/>
        </w:trPr>
        <w:tc>
          <w:tcPr>
            <w:tcW w:w="340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Balance at September 30, 2021</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89,842</w:t>
            </w:r>
          </w:p>
        </w:tc>
        <w:tc>
          <w:tcPr>
            <w:tcW w:w="180" w:type="dxa"/>
            <w:vAlign w:val="bottom"/>
            <w:tcBorders>
              <w:bottom w:val="single" w:sz="8" w:color="CFF0FC"/>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(1,018)</w:t>
            </w:r>
          </w:p>
        </w:tc>
        <w:tc>
          <w:tcPr>
            <w:tcW w:w="50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3,000</w:t>
            </w:r>
          </w:p>
        </w:tc>
        <w:tc>
          <w:tcPr>
            <w:tcW w:w="10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8,983</w:t>
            </w:r>
          </w:p>
        </w:tc>
        <w:tc>
          <w:tcPr>
            <w:tcW w:w="10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489,107</w:t>
            </w: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(71,461)</w:t>
            </w:r>
          </w:p>
        </w:tc>
        <w:tc>
          <w:tcPr>
            <w:tcW w:w="10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(6,561</w:t>
            </w:r>
          </w:p>
        </w:tc>
        <w:tc>
          <w:tcPr>
            <w:tcW w:w="100" w:type="dxa"/>
            <w:vAlign w:val="bottom"/>
            <w:tcBorders>
              <w:bottom w:val="single" w:sz="8" w:color="CFF0FC"/>
            </w:tcBorders>
          </w:tcPr>
          <w:p>
            <w:pPr>
              <w:jc w:val="right"/>
              <w:ind w:right="19"/>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423,068</w:t>
            </w:r>
          </w:p>
        </w:tc>
        <w:tc>
          <w:tcPr>
            <w:tcW w:w="100" w:type="dxa"/>
            <w:vAlign w:val="bottom"/>
            <w:tcBorders>
              <w:bottom w:val="single" w:sz="8" w:color="CFF0FC"/>
            </w:tcBorders>
          </w:tcPr>
          <w:p>
            <w:pPr>
              <w:spacing w:after="0"/>
              <w:rPr>
                <w:sz w:val="17"/>
                <w:szCs w:val="17"/>
                <w:color w:val="auto"/>
              </w:rPr>
            </w:pPr>
          </w:p>
        </w:tc>
      </w:tr>
      <w:tr>
        <w:trPr>
          <w:trHeight w:val="143"/>
        </w:trPr>
        <w:tc>
          <w:tcPr>
            <w:tcW w:w="34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3400" w:type="dxa"/>
            <w:vAlign w:val="bottom"/>
          </w:tcPr>
          <w:p>
            <w:pPr>
              <w:spacing w:after="0"/>
              <w:rPr>
                <w:sz w:val="20"/>
                <w:szCs w:val="20"/>
                <w:color w:val="auto"/>
              </w:rPr>
            </w:pPr>
            <w:r>
              <w:rPr>
                <w:rFonts w:ascii="Arial" w:cs="Arial" w:eastAsia="Arial" w:hAnsi="Arial"/>
                <w:sz w:val="14"/>
                <w:szCs w:val="14"/>
                <w:color w:val="auto"/>
              </w:rPr>
              <w:t>Balance at December 31, 2019</w:t>
            </w:r>
          </w:p>
        </w:tc>
        <w:tc>
          <w:tcPr>
            <w:tcW w:w="700" w:type="dxa"/>
            <w:vAlign w:val="bottom"/>
          </w:tcPr>
          <w:p>
            <w:pPr>
              <w:jc w:val="right"/>
              <w:spacing w:after="0"/>
              <w:rPr>
                <w:sz w:val="20"/>
                <w:szCs w:val="20"/>
                <w:color w:val="auto"/>
              </w:rPr>
            </w:pPr>
            <w:r>
              <w:rPr>
                <w:rFonts w:ascii="Arial" w:cs="Arial" w:eastAsia="Arial" w:hAnsi="Arial"/>
                <w:sz w:val="14"/>
                <w:szCs w:val="14"/>
                <w:color w:val="auto"/>
              </w:rPr>
              <w:t>39,901</w:t>
            </w:r>
          </w:p>
        </w:tc>
        <w:tc>
          <w:tcPr>
            <w:tcW w:w="180" w:type="dxa"/>
            <w:vAlign w:val="bottom"/>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3,989</w:t>
            </w:r>
          </w:p>
        </w:tc>
        <w:tc>
          <w:tcPr>
            <w:tcW w:w="300" w:type="dxa"/>
            <w:vAlign w:val="bottom"/>
            <w:gridSpan w:val="3"/>
          </w:tcPr>
          <w:p>
            <w:pPr>
              <w:ind w:left="18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195,972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57,632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9"/>
              <w:spacing w:after="0"/>
              <w:rPr>
                <w:sz w:val="20"/>
                <w:szCs w:val="20"/>
                <w:color w:val="auto"/>
              </w:rPr>
            </w:pPr>
            <w:r>
              <w:rPr>
                <w:rFonts w:ascii="Arial" w:cs="Arial" w:eastAsia="Arial" w:hAnsi="Arial"/>
                <w:sz w:val="14"/>
                <w:szCs w:val="14"/>
                <w:color w:val="auto"/>
              </w:rPr>
              <w:t>(13,266)</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247,327</w:t>
            </w:r>
          </w:p>
        </w:tc>
        <w:tc>
          <w:tcPr>
            <w:tcW w:w="100" w:type="dxa"/>
            <w:vAlign w:val="bottom"/>
          </w:tcPr>
          <w:p>
            <w:pPr>
              <w:spacing w:after="0"/>
              <w:rPr>
                <w:sz w:val="14"/>
                <w:szCs w:val="14"/>
                <w:color w:val="auto"/>
              </w:rPr>
            </w:pPr>
          </w:p>
        </w:tc>
      </w:tr>
      <w:tr>
        <w:trPr>
          <w:trHeight w:val="162"/>
        </w:trPr>
        <w:tc>
          <w:tcPr>
            <w:tcW w:w="340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(19,452)</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(19,452)</w:t>
            </w:r>
          </w:p>
        </w:tc>
      </w:tr>
      <w:tr>
        <w:trPr>
          <w:trHeight w:val="143"/>
        </w:trPr>
        <w:tc>
          <w:tcPr>
            <w:tcW w:w="3400" w:type="dxa"/>
            <w:vAlign w:val="bottom"/>
          </w:tcPr>
          <w:p>
            <w:pPr>
              <w:spacing w:after="0" w:line="143" w:lineRule="exact"/>
              <w:rPr>
                <w:sz w:val="20"/>
                <w:szCs w:val="20"/>
                <w:color w:val="auto"/>
              </w:rPr>
            </w:pPr>
            <w:r>
              <w:rPr>
                <w:rFonts w:ascii="Arial" w:cs="Arial" w:eastAsia="Arial" w:hAnsi="Arial"/>
                <w:sz w:val="14"/>
                <w:szCs w:val="14"/>
                <w:color w:val="auto"/>
              </w:rPr>
              <w:t>Dividend accrued on redeemable</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400" w:type="dxa"/>
            <w:vAlign w:val="bottom"/>
          </w:tcPr>
          <w:p>
            <w:pPr>
              <w:ind w:left="120"/>
              <w:spacing w:after="0"/>
              <w:rPr>
                <w:sz w:val="20"/>
                <w:szCs w:val="20"/>
                <w:color w:val="auto"/>
              </w:rPr>
            </w:pPr>
            <w:r>
              <w:rPr>
                <w:rFonts w:ascii="Arial" w:cs="Arial" w:eastAsia="Arial" w:hAnsi="Arial"/>
                <w:sz w:val="14"/>
                <w:szCs w:val="14"/>
                <w:color w:val="auto"/>
              </w:rPr>
              <w:t>preferred stock</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(8,307)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(8,307)</w:t>
            </w:r>
          </w:p>
        </w:tc>
      </w:tr>
      <w:tr>
        <w:trPr>
          <w:trHeight w:val="162"/>
        </w:trPr>
        <w:tc>
          <w:tcPr>
            <w:tcW w:w="3400" w:type="dxa"/>
            <w:vAlign w:val="bottom"/>
            <w:shd w:val="clear" w:color="auto" w:fill="CFF0FC"/>
          </w:tcPr>
          <w:p>
            <w:pPr>
              <w:spacing w:after="0"/>
              <w:rPr>
                <w:sz w:val="20"/>
                <w:szCs w:val="20"/>
                <w:color w:val="auto"/>
              </w:rPr>
            </w:pPr>
            <w:r>
              <w:rPr>
                <w:rFonts w:ascii="Arial" w:cs="Arial" w:eastAsia="Arial" w:hAnsi="Arial"/>
                <w:sz w:val="14"/>
                <w:szCs w:val="14"/>
                <w:color w:val="auto"/>
              </w:rPr>
              <w:t>Accretion of redeemable preferred stock</w:t>
            </w: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(504)</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(504)</w:t>
            </w:r>
          </w:p>
        </w:tc>
      </w:tr>
      <w:tr>
        <w:trPr>
          <w:trHeight w:val="162"/>
        </w:trPr>
        <w:tc>
          <w:tcPr>
            <w:tcW w:w="340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495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495</w:t>
            </w:r>
          </w:p>
        </w:tc>
        <w:tc>
          <w:tcPr>
            <w:tcW w:w="100" w:type="dxa"/>
            <w:vAlign w:val="bottom"/>
          </w:tcPr>
          <w:p>
            <w:pPr>
              <w:spacing w:after="0"/>
              <w:rPr>
                <w:sz w:val="14"/>
                <w:szCs w:val="14"/>
                <w:color w:val="auto"/>
              </w:rPr>
            </w:pPr>
          </w:p>
        </w:tc>
      </w:tr>
      <w:tr>
        <w:trPr>
          <w:trHeight w:val="162"/>
        </w:trPr>
        <w:tc>
          <w:tcPr>
            <w:tcW w:w="3400" w:type="dxa"/>
            <w:vAlign w:val="bottom"/>
            <w:shd w:val="clear" w:color="auto" w:fill="CFF0FC"/>
          </w:tcPr>
          <w:p>
            <w:pPr>
              <w:spacing w:after="0"/>
              <w:rPr>
                <w:sz w:val="20"/>
                <w:szCs w:val="20"/>
                <w:color w:val="auto"/>
              </w:rPr>
            </w:pPr>
            <w:r>
              <w:rPr>
                <w:rFonts w:ascii="Arial" w:cs="Arial" w:eastAsia="Arial" w:hAnsi="Arial"/>
                <w:sz w:val="14"/>
                <w:szCs w:val="14"/>
                <w:color w:val="auto"/>
              </w:rPr>
              <w:t>Other</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(358)</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(64)</w:t>
            </w:r>
          </w:p>
        </w:tc>
      </w:tr>
      <w:tr>
        <w:trPr>
          <w:trHeight w:val="155"/>
        </w:trPr>
        <w:tc>
          <w:tcPr>
            <w:tcW w:w="3400" w:type="dxa"/>
            <w:vAlign w:val="bottom"/>
          </w:tcPr>
          <w:p>
            <w:pPr>
              <w:spacing w:after="0" w:line="155" w:lineRule="exact"/>
              <w:rPr>
                <w:sz w:val="20"/>
                <w:szCs w:val="20"/>
                <w:color w:val="auto"/>
              </w:rPr>
            </w:pPr>
            <w:r>
              <w:rPr>
                <w:rFonts w:ascii="Arial" w:cs="Arial" w:eastAsia="Arial" w:hAnsi="Arial"/>
                <w:sz w:val="14"/>
                <w:szCs w:val="14"/>
                <w:color w:val="auto"/>
              </w:rPr>
              <w:t>Balance at March 31, 2020</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39,920</w:t>
            </w:r>
          </w:p>
        </w:tc>
        <w:tc>
          <w:tcPr>
            <w:tcW w:w="180" w:type="dxa"/>
            <w:vAlign w:val="bottom"/>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(1,980)</w:t>
            </w:r>
          </w:p>
        </w:tc>
        <w:tc>
          <w:tcPr>
            <w:tcW w:w="5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3,000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3,991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196,109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29,369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(12,974)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219,495</w:t>
            </w:r>
          </w:p>
        </w:tc>
        <w:tc>
          <w:tcPr>
            <w:tcW w:w="100" w:type="dxa"/>
            <w:vAlign w:val="bottom"/>
          </w:tcPr>
          <w:p>
            <w:pPr>
              <w:spacing w:after="0"/>
              <w:rPr>
                <w:sz w:val="13"/>
                <w:szCs w:val="13"/>
                <w:color w:val="auto"/>
              </w:rPr>
            </w:pPr>
          </w:p>
        </w:tc>
      </w:tr>
      <w:tr>
        <w:trPr>
          <w:trHeight w:val="162"/>
        </w:trPr>
        <w:tc>
          <w:tcPr>
            <w:tcW w:w="340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(365)</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(365)</w:t>
            </w:r>
          </w:p>
        </w:tc>
      </w:tr>
      <w:tr>
        <w:trPr>
          <w:trHeight w:val="143"/>
        </w:trPr>
        <w:tc>
          <w:tcPr>
            <w:tcW w:w="3400" w:type="dxa"/>
            <w:vAlign w:val="bottom"/>
          </w:tcPr>
          <w:p>
            <w:pPr>
              <w:spacing w:after="0" w:line="143" w:lineRule="exact"/>
              <w:rPr>
                <w:sz w:val="20"/>
                <w:szCs w:val="20"/>
                <w:color w:val="auto"/>
              </w:rPr>
            </w:pPr>
            <w:r>
              <w:rPr>
                <w:rFonts w:ascii="Arial" w:cs="Arial" w:eastAsia="Arial" w:hAnsi="Arial"/>
                <w:sz w:val="14"/>
                <w:szCs w:val="14"/>
                <w:color w:val="auto"/>
              </w:rPr>
              <w:t>Dividend accrued on redeemable</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400" w:type="dxa"/>
            <w:vAlign w:val="bottom"/>
          </w:tcPr>
          <w:p>
            <w:pPr>
              <w:ind w:left="120"/>
              <w:spacing w:after="0"/>
              <w:rPr>
                <w:sz w:val="20"/>
                <w:szCs w:val="20"/>
                <w:color w:val="auto"/>
              </w:rPr>
            </w:pPr>
            <w:r>
              <w:rPr>
                <w:rFonts w:ascii="Arial" w:cs="Arial" w:eastAsia="Arial" w:hAnsi="Arial"/>
                <w:sz w:val="14"/>
                <w:szCs w:val="14"/>
                <w:color w:val="auto"/>
              </w:rPr>
              <w:t>preferred stock</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(8,689)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(8,689)</w:t>
            </w:r>
          </w:p>
        </w:tc>
      </w:tr>
      <w:tr>
        <w:trPr>
          <w:trHeight w:val="162"/>
        </w:trPr>
        <w:tc>
          <w:tcPr>
            <w:tcW w:w="3400" w:type="dxa"/>
            <w:vAlign w:val="bottom"/>
            <w:shd w:val="clear" w:color="auto" w:fill="CFF0FC"/>
          </w:tcPr>
          <w:p>
            <w:pPr>
              <w:spacing w:after="0"/>
              <w:rPr>
                <w:sz w:val="20"/>
                <w:szCs w:val="20"/>
                <w:color w:val="auto"/>
              </w:rPr>
            </w:pPr>
            <w:r>
              <w:rPr>
                <w:rFonts w:ascii="Arial" w:cs="Arial" w:eastAsia="Arial" w:hAnsi="Arial"/>
                <w:sz w:val="14"/>
                <w:szCs w:val="14"/>
                <w:color w:val="auto"/>
              </w:rPr>
              <w:t>Accretion of redeemable preferred stock</w:t>
            </w: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(505)</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(505)</w:t>
            </w:r>
          </w:p>
        </w:tc>
      </w:tr>
      <w:tr>
        <w:trPr>
          <w:trHeight w:val="162"/>
        </w:trPr>
        <w:tc>
          <w:tcPr>
            <w:tcW w:w="340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684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684</w:t>
            </w:r>
          </w:p>
        </w:tc>
        <w:tc>
          <w:tcPr>
            <w:tcW w:w="100" w:type="dxa"/>
            <w:vAlign w:val="bottom"/>
          </w:tcPr>
          <w:p>
            <w:pPr>
              <w:spacing w:after="0"/>
              <w:rPr>
                <w:sz w:val="14"/>
                <w:szCs w:val="14"/>
                <w:color w:val="auto"/>
              </w:rPr>
            </w:pPr>
          </w:p>
        </w:tc>
      </w:tr>
      <w:tr>
        <w:trPr>
          <w:trHeight w:val="162"/>
        </w:trPr>
        <w:tc>
          <w:tcPr>
            <w:tcW w:w="3400" w:type="dxa"/>
            <w:vAlign w:val="bottom"/>
            <w:shd w:val="clear" w:color="auto" w:fill="CFF0FC"/>
          </w:tcPr>
          <w:p>
            <w:pPr>
              <w:spacing w:after="0"/>
              <w:rPr>
                <w:sz w:val="20"/>
                <w:szCs w:val="20"/>
                <w:color w:val="auto"/>
              </w:rPr>
            </w:pPr>
            <w:r>
              <w:rPr>
                <w:rFonts w:ascii="Arial" w:cs="Arial" w:eastAsia="Arial" w:hAnsi="Arial"/>
                <w:sz w:val="14"/>
                <w:szCs w:val="14"/>
                <w:color w:val="auto"/>
              </w:rPr>
              <w:t>Other</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55"/>
        </w:trPr>
        <w:tc>
          <w:tcPr>
            <w:tcW w:w="3400" w:type="dxa"/>
            <w:vAlign w:val="bottom"/>
          </w:tcPr>
          <w:p>
            <w:pPr>
              <w:spacing w:after="0" w:line="155" w:lineRule="exact"/>
              <w:rPr>
                <w:sz w:val="20"/>
                <w:szCs w:val="20"/>
                <w:color w:val="auto"/>
              </w:rPr>
            </w:pPr>
            <w:r>
              <w:rPr>
                <w:rFonts w:ascii="Arial" w:cs="Arial" w:eastAsia="Arial" w:hAnsi="Arial"/>
                <w:sz w:val="14"/>
                <w:szCs w:val="14"/>
                <w:color w:val="auto"/>
              </w:rPr>
              <w:t>Balance at June 30, 2020</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39,926</w:t>
            </w:r>
          </w:p>
        </w:tc>
        <w:tc>
          <w:tcPr>
            <w:tcW w:w="180" w:type="dxa"/>
            <w:vAlign w:val="bottom"/>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(1,966)</w:t>
            </w:r>
          </w:p>
        </w:tc>
        <w:tc>
          <w:tcPr>
            <w:tcW w:w="5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3,000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3,991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196,703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19,810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(12,884)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210,620</w:t>
            </w:r>
          </w:p>
        </w:tc>
        <w:tc>
          <w:tcPr>
            <w:tcW w:w="100" w:type="dxa"/>
            <w:vAlign w:val="bottom"/>
          </w:tcPr>
          <w:p>
            <w:pPr>
              <w:spacing w:after="0"/>
              <w:rPr>
                <w:sz w:val="13"/>
                <w:szCs w:val="13"/>
                <w:color w:val="auto"/>
              </w:rPr>
            </w:pPr>
          </w:p>
        </w:tc>
      </w:tr>
      <w:tr>
        <w:trPr>
          <w:trHeight w:val="162"/>
        </w:trPr>
        <w:tc>
          <w:tcPr>
            <w:tcW w:w="340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(20,402)</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(20,402)</w:t>
            </w:r>
          </w:p>
        </w:tc>
      </w:tr>
      <w:tr>
        <w:trPr>
          <w:trHeight w:val="143"/>
        </w:trPr>
        <w:tc>
          <w:tcPr>
            <w:tcW w:w="3400" w:type="dxa"/>
            <w:vAlign w:val="bottom"/>
          </w:tcPr>
          <w:p>
            <w:pPr>
              <w:spacing w:after="0" w:line="143" w:lineRule="exact"/>
              <w:rPr>
                <w:sz w:val="20"/>
                <w:szCs w:val="20"/>
                <w:color w:val="auto"/>
              </w:rPr>
            </w:pPr>
            <w:r>
              <w:rPr>
                <w:rFonts w:ascii="Arial" w:cs="Arial" w:eastAsia="Arial" w:hAnsi="Arial"/>
                <w:sz w:val="14"/>
                <w:szCs w:val="14"/>
                <w:color w:val="auto"/>
              </w:rPr>
              <w:t>Dividend accrued on redeemable</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400" w:type="dxa"/>
            <w:vAlign w:val="bottom"/>
          </w:tcPr>
          <w:p>
            <w:pPr>
              <w:ind w:left="120"/>
              <w:spacing w:after="0"/>
              <w:rPr>
                <w:sz w:val="20"/>
                <w:szCs w:val="20"/>
                <w:color w:val="auto"/>
              </w:rPr>
            </w:pPr>
            <w:r>
              <w:rPr>
                <w:rFonts w:ascii="Arial" w:cs="Arial" w:eastAsia="Arial" w:hAnsi="Arial"/>
                <w:sz w:val="14"/>
                <w:szCs w:val="14"/>
                <w:color w:val="auto"/>
              </w:rPr>
              <w:t>preferred stock</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(8,889)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(8,889)</w:t>
            </w:r>
          </w:p>
        </w:tc>
      </w:tr>
      <w:tr>
        <w:trPr>
          <w:trHeight w:val="162"/>
        </w:trPr>
        <w:tc>
          <w:tcPr>
            <w:tcW w:w="3400" w:type="dxa"/>
            <w:vAlign w:val="bottom"/>
            <w:shd w:val="clear" w:color="auto" w:fill="CFF0FC"/>
          </w:tcPr>
          <w:p>
            <w:pPr>
              <w:spacing w:after="0"/>
              <w:rPr>
                <w:sz w:val="20"/>
                <w:szCs w:val="20"/>
                <w:color w:val="auto"/>
              </w:rPr>
            </w:pPr>
            <w:r>
              <w:rPr>
                <w:rFonts w:ascii="Arial" w:cs="Arial" w:eastAsia="Arial" w:hAnsi="Arial"/>
                <w:sz w:val="14"/>
                <w:szCs w:val="14"/>
                <w:color w:val="auto"/>
              </w:rPr>
              <w:t>Accretion of redeemable preferred stock</w:t>
            </w: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(508)</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(508)</w:t>
            </w:r>
          </w:p>
        </w:tc>
      </w:tr>
      <w:tr>
        <w:trPr>
          <w:trHeight w:val="162"/>
        </w:trPr>
        <w:tc>
          <w:tcPr>
            <w:tcW w:w="34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Stock-based compensation</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w:t>
            </w: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w:t>
            </w:r>
          </w:p>
        </w:tc>
        <w:tc>
          <w:tcPr>
            <w:tcW w:w="100" w:type="dxa"/>
            <w:vAlign w:val="bottom"/>
            <w:tcBorders>
              <w:bottom w:val="single" w:sz="8" w:color="CFF0FC"/>
            </w:tcBorders>
          </w:tcPr>
          <w:p>
            <w:pPr>
              <w:spacing w:after="0"/>
              <w:rPr>
                <w:sz w:val="14"/>
                <w:szCs w:val="14"/>
                <w:color w:val="auto"/>
              </w:rPr>
            </w:pPr>
          </w:p>
        </w:tc>
      </w:tr>
      <w:tr>
        <w:trPr>
          <w:trHeight w:val="155"/>
        </w:trPr>
        <w:tc>
          <w:tcPr>
            <w:tcW w:w="340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September 30, 2020</w:t>
            </w:r>
          </w:p>
        </w:tc>
        <w:tc>
          <w:tcPr>
            <w:tcW w:w="7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39,926</w:t>
            </w:r>
          </w:p>
        </w:tc>
        <w:tc>
          <w:tcPr>
            <w:tcW w:w="18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(1,966)</w:t>
            </w:r>
          </w:p>
        </w:tc>
        <w:tc>
          <w:tcPr>
            <w:tcW w:w="5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3,000</w:t>
            </w:r>
          </w:p>
        </w:tc>
        <w:tc>
          <w:tcPr>
            <w:tcW w:w="1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3,991</w:t>
            </w:r>
          </w:p>
        </w:tc>
        <w:tc>
          <w:tcPr>
            <w:tcW w:w="1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197,150</w:t>
            </w: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(9,989)</w:t>
            </w:r>
          </w:p>
        </w:tc>
        <w:tc>
          <w:tcPr>
            <w:tcW w:w="1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(12,884</w:t>
            </w:r>
          </w:p>
        </w:tc>
        <w:tc>
          <w:tcPr>
            <w:tcW w:w="1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181,268</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20"/>
        </w:trPr>
        <w:tc>
          <w:tcPr>
            <w:tcW w:w="3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60" w:type="dxa"/>
            <w:vAlign w:val="bottom"/>
            <w:gridSpan w:val="3"/>
          </w:tcPr>
          <w:p>
            <w:pPr>
              <w:jc w:val="center"/>
              <w:spacing w:after="0"/>
              <w:rPr>
                <w:sz w:val="20"/>
                <w:szCs w:val="20"/>
                <w:color w:val="auto"/>
              </w:rPr>
            </w:pPr>
            <w:r>
              <w:rPr>
                <w:rFonts w:ascii="Arial" w:cs="Arial" w:eastAsia="Arial" w:hAnsi="Arial"/>
                <w:sz w:val="18"/>
                <w:szCs w:val="18"/>
                <w:color w:val="auto"/>
                <w:w w:val="91"/>
              </w:rPr>
              <w:t>Nine Months Ended</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2021</w:t>
            </w:r>
          </w:p>
        </w:tc>
        <w:tc>
          <w:tcPr>
            <w:tcW w:w="1460" w:type="dxa"/>
            <w:vAlign w:val="bottom"/>
            <w:gridSpan w:val="3"/>
          </w:tcPr>
          <w:p>
            <w:pPr>
              <w:jc w:val="center"/>
              <w:spacing w:after="0"/>
              <w:rPr>
                <w:sz w:val="20"/>
                <w:szCs w:val="20"/>
                <w:color w:val="auto"/>
              </w:rPr>
            </w:pPr>
            <w:r>
              <w:rPr>
                <w:rFonts w:ascii="Arial" w:cs="Arial" w:eastAsia="Arial" w:hAnsi="Arial"/>
                <w:sz w:val="18"/>
                <w:szCs w:val="18"/>
                <w:color w:val="auto"/>
                <w:w w:val="88"/>
              </w:rPr>
              <w:t>September 30,</w:t>
            </w:r>
          </w:p>
        </w:tc>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gridSpan w:val="3"/>
          </w:tcPr>
          <w:p>
            <w:pPr>
              <w:jc w:val="center"/>
              <w:spacing w:after="0"/>
              <w:rPr>
                <w:sz w:val="20"/>
                <w:szCs w:val="20"/>
                <w:color w:val="auto"/>
              </w:rPr>
            </w:pPr>
            <w:r>
              <w:rPr>
                <w:rFonts w:ascii="Arial" w:cs="Arial" w:eastAsia="Arial" w:hAnsi="Arial"/>
                <w:sz w:val="16"/>
                <w:szCs w:val="16"/>
                <w:color w:val="auto"/>
                <w:w w:val="92"/>
              </w:rPr>
              <w:t>(In Thousands)</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income (loss)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1,463</w:t>
            </w:r>
          </w:p>
        </w:tc>
        <w:tc>
          <w:tcPr>
            <w:tcW w:w="28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(40,219)</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394</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(3,054)</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extinguishment of debt</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(10,000)</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Depreciation and amortization of property, plant and equipment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51,380</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51,957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and other assets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4,328</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3,184</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Cash provided (used) by changes in assets and liabilities: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(22,130)</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(1,860)</w:t>
            </w: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1,637</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insurance</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10,436</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9,432</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(11,269)</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interest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10,321</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Accrued payroll and benefits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9,938</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 and other liabilities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(5,856)</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(4,579)</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65,471</w:t>
            </w:r>
          </w:p>
        </w:tc>
        <w:tc>
          <w:tcPr>
            <w:tcW w:w="2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Expenditures for property, plant and equipment</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(26,101)</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(22,230)</w:t>
            </w:r>
          </w:p>
        </w:tc>
        <w:tc>
          <w:tcPr>
            <w:tcW w:w="0" w:type="dxa"/>
            <w:vAlign w:val="bottom"/>
          </w:tcPr>
          <w:p>
            <w:pPr>
              <w:spacing w:after="0"/>
              <w:rPr>
                <w:sz w:val="1"/>
                <w:szCs w:val="1"/>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Proceeds from vendor settlements associated with</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property, plant and equipment</w:t>
            </w:r>
          </w:p>
        </w:tc>
        <w:tc>
          <w:tcPr>
            <w:tcW w:w="96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investing activities</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cash used by investing activities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(25,719)</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revolving debt facility</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Payments on revolving debt facility</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(12,000)</w:t>
            </w: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other long-term debt</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Payments on other long-term debt</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(7,726)</w:t>
            </w: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(18,397)</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of debt-related costs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(611)</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Payments on short-term financing</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(12,493)</w:t>
            </w: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(9,178)</w:t>
            </w: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of costs to exchange redeemable preferred</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stocks for common stock</w:t>
            </w:r>
          </w:p>
        </w:tc>
        <w:tc>
          <w:tcPr>
            <w:tcW w:w="9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(2,076)</w:t>
            </w:r>
          </w:p>
        </w:tc>
        <w:tc>
          <w:tcPr>
            <w:tcW w:w="5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Other financing activities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(255)</w:t>
            </w: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(used) by financing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(23,161)</w:t>
            </w:r>
          </w:p>
        </w:tc>
        <w:tc>
          <w:tcPr>
            <w:tcW w:w="28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14,807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increase in cash and cash equivalents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16,591</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16,264</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32,855</w:t>
            </w:r>
          </w:p>
        </w:tc>
        <w:tc>
          <w:tcPr>
            <w:tcW w:w="28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a complete discussion of our significant accounting policies, refer to the notes to our audited consolidated financial statements included in our Form 10-K for the year ended December 31, 2020 (“2020 Form 10-K”), filed with the Securities and Exchange Commission (“SEC”) on February 25, 2021.</w:t>
      </w:r>
    </w:p>
    <w:p>
      <w:pPr>
        <w:spacing w:after="0" w:line="1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Basis of Consolidation – </w:t>
      </w:r>
      <w:r>
        <w:rPr>
          <w:rFonts w:ascii="Arial" w:cs="Arial" w:eastAsia="Arial" w:hAnsi="Arial"/>
          <w:sz w:val="18"/>
          <w:szCs w:val="18"/>
          <w:color w:val="auto"/>
        </w:rPr>
        <w:t>LSB Industries, Inc. (“LSB”) and its subsidiaries (the “Company,” “we,” “us,” or “our”) are consolidated in the accompanying</w:t>
      </w:r>
      <w:r>
        <w:rPr>
          <w:rFonts w:ascii="Arial" w:cs="Arial" w:eastAsia="Arial" w:hAnsi="Arial"/>
          <w:sz w:val="18"/>
          <w:szCs w:val="18"/>
          <w:b w:val="1"/>
          <w:bCs w:val="1"/>
          <w:color w:val="auto"/>
        </w:rPr>
        <w:t xml:space="preserve"> </w:t>
      </w:r>
      <w:r>
        <w:rPr>
          <w:rFonts w:ascii="Arial" w:cs="Arial" w:eastAsia="Arial" w:hAnsi="Arial"/>
          <w:sz w:val="18"/>
          <w:szCs w:val="18"/>
          <w:color w:val="auto"/>
        </w:rPr>
        <w:t>condensed consolidated financial statements. LSB is a holding company with no significant operations or assets other than cash, cash equivalents, and investments in its subsidiaries. All material intercompany accounts and transactions have been eliminated. Certain prior period amounts reported in our consolidated financial statements and notes thereto have been reclassified to conform to current period presentation, including all share and per share information relating to the stock split in the form of a stock dividend discussed below.</w:t>
      </w:r>
    </w:p>
    <w:p>
      <w:pPr>
        <w:spacing w:after="0" w:line="7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Nature of Business – </w:t>
      </w:r>
      <w:r>
        <w:rPr>
          <w:rFonts w:ascii="Arial" w:cs="Arial" w:eastAsia="Arial" w:hAnsi="Arial"/>
          <w:sz w:val="17"/>
          <w:szCs w:val="17"/>
          <w:color w:val="auto"/>
        </w:rPr>
        <w:t>We are engaged in the manufacture and sale of chemical products. The chemical products we primarily manufacture, market and sell</w:t>
      </w:r>
      <w:r>
        <w:rPr>
          <w:rFonts w:ascii="Arial" w:cs="Arial" w:eastAsia="Arial" w:hAnsi="Arial"/>
          <w:sz w:val="17"/>
          <w:szCs w:val="17"/>
          <w:b w:val="1"/>
          <w:bCs w:val="1"/>
          <w:color w:val="auto"/>
        </w:rPr>
        <w:t xml:space="preserve"> </w:t>
      </w:r>
      <w:r>
        <w:rPr>
          <w:rFonts w:ascii="Arial" w:cs="Arial" w:eastAsia="Arial" w:hAnsi="Arial"/>
          <w:sz w:val="17"/>
          <w:szCs w:val="17"/>
          <w:color w:val="auto"/>
        </w:rPr>
        <w:t>are ammonia, fertilizer grade AN (“HDAN”) and UAN for agricultural applications, high purity and commercial grade ammonia, high purity AN, sulfuric acids, concentrated, blended and regular nitric acid, mixed nitrating acids, carbon dioxide, and diesel exhaust fluid for industrial applications, and industrial grade AN (“LDAN”) and solutions for the mining industry. We manufacture and distribute our products in four facilities; three of which we own and are located in El Dorado, Arkansas (the “El Dorado Facility”); Cherokee, Alabama (the “Cherokee Facility”); and Pryor, Oklahoma (the “Pryor Facility”); and one of which we operate on behalf of a global chemical company in Baytown, Texas</w:t>
      </w:r>
      <w:r>
        <w:rPr>
          <w:rFonts w:ascii="Arial" w:cs="Arial" w:eastAsia="Arial" w:hAnsi="Arial"/>
          <w:sz w:val="17"/>
          <w:szCs w:val="17"/>
          <w:b w:val="1"/>
          <w:bCs w:val="1"/>
          <w:color w:val="auto"/>
        </w:rPr>
        <w:t>.</w:t>
      </w:r>
    </w:p>
    <w:p>
      <w:pPr>
        <w:spacing w:after="0" w:line="6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Sales to customers include farmers, ranchers, fertilizer dealers and distributors primarily in the ranch land and grain production markets in the United States (“U.S.”); industrial users of acids throughout the U.S. and parts of Canada; and explosive manufacturers in the U.S. and parts of Mexico and Canada.</w:t>
      </w:r>
    </w:p>
    <w:p>
      <w:pPr>
        <w:spacing w:after="0" w:line="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our opinion, the unaudited condensed consolidated financial statements of the Company as of September 30, 2021 and for the three and nine months ended September 30, 2021 and 2020 include all adjustments and accruals, consisting of normal, recurring accrual adjustments, which are necessary for a fair presentation of the results for the interim periods. These interim results are not necessarily indicative of results for a full year due, in part, to the seasonality of our sales of agricultural products and the timing of performing our major plant maintenance activities. Our selling seasons for agricultural products are primarily during the spring and fall planting seasons, which typically extend from March through June and from September through November.</w:t>
      </w:r>
    </w:p>
    <w:p>
      <w:pPr>
        <w:spacing w:after="0" w:line="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Certain information and footnote disclosures normally included in financial statements prepared in accordance with U.S. generally accepted accounting principles (“GAAP”) have been condensed or omitted in this Form 10-Q pursuant to the rules and regulations of the SEC. These condensed consolidated financial statements should be read in connection with our audited consolidated financial statements and notes thereto included in our 2020 Form 10-K.</w:t>
      </w:r>
    </w:p>
    <w:p>
      <w:pPr>
        <w:spacing w:after="0" w:line="37"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Use of Estimates – </w:t>
      </w:r>
      <w:r>
        <w:rPr>
          <w:rFonts w:ascii="Arial" w:cs="Arial" w:eastAsia="Arial" w:hAnsi="Arial"/>
          <w:sz w:val="16"/>
          <w:szCs w:val="16"/>
          <w:color w:val="auto"/>
        </w:rPr>
        <w:t>The preparation of condensed consolidated financial statements in conformity with GAAP requires management to make estimates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3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color w:val="auto"/>
        </w:rPr>
        <w:t xml:space="preserve">Increase in Authorized Shares of Common Stock and a Stock Dividend - </w:t>
      </w:r>
      <w:r>
        <w:rPr>
          <w:rFonts w:ascii="Arial" w:cs="Arial" w:eastAsia="Arial" w:hAnsi="Arial"/>
          <w:sz w:val="18"/>
          <w:szCs w:val="18"/>
          <w:color w:val="auto"/>
        </w:rPr>
        <w:t>During the third quarter of 2021, LSB held a Special Meeting of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(the “Special Meeting”). At the Special Meeting, our stockholders approved:</w:t>
      </w:r>
    </w:p>
    <w:p>
      <w:pPr>
        <w:ind w:left="740" w:hanging="368"/>
        <w:spacing w:after="0" w:line="323" w:lineRule="auto"/>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issuance and sale of up to approximately 60.4 million shares of common stock of the Company upon the exchange of all of the outstanding shares of Series E and Series F Redeemable Preferred (see discussion of the exchange transaction (“Exchange Transaction” in Note 2);</w:t>
      </w:r>
    </w:p>
    <w:p>
      <w:pPr>
        <w:spacing w:after="0" w:line="30" w:lineRule="exact"/>
        <w:rPr>
          <w:rFonts w:ascii="Arial" w:cs="Arial" w:eastAsia="Arial" w:hAnsi="Arial"/>
          <w:sz w:val="16"/>
          <w:szCs w:val="16"/>
          <w:color w:val="auto"/>
        </w:rPr>
      </w:pPr>
    </w:p>
    <w:p>
      <w:pPr>
        <w:ind w:left="740" w:hanging="368"/>
        <w:spacing w:after="0" w:line="258"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amending our restated certificate of incorporation to increase the number of authorized shares of our common stock to 150 million shares of common stock;</w:t>
      </w:r>
    </w:p>
    <w:p>
      <w:pPr>
        <w:spacing w:after="0" w:line="1" w:lineRule="exact"/>
        <w:rPr>
          <w:rFonts w:ascii="Arial" w:cs="Arial" w:eastAsia="Arial" w:hAnsi="Arial"/>
          <w:sz w:val="18"/>
          <w:szCs w:val="18"/>
          <w:color w:val="auto"/>
        </w:rPr>
      </w:pPr>
    </w:p>
    <w:p>
      <w:pPr>
        <w:jc w:val="both"/>
        <w:ind w:left="740" w:hanging="368"/>
        <w:spacing w:after="0" w:line="255"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amending the certificate of designations of the Series E Redeemable Preferred to revise the preferential rights of holders of shares of Series E Redeemable Preferred to eliminate the right to participate in connection with the declaration of the proposed common stock dividend with respect to our common stock.</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August 2021, our Board of Directors (“Board”) declared a common stock dividend (“Special Dividend”) contingent on the closing of the Exchange Transaction (as defined below). As a result of the stockholders’ approval and the closing of the Exchange Transaction, such Special Dividend was effected in the form of a stock dividend of 0.3 shares of our common stock, for each outstanding share of common stock (exclusive of common stock held in the treasury and the common shares issued as part of the Exchange Transaction), but the Special Dividend was contingent upon the stockholders’ approval of the proposals noted above. As the result of the stockholders’ approval, the Special Dividend was paid through the issuance of approximately 9.1 million shares of common stock on October 8, 2021 to holders of record of common stock, including certain stock-based awards, on September 24, 2021 (the “Record Date”). Our common stock began trading on a stock dividend-adjusted basis on October 13, 2021. See additional discussion in Note 13 – Subsequent Events.</w:t>
      </w:r>
    </w:p>
    <w:p>
      <w:pPr>
        <w:spacing w:after="0" w:line="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financial reporting purposes, the Special Dividend is accounted for as a stock split in the form of a stock dividend. As a result, all share and per share information herein has been retroactively adjusted to reflect the Special Dividend.</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pursuant to anti-dilution terms included in outstanding cash-based awards, the number of units of cash-based awards increased due to the Special Dividend. As a result, additional expense was recognized due to the Special Dividend. In summary, we recognized approximately $1.3 million expense, of which $0.5 million is classified as cost of sales and $0.8 million is classified as SG&amp;A. See additional discussion relating to these cash-based awards in Note 2.</w:t>
      </w:r>
    </w:p>
    <w:p>
      <w:pPr>
        <w:spacing w:after="0" w:line="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Redeemable Preferred Stocks </w:t>
      </w:r>
      <w:r>
        <w:rPr>
          <w:rFonts w:ascii="Arial" w:cs="Arial" w:eastAsia="Arial" w:hAnsi="Arial"/>
          <w:sz w:val="17"/>
          <w:szCs w:val="17"/>
          <w:color w:val="auto"/>
        </w:rPr>
        <w:t>– Our redeemable preferred stocks that were redeemable outside of our control were classified as temporary/mezzanine</w:t>
      </w:r>
      <w:r>
        <w:rPr>
          <w:rFonts w:ascii="Arial" w:cs="Arial" w:eastAsia="Arial" w:hAnsi="Arial"/>
          <w:sz w:val="17"/>
          <w:szCs w:val="17"/>
          <w:b w:val="1"/>
          <w:bCs w:val="1"/>
          <w:color w:val="auto"/>
        </w:rPr>
        <w:t xml:space="preserve"> </w:t>
      </w:r>
      <w:r>
        <w:rPr>
          <w:rFonts w:ascii="Arial" w:cs="Arial" w:eastAsia="Arial" w:hAnsi="Arial"/>
          <w:sz w:val="17"/>
          <w:szCs w:val="17"/>
          <w:color w:val="auto"/>
        </w:rPr>
        <w:t>equity. The redeemable preferred stocks were recorded at fair value upon issuance, net of issuance costs or discounts. In addition, certain embedded features (“embedded derivative”) included in the Series E Redeemable Preferred required bifurcation and were classified as derivative liabilities. The carrying values of the redeemable preferred stocks were being increased since issuance by periodic accretions (including the amount for dividends earned but not yet declared or paid) using the interest method so that the carrying amount would equal the redemption value as of the earliest possible redemption date by the holder. The accretion was recorded to retained earnings/accumulated deficit. However, during the third quarter of 2021, our redeemable preferred stocks were exchanged into our common stock as discussed in Note 2. As a result, the change in classification of the redeemable preferred stocks from temporary/mezzanine equity to permanent equity was considered an extinguishment. In conjunction with the extinguishment of the redeemable preferred stocks, the then current fair value of the bifurcated embedded derivative was applied to the carrying value of the redeemable preferred stocks at the time of the extinguishment.</w:t>
      </w:r>
    </w:p>
    <w:p>
      <w:pPr>
        <w:spacing w:after="0" w:line="6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Equity Awards </w:t>
      </w:r>
      <w:r>
        <w:rPr>
          <w:rFonts w:ascii="Arial" w:cs="Arial" w:eastAsia="Arial" w:hAnsi="Arial"/>
          <w:sz w:val="18"/>
          <w:szCs w:val="18"/>
          <w:color w:val="auto"/>
        </w:rPr>
        <w:t>– Equity award transactions with employees are measured based on the estimated fair value of the equity awards issued. For equity awards</w:t>
      </w:r>
      <w:r>
        <w:rPr>
          <w:rFonts w:ascii="Arial" w:cs="Arial" w:eastAsia="Arial" w:hAnsi="Arial"/>
          <w:sz w:val="18"/>
          <w:szCs w:val="18"/>
          <w:b w:val="1"/>
          <w:bCs w:val="1"/>
          <w:color w:val="auto"/>
        </w:rPr>
        <w:t xml:space="preserve"> </w:t>
      </w:r>
      <w:r>
        <w:rPr>
          <w:rFonts w:ascii="Arial" w:cs="Arial" w:eastAsia="Arial" w:hAnsi="Arial"/>
          <w:sz w:val="18"/>
          <w:szCs w:val="18"/>
          <w:color w:val="auto"/>
        </w:rPr>
        <w:t>with service conditions that have a graded vesting period, we recognize compensation cost on a straight-line basis over the requisite service period for the entire award. Forfeitures are accounted for as they occur. We may issue new shares of common stock or may use treasury shares associated with the equity awards.</w:t>
      </w:r>
    </w:p>
    <w:p>
      <w:pPr>
        <w:spacing w:after="0" w:line="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January 2021, the compensation committee of our Board of Directors approved the grant of 799,499 shares of time-based restricted stock and 284,810 shares of performance-based restricted stock to certain executives under our 2016 Long Term Incentive Plan. The number of shares has been retroactively adjusted to reflect the Special Dividend as discussed above. The time-based restricted stock shares will vest at the end of each one-year period at the rate of one-third per year for three years, vesting 100% at the end of three years. See Note 2 concerning performance-based restricted stock awards. The unvested restricted shares carry dividend and voting rights contingent upon the vesting and lapsing of restriction. Sales of these shares are restricted prior to the date of vesting. Pursuant to the terms of the underlying restricted stock agreements, unvested restricted shares may immediately vest upon the occurrence of a change in control (as defined by agreement), termination without cause or death.</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See additional discussion relating to equity awards in Note 2.</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Income Taxes – </w:t>
      </w:r>
      <w:r>
        <w:rPr>
          <w:rFonts w:ascii="Arial" w:cs="Arial" w:eastAsia="Arial" w:hAnsi="Arial"/>
          <w:sz w:val="17"/>
          <w:szCs w:val="17"/>
          <w:color w:val="auto"/>
        </w:rPr>
        <w:t>Income taxes are accounted for under the asset and liability method. Deferred tax assets and liabilities are measured using enacted tax</w:t>
      </w:r>
      <w:r>
        <w:rPr>
          <w:rFonts w:ascii="Arial" w:cs="Arial" w:eastAsia="Arial" w:hAnsi="Arial"/>
          <w:sz w:val="17"/>
          <w:szCs w:val="17"/>
          <w:b w:val="1"/>
          <w:bCs w:val="1"/>
          <w:color w:val="auto"/>
        </w:rPr>
        <w:t xml:space="preserve"> </w:t>
      </w:r>
      <w:r>
        <w:rPr>
          <w:rFonts w:ascii="Arial" w:cs="Arial" w:eastAsia="Arial" w:hAnsi="Arial"/>
          <w:sz w:val="17"/>
          <w:szCs w:val="17"/>
          <w:color w:val="auto"/>
        </w:rPr>
        <w:t>rates expected to apply to taxable income in the years in which those differences are expected to be recovered or settled. The effect on deferred tax assets and liabilities of a change in tax rates is recognized in the statement of operations in the period that includes the enactment date. We establish valuation allowances if we believe it is more-likely-than-not that some or all of deferred tax assets will not be realized. Significant judgment is applied in evaluating the need for and the magnitude of appropriate valuation allowances against deferred tax assets.</w:t>
      </w:r>
    </w:p>
    <w:p>
      <w:pPr>
        <w:spacing w:after="0" w:line="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do not recognize a tax benefit unless we conclude that it is more likely than not that the benefit will be sustained on audit by the relevant taxing authorities based solely on the technical merits of the associated tax position. If the recognition threshold is met, we recognize a tax benefit measured at the largest amount of the tax benefit that, in our judgment, is greater than 50% likely to be realized.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reduce income tax expense for investment tax credits in the period the credit arises and is earned.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Contingencies </w:t>
      </w:r>
      <w:r>
        <w:rPr>
          <w:rFonts w:ascii="Arial" w:cs="Arial" w:eastAsia="Arial" w:hAnsi="Arial"/>
          <w:sz w:val="18"/>
          <w:szCs w:val="18"/>
          <w:color w:val="auto"/>
        </w:rPr>
        <w:t>– Certain conditions may exist which may result in a loss, but which will only be resolved when future events occur. We and our legal</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assess such contingent liabilities, and such assessment inherently involves an exercise of judgment. If the assessment of a contingency indicates that it is probable that a loss has been incurred, we would accrue for such contingent losses when such losses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when the contingencies have been resolved (generally at the time a settlement has been reached).</w:t>
      </w:r>
    </w:p>
    <w:p>
      <w:pPr>
        <w:spacing w:after="0" w:line="80"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b w:val="1"/>
          <w:bCs w:val="1"/>
          <w:color w:val="auto"/>
        </w:rPr>
        <w:t xml:space="preserve">Derivatives, Hedges and Financial Instruments </w:t>
      </w:r>
      <w:r>
        <w:rPr>
          <w:rFonts w:ascii="Arial" w:cs="Arial" w:eastAsia="Arial" w:hAnsi="Arial"/>
          <w:sz w:val="17"/>
          <w:szCs w:val="17"/>
          <w:color w:val="auto"/>
        </w:rPr>
        <w:t>– Derivatives are recognized in the balance sheet and are measured at fair value. Changes in fair value</w:t>
      </w:r>
      <w:r>
        <w:rPr>
          <w:rFonts w:ascii="Arial" w:cs="Arial" w:eastAsia="Arial" w:hAnsi="Arial"/>
          <w:sz w:val="17"/>
          <w:szCs w:val="17"/>
          <w:b w:val="1"/>
          <w:bCs w:val="1"/>
          <w:color w:val="auto"/>
        </w:rPr>
        <w:t xml:space="preserve"> </w:t>
      </w:r>
      <w:r>
        <w:rPr>
          <w:rFonts w:ascii="Arial" w:cs="Arial" w:eastAsia="Arial" w:hAnsi="Arial"/>
          <w:sz w:val="17"/>
          <w:szCs w:val="17"/>
          <w:color w:val="auto"/>
        </w:rPr>
        <w:t>of derivatives are recorded in results of operations unless the normal purchase or sale exceptions apply, or hedge accounting is elected.</w:t>
      </w:r>
    </w:p>
    <w:p>
      <w:pPr>
        <w:spacing w:after="0" w:line="3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fair value amounts recognized for our derivative contracts executed with the same counterparty under a master netting arrangement may be offset. We have the choice to offset or not, but that choice must be applied consistently. A master netting arrangement exists if the reporting entity has multiple contracts with a single counterparty that are subject to a contractual agreement that provides for the net settlement of all contracts through a single payment in a single currency in the event of default on or termination of any one contract. Offsetting the fair values recognized for the derivative contracts outstanding with a single counterparty results in the net fair value of the transactions being reported as an asset or a liability in the balance sheet. When applicable, we present the fair values of our derivative contracts under master netting agreements using a gross fair value presentation.</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Assets and liabilities measured at fair value are classified using the following hierarchy, which is based upon the transparency of inputs to the valuation as of the measurement date:</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Valuations of contracts classified as Level 1 are based on quoted prices in active markets for identical contracts.</w:t>
      </w:r>
    </w:p>
    <w:p>
      <w:pPr>
        <w:spacing w:after="0" w:line="117" w:lineRule="exact"/>
        <w:rPr>
          <w:sz w:val="20"/>
          <w:szCs w:val="20"/>
          <w:color w:val="auto"/>
        </w:rPr>
      </w:pPr>
    </w:p>
    <w:p>
      <w:pPr>
        <w:ind w:left="380"/>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Valuations of contracts classified as Level 2 are based on quoted prices for similar contracts and valuation inputs other than quoted prices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observable for these contracts.</w:t>
      </w:r>
    </w:p>
    <w:p>
      <w:pPr>
        <w:spacing w:after="0" w:line="54" w:lineRule="exact"/>
        <w:rPr>
          <w:sz w:val="20"/>
          <w:szCs w:val="20"/>
          <w:color w:val="auto"/>
        </w:rPr>
      </w:pPr>
    </w:p>
    <w:p>
      <w:pPr>
        <w:ind w:left="380"/>
        <w:spacing w:after="0" w:line="282"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Valuations of assets and liabilities classified as Level 3 are based on prices or valuation techniques that require inputs that are both</w:t>
      </w:r>
      <w:r>
        <w:rPr>
          <w:rFonts w:ascii="Arial" w:cs="Arial" w:eastAsia="Arial" w:hAnsi="Arial"/>
          <w:sz w:val="18"/>
          <w:szCs w:val="18"/>
          <w:b w:val="1"/>
          <w:bCs w:val="1"/>
          <w:color w:val="auto"/>
        </w:rPr>
        <w:t xml:space="preserve"> </w:t>
      </w:r>
      <w:r>
        <w:rPr>
          <w:rFonts w:ascii="Arial" w:cs="Arial" w:eastAsia="Arial" w:hAnsi="Arial"/>
          <w:sz w:val="18"/>
          <w:szCs w:val="18"/>
          <w:color w:val="auto"/>
        </w:rPr>
        <w:t>unobservable and significant to the overall fair value measurement.</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September 30, 2021, and December 31, 2020, we did not have any financial instruments with fair values materially different from their carrying amounts (which excludes issuance costs, if applicable). The fair value of financial instruments is not indicative of the overall fair value of our assets and liabilities since financial instruments do not include all assets, including intangibles, and all liabilities.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Performance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23" w:lineRule="exact"/>
        <w:rPr>
          <w:sz w:val="20"/>
          <w:szCs w:val="20"/>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1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the unit of account. A contract’s transaction price is allocated to each distinct performance obligation and recognized as revenue when, or as, the performance obligation is satisfied. Generally, satisfaction occurs when control of the promised goods is transferred to the customer or as services are rendered or completed in exchange for consideration in an amount for which we expect to be entitled. Generally, control is transferred when the preparation for shipment of the product to a customer has been completed. Most of our contracts contain a single performance obligation with the promise to transfer a specific product.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of our revenue is recognized from performance obligations satisfied at a point in time, however, we have a performance obligation to perform certain services that are satisfied over a period of time. Revenue is recognized from this type of performance obligation as services are rendered and are based on the amount for which we have a right to invoice, which reflects the amount of expected consideration that corresponds directly with the value of the services performed.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Constraints and Variable Consideration</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most of our contracts with customers, the transaction price from the inception of a contract is constrained to a short period of time (generally one month) as these contracts contain terms with variable consideration related to both price and quantity. These contract prices are often based on commodity indexes (such as NYMEX natural gas index) published monthly and the contract quantities are typically based on estimated ranges. The quantities become fixed and determinable over a period of time as each sale order is received from the customer.</w:t>
      </w:r>
    </w:p>
    <w:p>
      <w:pPr>
        <w:spacing w:after="0" w:line="2"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The nature of our contracts also gives rise to other types of variable consideration, including volume discounts and rebates, make-whole provisions, other pricing concessions, and short-fall charges. We estimate these amounts based on the expected amount to be provided to customers, which result in a transaction price adjustment reducing revenue (net sales) with the offset increasing contract or refund liabilities. These estimates are based on historical experience, anticipated performance and our best judgment at the time. We reassess these estimates on a quarterly basis.</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aforementioned constraints over transaction prices in conjunction with the variable consideration included in our material contracts prevent a practical assignment of a specific dollar amount to performance obligations at the beginning and end of the period. Therefore, we have applied the variable consideration allocation exception.</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revenues to be earned from the satisfaction of performance obligations will be recognized when control transfers as goods are loaded and weighed or services are performed over the remaining duration of our contracts.</w:t>
      </w:r>
    </w:p>
    <w:p>
      <w:pPr>
        <w:spacing w:after="0" w:line="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Income (Loss) per Common Share </w:t>
      </w:r>
      <w:r>
        <w:rPr>
          <w:rFonts w:ascii="Arial" w:cs="Arial" w:eastAsia="Arial" w:hAnsi="Arial"/>
          <w:sz w:val="17"/>
          <w:szCs w:val="17"/>
          <w:color w:val="auto"/>
        </w:rPr>
        <w:t>– Net income (loss) attributable to common stockholders is computed by adjusting net income (loss) by the amount of</w:t>
      </w:r>
      <w:r>
        <w:rPr>
          <w:rFonts w:ascii="Arial" w:cs="Arial" w:eastAsia="Arial" w:hAnsi="Arial"/>
          <w:sz w:val="17"/>
          <w:szCs w:val="17"/>
          <w:b w:val="1"/>
          <w:bCs w:val="1"/>
          <w:color w:val="auto"/>
        </w:rPr>
        <w:t xml:space="preserve"> </w:t>
      </w:r>
      <w:r>
        <w:rPr>
          <w:rFonts w:ascii="Arial" w:cs="Arial" w:eastAsia="Arial" w:hAnsi="Arial"/>
          <w:sz w:val="17"/>
          <w:szCs w:val="17"/>
          <w:color w:val="auto"/>
        </w:rPr>
        <w:t>dividends and dividend requirements (including the deemed dividend discussed in Note 2) on preferred stocks and the accretion of redeemable preferred stocks, if applicable. Basic loss per common share is computed by dividing net loss attributable to common stockholders by the weighted average number of common shares outstanding, excluding contingently issuable common shares (unvested restricted stock), if applicable. For periods we earn net income, a proportional share of net income is allocated to participating securities, if applicable and dilutive, determined by dividing total weighted average participating securities by the sum of the total weighted average common shares and participating securities (the “two-class method”). Certain securities (Series E Redeemable Preferred prior to the Exchange Transaction and restricted stock units) participate in dividends declared on our common stock and are therefore considered to be participating securities.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Participating securities have the effect of diluting both basic and diluted income per common share during periods of net income. For periods we incur a net loss, no loss is allocated to participating securities because they have no contractual obligation to share in our losses. Diluted loss per common share is computed after giving consideration to the dilutive effect of our potential common stock instruments that are outstanding during the period, except where such non-participating securities would be anti-dilutive.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ind w:right="6700" w:firstLine="8"/>
        <w:spacing w:after="0" w:line="422" w:lineRule="auto"/>
        <w:tabs>
          <w:tab w:leader="none" w:pos="225"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(continued) Recently Adopted Accounting Pronouncement</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ASU 2019-12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December 2019, the FASB issued ASU 2019-12,</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b w:val="1"/>
          <w:bCs w:val="1"/>
          <w:color w:val="auto"/>
        </w:rPr>
        <w:t xml:space="preserve"> </w:t>
      </w:r>
      <w:r>
        <w:rPr>
          <w:rFonts w:ascii="Arial" w:cs="Arial" w:eastAsia="Arial" w:hAnsi="Arial"/>
          <w:sz w:val="18"/>
          <w:szCs w:val="18"/>
          <w:color w:val="auto"/>
        </w:rPr>
        <w:t>which</w:t>
      </w:r>
      <w:r>
        <w:rPr>
          <w:rFonts w:ascii="Arial" w:cs="Arial" w:eastAsia="Arial" w:hAnsi="Arial"/>
          <w:sz w:val="18"/>
          <w:szCs w:val="18"/>
          <w:b w:val="1"/>
          <w:bCs w:val="1"/>
          <w:color w:val="auto"/>
        </w:rPr>
        <w:t xml:space="preserve"> </w:t>
      </w:r>
      <w:r>
        <w:rPr>
          <w:rFonts w:ascii="Arial" w:cs="Arial" w:eastAsia="Arial" w:hAnsi="Arial"/>
          <w:sz w:val="18"/>
          <w:szCs w:val="18"/>
          <w:color w:val="auto"/>
        </w:rPr>
        <w:t>affects general principles within Topic 740, Income Taxes. The amendments of ASU 2019-12 are meant to simplify and reduce the cost of accounting for income taxes. The ASU removes certain exceptions to the general framework and also seeks to simplify and/or clarify accounting for income taxes by adding certain requirements that would simplify GAAP for financial statement preparers. On January 1, 2021, we adopted ASU 2019-12, which did not have a material impact on our condensed consolidated financial statements or related disclosures.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ASU 2020-06 </w:t>
      </w:r>
      <w:r>
        <w:rPr>
          <w:rFonts w:ascii="Arial" w:cs="Arial" w:eastAsia="Arial" w:hAnsi="Arial"/>
          <w:sz w:val="18"/>
          <w:szCs w:val="18"/>
          <w:color w:val="auto"/>
        </w:rPr>
        <w:t>- In August 2020, the FASB issued ASU 2020-06,</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252525"/>
        </w:rPr>
        <w:t>Debt-Debt with Conversion and other Options (Subtopic 470-20) and Derivatives and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252525"/>
        </w:rPr>
        <w:t>Hedging – Contracts in Entity’s own Equity (Subtopic 815-40)</w:t>
      </w:r>
      <w:r>
        <w:rPr>
          <w:rFonts w:ascii="Arial" w:cs="Arial" w:eastAsia="Arial" w:hAnsi="Arial"/>
          <w:sz w:val="18"/>
          <w:szCs w:val="18"/>
          <w:color w:val="252525"/>
        </w:rPr>
        <w:t>. This ASU</w:t>
      </w:r>
      <w:r>
        <w:rPr>
          <w:rFonts w:ascii="Arial" w:cs="Arial" w:eastAsia="Arial" w:hAnsi="Arial"/>
          <w:sz w:val="18"/>
          <w:szCs w:val="18"/>
          <w:i w:val="1"/>
          <w:iCs w:val="1"/>
          <w:color w:val="252525"/>
        </w:rPr>
        <w:t xml:space="preserve"> </w:t>
      </w:r>
      <w:r>
        <w:rPr>
          <w:rFonts w:ascii="Arial" w:cs="Arial" w:eastAsia="Arial" w:hAnsi="Arial"/>
          <w:sz w:val="18"/>
          <w:szCs w:val="18"/>
          <w:color w:val="000000"/>
        </w:rPr>
        <w:t>addresses the complexity associated with applying GAAP to certain financial</w:t>
      </w:r>
      <w:r>
        <w:rPr>
          <w:rFonts w:ascii="Arial" w:cs="Arial" w:eastAsia="Arial" w:hAnsi="Arial"/>
          <w:sz w:val="18"/>
          <w:szCs w:val="18"/>
          <w:i w:val="1"/>
          <w:iCs w:val="1"/>
          <w:color w:val="252525"/>
        </w:rPr>
        <w:t xml:space="preserve"> </w:t>
      </w:r>
      <w:r>
        <w:rPr>
          <w:rFonts w:ascii="Arial" w:cs="Arial" w:eastAsia="Arial" w:hAnsi="Arial"/>
          <w:sz w:val="18"/>
          <w:szCs w:val="18"/>
          <w:color w:val="000000"/>
        </w:rPr>
        <w:t>instruments with characteristics of liabilities and equity. The ASU includes amendments to the guidance on convertible instruments and the derivative scope exception for contracts in an entity’s own equity and simplifies the accounting for convertible instruments which include beneficial conversion features or cash conversion features by removing certain separation models. Additionally, the ASU requires entities to use the “if-converted” method when calculating diluted earnings per share for convertible instruments. This ASU will be effective for us on January 1, 2024; however, early adoption is permitted beginning January 1, 2021. We are evaluating the timing and the effect of our pending adoption of this ASU on our consolidated financial statements and related disclosures at this time.</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ASU 2020-04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March 2020, the FASB issued ASU 2020-04</w:t>
      </w:r>
      <w:r>
        <w:rPr>
          <w:rFonts w:ascii="Arial" w:cs="Arial" w:eastAsia="Arial" w:hAnsi="Arial"/>
          <w:sz w:val="18"/>
          <w:szCs w:val="18"/>
          <w:i w:val="1"/>
          <w:iCs w:val="1"/>
          <w:color w:val="auto"/>
        </w:rPr>
        <w:t>, Reference Rate Reform (Topic 848): Facilitation of the Effects of Reference Rate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Reform on Financial Reporting, </w:t>
      </w:r>
      <w:r>
        <w:rPr>
          <w:rFonts w:ascii="Arial" w:cs="Arial" w:eastAsia="Arial" w:hAnsi="Arial"/>
          <w:sz w:val="18"/>
          <w:szCs w:val="18"/>
          <w:color w:val="auto"/>
        </w:rPr>
        <w:t>which provides optional guidance for a limited time to ease the potential accounting burden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transitioning away from reference rates such as LIBOR that are expected to be discontinued. This ASU provides exceptions and optional expedients for applying GAAP to contract modifications, hedging relationships, and other transactions that reference LIBOR or other reference rates to be discontinued as a result of reference rate reform. They do not apply to modifications made or hedges entered into or evaluated after December 31, 2022, unless the hedging relationships existed as of that date and optional expedients for them were elected and retained through the end of the hedging relationship. This ASU became effective upon issuance. We continue to evaluate the effect of this ASU and plan to utilize this relief for our debt agreements that include LIBOR rates.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Redeemable Preferred Stocks Exchanged for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E and Series F Redeemable Preferred Exchanged for Common Stock</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July 2021, we entered into a Securities Exchange Agreement (the “Exchange Agreement”) with LSB Funding (the “Holder”), an affiliate of Eldridge Industries, LLC and other affiliates (together “Eldridge”), which Exchange Agreement was voted on and approved by our stockholders at the Special Meeting as discussed in Note 1. Pursuant to the terms of the Exchange Agreement, the Holder would exchange all of the shares of the Series E and Series F Redeemable Preferred into our common stock based on the liquidation preference (“Liquidation Preference”), at the time of the exchange, and an exchange price of $6.16, which is equal to the 30-day volume weighted average price as of the date of the Exchange Agreement. The Liquidation Preference primarily consists of $1,000 per share of Series E Redeemable Preferred plus accrued and unpaid dividends and the participation rights value.</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September 27, 2021, the closing of the Exchange Agreement occurred, and the Exchange Transaction was consummated. Pursuant to the terms of the Exchange Agreement, the Holder exchanged all of the shares of the Series E and Series F Redeemable Preferred for approximately 49.1 million shares of our common stock.</w:t>
      </w:r>
    </w:p>
    <w:p>
      <w:pPr>
        <w:spacing w:after="0" w:line="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total fair value of the approximately 49.1 million shares of common stock issued was approximately $531.1 million (based on the average per share price on the date of closing). The fair value of the common stock issued was in excess of the Series E and Series F Redeemable Preferred carrying amount, net of the bifurcated embedded derivative and unamortized issuance costs, by approximately $231.8 million and is treated as a deemed dividend. Because we were in an accumulated deficit position on the closing date, the deemed dividend was charged to capital in excess of par value.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Changes in our Series E and Series F Redeemable Preferred (including the bifurcated embedded derivative discussed in Note 7) are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6"/>
          </w:tcPr>
          <w:p>
            <w:pPr>
              <w:jc w:val="right"/>
              <w:ind w:right="1255"/>
              <w:spacing w:after="0"/>
              <w:rPr>
                <w:sz w:val="20"/>
                <w:szCs w:val="20"/>
                <w:color w:val="auto"/>
              </w:rPr>
            </w:pPr>
            <w:r>
              <w:rPr>
                <w:rFonts w:ascii="Arial" w:cs="Arial" w:eastAsia="Arial" w:hAnsi="Arial"/>
                <w:sz w:val="16"/>
                <w:szCs w:val="16"/>
                <w:color w:val="auto"/>
                <w:w w:val="89"/>
              </w:rPr>
              <w:t>Series E Redeemable Preferred</w:t>
            </w:r>
          </w:p>
        </w:tc>
        <w:tc>
          <w:tcPr>
            <w:tcW w:w="280" w:type="dxa"/>
            <w:vAlign w:val="bottom"/>
          </w:tcPr>
          <w:p>
            <w:pPr>
              <w:spacing w:after="0"/>
              <w:rPr>
                <w:sz w:val="18"/>
                <w:szCs w:val="18"/>
                <w:color w:val="auto"/>
              </w:rPr>
            </w:pPr>
          </w:p>
        </w:tc>
        <w:tc>
          <w:tcPr>
            <w:tcW w:w="294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color w:val="auto"/>
                <w:w w:val="88"/>
              </w:rPr>
              <w:t>Series F Redeemable Preferred</w:t>
            </w:r>
          </w:p>
        </w:tc>
        <w:tc>
          <w:tcPr>
            <w:tcW w:w="120" w:type="dxa"/>
            <w:vAlign w:val="bottom"/>
          </w:tcPr>
          <w:p>
            <w:pPr>
              <w:spacing w:after="0"/>
              <w:rPr>
                <w:sz w:val="18"/>
                <w:szCs w:val="18"/>
                <w:color w:val="auto"/>
              </w:rPr>
            </w:pPr>
          </w:p>
        </w:tc>
      </w:tr>
      <w:tr>
        <w:trPr>
          <w:trHeight w:val="203"/>
        </w:trPr>
        <w:tc>
          <w:tcPr>
            <w:tcW w:w="3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2"/>
          </w:tcPr>
          <w:p>
            <w:pPr>
              <w:jc w:val="center"/>
              <w:ind w:right="400"/>
              <w:spacing w:after="0"/>
              <w:rPr>
                <w:sz w:val="20"/>
                <w:szCs w:val="20"/>
                <w:color w:val="auto"/>
              </w:rPr>
            </w:pPr>
            <w:r>
              <w:rPr>
                <w:rFonts w:ascii="Arial" w:cs="Arial" w:eastAsia="Arial" w:hAnsi="Arial"/>
                <w:sz w:val="16"/>
                <w:szCs w:val="16"/>
                <w:color w:val="auto"/>
                <w:w w:val="98"/>
              </w:rPr>
              <w:t>Accrued Liability-</w:t>
            </w: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3200" w:type="dxa"/>
            <w:vAlign w:val="bottom"/>
          </w:tcPr>
          <w:p>
            <w:pPr>
              <w:spacing w:after="0"/>
              <w:rPr>
                <w:sz w:val="18"/>
                <w:szCs w:val="18"/>
                <w:color w:val="auto"/>
              </w:rPr>
            </w:pPr>
          </w:p>
        </w:tc>
        <w:tc>
          <w:tcPr>
            <w:tcW w:w="2720" w:type="dxa"/>
            <w:vAlign w:val="bottom"/>
            <w:tcBorders>
              <w:bottom w:val="single" w:sz="8" w:color="auto"/>
            </w:tcBorders>
            <w:gridSpan w:val="5"/>
          </w:tcPr>
          <w:p>
            <w:pPr>
              <w:jc w:val="right"/>
              <w:ind w:right="330"/>
              <w:spacing w:after="0"/>
              <w:rPr>
                <w:sz w:val="20"/>
                <w:szCs w:val="20"/>
                <w:color w:val="auto"/>
              </w:rPr>
            </w:pPr>
            <w:r>
              <w:rPr>
                <w:rFonts w:ascii="Arial" w:cs="Arial" w:eastAsia="Arial" w:hAnsi="Arial"/>
                <w:sz w:val="16"/>
                <w:szCs w:val="16"/>
                <w:color w:val="auto"/>
              </w:rPr>
              <w:t>Redeemable preferred stocks</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15"/>
              <w:spacing w:after="0"/>
              <w:rPr>
                <w:sz w:val="20"/>
                <w:szCs w:val="20"/>
                <w:color w:val="auto"/>
              </w:rPr>
            </w:pPr>
            <w:r>
              <w:rPr>
                <w:rFonts w:ascii="Arial" w:cs="Arial" w:eastAsia="Arial" w:hAnsi="Arial"/>
                <w:sz w:val="16"/>
                <w:szCs w:val="16"/>
                <w:color w:val="auto"/>
                <w:w w:val="92"/>
              </w:rPr>
              <w:t>Embedded Derivative</w:t>
            </w:r>
          </w:p>
        </w:tc>
        <w:tc>
          <w:tcPr>
            <w:tcW w:w="280" w:type="dxa"/>
            <w:vAlign w:val="bottom"/>
          </w:tcPr>
          <w:p>
            <w:pPr>
              <w:spacing w:after="0"/>
              <w:rPr>
                <w:sz w:val="18"/>
                <w:szCs w:val="18"/>
                <w:color w:val="auto"/>
              </w:rPr>
            </w:pPr>
          </w:p>
        </w:tc>
        <w:tc>
          <w:tcPr>
            <w:tcW w:w="294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color w:val="auto"/>
                <w:w w:val="89"/>
              </w:rPr>
              <w:t>Redeemable preferred stocks</w:t>
            </w:r>
          </w:p>
        </w:tc>
        <w:tc>
          <w:tcPr>
            <w:tcW w:w="120" w:type="dxa"/>
            <w:vAlign w:val="bottom"/>
          </w:tcPr>
          <w:p>
            <w:pPr>
              <w:spacing w:after="0"/>
              <w:rPr>
                <w:sz w:val="18"/>
                <w:szCs w:val="18"/>
                <w:color w:val="auto"/>
              </w:rPr>
            </w:pPr>
          </w:p>
        </w:tc>
      </w:tr>
      <w:tr>
        <w:trPr>
          <w:trHeight w:val="226"/>
        </w:trPr>
        <w:tc>
          <w:tcPr>
            <w:tcW w:w="3200" w:type="dxa"/>
            <w:vAlign w:val="bottom"/>
          </w:tcPr>
          <w:p>
            <w:pPr>
              <w:spacing w:after="0"/>
              <w:rPr>
                <w:sz w:val="19"/>
                <w:szCs w:val="19"/>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Shares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Amount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gridSpan w:val="2"/>
          </w:tcPr>
          <w:p>
            <w:pPr>
              <w:jc w:val="center"/>
              <w:ind w:right="400"/>
              <w:spacing w:after="0"/>
              <w:rPr>
                <w:sz w:val="20"/>
                <w:szCs w:val="20"/>
                <w:color w:val="auto"/>
              </w:rPr>
            </w:pPr>
            <w:r>
              <w:rPr>
                <w:rFonts w:ascii="Arial" w:cs="Arial" w:eastAsia="Arial" w:hAnsi="Arial"/>
                <w:sz w:val="16"/>
                <w:szCs w:val="16"/>
                <w:color w:val="auto"/>
                <w:w w:val="94"/>
              </w:rPr>
              <w:t>Amount</w:t>
            </w:r>
          </w:p>
        </w:tc>
        <w:tc>
          <w:tcPr>
            <w:tcW w:w="1500" w:type="dxa"/>
            <w:vAlign w:val="bottom"/>
            <w:gridSpan w:val="2"/>
          </w:tcPr>
          <w:p>
            <w:pPr>
              <w:jc w:val="right"/>
              <w:ind w:right="680"/>
              <w:spacing w:after="0"/>
              <w:rPr>
                <w:sz w:val="20"/>
                <w:szCs w:val="20"/>
                <w:color w:val="auto"/>
              </w:rPr>
            </w:pPr>
            <w:r>
              <w:rPr>
                <w:rFonts w:ascii="Arial" w:cs="Arial" w:eastAsia="Arial" w:hAnsi="Arial"/>
                <w:sz w:val="16"/>
                <w:szCs w:val="16"/>
                <w:color w:val="auto"/>
              </w:rPr>
              <w:t>Shares</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Arial" w:cs="Arial" w:eastAsia="Arial" w:hAnsi="Arial"/>
                <w:sz w:val="16"/>
                <w:szCs w:val="16"/>
                <w:color w:val="auto"/>
              </w:rPr>
              <w:t>Amount</w:t>
            </w:r>
          </w:p>
        </w:tc>
      </w:tr>
      <w:tr>
        <w:trPr>
          <w:trHeight w:val="204"/>
        </w:trPr>
        <w:tc>
          <w:tcPr>
            <w:tcW w:w="320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6"/>
                <w:szCs w:val="16"/>
                <w:color w:val="auto"/>
                <w:w w:val="97"/>
              </w:rPr>
              <w:t>(Dollars In Thousands)</w:t>
            </w:r>
          </w:p>
        </w:tc>
        <w:tc>
          <w:tcPr>
            <w:tcW w:w="12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35"/>
        </w:trPr>
        <w:tc>
          <w:tcPr>
            <w:tcW w:w="320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1220" w:type="dxa"/>
            <w:vAlign w:val="bottom"/>
          </w:tcPr>
          <w:p>
            <w:pPr>
              <w:jc w:val="right"/>
              <w:spacing w:after="0"/>
              <w:rPr>
                <w:sz w:val="20"/>
                <w:szCs w:val="20"/>
                <w:color w:val="auto"/>
              </w:rPr>
            </w:pPr>
            <w:r>
              <w:rPr>
                <w:rFonts w:ascii="Arial" w:cs="Arial" w:eastAsia="Arial" w:hAnsi="Arial"/>
                <w:sz w:val="18"/>
                <w:szCs w:val="18"/>
                <w:color w:val="auto"/>
              </w:rPr>
              <w:t>139,768</w:t>
            </w:r>
          </w:p>
        </w:tc>
        <w:tc>
          <w:tcPr>
            <w:tcW w:w="100" w:type="dxa"/>
            <w:vAlign w:val="bottom"/>
          </w:tcPr>
          <w:p>
            <w:pPr>
              <w:spacing w:after="0"/>
              <w:rPr>
                <w:sz w:val="20"/>
                <w:szCs w:val="20"/>
                <w:color w:val="auto"/>
              </w:rPr>
            </w:pP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272,101</w:t>
            </w:r>
          </w:p>
        </w:tc>
        <w:tc>
          <w:tcPr>
            <w:tcW w:w="2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1,029</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4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215"/>
        </w:trPr>
        <w:tc>
          <w:tcPr>
            <w:tcW w:w="3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Accretion relating to liquidation</w:t>
            </w: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2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preference on preferred stock</w:t>
            </w: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r>
      <w:tr>
        <w:trPr>
          <w:trHeight w:val="215"/>
        </w:trPr>
        <w:tc>
          <w:tcPr>
            <w:tcW w:w="3200" w:type="dxa"/>
            <w:vAlign w:val="bottom"/>
          </w:tcPr>
          <w:p>
            <w:pPr>
              <w:ind w:left="260"/>
              <w:spacing w:after="0"/>
              <w:rPr>
                <w:sz w:val="20"/>
                <w:szCs w:val="20"/>
                <w:color w:val="auto"/>
              </w:rPr>
            </w:pPr>
            <w:r>
              <w:rPr>
                <w:rFonts w:ascii="Arial" w:cs="Arial" w:eastAsia="Arial" w:hAnsi="Arial"/>
                <w:sz w:val="18"/>
                <w:szCs w:val="18"/>
                <w:color w:val="auto"/>
              </w:rPr>
              <w:t>Accretion for discount and</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Pr>
          <w:p>
            <w:pPr>
              <w:ind w:left="380"/>
              <w:spacing w:after="0"/>
              <w:rPr>
                <w:sz w:val="20"/>
                <w:szCs w:val="20"/>
                <w:color w:val="auto"/>
              </w:rPr>
            </w:pPr>
            <w:r>
              <w:rPr>
                <w:rFonts w:ascii="Arial" w:cs="Arial" w:eastAsia="Arial" w:hAnsi="Arial"/>
                <w:sz w:val="18"/>
                <w:szCs w:val="18"/>
                <w:color w:val="auto"/>
              </w:rPr>
              <w:t>issuance costs on preferred</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200" w:type="dxa"/>
            <w:vAlign w:val="bottom"/>
          </w:tcPr>
          <w:p>
            <w:pPr>
              <w:ind w:left="380"/>
              <w:spacing w:after="0"/>
              <w:rPr>
                <w:sz w:val="20"/>
                <w:szCs w:val="20"/>
                <w:color w:val="auto"/>
              </w:rPr>
            </w:pPr>
            <w:r>
              <w:rPr>
                <w:rFonts w:ascii="Arial" w:cs="Arial" w:eastAsia="Arial" w:hAnsi="Arial"/>
                <w:sz w:val="18"/>
                <w:szCs w:val="18"/>
                <w:color w:val="auto"/>
              </w:rPr>
              <w:t>stock</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709</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230"/>
        </w:trPr>
        <w:tc>
          <w:tcPr>
            <w:tcW w:w="3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dividends</w:t>
            </w: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29,914</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r>
      <w:tr>
        <w:trPr>
          <w:trHeight w:val="215"/>
        </w:trPr>
        <w:tc>
          <w:tcPr>
            <w:tcW w:w="3200" w:type="dxa"/>
            <w:vAlign w:val="bottom"/>
          </w:tcPr>
          <w:p>
            <w:pPr>
              <w:ind w:left="260"/>
              <w:spacing w:after="0"/>
              <w:rPr>
                <w:sz w:val="20"/>
                <w:szCs w:val="20"/>
                <w:color w:val="auto"/>
              </w:rPr>
            </w:pPr>
            <w:r>
              <w:rPr>
                <w:rFonts w:ascii="Arial" w:cs="Arial" w:eastAsia="Arial" w:hAnsi="Arial"/>
                <w:sz w:val="18"/>
                <w:szCs w:val="18"/>
                <w:color w:val="auto"/>
              </w:rPr>
              <w:t>Change in fair value of</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200" w:type="dxa"/>
            <w:vAlign w:val="bottom"/>
          </w:tcPr>
          <w:p>
            <w:pPr>
              <w:ind w:left="380"/>
              <w:spacing w:after="0"/>
              <w:rPr>
                <w:sz w:val="20"/>
                <w:szCs w:val="20"/>
                <w:color w:val="auto"/>
              </w:rPr>
            </w:pPr>
            <w:r>
              <w:rPr>
                <w:rFonts w:ascii="Arial" w:cs="Arial" w:eastAsia="Arial" w:hAnsi="Arial"/>
                <w:sz w:val="18"/>
                <w:szCs w:val="18"/>
                <w:color w:val="auto"/>
              </w:rPr>
              <w:t>embedded derivative</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2,258</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215"/>
        </w:trPr>
        <w:tc>
          <w:tcPr>
            <w:tcW w:w="3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Costs relating to exchange</w:t>
            </w: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2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transaction</w:t>
            </w: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(7,497)</w:t>
            </w:r>
          </w:p>
        </w:tc>
        <w:tc>
          <w:tcPr>
            <w:tcW w:w="10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15"/>
        </w:trPr>
        <w:tc>
          <w:tcPr>
            <w:tcW w:w="3200" w:type="dxa"/>
            <w:vAlign w:val="bottom"/>
          </w:tcPr>
          <w:p>
            <w:pPr>
              <w:ind w:left="260"/>
              <w:spacing w:after="0"/>
              <w:rPr>
                <w:sz w:val="20"/>
                <w:szCs w:val="20"/>
                <w:color w:val="auto"/>
              </w:rPr>
            </w:pPr>
            <w:r>
              <w:rPr>
                <w:rFonts w:ascii="Arial" w:cs="Arial" w:eastAsia="Arial" w:hAnsi="Arial"/>
                <w:sz w:val="18"/>
                <w:szCs w:val="18"/>
                <w:color w:val="auto"/>
              </w:rPr>
              <w:t>Exchange of preferred stock</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200" w:type="dxa"/>
            <w:vAlign w:val="bottom"/>
          </w:tcPr>
          <w:p>
            <w:pPr>
              <w:ind w:left="380"/>
              <w:spacing w:after="0"/>
              <w:rPr>
                <w:sz w:val="20"/>
                <w:szCs w:val="20"/>
                <w:color w:val="auto"/>
              </w:rPr>
            </w:pPr>
            <w:r>
              <w:rPr>
                <w:rFonts w:ascii="Arial" w:cs="Arial" w:eastAsia="Arial" w:hAnsi="Arial"/>
                <w:sz w:val="18"/>
                <w:szCs w:val="18"/>
                <w:color w:val="auto"/>
              </w:rPr>
              <w:t>for common stock</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(139,768)</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(296,041)</w:t>
            </w:r>
          </w:p>
        </w:tc>
        <w:tc>
          <w:tcPr>
            <w:tcW w:w="100" w:type="dxa"/>
            <w:vAlign w:val="bottom"/>
          </w:tcPr>
          <w:p>
            <w:pPr>
              <w:spacing w:after="0"/>
              <w:rPr>
                <w:sz w:val="20"/>
                <w:szCs w:val="20"/>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(3,287)</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223"/>
        </w:trPr>
        <w:tc>
          <w:tcPr>
            <w:tcW w:w="3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2021</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3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3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Redeemable Preferred Stocks Exchanged for Common Stock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the result of the Exchange Transaction discussed above, Eldridge held over 60% of our outstanding shares of common stock on the closing date. As a result, a change of control (“CoC”) event occurred as defined in certain agreements, including the following: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Restricted Stock</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terms of the performance-based awards outstanding as of the CoC event, approximately 300,000 shares of restricted stock were issued including the satisfaction of certain performance conditions above the target performance level. Such restricted stock is subject to the time-based vesting conditions set forth in the applicable award agreement and the 2016 Long Term Incentive Plan. Due to the issuance of the restricted stock, we recognized an additional $1.7 million of stock-based compensation (classified as SG&amp;A).</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Cash-Based Awards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the terms of the cash-based awards outstanding as of the CoC event, all such awards immediately vested. As a result of the vesting, we recognized an additional $2.0 million expense, of which $0.7 million is classified as cost of sales and $1.3 million is classified as SG&amp;A. At September 30, 2021 and December 31, 2020, our liability for these cash-based awards was approximately $5.4 million and $0.4 million, respectively.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Loss Per Common Share</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5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gridSpan w:val="5"/>
          </w:tcPr>
          <w:p>
            <w:pPr>
              <w:jc w:val="right"/>
              <w:ind w:right="60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19"/>
                <w:szCs w:val="19"/>
                <w:color w:val="auto"/>
              </w:rPr>
            </w:pPr>
          </w:p>
        </w:tc>
        <w:tc>
          <w:tcPr>
            <w:tcW w:w="2240" w:type="dxa"/>
            <w:vAlign w:val="bottom"/>
            <w:gridSpan w:val="5"/>
          </w:tcPr>
          <w:p>
            <w:pPr>
              <w:jc w:val="right"/>
              <w:ind w:right="520"/>
              <w:spacing w:after="0"/>
              <w:rPr>
                <w:sz w:val="20"/>
                <w:szCs w:val="20"/>
                <w:color w:val="auto"/>
              </w:rPr>
            </w:pPr>
            <w:r>
              <w:rPr>
                <w:rFonts w:ascii="Arial" w:cs="Arial" w:eastAsia="Arial" w:hAnsi="Arial"/>
                <w:sz w:val="18"/>
                <w:szCs w:val="18"/>
                <w:color w:val="auto"/>
              </w:rPr>
              <w:t>Nine Months Ended</w:t>
            </w:r>
          </w:p>
        </w:tc>
      </w:tr>
      <w:tr>
        <w:trPr>
          <w:trHeight w:val="230"/>
        </w:trPr>
        <w:tc>
          <w:tcPr>
            <w:tcW w:w="5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gridSpan w:val="5"/>
          </w:tcPr>
          <w:p>
            <w:pPr>
              <w:jc w:val="right"/>
              <w:ind w:right="840"/>
              <w:spacing w:after="0"/>
              <w:rPr>
                <w:sz w:val="20"/>
                <w:szCs w:val="20"/>
                <w:color w:val="auto"/>
              </w:rPr>
            </w:pPr>
            <w:r>
              <w:rPr>
                <w:rFonts w:ascii="Arial" w:cs="Arial" w:eastAsia="Arial" w:hAnsi="Arial"/>
                <w:sz w:val="18"/>
                <w:szCs w:val="18"/>
                <w:color w:val="auto"/>
              </w:rPr>
              <w:t>September 30,</w:t>
            </w:r>
          </w:p>
        </w:tc>
        <w:tc>
          <w:tcPr>
            <w:tcW w:w="140" w:type="dxa"/>
            <w:vAlign w:val="bottom"/>
          </w:tcPr>
          <w:p>
            <w:pPr>
              <w:spacing w:after="0"/>
              <w:rPr>
                <w:sz w:val="19"/>
                <w:szCs w:val="19"/>
                <w:color w:val="auto"/>
              </w:rPr>
            </w:pPr>
          </w:p>
        </w:tc>
        <w:tc>
          <w:tcPr>
            <w:tcW w:w="2240" w:type="dxa"/>
            <w:vAlign w:val="bottom"/>
            <w:gridSpan w:val="5"/>
          </w:tcPr>
          <w:p>
            <w:pPr>
              <w:jc w:val="right"/>
              <w:ind w:right="720"/>
              <w:spacing w:after="0"/>
              <w:rPr>
                <w:sz w:val="20"/>
                <w:szCs w:val="20"/>
                <w:color w:val="auto"/>
              </w:rPr>
            </w:pPr>
            <w:r>
              <w:rPr>
                <w:rFonts w:ascii="Arial" w:cs="Arial" w:eastAsia="Arial" w:hAnsi="Arial"/>
                <w:sz w:val="18"/>
                <w:szCs w:val="18"/>
                <w:color w:val="auto"/>
              </w:rPr>
              <w:t>September 30,</w:t>
            </w:r>
          </w:p>
        </w:tc>
      </w:tr>
      <w:tr>
        <w:trPr>
          <w:trHeight w:val="230"/>
        </w:trPr>
        <w:tc>
          <w:tcPr>
            <w:tcW w:w="5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33"/>
        </w:trPr>
        <w:tc>
          <w:tcPr>
            <w:tcW w:w="5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20" w:type="dxa"/>
            <w:vAlign w:val="bottom"/>
            <w:gridSpan w:val="11"/>
          </w:tcPr>
          <w:p>
            <w:pPr>
              <w:jc w:val="right"/>
              <w:ind w:right="820"/>
              <w:spacing w:after="0"/>
              <w:rPr>
                <w:sz w:val="20"/>
                <w:szCs w:val="20"/>
                <w:color w:val="auto"/>
              </w:rPr>
            </w:pPr>
            <w:r>
              <w:rPr>
                <w:rFonts w:ascii="Arial" w:cs="Arial" w:eastAsia="Arial" w:hAnsi="Arial"/>
                <w:sz w:val="16"/>
                <w:szCs w:val="16"/>
                <w:color w:val="auto"/>
              </w:rPr>
              <w:t>(Dollars In Thousands, Except Per Share Amounts)</w:t>
            </w:r>
          </w:p>
        </w:tc>
      </w:tr>
      <w:tr>
        <w:trPr>
          <w:trHeight w:val="23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(8,928)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(20,402)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1,463</w:t>
            </w:r>
          </w:p>
        </w:tc>
        <w:tc>
          <w:tcPr>
            <w:tcW w:w="22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(40,219)</w:t>
            </w: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Adjustments for basic income (loss) per common share:</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5240" w:type="dxa"/>
            <w:vAlign w:val="bottom"/>
          </w:tcPr>
          <w:p>
            <w:pPr>
              <w:ind w:left="480"/>
              <w:spacing w:after="0"/>
              <w:rPr>
                <w:sz w:val="20"/>
                <w:szCs w:val="20"/>
                <w:color w:val="auto"/>
              </w:rPr>
            </w:pPr>
            <w:r>
              <w:rPr>
                <w:rFonts w:ascii="Arial" w:cs="Arial" w:eastAsia="Arial" w:hAnsi="Arial"/>
                <w:sz w:val="18"/>
                <w:szCs w:val="18"/>
                <w:color w:val="auto"/>
              </w:rPr>
              <w:t>Dividend requirements on Series E Redeemable</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40" w:type="dxa"/>
            <w:vAlign w:val="bottom"/>
          </w:tcPr>
          <w:p>
            <w:pPr>
              <w:ind w:left="620"/>
              <w:spacing w:after="0"/>
              <w:rPr>
                <w:sz w:val="20"/>
                <w:szCs w:val="20"/>
                <w:color w:val="auto"/>
              </w:rPr>
            </w:pPr>
            <w:r>
              <w:rPr>
                <w:rFonts w:ascii="Arial" w:cs="Arial" w:eastAsia="Arial" w:hAnsi="Arial"/>
                <w:sz w:val="18"/>
                <w:szCs w:val="18"/>
                <w:color w:val="auto"/>
              </w:rPr>
              <w:t>Preferred</w:t>
            </w:r>
          </w:p>
        </w:tc>
        <w:tc>
          <w:tcPr>
            <w:tcW w:w="1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(10,190)</w:t>
            </w:r>
          </w:p>
        </w:tc>
        <w:tc>
          <w:tcPr>
            <w:tcW w:w="1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(8,889)</w:t>
            </w:r>
          </w:p>
        </w:tc>
        <w:tc>
          <w:tcPr>
            <w:tcW w:w="1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(29,914)</w:t>
            </w:r>
          </w:p>
        </w:tc>
        <w:tc>
          <w:tcPr>
            <w:tcW w:w="1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(25,885)</w:t>
            </w:r>
          </w:p>
        </w:tc>
      </w:tr>
      <w:tr>
        <w:trPr>
          <w:trHeight w:val="215"/>
        </w:trPr>
        <w:tc>
          <w:tcPr>
            <w:tcW w:w="52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Deemed dividend on Series E and Series F</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240" w:type="dxa"/>
            <w:vAlign w:val="bottom"/>
            <w:shd w:val="clear" w:color="auto" w:fill="CFF0FC"/>
          </w:tcPr>
          <w:p>
            <w:pPr>
              <w:ind w:left="620"/>
              <w:spacing w:after="0"/>
              <w:rPr>
                <w:sz w:val="20"/>
                <w:szCs w:val="20"/>
                <w:color w:val="auto"/>
              </w:rPr>
            </w:pPr>
            <w:r>
              <w:rPr>
                <w:rFonts w:ascii="Arial" w:cs="Arial" w:eastAsia="Arial" w:hAnsi="Arial"/>
                <w:sz w:val="18"/>
                <w:szCs w:val="18"/>
                <w:color w:val="auto"/>
              </w:rPr>
              <w:t>Redeemable Preferred</w:t>
            </w: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(231,812)</w:t>
            </w: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(231,812)</w:t>
            </w:r>
          </w:p>
        </w:tc>
        <w:tc>
          <w:tcPr>
            <w:tcW w:w="1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tcPr>
          <w:p>
            <w:pPr>
              <w:ind w:left="480"/>
              <w:spacing w:after="0"/>
              <w:rPr>
                <w:sz w:val="20"/>
                <w:szCs w:val="20"/>
                <w:color w:val="auto"/>
              </w:rPr>
            </w:pPr>
            <w:r>
              <w:rPr>
                <w:rFonts w:ascii="Arial" w:cs="Arial" w:eastAsia="Arial" w:hAnsi="Arial"/>
                <w:sz w:val="18"/>
                <w:szCs w:val="18"/>
                <w:color w:val="auto"/>
              </w:rPr>
              <w:t>Dividend requirements on Series B Preferred</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r>
      <w:tr>
        <w:trPr>
          <w:trHeight w:val="229"/>
        </w:trPr>
        <w:tc>
          <w:tcPr>
            <w:tcW w:w="52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Dividend requirements on Series D Preferred</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w:t>
            </w:r>
          </w:p>
        </w:tc>
      </w:tr>
      <w:tr>
        <w:trPr>
          <w:trHeight w:val="230"/>
        </w:trPr>
        <w:tc>
          <w:tcPr>
            <w:tcW w:w="5240" w:type="dxa"/>
            <w:vAlign w:val="bottom"/>
          </w:tcPr>
          <w:p>
            <w:pPr>
              <w:ind w:left="480"/>
              <w:spacing w:after="0"/>
              <w:rPr>
                <w:sz w:val="20"/>
                <w:szCs w:val="20"/>
                <w:color w:val="auto"/>
              </w:rPr>
            </w:pPr>
            <w:r>
              <w:rPr>
                <w:rFonts w:ascii="Arial" w:cs="Arial" w:eastAsia="Arial" w:hAnsi="Arial"/>
                <w:sz w:val="18"/>
                <w:szCs w:val="18"/>
                <w:color w:val="auto"/>
              </w:rPr>
              <w:t>Accretion of Series E Redeemable Preferred</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(499)</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(508)</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(1,523)</w:t>
            </w:r>
          </w:p>
        </w:tc>
        <w:tc>
          <w:tcPr>
            <w:tcW w:w="1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(1,517)</w:t>
            </w:r>
          </w:p>
        </w:tc>
      </w:tr>
      <w:tr>
        <w:trPr>
          <w:trHeight w:val="195"/>
        </w:trPr>
        <w:tc>
          <w:tcPr>
            <w:tcW w:w="5240" w:type="dxa"/>
            <w:vAlign w:val="bottom"/>
            <w:tcBorders>
              <w:top w:val="single" w:sz="8" w:color="CFF0FC"/>
            </w:tcBorders>
            <w:shd w:val="clear" w:color="auto" w:fill="CFF0FC"/>
          </w:tcPr>
          <w:p>
            <w:pPr>
              <w:ind w:left="240"/>
              <w:spacing w:after="0" w:line="195" w:lineRule="exact"/>
              <w:rPr>
                <w:sz w:val="20"/>
                <w:szCs w:val="20"/>
                <w:color w:val="auto"/>
              </w:rPr>
            </w:pPr>
            <w:r>
              <w:rPr>
                <w:rFonts w:ascii="Arial" w:cs="Arial" w:eastAsia="Arial" w:hAnsi="Arial"/>
                <w:sz w:val="18"/>
                <w:szCs w:val="18"/>
                <w:color w:val="auto"/>
              </w:rPr>
              <w:t>Numerator for basic and diluted net loss per common</w:t>
            </w:r>
          </w:p>
        </w:tc>
        <w:tc>
          <w:tcPr>
            <w:tcW w:w="14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r>
      <w:tr>
        <w:trPr>
          <w:trHeight w:val="230"/>
        </w:trPr>
        <w:tc>
          <w:tcPr>
            <w:tcW w:w="52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(251,504)</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(29,874)</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(262,011)</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(67,846)</w:t>
            </w:r>
          </w:p>
        </w:tc>
      </w:tr>
      <w:tr>
        <w:trPr>
          <w:trHeight w:val="20"/>
        </w:trPr>
        <w:tc>
          <w:tcPr>
            <w:tcW w:w="5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10"/>
        </w:trPr>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5240" w:type="dxa"/>
            <w:vAlign w:val="bottom"/>
          </w:tcPr>
          <w:p>
            <w:pPr>
              <w:ind w:left="240"/>
              <w:spacing w:after="0"/>
              <w:rPr>
                <w:sz w:val="20"/>
                <w:szCs w:val="20"/>
                <w:color w:val="auto"/>
              </w:rPr>
            </w:pPr>
            <w:r>
              <w:rPr>
                <w:rFonts w:ascii="Arial" w:cs="Arial" w:eastAsia="Arial" w:hAnsi="Arial"/>
                <w:sz w:val="18"/>
                <w:szCs w:val="18"/>
                <w:color w:val="auto"/>
              </w:rPr>
              <w:t>Denominator for basic and diluted net income (loss) per</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tcPr>
          <w:p>
            <w:pPr>
              <w:ind w:left="380"/>
              <w:spacing w:after="0"/>
              <w:rPr>
                <w:sz w:val="20"/>
                <w:szCs w:val="20"/>
                <w:color w:val="auto"/>
              </w:rPr>
            </w:pPr>
            <w:r>
              <w:rPr>
                <w:rFonts w:ascii="Arial" w:cs="Arial" w:eastAsia="Arial" w:hAnsi="Arial"/>
                <w:sz w:val="18"/>
                <w:szCs w:val="18"/>
                <w:color w:val="auto"/>
              </w:rPr>
              <w:t>common share - adjusted weighted-average</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52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shares (1)</w:t>
            </w: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39,351,875</w:t>
            </w:r>
          </w:p>
        </w:tc>
        <w:tc>
          <w:tcPr>
            <w:tcW w:w="220" w:type="dxa"/>
            <w:vAlign w:val="bottom"/>
            <w:tcBorders>
              <w:bottom w:val="single" w:sz="8" w:color="CFF0FC"/>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36,675,477</w:t>
            </w:r>
          </w:p>
        </w:tc>
        <w:tc>
          <w:tcPr>
            <w:tcW w:w="220" w:type="dxa"/>
            <w:vAlign w:val="bottom"/>
            <w:tcBorders>
              <w:bottom w:val="single" w:sz="8" w:color="CFF0FC"/>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37,752,342</w:t>
            </w:r>
          </w:p>
        </w:tc>
        <w:tc>
          <w:tcPr>
            <w:tcW w:w="22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36,654,416</w:t>
            </w:r>
          </w:p>
        </w:tc>
        <w:tc>
          <w:tcPr>
            <w:tcW w:w="100" w:type="dxa"/>
            <w:vAlign w:val="bottom"/>
            <w:tcBorders>
              <w:bottom w:val="single" w:sz="8" w:color="CFF0FC"/>
            </w:tcBorders>
          </w:tcPr>
          <w:p>
            <w:pPr>
              <w:spacing w:after="0"/>
              <w:rPr>
                <w:sz w:val="23"/>
                <w:szCs w:val="23"/>
                <w:color w:val="auto"/>
              </w:rPr>
            </w:pPr>
          </w:p>
        </w:tc>
      </w:tr>
      <w:tr>
        <w:trPr>
          <w:trHeight w:val="210"/>
        </w:trPr>
        <w:tc>
          <w:tcPr>
            <w:tcW w:w="5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(6.39)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(0.81)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(6.94)</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r>
      <w:tr>
        <w:trPr>
          <w:trHeight w:val="20"/>
        </w:trPr>
        <w:tc>
          <w:tcPr>
            <w:tcW w:w="5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540" w:right="3540" w:hanging="5168"/>
        <w:spacing w:after="0" w:line="527" w:lineRule="auto"/>
        <w:tabs>
          <w:tab w:leader="none" w:pos="743"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the weighted-average shares of unvested restricted stock that are contingently issuable.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Loss Per Common Share (continued)</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weighted-average shares of securities were not included in the computation of diluted net loss per common share as their effect would have been antidilutive: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280" w:type="dxa"/>
            <w:vAlign w:val="bottom"/>
            <w:gridSpan w:val="9"/>
          </w:tcPr>
          <w:p>
            <w:pPr>
              <w:jc w:val="right"/>
              <w:ind w:right="400"/>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gridSpan w:val="7"/>
          </w:tcPr>
          <w:p>
            <w:pPr>
              <w:jc w:val="center"/>
              <w:ind w:right="440"/>
              <w:spacing w:after="0"/>
              <w:rPr>
                <w:sz w:val="20"/>
                <w:szCs w:val="20"/>
                <w:color w:val="auto"/>
              </w:rPr>
            </w:pPr>
            <w:r>
              <w:rPr>
                <w:rFonts w:ascii="Arial" w:cs="Arial" w:eastAsia="Arial" w:hAnsi="Arial"/>
                <w:sz w:val="18"/>
                <w:szCs w:val="18"/>
                <w:color w:val="auto"/>
                <w:w w:val="91"/>
              </w:rPr>
              <w:t>Nine Months Ended</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280" w:type="dxa"/>
            <w:vAlign w:val="bottom"/>
            <w:gridSpan w:val="9"/>
          </w:tcPr>
          <w:p>
            <w:pPr>
              <w:jc w:val="right"/>
              <w:ind w:right="640"/>
              <w:spacing w:after="0"/>
              <w:rPr>
                <w:sz w:val="20"/>
                <w:szCs w:val="20"/>
                <w:color w:val="auto"/>
              </w:rPr>
            </w:pPr>
            <w:r>
              <w:rPr>
                <w:rFonts w:ascii="Arial" w:cs="Arial" w:eastAsia="Arial" w:hAnsi="Arial"/>
                <w:sz w:val="18"/>
                <w:szCs w:val="18"/>
                <w:color w:val="auto"/>
              </w:rPr>
              <w:t>September 30,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gridSpan w:val="7"/>
          </w:tcPr>
          <w:p>
            <w:pPr>
              <w:jc w:val="center"/>
              <w:ind w:right="44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2021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191"/>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ind w:left="22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2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Restricted stock and stock units</w:t>
            </w:r>
          </w:p>
        </w:tc>
        <w:tc>
          <w:tcPr>
            <w:tcW w:w="10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2,426,419</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1,719,451</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2,211,674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right w:val="single" w:sz="8" w:color="CFF0FC"/>
            </w:tcBorders>
            <w:shd w:val="clear" w:color="auto" w:fill="CFF0FC"/>
          </w:tcPr>
          <w:p>
            <w:pPr>
              <w:spacing w:after="0"/>
              <w:rPr>
                <w:sz w:val="19"/>
                <w:szCs w:val="19"/>
                <w:color w:val="auto"/>
              </w:rPr>
            </w:pPr>
          </w:p>
        </w:tc>
        <w:tc>
          <w:tcPr>
            <w:tcW w:w="102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1,619,381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Convertible preferred stocks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1,191,666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1,191,666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1,191,666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1,191,666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Series E Redeemable Preferred - embedded derivative</w:t>
            </w:r>
          </w:p>
        </w:tc>
        <w:tc>
          <w:tcPr>
            <w:tcW w:w="112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303,646</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tcBorders>
              <w:right w:val="single" w:sz="8" w:color="CFF0FC"/>
            </w:tcBorders>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303,646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Stock options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64,318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138,843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64,318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138,843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6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CFF0FC"/>
              <w:bottom w:val="single" w:sz="8" w:color="CFF0FC"/>
            </w:tcBorders>
            <w:shd w:val="clear" w:color="auto" w:fill="CFF0FC"/>
          </w:tcPr>
          <w:p>
            <w:pPr>
              <w:spacing w:after="0"/>
              <w:rPr>
                <w:sz w:val="19"/>
                <w:szCs w:val="19"/>
                <w:color w:val="auto"/>
              </w:rPr>
            </w:pPr>
          </w:p>
        </w:tc>
        <w:tc>
          <w:tcPr>
            <w:tcW w:w="414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3,682,403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3,353,606</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3,467,658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3,253,536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4. Current and Noncurrent Accrued and Other Liabilities</w:t>
            </w: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840" w:type="dxa"/>
            <w:vAlign w:val="bottom"/>
            <w:gridSpan w:val="4"/>
            <w:vMerge w:val="continue"/>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6"/>
          </w:tcPr>
          <w:p>
            <w:pPr>
              <w:jc w:val="right"/>
              <w:ind w:right="90"/>
              <w:spacing w:after="0"/>
              <w:rPr>
                <w:sz w:val="20"/>
                <w:szCs w:val="20"/>
                <w:color w:val="auto"/>
              </w:rPr>
            </w:pPr>
            <w:r>
              <w:rPr>
                <w:rFonts w:ascii="Arial" w:cs="Arial" w:eastAsia="Arial" w:hAnsi="Arial"/>
                <w:sz w:val="18"/>
                <w:szCs w:val="18"/>
                <w:color w:val="auto"/>
                <w:w w:val="89"/>
              </w:rPr>
              <w:t>September 30,</w:t>
            </w:r>
          </w:p>
        </w:tc>
        <w:tc>
          <w:tcPr>
            <w:tcW w:w="220" w:type="dxa"/>
            <w:vAlign w:val="bottom"/>
          </w:tcPr>
          <w:p>
            <w:pPr>
              <w:spacing w:after="0"/>
              <w:rPr>
                <w:sz w:val="24"/>
                <w:szCs w:val="24"/>
                <w:color w:val="auto"/>
              </w:rPr>
            </w:pPr>
          </w:p>
        </w:tc>
        <w:tc>
          <w:tcPr>
            <w:tcW w:w="2040" w:type="dxa"/>
            <w:vAlign w:val="bottom"/>
            <w:gridSpan w:val="7"/>
          </w:tcPr>
          <w:p>
            <w:pPr>
              <w:jc w:val="center"/>
              <w:ind w:right="68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2021</w:t>
            </w: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2020</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gridSpan w:val="10"/>
          </w:tcPr>
          <w:p>
            <w:pPr>
              <w:jc w:val="right"/>
              <w:ind w:right="540"/>
              <w:spacing w:after="0"/>
              <w:rPr>
                <w:sz w:val="20"/>
                <w:szCs w:val="20"/>
                <w:color w:val="auto"/>
              </w:rPr>
            </w:pPr>
            <w:r>
              <w:rPr>
                <w:rFonts w:ascii="Arial" w:cs="Arial" w:eastAsia="Arial" w:hAnsi="Arial"/>
                <w:sz w:val="16"/>
                <w:szCs w:val="16"/>
                <w:color w:val="auto"/>
              </w:rPr>
              <w:t>(In Thousands)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9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6"/>
            <w:shd w:val="clear" w:color="auto" w:fill="CFF0FC"/>
          </w:tcPr>
          <w:p>
            <w:pPr>
              <w:jc w:val="right"/>
              <w:spacing w:after="0"/>
              <w:rPr>
                <w:sz w:val="20"/>
                <w:szCs w:val="20"/>
                <w:color w:val="auto"/>
              </w:rPr>
            </w:pPr>
            <w:r>
              <w:rPr>
                <w:rFonts w:ascii="Arial" w:cs="Arial" w:eastAsia="Arial" w:hAnsi="Arial"/>
                <w:sz w:val="18"/>
                <w:szCs w:val="18"/>
                <w:color w:val="auto"/>
              </w:rPr>
              <w:t>19,145</w:t>
            </w:r>
          </w:p>
        </w:tc>
        <w:tc>
          <w:tcPr>
            <w:tcW w:w="9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tcBorders>
              <w:right w:val="single" w:sz="8" w:color="CFF0FC"/>
            </w:tcBorders>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8,669</w:t>
            </w:r>
          </w:p>
        </w:tc>
        <w:tc>
          <w:tcPr>
            <w:tcW w:w="100" w:type="dxa"/>
            <w:vAlign w:val="bottom"/>
            <w:shd w:val="clear" w:color="auto" w:fill="CFF0FC"/>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Accrued payroll and benefits</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6"/>
          </w:tcPr>
          <w:p>
            <w:pPr>
              <w:jc w:val="right"/>
              <w:spacing w:after="0"/>
              <w:rPr>
                <w:sz w:val="20"/>
                <w:szCs w:val="20"/>
                <w:color w:val="auto"/>
              </w:rPr>
            </w:pPr>
            <w:r>
              <w:rPr>
                <w:rFonts w:ascii="Arial" w:cs="Arial" w:eastAsia="Arial" w:hAnsi="Arial"/>
                <w:sz w:val="18"/>
                <w:szCs w:val="18"/>
                <w:color w:val="auto"/>
              </w:rPr>
              <w:t>15,775</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5,837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portion of operating lease liabilities</w:t>
            </w:r>
          </w:p>
        </w:tc>
        <w:tc>
          <w:tcPr>
            <w:tcW w:w="9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6"/>
            <w:shd w:val="clear" w:color="auto" w:fill="CFF0FC"/>
          </w:tcPr>
          <w:p>
            <w:pPr>
              <w:jc w:val="right"/>
              <w:spacing w:after="0"/>
              <w:rPr>
                <w:sz w:val="20"/>
                <w:szCs w:val="20"/>
                <w:color w:val="auto"/>
              </w:rPr>
            </w:pPr>
            <w:r>
              <w:rPr>
                <w:rFonts w:ascii="Arial" w:cs="Arial" w:eastAsia="Arial" w:hAnsi="Arial"/>
                <w:sz w:val="18"/>
                <w:szCs w:val="18"/>
                <w:color w:val="auto"/>
              </w:rPr>
              <w:t>7,720</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6,706</w:t>
            </w:r>
          </w:p>
        </w:tc>
        <w:tc>
          <w:tcPr>
            <w:tcW w:w="10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Accrued death and other executive benefits</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6"/>
          </w:tcPr>
          <w:p>
            <w:pPr>
              <w:jc w:val="right"/>
              <w:spacing w:after="0"/>
              <w:rPr>
                <w:sz w:val="20"/>
                <w:szCs w:val="20"/>
                <w:color w:val="auto"/>
              </w:rPr>
            </w:pPr>
            <w:r>
              <w:rPr>
                <w:rFonts w:ascii="Arial" w:cs="Arial" w:eastAsia="Arial" w:hAnsi="Arial"/>
                <w:sz w:val="18"/>
                <w:szCs w:val="18"/>
                <w:color w:val="auto"/>
              </w:rPr>
              <w:t>2,521</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2,539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9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6"/>
              </w:rPr>
              <w:t>474</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1,890</w:t>
            </w:r>
          </w:p>
        </w:tc>
        <w:tc>
          <w:tcPr>
            <w:tcW w:w="10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Series E Redeemable Preferred - embedded derivative</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1,029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gridSpan w:val="6"/>
            <w:shd w:val="clear" w:color="auto" w:fill="CFF0FC"/>
          </w:tcPr>
          <w:p>
            <w:pPr>
              <w:jc w:val="right"/>
              <w:spacing w:after="0"/>
              <w:rPr>
                <w:sz w:val="20"/>
                <w:szCs w:val="20"/>
                <w:color w:val="auto"/>
              </w:rPr>
            </w:pPr>
            <w:r>
              <w:rPr>
                <w:rFonts w:ascii="Arial" w:cs="Arial" w:eastAsia="Arial" w:hAnsi="Arial"/>
                <w:sz w:val="18"/>
                <w:szCs w:val="18"/>
                <w:color w:val="auto"/>
              </w:rPr>
              <w:t>9,177</w:t>
            </w:r>
          </w:p>
        </w:tc>
        <w:tc>
          <w:tcPr>
            <w:tcW w:w="2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right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9,787</w:t>
            </w:r>
          </w:p>
        </w:tc>
        <w:tc>
          <w:tcPr>
            <w:tcW w:w="10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6"/>
          </w:tcPr>
          <w:p>
            <w:pPr>
              <w:jc w:val="right"/>
              <w:spacing w:after="0"/>
              <w:rPr>
                <w:sz w:val="20"/>
                <w:szCs w:val="20"/>
                <w:color w:val="auto"/>
              </w:rPr>
            </w:pPr>
            <w:r>
              <w:rPr>
                <w:rFonts w:ascii="Arial" w:cs="Arial" w:eastAsia="Arial" w:hAnsi="Arial"/>
                <w:sz w:val="18"/>
                <w:szCs w:val="18"/>
                <w:color w:val="auto"/>
              </w:rPr>
              <w:t>54,812</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76"/>
              </w:rPr>
              <w:t>36,457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noncurrent portion</w:t>
            </w:r>
          </w:p>
        </w:tc>
        <w:tc>
          <w:tcPr>
            <w:tcW w:w="9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gridSpan w:val="6"/>
            <w:shd w:val="clear" w:color="auto" w:fill="CFF0FC"/>
          </w:tcPr>
          <w:p>
            <w:pPr>
              <w:jc w:val="right"/>
              <w:spacing w:after="0"/>
              <w:rPr>
                <w:sz w:val="20"/>
                <w:szCs w:val="20"/>
                <w:color w:val="auto"/>
              </w:rPr>
            </w:pPr>
            <w:r>
              <w:rPr>
                <w:rFonts w:ascii="Arial" w:cs="Arial" w:eastAsia="Arial" w:hAnsi="Arial"/>
                <w:sz w:val="18"/>
                <w:szCs w:val="18"/>
                <w:color w:val="auto"/>
              </w:rPr>
              <w:t>4,040</w:t>
            </w:r>
          </w:p>
        </w:tc>
        <w:tc>
          <w:tcPr>
            <w:tcW w:w="2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right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6,090</w:t>
            </w:r>
          </w:p>
        </w:tc>
        <w:tc>
          <w:tcPr>
            <w:tcW w:w="10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260" w:type="dxa"/>
            <w:vAlign w:val="bottom"/>
            <w:gridSpan w:val="3"/>
          </w:tcPr>
          <w:p>
            <w:pPr>
              <w:ind w:left="560"/>
              <w:spacing w:after="0"/>
              <w:rPr>
                <w:sz w:val="20"/>
                <w:szCs w:val="20"/>
                <w:color w:val="auto"/>
              </w:rPr>
            </w:pPr>
            <w:r>
              <w:rPr>
                <w:rFonts w:ascii="Arial" w:cs="Arial" w:eastAsia="Arial" w:hAnsi="Arial"/>
                <w:sz w:val="18"/>
                <w:szCs w:val="18"/>
                <w:color w:val="auto"/>
              </w:rPr>
              <w:t>Current portion of accrued and other liabilities</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50,772</w:t>
            </w:r>
          </w:p>
        </w:tc>
        <w:tc>
          <w:tcPr>
            <w:tcW w:w="220" w:type="dxa"/>
            <w:vAlign w:val="bottom"/>
          </w:tcPr>
          <w:p>
            <w:pPr>
              <w:spacing w:after="0"/>
              <w:rPr>
                <w:sz w:val="19"/>
                <w:szCs w:val="19"/>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6"/>
              </w:rPr>
              <w:t>30,367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5. Long-Term Debt</w:t>
            </w: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840" w:type="dxa"/>
            <w:vAlign w:val="bottom"/>
            <w:gridSpan w:val="4"/>
            <w:vMerge w:val="continue"/>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40" w:type="dxa"/>
            <w:vAlign w:val="bottom"/>
            <w:gridSpan w:val="4"/>
          </w:tcPr>
          <w:p>
            <w:pPr>
              <w:spacing w:after="0"/>
              <w:rPr>
                <w:sz w:val="20"/>
                <w:szCs w:val="20"/>
                <w:color w:val="auto"/>
              </w:rPr>
            </w:pPr>
            <w:r>
              <w:rPr>
                <w:rFonts w:ascii="Arial" w:cs="Arial" w:eastAsia="Arial" w:hAnsi="Arial"/>
                <w:sz w:val="18"/>
                <w:szCs w:val="18"/>
                <w:color w:val="auto"/>
              </w:rPr>
              <w:t>Our long-term debt consists of the following:</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60" w:type="dxa"/>
            <w:vAlign w:val="bottom"/>
            <w:gridSpan w:val="7"/>
          </w:tcPr>
          <w:p>
            <w:pPr>
              <w:jc w:val="right"/>
              <w:ind w:right="180"/>
              <w:spacing w:after="0"/>
              <w:rPr>
                <w:sz w:val="20"/>
                <w:szCs w:val="20"/>
                <w:color w:val="auto"/>
              </w:rPr>
            </w:pPr>
            <w:r>
              <w:rPr>
                <w:rFonts w:ascii="Arial" w:cs="Arial" w:eastAsia="Arial" w:hAnsi="Arial"/>
                <w:sz w:val="18"/>
                <w:szCs w:val="18"/>
                <w:color w:val="auto"/>
                <w:w w:val="89"/>
              </w:rPr>
              <w:t>September 30,</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gridSpan w:val="5"/>
          </w:tcPr>
          <w:p>
            <w:pPr>
              <w:jc w:val="right"/>
              <w:ind w:right="200"/>
              <w:spacing w:after="0"/>
              <w:rPr>
                <w:sz w:val="20"/>
                <w:szCs w:val="20"/>
                <w:color w:val="auto"/>
              </w:rPr>
            </w:pPr>
            <w:r>
              <w:rPr>
                <w:rFonts w:ascii="Arial" w:cs="Arial" w:eastAsia="Arial" w:hAnsi="Arial"/>
                <w:sz w:val="18"/>
                <w:szCs w:val="18"/>
                <w:color w:val="auto"/>
                <w:w w:val="90"/>
              </w:rPr>
              <w:t>December 31,</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2021</w:t>
            </w: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gridSpan w:val="10"/>
          </w:tcPr>
          <w:p>
            <w:pPr>
              <w:jc w:val="right"/>
              <w:ind w:right="940"/>
              <w:spacing w:after="0"/>
              <w:rPr>
                <w:sz w:val="20"/>
                <w:szCs w:val="20"/>
                <w:color w:val="auto"/>
              </w:rPr>
            </w:pPr>
            <w:r>
              <w:rPr>
                <w:rFonts w:ascii="Arial" w:cs="Arial" w:eastAsia="Arial" w:hAnsi="Arial"/>
                <w:sz w:val="16"/>
                <w:szCs w:val="16"/>
                <w:color w:val="auto"/>
              </w:rPr>
              <w:t>(In Thousands)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w w:val="95"/>
              </w:rPr>
              <w:t>Working Capital Revolver Loan, with a current interest</w:t>
            </w:r>
          </w:p>
        </w:tc>
        <w:tc>
          <w:tcPr>
            <w:tcW w:w="9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 of 3.75% (A)</w:t>
            </w: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920" w:type="dxa"/>
            <w:vAlign w:val="bottom"/>
            <w:tcBorders>
              <w:right w:val="single" w:sz="8" w:color="CFF0FC"/>
            </w:tcBorders>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Senior Secured Notes due 2023, with an interest</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40" w:type="dxa"/>
            <w:vAlign w:val="bottom"/>
          </w:tcPr>
          <w:p>
            <w:pPr>
              <w:ind w:left="140"/>
              <w:spacing w:after="0"/>
              <w:rPr>
                <w:sz w:val="20"/>
                <w:szCs w:val="20"/>
                <w:color w:val="auto"/>
              </w:rPr>
            </w:pPr>
            <w:r>
              <w:rPr>
                <w:rFonts w:ascii="Arial" w:cs="Arial" w:eastAsia="Arial" w:hAnsi="Arial"/>
                <w:sz w:val="18"/>
                <w:szCs w:val="18"/>
                <w:color w:val="auto"/>
              </w:rPr>
              <w:t>rate of 9.625% (B)</w:t>
            </w: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435,000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435,000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Secured Financing due 2023, with an interest</w:t>
            </w:r>
          </w:p>
        </w:tc>
        <w:tc>
          <w:tcPr>
            <w:tcW w:w="9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 of 8.32% (C)</w:t>
            </w:r>
          </w:p>
        </w:tc>
        <w:tc>
          <w:tcPr>
            <w:tcW w:w="9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8,485</w:t>
            </w: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10,715</w:t>
            </w:r>
          </w:p>
        </w:tc>
        <w:tc>
          <w:tcPr>
            <w:tcW w:w="80" w:type="dxa"/>
            <w:vAlign w:val="bottom"/>
            <w:tcBorders>
              <w:right w:val="single" w:sz="8" w:color="CFF0FC"/>
            </w:tcBorders>
            <w:shd w:val="clear" w:color="auto" w:fill="CFF0FC"/>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w w:val="98"/>
              </w:rPr>
              <w:t>Secured Loan Agreement due 2025, with an interest</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40" w:type="dxa"/>
            <w:vAlign w:val="bottom"/>
          </w:tcPr>
          <w:p>
            <w:pPr>
              <w:ind w:left="140"/>
              <w:spacing w:after="0"/>
              <w:rPr>
                <w:sz w:val="20"/>
                <w:szCs w:val="20"/>
                <w:color w:val="auto"/>
              </w:rPr>
            </w:pPr>
            <w:r>
              <w:rPr>
                <w:rFonts w:ascii="Arial" w:cs="Arial" w:eastAsia="Arial" w:hAnsi="Arial"/>
                <w:sz w:val="18"/>
                <w:szCs w:val="18"/>
                <w:color w:val="auto"/>
              </w:rPr>
              <w:t>rate of 8.75% (D)</w:t>
            </w: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5,807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6,834</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Secured Financing due 2025, with an interest</w:t>
            </w:r>
          </w:p>
        </w:tc>
        <w:tc>
          <w:tcPr>
            <w:tcW w:w="9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 of 8.75% (E)</w:t>
            </w:r>
          </w:p>
        </w:tc>
        <w:tc>
          <w:tcPr>
            <w:tcW w:w="9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25,457</w:t>
            </w: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28,636</w:t>
            </w:r>
          </w:p>
        </w:tc>
        <w:tc>
          <w:tcPr>
            <w:tcW w:w="80" w:type="dxa"/>
            <w:vAlign w:val="bottom"/>
            <w:tcBorders>
              <w:right w:val="single" w:sz="8" w:color="CFF0FC"/>
            </w:tcBorders>
            <w:shd w:val="clear" w:color="auto" w:fill="CFF0FC"/>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Unsecured Loan Agreement due 2022 (F)</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Secured Promissory Note due 2021</w:t>
            </w:r>
          </w:p>
        </w:tc>
        <w:tc>
          <w:tcPr>
            <w:tcW w:w="9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1,221</w:t>
            </w:r>
          </w:p>
        </w:tc>
        <w:tc>
          <w:tcPr>
            <w:tcW w:w="80" w:type="dxa"/>
            <w:vAlign w:val="bottom"/>
            <w:tcBorders>
              <w:right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432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w w:val="90"/>
              </w:rPr>
              <w:t>Unamortized discount, net of premium and debt issuance</w:t>
            </w:r>
          </w:p>
        </w:tc>
        <w:tc>
          <w:tcPr>
            <w:tcW w:w="9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40" w:type="dxa"/>
            <w:vAlign w:val="bottom"/>
            <w:shd w:val="clear" w:color="auto" w:fill="CFF0FC"/>
          </w:tcPr>
          <w:p>
            <w:pPr>
              <w:ind w:left="80"/>
              <w:spacing w:after="0"/>
              <w:rPr>
                <w:sz w:val="20"/>
                <w:szCs w:val="20"/>
                <w:color w:val="auto"/>
              </w:rPr>
            </w:pPr>
            <w:r>
              <w:rPr>
                <w:rFonts w:ascii="Arial" w:cs="Arial" w:eastAsia="Arial" w:hAnsi="Arial"/>
                <w:sz w:val="18"/>
                <w:szCs w:val="18"/>
                <w:color w:val="auto"/>
              </w:rPr>
              <w:t>costs</w:t>
            </w:r>
          </w:p>
        </w:tc>
        <w:tc>
          <w:tcPr>
            <w:tcW w:w="9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(5,226)</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tcBorders>
              <w:right w:val="single" w:sz="8" w:color="CFF0FC"/>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(8,648)</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469,886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484,190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 of long-term debt</w:t>
            </w:r>
          </w:p>
        </w:tc>
        <w:tc>
          <w:tcPr>
            <w:tcW w:w="98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9,249</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16,801</w:t>
            </w:r>
          </w:p>
        </w:tc>
        <w:tc>
          <w:tcPr>
            <w:tcW w:w="80" w:type="dxa"/>
            <w:vAlign w:val="bottom"/>
            <w:tcBorders>
              <w:right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00" w:type="dxa"/>
            <w:vAlign w:val="bottom"/>
            <w:gridSpan w:val="2"/>
          </w:tcPr>
          <w:p>
            <w:pPr>
              <w:ind w:left="560"/>
              <w:spacing w:after="0"/>
              <w:rPr>
                <w:sz w:val="20"/>
                <w:szCs w:val="20"/>
                <w:color w:val="auto"/>
              </w:rPr>
            </w:pPr>
            <w:r>
              <w:rPr>
                <w:rFonts w:ascii="Arial" w:cs="Arial" w:eastAsia="Arial" w:hAnsi="Arial"/>
                <w:sz w:val="18"/>
                <w:szCs w:val="18"/>
                <w:color w:val="auto"/>
              </w:rPr>
              <w:t>Long-term debt due after one year, net</w:t>
            </w:r>
          </w:p>
        </w:tc>
        <w:tc>
          <w:tcPr>
            <w:tcW w:w="98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460,637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467,389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Debt (continued)</w:t>
      </w:r>
    </w:p>
    <w:p>
      <w:pPr>
        <w:spacing w:after="0" w:line="121" w:lineRule="exact"/>
        <w:rPr>
          <w:sz w:val="20"/>
          <w:szCs w:val="20"/>
          <w:color w:val="auto"/>
        </w:rPr>
      </w:pPr>
    </w:p>
    <w:p>
      <w:pPr>
        <w:jc w:val="both"/>
        <w:ind w:firstLine="8"/>
        <w:spacing w:after="0" w:line="289" w:lineRule="auto"/>
        <w:tabs>
          <w:tab w:leader="none" w:pos="307" w:val="left"/>
        </w:tabs>
        <w:numPr>
          <w:ilvl w:val="0"/>
          <w:numId w:val="10"/>
        </w:numPr>
        <w:rPr>
          <w:rFonts w:ascii="Arial" w:cs="Arial" w:eastAsia="Arial" w:hAnsi="Arial"/>
          <w:sz w:val="16"/>
          <w:szCs w:val="16"/>
          <w:b w:val="1"/>
          <w:bCs w:val="1"/>
          <w:color w:val="auto"/>
        </w:rPr>
      </w:pPr>
      <w:r>
        <w:rPr>
          <w:rFonts w:ascii="Arial" w:cs="Arial" w:eastAsia="Arial" w:hAnsi="Arial"/>
          <w:sz w:val="16"/>
          <w:szCs w:val="16"/>
          <w:color w:val="auto"/>
        </w:rPr>
        <w:t>Our revolving credit facility, as amended (the “Working Capital Revolver Loan”), provides for advances up to $65 million (the “Maximum Revolver Amount”), based on specific percentages of eligible accounts receivable and inventories and up to $10 million of letters of credit, the outstanding amount of which reduces the available for borrowing under the Working Capital Revolver Loan. At September 30, 2021, our available borrowings under our Working Capital Revolver Loan were approximately $48.2 million, based on our eligible collateral, less outstanding letters of credit and loan balance. The maturity date of the Working Capital Revolver Loan is on the earlier of (i) the date that is 90 days prior to the earliest stated maturity date of the Senior Secured Notes (unless refinanced or repaid) and (ii) February 26, 2024. Subject to certain conditions and subject to lender approval, the Maximum Revolver Amount may increase up to an additional $10 million. The Working Capital Revolver Loan also provides for a springing financial covenant (the “Financial Covenant”), which requires that, if the borrowing availability is less than 10.0% of the total revolver commitments, then the borrowers must maintain a minimum fixed charge coverage ratio of not less than 1.00 to 1.00. The Financial Covenant, if triggered, is tested monthly.</w:t>
      </w:r>
    </w:p>
    <w:p>
      <w:pPr>
        <w:spacing w:after="0" w:line="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Also, the lender provided LSB a consent to close the Exchange Transaction discussed in Note 2 and to allow for a payment of dividends not to exceed $2 million to the holders of the Series B and Series D Preferred, if and when declared by the Board.</w:t>
      </w:r>
    </w:p>
    <w:p>
      <w:pPr>
        <w:spacing w:after="0" w:line="62" w:lineRule="exact"/>
        <w:rPr>
          <w:sz w:val="20"/>
          <w:szCs w:val="20"/>
          <w:color w:val="auto"/>
        </w:rPr>
      </w:pPr>
    </w:p>
    <w:p>
      <w:pPr>
        <w:jc w:val="both"/>
        <w:ind w:firstLine="8"/>
        <w:spacing w:after="0" w:line="257" w:lineRule="auto"/>
        <w:tabs>
          <w:tab w:leader="none" w:pos="285"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Senior Secured Notes were scheduled to mature on May 1, 2023; however, on September 29, 2021, we distributed a notice of redemption, which notice was contingent to the closing of the new senior secured notes, with a redemption date of October 29, 2021, and such redemption occurred with the closing of new senior secured notes as discussed in Note 13 – Subsequent Events. Because the Senior Secured Notes were redeemed with the proceeds from the new senior secured notes and such redemption occurred prior to the issuance of these condensed consolidation financial statements, the carrying amount of the Senior Secured Notes remains classified as noncurrent.</w:t>
      </w:r>
    </w:p>
    <w:p>
      <w:pPr>
        <w:spacing w:after="0" w:line="79" w:lineRule="exact"/>
        <w:rPr>
          <w:rFonts w:ascii="Arial" w:cs="Arial" w:eastAsia="Arial" w:hAnsi="Arial"/>
          <w:sz w:val="18"/>
          <w:szCs w:val="18"/>
          <w:b w:val="1"/>
          <w:bCs w:val="1"/>
          <w:color w:val="auto"/>
        </w:rPr>
      </w:pPr>
    </w:p>
    <w:p>
      <w:pPr>
        <w:ind w:firstLine="8"/>
        <w:spacing w:after="0" w:line="308" w:lineRule="auto"/>
        <w:tabs>
          <w:tab w:leader="none" w:pos="359"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El Dorado Chemical Company (“EDC”), one of our subsidiaries, is party to a secured financing arrangement with an affiliate of LSB Funding. Principal and interest are payable in 48 equal monthly installments with a final balloon payment of approximately $3 million due in June 2023.</w:t>
      </w:r>
    </w:p>
    <w:p>
      <w:pPr>
        <w:spacing w:after="0" w:line="38" w:lineRule="exact"/>
        <w:rPr>
          <w:rFonts w:ascii="Arial" w:cs="Arial" w:eastAsia="Arial" w:hAnsi="Arial"/>
          <w:sz w:val="17"/>
          <w:szCs w:val="17"/>
          <w:b w:val="1"/>
          <w:bCs w:val="1"/>
          <w:color w:val="auto"/>
        </w:rPr>
      </w:pPr>
    </w:p>
    <w:p>
      <w:pPr>
        <w:ind w:right="20" w:firstLine="8"/>
        <w:spacing w:after="0" w:line="277" w:lineRule="auto"/>
        <w:tabs>
          <w:tab w:leader="none" w:pos="295"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EDC is party to a secured loan agreement with an affiliate of LSB Funding. Principal and interest are payable in 60 equal monthly installments through March 2025.</w:t>
      </w:r>
    </w:p>
    <w:p>
      <w:pPr>
        <w:spacing w:after="0" w:line="62" w:lineRule="exact"/>
        <w:rPr>
          <w:rFonts w:ascii="Arial" w:cs="Arial" w:eastAsia="Arial" w:hAnsi="Arial"/>
          <w:sz w:val="18"/>
          <w:szCs w:val="18"/>
          <w:b w:val="1"/>
          <w:bCs w:val="1"/>
          <w:color w:val="auto"/>
        </w:rPr>
      </w:pPr>
    </w:p>
    <w:p>
      <w:pPr>
        <w:jc w:val="both"/>
        <w:ind w:firstLine="8"/>
        <w:spacing w:after="0" w:line="311" w:lineRule="auto"/>
        <w:tabs>
          <w:tab w:leader="none" w:pos="307"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In August 2020, El Dorado Ammonia L.L.C. (“EDA”), one of our subsidiaries, entered into a $30 million secured financing arrangement with an affiliate of LSB Funding. Beginning in September 2020, principal and interest are payable in 60 equal monthly installments with a final balloon payment of approximately $5 million due in August 2025. This financing arrangement is secured by an ammonia storage tank and is guaranteed by LSB.</w:t>
      </w:r>
    </w:p>
    <w:p>
      <w:pPr>
        <w:spacing w:after="0" w:line="40" w:lineRule="exact"/>
        <w:rPr>
          <w:rFonts w:ascii="Arial" w:cs="Arial" w:eastAsia="Arial" w:hAnsi="Arial"/>
          <w:sz w:val="16"/>
          <w:szCs w:val="16"/>
          <w:b w:val="1"/>
          <w:bCs w:val="1"/>
          <w:color w:val="auto"/>
        </w:rPr>
      </w:pPr>
    </w:p>
    <w:p>
      <w:pPr>
        <w:jc w:val="both"/>
        <w:ind w:firstLine="8"/>
        <w:spacing w:after="0" w:line="273" w:lineRule="auto"/>
        <w:tabs>
          <w:tab w:leader="none" w:pos="288"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 xml:space="preserve">In April 2020, LSB entered into a federally guaranteed loan agreement (“PPP loan”) for $10 million with a lender pursuant to a new loan program through the U.S. Small Business Administration (“SBA”) as the result of the Paycheck Protection Program (“PPP”) established by the Coronavirus Aid, Relief, and Economic Security (“CARES”) Act and amended by the Paycheck Protection Program Flexibility Act of 2020. We applied ASC 470, </w:t>
      </w:r>
      <w:r>
        <w:rPr>
          <w:rFonts w:ascii="Arial" w:cs="Arial" w:eastAsia="Arial" w:hAnsi="Arial"/>
          <w:sz w:val="17"/>
          <w:szCs w:val="17"/>
          <w:i w:val="1"/>
          <w:iCs w:val="1"/>
          <w:color w:val="auto"/>
        </w:rPr>
        <w:t>Debt,</w:t>
      </w:r>
      <w:r>
        <w:rPr>
          <w:rFonts w:ascii="Arial" w:cs="Arial" w:eastAsia="Arial" w:hAnsi="Arial"/>
          <w:sz w:val="17"/>
          <w:szCs w:val="17"/>
          <w:color w:val="auto"/>
        </w:rPr>
        <w:t xml:space="preserve"> to account for the PPP loan. We have used all of the proceeds from the PPP loan for payroll, rent, utilities, and other specified costs that qualify for loan forgiveness. In April 2021, we submitted the PPP loan forgiveness application to the lender. In June 2021, the PPP loan was fully forgiven by the SBA and lender. As a result, we recognized a gain on extinguishment of debt of $10 million during the second quarter of 2021</w:t>
      </w:r>
      <w:r>
        <w:rPr>
          <w:rFonts w:ascii="Arial" w:cs="Arial" w:eastAsia="Arial" w:hAnsi="Arial"/>
          <w:sz w:val="17"/>
          <w:szCs w:val="17"/>
          <w:b w:val="1"/>
          <w:bCs w:val="1"/>
          <w:color w:val="auto"/>
        </w:rPr>
        <w: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Settlements and Outstanding Natural Gas Purchase Commitments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several days in February 2021, the Pryor Facility was taken out of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after extreme cold weather caused a surge in natural gas prices in the region, along with the curtailment of gas distribution by the operator of the pipeline that supplies natural gas to the facility. Also, as a result of unprecedented cold weather conditions, the primary natural gas supplier to our El Dorado Facility asserted a claim of force majeure and materially restricted the supply of gas to the facility. In order to mitigate a portion of the commodity price risk associated with natural gas, we periodically enter into natural gas forward contracts and volume purchase commitments that locked in the cost of certain volumes of natural gas. Prior to this weather event, we had both types of arrangements. During the first quarter of 2021, as a result of the extreme conditions previously described, we settled all of our natural gas forward contracts and certain volume purchase commitments and recognized a realized gain of approximately $6.8 million, which includes the realized gain discussed under “Natural Gas Contracts” in Note 7 and is classified as a reduction to cost of sales.</w:t>
      </w:r>
    </w:p>
    <w:p>
      <w:pPr>
        <w:spacing w:after="0" w:line="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At September 30, 2021, certain of our natural gas contracts qualify as normal purchases under GAAP and thus are not mark-to-market, which contracts included volume purchase commitments with fixed costs of approximately 4.8 million MMBtus of natural gas. These contracts extend through February 2022 at a weighted-average cost of $3.84 per MMBtu ($18.4 million) and a weighted-average market value of $5.55 per MMBtu ($26.6 million).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 (continued)</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Settlements of Gain Contingencies - </w:t>
      </w:r>
      <w:r>
        <w:rPr>
          <w:rFonts w:ascii="Arial" w:cs="Arial" w:eastAsia="Arial" w:hAnsi="Arial"/>
          <w:sz w:val="18"/>
          <w:szCs w:val="18"/>
          <w:color w:val="auto"/>
        </w:rPr>
        <w:t>During 2020, EDC and certain vendors mediated settlements for EDC to recover certain costs associated with a nitric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acid plant at our El Dorado Facility. The construction of this plant was completed, and the plant began production in 2016. As a result, the recovery from these settlements recognized during 2020, includes approximately $5.7 million classified as a reduction to cost of sales and approximately $1.9 million classified as a reduction to PP&amp;E.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Legal Matters - </w:t>
      </w:r>
      <w:r>
        <w:rPr>
          <w:rFonts w:ascii="Arial" w:cs="Arial" w:eastAsia="Arial" w:hAnsi="Arial"/>
          <w:sz w:val="18"/>
          <w:szCs w:val="18"/>
          <w:color w:val="auto"/>
        </w:rPr>
        <w:t>Following is a summary of certain legal matters involving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Environmental Matters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facilities and operations are subject to numerous federal, state and local environmental laws and to other laws regarding health and safety matters (collectively, the “Environmental and Health Laws”), many of which provide for certain performance obligations, substantial fines and criminal sanctions for violations. Certain Environmental and Health Laws impose strict liability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claims for damages to persons or property, including natural resources, may result from the environmental, health and safety effects of our operations.</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There can be no assurance that we will not incur material costs or liabilities in complying with such laws or in paying fines or penalties for violation of such laws. Our insurance may not cover all environmental risks and costs or may not provide sufficient coverage if an environmental claim is made against us. The Environmental and Health Laws and related enforcement policies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Further, a number of our facilities are dependent on environmental permits to operate, the loss or modification of which could have a material adverse effect on their operations and our financial condition.</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Historically, significant capital expenditures have been incurred by our subsidiaries in order to comply with the Environmental and Health Laws, and significant capital expenditures are expected to be incurred in the future. We will also be obligated to manage certain discharge water outlets and monitor groundwater contaminants at our facilities should we discontinue the operations of a facility.</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2021, our accrued liabilities for environmental matters totaled approximately $0.5 million relating primarily to the matters discussed below. Estimates of the most likely costs for our environmental matters are generally based on preliminary or completed assessment studies, preliminary results of studies or our experience with other similar matters. It is reasonably possible that a change in the estimate of our liability could occur in the near term.</w:t>
      </w:r>
    </w:p>
    <w:p>
      <w:pPr>
        <w:spacing w:after="0" w:line="11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1. Discharge Water Matters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Each of our manufacturing facilities generates process wastewater, which may include cooling tower and boiler water quality control streams, contact storm water and miscellaneous spills and leaks from process equipment. The process water discharge, storm-water runoff and miscellaneous spills and leaks are governed by various permits generally issued by the respective state environmental agencies as authorized and overseen by the U.S. Environmental Protection Agency. These permits limit the type and amount of effluents that can be discharged and control the method of such discharge.</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2017, the Pryor Chemical Company (“PCC”) filed a Permit Renewal Application for its Non-Hazardous Injection Well Permit at the Pryor Facility. Although the Injection Well Permit expired in 2018, PCC continues to operate the injection well pending the Oklahoma Department of Environmental Quality (“ODEQ”) action on the Permit Renewal Application. PCC and ODEQ are engaged in ongoing discussions related to the renewal of the injection well to address the wastewater stream.</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El Dorado Facility is subject to a National Pollutant Discharge Elimination System (“NPDES”) permit issued by the Arkansas Department of Environmental Quality (“ADEQ”) in 2004. In 2010, the ADEQ issued a draft NPDES permit renewal for the El Dorado Facility, which contained more restrictive discharge limits than the previous 2004 permit. During 2017, ADEQ issued a final NPDES permit with new dissolved mineral limits; however, EDC filed an appeal, and a Permit Appeal Resolution (“PAR”) was signed in 2018. EDC is in compliance with the revised permit limits agreed upon in the PAR.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 (continued)</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2006, the El Dorado Facility entered into a Consent Administrative Order (“CAO”) that recognizes the presence of nitrate contamination in the shallow groundwater. The CAO required EDC to perform semi-annual groundwater monitoring, continue operation of a groundwater recovery system, submit a human health and ecological risk assessment, and submit a remedial action plan.</w:t>
      </w:r>
    </w:p>
    <w:p>
      <w:pPr>
        <w:spacing w:after="0" w:line="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risk assessment was submitted in 2007. In 2015, the ADEQ stated that El Dorado Chemical was meeting the requirements of the CAO and should continue semi-annual monitoring. Subsequent to the PAR mentioned previously, a new CAO was signed in 2018, which required an Evaluation Report of the data and effectiveness of the groundwater remedy for nitrate contamination. During 2019, the Evaluation Report was submitted to the ADEQ and the ADEQ approved the report. No liability has been established at September 30, 2021, in connection with this ADEQ matter.</w:t>
      </w:r>
    </w:p>
    <w:p>
      <w:pPr>
        <w:spacing w:after="0" w:line="4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2. Other Environmental Matters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2002, certain of our subsidiaries sold substantially all of their operating assets relating to a Kansas chemical facility (the “Hallowell Facility”) but retained ownership of the real property where the facility is located. Our subsidiary retained the obligation to be responsible for, and perform the activities under, a previously executed consent order to investigate the surface and subsurface contamination at the real property, develop a corrective action strategy based on the investigation, and implement such strategy. In addition, certain of our subsidiaries agreed to indemnify the buyer of such assets for these environmental matters.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the successor to a prior owner of the Hallowell Facility, Chevron Environmental Management Company (“Chevron”) has agreed in writing, within certain limitations, to pay and has been paying one-half of the costs of the investigation and interim measures relating to this matter as approved by the Kansas Department of Health and Environment (the “KDHE”), subject to reallocation.</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this process, our subsidiary and Chevron retained an environmental consultant that prepared and performed a corrective action study work plan as to the appropriate method to remediate the Hallowell Facility. During 2020, the KDHE selected a remedy of annual monitoring and the implementation of an Environmental Use Control (“EUC”). This remedy primarily relates to long-term surface and groundwater monitoring to track the natural decline in contamination and is subject to a 5-year re-evaluation with the KDHE.</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final remedy, including the EUC, the finalization of the cost estimates and any required financial assurances remains under discussion with the KDHE, but continues to be delayed due to the impact from the COVID-19 pandemic. Pending the results from our discussions regarding the final remedy, we continue to accrue our allocable portion of costs primarily for the additional testing, monitoring and risk assessments that could be reasonably estimated, which amount is included in our accrued liabilities for environmental matters discussed above.</w:t>
      </w:r>
    </w:p>
    <w:p>
      <w:pPr>
        <w:spacing w:after="0" w:line="63" w:lineRule="exact"/>
        <w:rPr>
          <w:sz w:val="20"/>
          <w:szCs w:val="20"/>
          <w:color w:val="auto"/>
        </w:rPr>
      </w:pPr>
    </w:p>
    <w:p>
      <w:pPr>
        <w:ind w:right="220"/>
        <w:spacing w:after="0" w:line="375" w:lineRule="auto"/>
        <w:rPr>
          <w:sz w:val="20"/>
          <w:szCs w:val="20"/>
          <w:color w:val="auto"/>
        </w:rPr>
      </w:pPr>
      <w:r>
        <w:rPr>
          <w:rFonts w:ascii="Arial" w:cs="Arial" w:eastAsia="Arial" w:hAnsi="Arial"/>
          <w:sz w:val="18"/>
          <w:szCs w:val="18"/>
          <w:color w:val="auto"/>
        </w:rPr>
        <w:t xml:space="preserve">The estimated amount is not discounted to its present value. As more information becomes available, our estimated accrual will be refined, as necessary. </w:t>
      </w:r>
      <w:r>
        <w:rPr>
          <w:rFonts w:ascii="Arial" w:cs="Arial" w:eastAsia="Arial" w:hAnsi="Arial"/>
          <w:sz w:val="18"/>
          <w:szCs w:val="18"/>
          <w:b w:val="1"/>
          <w:bCs w:val="1"/>
          <w:color w:val="auto"/>
        </w:rPr>
        <w:t>B. Other Pending, Threatened or Settled Litigation</w:t>
      </w:r>
    </w:p>
    <w:p>
      <w:pPr>
        <w:spacing w:after="0" w:line="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2013, an explosion and fire occurred at the West Fertilizer Co. (“West Fertilizer”) located in West, Texas, causing death, bodily injury and substantial property damage. West Fertilizer is not owned or controlled by us, but West Fertilizer was a customer of EDC, and purchased AN from EDC from time to time. LSB and EDC received letters from counsel purporting to represent subrogated insurance carriers, personal injury claimants and persons who suffered property damages informing LSB and EDC that their clients are conducting investigations into the cause of the explosion and fire to determine, among other things, whether AN manufactured by EDC and supplied to West Fertilizer was stored at West Fertilizer at the time of the explosion and, if so, whether such AN may have been one of the contributing factors of the explosion. Initial lawsuits filed named West Fertilizer and another supplier of AN as defendants.</w:t>
      </w:r>
    </w:p>
    <w:p>
      <w:pPr>
        <w:spacing w:after="0" w:line="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2014, EDC and LSB were named as defendants, together with other AN manufacturers and brokers that arranged the transport and delivery of AN to West Fertilizer, in the case styled </w:t>
      </w:r>
      <w:r>
        <w:rPr>
          <w:rFonts w:ascii="Arial" w:cs="Arial" w:eastAsia="Arial" w:hAnsi="Arial"/>
          <w:sz w:val="18"/>
          <w:szCs w:val="18"/>
          <w:i w:val="1"/>
          <w:iCs w:val="1"/>
          <w:color w:val="auto"/>
        </w:rPr>
        <w:t>City of West, Texas vs. CF Industries, Inc., et al.</w:t>
      </w:r>
      <w:r>
        <w:rPr>
          <w:rFonts w:ascii="Arial" w:cs="Arial" w:eastAsia="Arial" w:hAnsi="Arial"/>
          <w:sz w:val="18"/>
          <w:szCs w:val="18"/>
          <w:color w:val="auto"/>
        </w:rPr>
        <w:t>, in the District Court of McLennan County, Texas. The plaintiffs allege, among other things, that LSB and EDC were negligent in the production and marketing of fertilizer products sold to West Fertilizer, resulting in death, personal injury and property damage. EDC retained a firm specializing in cause and origin investigations with particular experience with fertilizer facilities, to assist EDC in its own investigation. LSB and EDC placed its liability insurance carrier on notice, and the carrier is handling the defense for LSB and EDC concerning this matter.</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product liability insurance policies have aggregate limits of general liability totaling $100 million, with a self-insured retention of $250,000, which retention limit has been met relating to the West Fertilizer matter. In 2015, the trial court dismissed plaintiff’s negligence claims against us, and EDC based on a duty to inspect but allowed the plaintiffs to proceed on claims for design defect and failure to warn.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 (continued)</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Subsequently, we and EDC have entered into confidential settlement agreements (with approval of our insurance carriers) with several plaintiffs that had claimed wrongful death and bodily injury and insurance companies asserting subrogation claims for damages from the explosion. While these settlements resolve the claims of a number of the claimants in this matter, we continue to be party to litigation related to the explosion. We continue to defend these lawsuits vigorously and we are unable to estimate a possible range of loss at this time if there is an adverse outcome in this matter as to EDC. As of September 30, 2021, no liability reserve has been established in connection with this matter, except for the unpaid portion of the settlement agreements discussed above.</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2015, we and EDA received formal written notice from Global Industrial, Inc. (“Global”) of Global’s intention to assert mechanic liens for labor, service, or materials furnished under certain subcontract agreements for the improvement of the new ammonia plant (“Ammonia Plant”) at our El Dorado Facility. Global was a subcontractor of Leidos Constructors, LLC (“Leidos”), the general contractor for EDA for the construction for the Ammonia Plant. Leidos terminated the services of Global with respect to their work performed at our El Dorado Facility.</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LSB and EDA are pursuing the recovery of any damage or loss caused by Global’s work performed through their contract with Leidos at our El Dorado Facility. In March 2016, EDC and LSB were served a summons in a case styled </w:t>
      </w:r>
      <w:r>
        <w:rPr>
          <w:rFonts w:ascii="Arial" w:cs="Arial" w:eastAsia="Arial" w:hAnsi="Arial"/>
          <w:sz w:val="17"/>
          <w:szCs w:val="17"/>
          <w:i w:val="1"/>
          <w:iCs w:val="1"/>
          <w:color w:val="auto"/>
        </w:rPr>
        <w:t>Global Industrial, Inc. d/b/a Global Turnaround vs. Leidos Constructors,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LLC et al., </w:t>
      </w:r>
      <w:r>
        <w:rPr>
          <w:rFonts w:ascii="Arial" w:cs="Arial" w:eastAsia="Arial" w:hAnsi="Arial"/>
          <w:sz w:val="17"/>
          <w:szCs w:val="17"/>
          <w:color w:val="auto"/>
        </w:rPr>
        <w:t>in the Circuit court of Union County, Arkansas, wherein Global sought damages under breach of contract and other claims. At the time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summons, our accounts payable included invoices totaling approximately $3.5 million related to the claims asserted by Global but such invoices were not approved by Leidos for payment. We have requested indemnification from Leidos under the terms of our contracts, which they have denied. As a result, we are seeking reimbursement of legal expenses from Leidos under our contracts. We also seek damages from Leidos for their wrongdoing during the expansion, including breach of contract, fraud, professional negligence, and gross negligence.</w:t>
      </w:r>
    </w:p>
    <w:p>
      <w:pPr>
        <w:spacing w:after="0" w:line="6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2018, the court bifurcated the case into: (1) Global’s claims against Leidos and LSB, and (2) the cross-claims between Leidos and LSB. Part (1) of the case was tried in the court. In March 2020, the court rendered an interim judgment and issued its final judgment in April 2020. In summary, the judgment awarded Global (i) approximately $7.4 million (including the $3.5 million discussed above) for labor, service, and materials furnished relating to the Ammonia Plant, (ii) approximately $1.3 million for prejudgment interest, and (iii) a claim of lien on certain property and the foreclosure of the lien to satisfy these obligations. In addition, post-judgment interest will accrue at the annual rate of 4.25% until paid. During the first nine months of 2020, this judgment impacted our condensed consolidated statement of operations as follows:</w:t>
      </w:r>
    </w:p>
    <w:p>
      <w:pPr>
        <w:spacing w:after="0" w:line="178" w:lineRule="exact"/>
        <w:rPr>
          <w:sz w:val="20"/>
          <w:szCs w:val="20"/>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additional depreciation expense of $0.5 million classified as cost of sales; and</w:t>
      </w:r>
    </w:p>
    <w:p>
      <w:pPr>
        <w:spacing w:after="0" w:line="23"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prejudgment and post-judgment interest expense totaling $1.4 million.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have filed a notice of intent to appeal, and the court entered a stay of the judgment pending appeal.</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LSB intends to vigorously prosecute its claims against Leidos and vigorously contest the cross-claims in Part (2) of the matter. Due to the impact from the COVID-19 pandemic, the trial date for Part (2) of the matter has been delayed and we are awaiting a new trial date.</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liability was established at September 30, 2021, or December 31, 2020, in connection with the cross-claims in Part (2) of the matter, except for certain invoices held in accounts payable.</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also involved in various other claims and legal actions (including matters involving gain contingencies). It is possible that the actual future development of claims could be different from our estimates but, after consultation with legal counsel, we believe that changes in our estimates will not have a material effect on our business, financial condition, results of operations or cash flows.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Hedges and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the periods presented, the following significant instruments are accounted for on a fair value basis:</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Natural Gas Contracts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Periodically, we entered into certain forward natural gas contracts (“natural gas contracts”), which are accounted for on a mark-to-market basis. We are utilizing these natural gas contracts as economic hedges for risk management purposes but are not designated as hedging instruments. At December 31, 2020, our natural gas contracts included 7.3 million MMBtu of natural gas, that extended through December 2021, but these contracts were settled during the first quarter of 2021, primarily due to the weather event discussed in Note 6. At September 30, 2021, we had no outstanding natural gas contracts. The valuations of the natural gas contracts are classified as Level 2. At December 31, 2020, the fair value of the natural gas contracts included approximately $0.1 million (classified as a current asset) and approximately $1.3 million (classified as a current liability). The valuation inputs included the contractual weighted-average cost of $2.65 per MMBtu and the weighted-average market value of $2.49 per MMBtu.</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Hedges and Financial Instruments (continued)</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nine months ended September 30, 2021, we recognized a gain of $2.7 million (including a realized gain of $1.5 million), all of which was recognized in the first quarter. For the three and nine months ended September 30, 2020, we recognized a $0.5 million gain and a loss of $0.2, respectively. The gain is classified as a reduction of cost of sales and the loss is classified as cost of sales.</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Embedded Derivative</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discussed in Note 2, the Series E Redeemable Preferred was exchanged for our common stock during September 2021. As a result, certain bifurcated embedded redemption features and participation rights value (“embedded derivative”) included as a part of the terms of the Series E Redeemable Preferred were extinguished. Prior to the completion of the Exchange Transaction, the embedded derivative was classified as a liability.</w:t>
      </w:r>
    </w:p>
    <w:p>
      <w:pPr>
        <w:spacing w:after="0" w:line="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2020, the fair value of the embedded derivative was approximately $1.0 million (classified as a noncurrent liability). We estimated that the contingent redemption features had fair value since we estimate that a portion of the shares of this preferred stock would be redeemed prior to October 25, 2023, the earliest redemption date by the holder. For certain other embedded features, we estimated no fair value based on our assessment that there was a remote probability that these features would be exercised.</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fair value of the embedded derivative was valued using discounted cash flow models and primarily based on the difference in the present value of estimated future cash flows with no redemptions prior to October 25, 2023, compared to certain estimated redemptions during the same period and applying the effective dividend rate of the Series E Redeemable Preferred. At December 31, 2020, the fair value of the embedded derivative included the valuation of the participation rights, which was based on the equivalent of 303,646 shares of our common stock at $3.39 per share.</w:t>
      </w:r>
    </w:p>
    <w:p>
      <w:pPr>
        <w:spacing w:after="0" w:line="6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valuations of the embedded derivative were classified as Level 3. This derivative was valued using market information, management’s redemption assumptions, the underlying number of shares as defined in the terms of the Series E Redeemable Preferred, and the market price of our common stock.</w:t>
      </w:r>
    </w:p>
    <w:p>
      <w:pPr>
        <w:spacing w:after="0" w:line="1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the three and nine months ended September 30, 2021, we recognized a loss of approximately $1.1 million and $2.3 million (including a realized loss of $3.3 million), respectively, due to the change in fair value of the embedded derivative through the date of the Exchange Transaction. For the three and nine months ended September 30, 2020, we recognized an unrealized loss of approximately $0.1 million and an unrealized gain of approximately $0.6 million, respectively, due to the change in fair value of the embedded derivative. The gain and loss are included in non-operating other income and expense.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There was no Level 3 transfer activity for the nine months ended September 30, 2021.</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r>
              <w:rPr>
                <w:rFonts w:ascii="Arial" w:cs="Arial" w:eastAsia="Arial" w:hAnsi="Arial"/>
                <w:sz w:val="18"/>
                <w:szCs w:val="18"/>
                <w:b w:val="1"/>
                <w:bCs w:val="1"/>
                <w:color w:val="auto"/>
              </w:rPr>
              <w:t>8. Income Taxes</w:t>
            </w: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5840" w:type="dxa"/>
            <w:vAlign w:val="bottom"/>
          </w:tcPr>
          <w:p>
            <w:pPr>
              <w:spacing w:after="0"/>
              <w:rPr>
                <w:sz w:val="20"/>
                <w:szCs w:val="20"/>
                <w:color w:val="auto"/>
              </w:rPr>
            </w:pPr>
            <w:r>
              <w:rPr>
                <w:rFonts w:ascii="Arial" w:cs="Arial" w:eastAsia="Arial" w:hAnsi="Arial"/>
                <w:sz w:val="18"/>
                <w:szCs w:val="18"/>
                <w:color w:val="auto"/>
              </w:rPr>
              <w:t>Provision (benefit) for income taxes is as follows:</w:t>
            </w: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0"/>
        </w:trPr>
        <w:tc>
          <w:tcPr>
            <w:tcW w:w="5840" w:type="dxa"/>
            <w:vAlign w:val="bottom"/>
          </w:tcPr>
          <w:p>
            <w:pPr>
              <w:spacing w:after="0"/>
              <w:rPr>
                <w:sz w:val="24"/>
                <w:szCs w:val="24"/>
                <w:color w:val="auto"/>
              </w:rPr>
            </w:pPr>
          </w:p>
        </w:tc>
        <w:tc>
          <w:tcPr>
            <w:tcW w:w="2020" w:type="dxa"/>
            <w:vAlign w:val="bottom"/>
            <w:gridSpan w:val="4"/>
          </w:tcPr>
          <w:p>
            <w:pPr>
              <w:jc w:val="right"/>
              <w:spacing w:after="0"/>
              <w:rPr>
                <w:sz w:val="20"/>
                <w:szCs w:val="20"/>
                <w:color w:val="auto"/>
              </w:rPr>
            </w:pPr>
            <w:r>
              <w:rPr>
                <w:rFonts w:ascii="Arial" w:cs="Arial" w:eastAsia="Arial" w:hAnsi="Arial"/>
                <w:sz w:val="18"/>
                <w:szCs w:val="18"/>
                <w:color w:val="auto"/>
              </w:rPr>
              <w:t>Three Months Ended</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60" w:type="dxa"/>
            <w:vAlign w:val="bottom"/>
            <w:gridSpan w:val="6"/>
          </w:tcPr>
          <w:p>
            <w:pPr>
              <w:jc w:val="right"/>
              <w:ind w:right="660"/>
              <w:spacing w:after="0"/>
              <w:rPr>
                <w:sz w:val="20"/>
                <w:szCs w:val="20"/>
                <w:color w:val="auto"/>
              </w:rPr>
            </w:pPr>
            <w:r>
              <w:rPr>
                <w:rFonts w:ascii="Arial" w:cs="Arial" w:eastAsia="Arial" w:hAnsi="Arial"/>
                <w:sz w:val="18"/>
                <w:szCs w:val="18"/>
                <w:color w:val="auto"/>
                <w:w w:val="99"/>
              </w:rPr>
              <w:t>Nine Months Ended</w:t>
            </w:r>
          </w:p>
        </w:tc>
      </w:tr>
      <w:tr>
        <w:trPr>
          <w:trHeight w:val="230"/>
        </w:trPr>
        <w:tc>
          <w:tcPr>
            <w:tcW w:w="5840" w:type="dxa"/>
            <w:vAlign w:val="bottom"/>
          </w:tcPr>
          <w:p>
            <w:pPr>
              <w:spacing w:after="0"/>
              <w:rPr>
                <w:sz w:val="19"/>
                <w:szCs w:val="19"/>
                <w:color w:val="auto"/>
              </w:rPr>
            </w:pPr>
          </w:p>
        </w:tc>
        <w:tc>
          <w:tcPr>
            <w:tcW w:w="2020" w:type="dxa"/>
            <w:vAlign w:val="bottom"/>
            <w:gridSpan w:val="4"/>
          </w:tcPr>
          <w:p>
            <w:pPr>
              <w:jc w:val="right"/>
              <w:ind w:right="184"/>
              <w:spacing w:after="0"/>
              <w:rPr>
                <w:sz w:val="20"/>
                <w:szCs w:val="20"/>
                <w:color w:val="auto"/>
              </w:rPr>
            </w:pPr>
            <w:r>
              <w:rPr>
                <w:rFonts w:ascii="Arial" w:cs="Arial" w:eastAsia="Arial" w:hAnsi="Arial"/>
                <w:sz w:val="18"/>
                <w:szCs w:val="18"/>
                <w:color w:val="auto"/>
              </w:rPr>
              <w:t>September 30,</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60" w:type="dxa"/>
            <w:vAlign w:val="bottom"/>
            <w:gridSpan w:val="6"/>
          </w:tcPr>
          <w:p>
            <w:pPr>
              <w:jc w:val="right"/>
              <w:ind w:right="860"/>
              <w:spacing w:after="0"/>
              <w:rPr>
                <w:sz w:val="20"/>
                <w:szCs w:val="20"/>
                <w:color w:val="auto"/>
              </w:rPr>
            </w:pPr>
            <w:r>
              <w:rPr>
                <w:rFonts w:ascii="Arial" w:cs="Arial" w:eastAsia="Arial" w:hAnsi="Arial"/>
                <w:sz w:val="18"/>
                <w:szCs w:val="18"/>
                <w:color w:val="auto"/>
              </w:rPr>
              <w:t>September 30,</w:t>
            </w:r>
          </w:p>
        </w:tc>
      </w:tr>
      <w:tr>
        <w:trPr>
          <w:trHeight w:val="230"/>
        </w:trPr>
        <w:tc>
          <w:tcPr>
            <w:tcW w:w="584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311"/>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2021</w:t>
            </w: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06"/>
        </w:trPr>
        <w:tc>
          <w:tcPr>
            <w:tcW w:w="5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color w:val="auto"/>
              </w:rPr>
              <w:t>(In Thousands)</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3"/>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w:t>
            </w:r>
          </w:p>
        </w:tc>
        <w:tc>
          <w:tcPr>
            <w:tcW w:w="7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Federal</w:t>
            </w: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484"/>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State</w:t>
            </w:r>
          </w:p>
        </w:tc>
        <w:tc>
          <w:tcPr>
            <w:tcW w:w="7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9"/>
              </w:rPr>
              <w:t>(119)</w:t>
            </w:r>
          </w:p>
        </w:tc>
        <w:tc>
          <w:tcPr>
            <w:tcW w:w="6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(581)</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Current</w:t>
            </w: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(119)</w:t>
            </w:r>
          </w:p>
        </w:tc>
        <w:tc>
          <w:tcPr>
            <w:tcW w:w="240" w:type="dxa"/>
            <w:vAlign w:val="bottom"/>
            <w:tcBorders>
              <w:bottom w:val="single" w:sz="8" w:color="CFF0FC"/>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484"/>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b w:val="1"/>
                <w:bCs w:val="1"/>
                <w:color w:val="auto"/>
              </w:rPr>
              <w:t>Deferred:</w:t>
            </w: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w:t>
            </w:r>
          </w:p>
        </w:tc>
        <w:tc>
          <w:tcPr>
            <w:tcW w:w="76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84"/>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4"/>
              </w:rPr>
              <w:t>(1,188)</w:t>
            </w: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w:t>
            </w:r>
          </w:p>
        </w:tc>
        <w:tc>
          <w:tcPr>
            <w:tcW w:w="2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(3,079)</w:t>
            </w: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State</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(205)</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r>
      <w:tr>
        <w:trPr>
          <w:trHeight w:val="223"/>
        </w:trPr>
        <w:tc>
          <w:tcPr>
            <w:tcW w:w="58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Deferred</w:t>
            </w:r>
          </w:p>
        </w:tc>
        <w:tc>
          <w:tcPr>
            <w:tcW w:w="760" w:type="dxa"/>
            <w:vAlign w:val="bottom"/>
            <w:tcBorders>
              <w:top w:val="single" w:sz="8" w:color="auto"/>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4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484"/>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(1,393)</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840" w:type="dxa"/>
            <w:vAlign w:val="bottom"/>
          </w:tcPr>
          <w:p>
            <w:pPr>
              <w:ind w:left="740"/>
              <w:spacing w:after="0"/>
              <w:rPr>
                <w:sz w:val="20"/>
                <w:szCs w:val="20"/>
                <w:color w:val="auto"/>
              </w:rPr>
            </w:pPr>
            <w:r>
              <w:rPr>
                <w:rFonts w:ascii="Arial" w:cs="Arial" w:eastAsia="Arial" w:hAnsi="Arial"/>
                <w:sz w:val="18"/>
                <w:szCs w:val="18"/>
                <w:color w:val="auto"/>
              </w:rPr>
              <w:t>Provision (benefit) for income taxes</w:t>
            </w:r>
          </w:p>
        </w:tc>
        <w:tc>
          <w:tcPr>
            <w:tcW w:w="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9"/>
                <w:szCs w:val="19"/>
                <w:color w:val="auto"/>
              </w:rPr>
            </w:pPr>
          </w:p>
        </w:tc>
        <w:tc>
          <w:tcPr>
            <w:tcW w:w="640" w:type="dxa"/>
            <w:vAlign w:val="bottom"/>
            <w:tcBorders>
              <w:bottom w:val="single" w:sz="8" w:color="auto"/>
            </w:tcBorders>
          </w:tcPr>
          <w:p>
            <w:pPr>
              <w:jc w:val="right"/>
              <w:ind w:right="484"/>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(1,370)</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(3,008)</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three and nine months ended September 30, 2021 and 2020, the current provision (benefit) for state income taxes shown above includes regular state income tax, provisions for uncertain state income tax positions, the impact of state tax law changes and other similar adjustments.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 (continued)</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estimated annual effective tax rate for 2021 includes the impact of permanent tax differences including but not limited to PPP loan forgiveness, limits on deductible compensation, state tax law changes, and valuation allowances.</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considered both positive and negative evidence in our determination of the need for valuation allowances for deferred tax assets. Information evaluated includes our financial position and results of operations for the current and preceding years, the availability of deferred tax liabilities and tax carrybacks, as well as an evaluation of currently available information about future years. Valuation allowances are reflective of our quarterly analysis of the four sources of taxable income, including the calculation of the reversal of existing tax assets and liabilities, the impact of financing activities and our quarterly results. Based on our analysis, we currently believe that it is more-likely-than-not that a portion of our federal deferred tax assets will not be able to be utilized. However, we estimate a $7.9 million reduction in the related valuation allowance associated with these federal deferred tax assets will be recorded during 2021. We have also determined it is more-likely-than-not that a portion of our state deferred tax assets will not be able to be utilized. However, we estimate a $5.9 million reduction in the related valuation allowance associated with these state deferred tax assets will be recorded during 2021.</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continue to evaluate both the positive and negative evidence on a quarterly basis in determining the need for a valuation allowance with respect to our deferred tax assets. Changes in positive and negative evidence, including differences between estimated and actual results, could result in changes in the valuation of our deferred tax assets that could have a material impact on our consolidated financial statements. Changes in existing tax laws could also affect actual tax results and the realization of deferred tax assets over time.</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tax benefit for the nine months ended September 30, 2021 was $0.2 million (15% benefit on pre-tax income). The negative effective tax rate is primarily due to near break-even pre-tax book income and permanent tax differences including but not limited to PPP loan forgiveness and limits on deductible compensation, state tax law changes, and valuation allowances. The tax benefit for the nine months ended September 30, 2020 was $3.0 million (7% benefit on pre-tax loss). The effective tax rate is less than the statutory tax rate primarily due to the impact of the valuation allowances.</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LSB and certain of its subsidiaries file income tax returns in the U.S. federal jurisdiction and various state jurisdictions. With few exceptions, the 2017-2020 years remain open for all purposes of examination by the U.S. Internal Revenue Service and other major tax jurisdictions. Additionally, the 2013-2016 years remain subject to examination for determining the amount of net operating loss and other carryforwards.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Non-Redeemable Preferred Stock</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Series Non-Redeemable B Preferred </w:t>
      </w:r>
      <w:r>
        <w:rPr>
          <w:rFonts w:ascii="Arial" w:cs="Arial" w:eastAsia="Arial" w:hAnsi="Arial"/>
          <w:sz w:val="18"/>
          <w:szCs w:val="18"/>
          <w:color w:val="auto"/>
        </w:rPr>
        <w:t>– The 20,000 shares of Series B 12% cumulative, convertible preferred stock (“Series B Preferred”), $100 par value,</w:t>
      </w:r>
      <w:r>
        <w:rPr>
          <w:rFonts w:ascii="Arial" w:cs="Arial" w:eastAsia="Arial" w:hAnsi="Arial"/>
          <w:sz w:val="18"/>
          <w:szCs w:val="18"/>
          <w:b w:val="1"/>
          <w:bCs w:val="1"/>
          <w:color w:val="auto"/>
        </w:rPr>
        <w:t xml:space="preserve"> </w:t>
      </w:r>
      <w:r>
        <w:rPr>
          <w:rFonts w:ascii="Arial" w:cs="Arial" w:eastAsia="Arial" w:hAnsi="Arial"/>
          <w:sz w:val="18"/>
          <w:szCs w:val="18"/>
          <w:color w:val="auto"/>
        </w:rPr>
        <w:t>are convertible, in whole or in part, into 866,666 shares of our common stock (43.3333 shares of common stock for each share of preferred stock) at any time at the option of the holder and entitle the holder to one vote per share. The Series B Preferred provides for annual cumulative dividends of 12% ($12.00 per share) from date of issue, payable when and as declared. All of the outstanding shares of the Series B Preferred are owned by the Golsen Holders and an immediate family member</w:t>
      </w:r>
      <w:r>
        <w:rPr>
          <w:rFonts w:ascii="Arial" w:cs="Arial" w:eastAsia="Arial" w:hAnsi="Arial"/>
          <w:sz w:val="18"/>
          <w:szCs w:val="18"/>
          <w:b w:val="1"/>
          <w:bCs w:val="1"/>
          <w:color w:val="auto"/>
        </w:rPr>
        <w:t>.</w:t>
      </w:r>
    </w:p>
    <w:p>
      <w:pPr>
        <w:spacing w:after="0" w:line="7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Series Non-Redeemable D Preferred </w:t>
      </w:r>
      <w:r>
        <w:rPr>
          <w:rFonts w:ascii="Arial" w:cs="Arial" w:eastAsia="Arial" w:hAnsi="Arial"/>
          <w:sz w:val="17"/>
          <w:szCs w:val="17"/>
          <w:color w:val="auto"/>
        </w:rPr>
        <w:t>– The 1,000,000 shares of Series D 6% cumulative, convertible Class C preferred stock (“Series D Preferred”) have</w:t>
      </w:r>
      <w:r>
        <w:rPr>
          <w:rFonts w:ascii="Arial" w:cs="Arial" w:eastAsia="Arial" w:hAnsi="Arial"/>
          <w:sz w:val="17"/>
          <w:szCs w:val="17"/>
          <w:b w:val="1"/>
          <w:bCs w:val="1"/>
          <w:color w:val="auto"/>
        </w:rPr>
        <w:t xml:space="preserve"> </w:t>
      </w:r>
      <w:r>
        <w:rPr>
          <w:rFonts w:ascii="Arial" w:cs="Arial" w:eastAsia="Arial" w:hAnsi="Arial"/>
          <w:sz w:val="17"/>
          <w:szCs w:val="17"/>
          <w:color w:val="auto"/>
        </w:rPr>
        <w:t>no par value and are convertible, in whole or in part, into 325,000 shares of our common stock (0.325 share of common stock for 1 share of preferred stock) at any time at the option of the holder. Dividends on the Series D Preferred are cumulative and payable annually in arrears at the rate of 6% per annum ($0.06 per share) of the liquidation preference of $1.00 per share. Each holder of the Series D Preferred shall be entitled to .875 votes per share. All of the outstanding shares of Series D Preferred are owned by the Golsen Holders and an immediate family member</w:t>
      </w:r>
      <w:r>
        <w:rPr>
          <w:rFonts w:ascii="Arial" w:cs="Arial" w:eastAsia="Arial" w:hAnsi="Arial"/>
          <w:sz w:val="17"/>
          <w:szCs w:val="17"/>
          <w:b w:val="1"/>
          <w:bCs w:val="1"/>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See discussions concerning dividends on the Series B and Series D Preferred in Note 11 – Related Party Transactions.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Sales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Net Sales</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in Note 1, we primarily derive our revenues from the sales of various chemical products. The following table presents our net sales disaggregated by our principal markets, which disaggregation is consistent with other financial information utilized or provided outside of our condensed consolidated financial statements: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00" w:type="dxa"/>
            <w:vAlign w:val="bottom"/>
            <w:gridSpan w:val="4"/>
          </w:tcPr>
          <w:p>
            <w:pPr>
              <w:jc w:val="right"/>
              <w:ind w:right="432"/>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80" w:type="dxa"/>
            <w:vAlign w:val="bottom"/>
            <w:gridSpan w:val="5"/>
          </w:tcPr>
          <w:p>
            <w:pPr>
              <w:jc w:val="center"/>
              <w:ind w:right="520"/>
              <w:spacing w:after="0"/>
              <w:rPr>
                <w:sz w:val="20"/>
                <w:szCs w:val="20"/>
                <w:color w:val="auto"/>
              </w:rPr>
            </w:pPr>
            <w:r>
              <w:rPr>
                <w:rFonts w:ascii="Arial" w:cs="Arial" w:eastAsia="Arial" w:hAnsi="Arial"/>
                <w:sz w:val="18"/>
                <w:szCs w:val="18"/>
                <w:color w:val="auto"/>
                <w:w w:val="91"/>
              </w:rPr>
              <w:t>Nine Months Ended</w:t>
            </w:r>
          </w:p>
        </w:tc>
      </w:tr>
      <w:tr>
        <w:trPr>
          <w:trHeight w:val="230"/>
        </w:trPr>
        <w:tc>
          <w:tcPr>
            <w:tcW w:w="5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00" w:type="dxa"/>
            <w:vAlign w:val="bottom"/>
            <w:gridSpan w:val="4"/>
          </w:tcPr>
          <w:p>
            <w:pPr>
              <w:jc w:val="right"/>
              <w:ind w:right="672"/>
              <w:spacing w:after="0"/>
              <w:rPr>
                <w:sz w:val="20"/>
                <w:szCs w:val="20"/>
                <w:color w:val="auto"/>
              </w:rPr>
            </w:pPr>
            <w:r>
              <w:rPr>
                <w:rFonts w:ascii="Arial" w:cs="Arial" w:eastAsia="Arial" w:hAnsi="Arial"/>
                <w:sz w:val="18"/>
                <w:szCs w:val="18"/>
                <w:color w:val="auto"/>
              </w:rPr>
              <w:t>September 30,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80" w:type="dxa"/>
            <w:vAlign w:val="bottom"/>
            <w:gridSpan w:val="5"/>
          </w:tcPr>
          <w:p>
            <w:pPr>
              <w:jc w:val="center"/>
              <w:ind w:right="520"/>
              <w:spacing w:after="0"/>
              <w:rPr>
                <w:sz w:val="20"/>
                <w:szCs w:val="20"/>
                <w:color w:val="auto"/>
              </w:rPr>
            </w:pPr>
            <w:r>
              <w:rPr>
                <w:rFonts w:ascii="Arial" w:cs="Arial" w:eastAsia="Arial" w:hAnsi="Arial"/>
                <w:sz w:val="18"/>
                <w:szCs w:val="18"/>
                <w:color w:val="auto"/>
                <w:w w:val="88"/>
              </w:rPr>
              <w:t>September 30,</w:t>
            </w:r>
          </w:p>
        </w:tc>
      </w:tr>
      <w:tr>
        <w:trPr>
          <w:trHeight w:val="230"/>
        </w:trPr>
        <w:tc>
          <w:tcPr>
            <w:tcW w:w="5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2021</w:t>
            </w: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r>
      <w:tr>
        <w:trPr>
          <w:trHeight w:val="206"/>
        </w:trPr>
        <w:tc>
          <w:tcPr>
            <w:tcW w:w="5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color w:val="auto"/>
              </w:rPr>
              <w:t>(In Thousands)</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9"/>
        </w:trPr>
        <w:tc>
          <w:tcPr>
            <w:tcW w:w="5820" w:type="dxa"/>
            <w:vAlign w:val="bottom"/>
          </w:tcPr>
          <w:p>
            <w:pPr>
              <w:ind w:left="260"/>
              <w:spacing w:after="0"/>
              <w:rPr>
                <w:sz w:val="20"/>
                <w:szCs w:val="20"/>
                <w:color w:val="auto"/>
              </w:rPr>
            </w:pPr>
            <w:r>
              <w:rPr>
                <w:rFonts w:ascii="Arial" w:cs="Arial" w:eastAsia="Arial" w:hAnsi="Arial"/>
                <w:sz w:val="18"/>
                <w:szCs w:val="18"/>
                <w:color w:val="auto"/>
              </w:rPr>
              <w:t>Agricultural products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51,102</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31,986</w:t>
            </w:r>
          </w:p>
        </w:tc>
        <w:tc>
          <w:tcPr>
            <w:tcW w:w="6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162,523</w:t>
            </w:r>
          </w:p>
        </w:tc>
        <w:tc>
          <w:tcPr>
            <w:tcW w:w="26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138,441</w:t>
            </w:r>
          </w:p>
        </w:tc>
        <w:tc>
          <w:tcPr>
            <w:tcW w:w="120" w:type="dxa"/>
            <w:vAlign w:val="bottom"/>
          </w:tcPr>
          <w:p>
            <w:pPr>
              <w:spacing w:after="0"/>
              <w:rPr>
                <w:sz w:val="19"/>
                <w:szCs w:val="19"/>
                <w:color w:val="auto"/>
              </w:rPr>
            </w:pPr>
          </w:p>
        </w:tc>
      </w:tr>
      <w:tr>
        <w:trPr>
          <w:trHeight w:val="229"/>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Industrial acids and other chemical products</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63,920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32,372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164,803</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97,137</w:t>
            </w:r>
          </w:p>
        </w:tc>
        <w:tc>
          <w:tcPr>
            <w:tcW w:w="120" w:type="dxa"/>
            <w:vAlign w:val="bottom"/>
            <w:shd w:val="clear" w:color="auto" w:fill="CFF0FC"/>
          </w:tcPr>
          <w:p>
            <w:pPr>
              <w:spacing w:after="0"/>
              <w:rPr>
                <w:sz w:val="19"/>
                <w:szCs w:val="19"/>
                <w:color w:val="auto"/>
              </w:rPr>
            </w:pPr>
          </w:p>
        </w:tc>
      </w:tr>
      <w:tr>
        <w:trPr>
          <w:trHeight w:val="230"/>
        </w:trPr>
        <w:tc>
          <w:tcPr>
            <w:tcW w:w="5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Mining products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12,177</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9,611</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38,685</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26,835</w:t>
            </w:r>
          </w:p>
        </w:tc>
        <w:tc>
          <w:tcPr>
            <w:tcW w:w="120" w:type="dxa"/>
            <w:vAlign w:val="bottom"/>
            <w:tcBorders>
              <w:bottom w:val="single" w:sz="8" w:color="CFF0FC"/>
            </w:tcBorders>
          </w:tcPr>
          <w:p>
            <w:pPr>
              <w:spacing w:after="0"/>
              <w:rPr>
                <w:sz w:val="19"/>
                <w:szCs w:val="19"/>
                <w:color w:val="auto"/>
              </w:rPr>
            </w:pPr>
          </w:p>
        </w:tc>
      </w:tr>
      <w:tr>
        <w:trPr>
          <w:trHeight w:val="223"/>
        </w:trPr>
        <w:tc>
          <w:tcPr>
            <w:tcW w:w="58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net sales</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127,199</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73,969</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366,011</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262,413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Information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most of our contracts have an original expected duration of one year or less, for our contracts with a duration greater than one year at contract inception, the average remaining expected duration was approximately 12 months at September 30, 2021.</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Liabilities associated with contracts with customers (contract liabilities) primarily relate to deferred revenue and customer deposits associated with cash payments received in advance from customers for volume shortfall charges and product shipments. We had approximately $1.7 million and $2.5 million of contract liabilities as of September 30, 2021 and December 31, 2020, respectively. For the three and nine months ended September 30, 2021, revenues of $0.6 million and $2.2 million, respectively, were recognized and included in the balance at the beginning of the respective period. For the three and nine months ended September 30, 2020, revenues of $0.6 million and $1.5 million, respectively, were recognized and included in the balance at the beginning of the respective period.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in Note 2, as the result of the stockholders’ approval, the closing of the Exchange Agreement occurred, and the Exchange Transaction was consummated on September 27, 2021. Pursuant to the terms of the Exchange Agreement, LSB Funding exchanged all of the shares of the Series E and Series F Redeemable Preferred for approximately 49.1 million shares of our common stock.</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discussed in Note 1, our Board declared the Special Dividend that was paid through the issuance of approximately 9.1 million shares of common stock in October 2021, which amount included approximately 1.2 million shares to LSB Funding and approximately 0.7 million shares to the Golsen Holders. In addition, pursuant to the anti-dilution terms of the Series B and Series D Preferred, the conversion ratio of the Series B Preferred increased to 43.3333 to 1 from 33.3333 to 1 and the Series D Preferred increased to 0.325 to 1 from 0.25 to 1 as discussed in Note 9. The Golsen Holders and an immediate family member hold all outstanding shares of the Series B and Series D Preferred, which accumulated dividends on such shares totaled approximately $1.8 million at September 30, 2021.</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After considering the Special Dividend, LSB Funding holds approximately 54.4 million shares of our outstanding common stock, or 60% of our outstanding common stock.</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2021, we have three separate outstanding financing arrangements by an affiliate of LSB Funding as discussed in footnotes (D), (E) and (F) of Note 5. Also, an affiliate of LSB Funding held $50 million of our Senior Secured Notes discussed in footnote (B) of Note 5, which Senior Secured Notes were redeemed with the proceeds from the new senior secured notes as discussed in Note 13. An affiliate of LSB Funding holds $30 million of the new senior secured notes.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Supplemental Cash Flow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additional information relating to cash flow activities: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gridSpan w:val="4"/>
          </w:tcPr>
          <w:p>
            <w:pPr>
              <w:jc w:val="center"/>
              <w:ind w:right="420"/>
              <w:spacing w:after="0"/>
              <w:rPr>
                <w:sz w:val="20"/>
                <w:szCs w:val="20"/>
                <w:color w:val="auto"/>
              </w:rPr>
            </w:pPr>
            <w:r>
              <w:rPr>
                <w:rFonts w:ascii="Arial" w:cs="Arial" w:eastAsia="Arial" w:hAnsi="Arial"/>
                <w:sz w:val="18"/>
                <w:szCs w:val="18"/>
                <w:color w:val="auto"/>
                <w:w w:val="92"/>
              </w:rPr>
              <w:t>Nine Months Ended</w:t>
            </w:r>
          </w:p>
        </w:tc>
      </w:tr>
      <w:tr>
        <w:trPr>
          <w:trHeight w:val="229"/>
        </w:trPr>
        <w:tc>
          <w:tcPr>
            <w:tcW w:w="5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gridSpan w:val="2"/>
          </w:tcPr>
          <w:p>
            <w:pPr>
              <w:jc w:val="center"/>
              <w:ind w:left="531"/>
              <w:spacing w:after="0"/>
              <w:rPr>
                <w:sz w:val="20"/>
                <w:szCs w:val="20"/>
                <w:color w:val="auto"/>
              </w:rPr>
            </w:pPr>
            <w:r>
              <w:rPr>
                <w:rFonts w:ascii="Arial" w:cs="Arial" w:eastAsia="Arial" w:hAnsi="Arial"/>
                <w:sz w:val="18"/>
                <w:szCs w:val="18"/>
                <w:color w:val="auto"/>
                <w:w w:val="88"/>
              </w:rPr>
              <w:t>September 30,</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91"/>
              <w:spacing w:after="0"/>
              <w:rPr>
                <w:sz w:val="20"/>
                <w:szCs w:val="20"/>
                <w:color w:val="auto"/>
              </w:rPr>
            </w:pPr>
            <w:r>
              <w:rPr>
                <w:rFonts w:ascii="Arial" w:cs="Arial" w:eastAsia="Arial" w:hAnsi="Arial"/>
                <w:sz w:val="18"/>
                <w:szCs w:val="18"/>
                <w:color w:val="auto"/>
              </w:rPr>
              <w:t>2021</w:t>
            </w:r>
          </w:p>
        </w:tc>
        <w:tc>
          <w:tcPr>
            <w:tcW w:w="5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2020</w:t>
            </w:r>
          </w:p>
        </w:tc>
        <w:tc>
          <w:tcPr>
            <w:tcW w:w="120" w:type="dxa"/>
            <w:vAlign w:val="bottom"/>
          </w:tcPr>
          <w:p>
            <w:pPr>
              <w:spacing w:after="0"/>
              <w:rPr>
                <w:sz w:val="20"/>
                <w:szCs w:val="20"/>
                <w:color w:val="auto"/>
              </w:rPr>
            </w:pPr>
          </w:p>
        </w:tc>
      </w:tr>
      <w:tr>
        <w:trPr>
          <w:trHeight w:val="207"/>
        </w:trPr>
        <w:tc>
          <w:tcPr>
            <w:tcW w:w="5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gridSpan w:val="2"/>
          </w:tcPr>
          <w:p>
            <w:pPr>
              <w:jc w:val="center"/>
              <w:ind w:left="551"/>
              <w:spacing w:after="0"/>
              <w:rPr>
                <w:sz w:val="20"/>
                <w:szCs w:val="20"/>
                <w:color w:val="auto"/>
              </w:rPr>
            </w:pPr>
            <w:r>
              <w:rPr>
                <w:rFonts w:ascii="Arial" w:cs="Arial" w:eastAsia="Arial" w:hAnsi="Arial"/>
                <w:sz w:val="16"/>
                <w:szCs w:val="16"/>
                <w:color w:val="auto"/>
                <w:w w:val="91"/>
              </w:rPr>
              <w:t>(In Thousands)</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3"/>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Cash refunds for:</w:t>
            </w:r>
          </w:p>
        </w:tc>
        <w:tc>
          <w:tcPr>
            <w:tcW w:w="1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9"/>
        </w:trPr>
        <w:tc>
          <w:tcPr>
            <w:tcW w:w="5760" w:type="dxa"/>
            <w:vAlign w:val="bottom"/>
          </w:tcPr>
          <w:p>
            <w:pPr>
              <w:ind w:left="240"/>
              <w:spacing w:after="0"/>
              <w:rPr>
                <w:sz w:val="20"/>
                <w:szCs w:val="20"/>
                <w:color w:val="auto"/>
              </w:rPr>
            </w:pPr>
            <w:r>
              <w:rPr>
                <w:rFonts w:ascii="Arial" w:cs="Arial" w:eastAsia="Arial" w:hAnsi="Arial"/>
                <w:sz w:val="18"/>
                <w:szCs w:val="18"/>
                <w:color w:val="auto"/>
              </w:rPr>
              <w:t>Income taxes, net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(183)</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(319)</w:t>
            </w:r>
          </w:p>
        </w:tc>
      </w:tr>
      <w:tr>
        <w:trPr>
          <w:trHeight w:val="23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Noncash investing and financing activities:</w:t>
            </w: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5760" w:type="dxa"/>
            <w:vAlign w:val="bottom"/>
          </w:tcPr>
          <w:p>
            <w:pPr>
              <w:ind w:left="240"/>
              <w:spacing w:after="0"/>
              <w:rPr>
                <w:sz w:val="20"/>
                <w:szCs w:val="20"/>
                <w:color w:val="auto"/>
              </w:rPr>
            </w:pPr>
            <w:r>
              <w:rPr>
                <w:rFonts w:ascii="Arial" w:cs="Arial" w:eastAsia="Arial" w:hAnsi="Arial"/>
                <w:sz w:val="18"/>
                <w:szCs w:val="18"/>
                <w:color w:val="auto"/>
              </w:rPr>
              <w:t>Accounts receivable, supplies, other assets, accounts</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60" w:type="dxa"/>
            <w:vAlign w:val="bottom"/>
          </w:tcPr>
          <w:p>
            <w:pPr>
              <w:ind w:left="420"/>
              <w:spacing w:after="0"/>
              <w:rPr>
                <w:sz w:val="20"/>
                <w:szCs w:val="20"/>
                <w:color w:val="auto"/>
              </w:rPr>
            </w:pPr>
            <w:r>
              <w:rPr>
                <w:rFonts w:ascii="Arial" w:cs="Arial" w:eastAsia="Arial" w:hAnsi="Arial"/>
                <w:sz w:val="18"/>
                <w:szCs w:val="18"/>
                <w:color w:val="auto"/>
              </w:rPr>
              <w:t>payable and accrued liabilities associated with additions</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760" w:type="dxa"/>
            <w:vAlign w:val="bottom"/>
          </w:tcPr>
          <w:p>
            <w:pPr>
              <w:ind w:left="420"/>
              <w:spacing w:after="0"/>
              <w:rPr>
                <w:sz w:val="20"/>
                <w:szCs w:val="20"/>
                <w:color w:val="auto"/>
              </w:rPr>
            </w:pPr>
            <w:r>
              <w:rPr>
                <w:rFonts w:ascii="Arial" w:cs="Arial" w:eastAsia="Arial" w:hAnsi="Arial"/>
                <w:sz w:val="18"/>
                <w:szCs w:val="18"/>
                <w:color w:val="auto"/>
              </w:rPr>
              <w:t>of property, plant and equipment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20,321</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12,974</w:t>
            </w:r>
          </w:p>
        </w:tc>
        <w:tc>
          <w:tcPr>
            <w:tcW w:w="120" w:type="dxa"/>
            <w:vAlign w:val="bottom"/>
          </w:tcPr>
          <w:p>
            <w:pPr>
              <w:spacing w:after="0"/>
              <w:rPr>
                <w:sz w:val="20"/>
                <w:szCs w:val="20"/>
                <w:color w:val="auto"/>
              </w:rPr>
            </w:pPr>
          </w:p>
        </w:tc>
      </w:tr>
      <w:tr>
        <w:trPr>
          <w:trHeight w:val="215"/>
        </w:trPr>
        <w:tc>
          <w:tcPr>
            <w:tcW w:w="5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Series E and Series F Redeemable Preferred and related</w:t>
            </w: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760" w:type="dxa"/>
            <w:vAlign w:val="bottom"/>
            <w:shd w:val="clear" w:color="auto" w:fill="CFF0FC"/>
          </w:tcPr>
          <w:p>
            <w:pPr>
              <w:ind w:left="420"/>
              <w:spacing w:after="0"/>
              <w:rPr>
                <w:sz w:val="20"/>
                <w:szCs w:val="20"/>
                <w:color w:val="auto"/>
              </w:rPr>
            </w:pPr>
            <w:r>
              <w:rPr>
                <w:rFonts w:ascii="Arial" w:cs="Arial" w:eastAsia="Arial" w:hAnsi="Arial"/>
                <w:sz w:val="18"/>
                <w:szCs w:val="18"/>
                <w:color w:val="auto"/>
              </w:rPr>
              <w:t>dividends, accretion, and embedded derivative exchanged</w:t>
            </w: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for common stock, net of related costs in accounts payable</w:t>
            </w: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301,403</w:t>
            </w:r>
          </w:p>
        </w:tc>
        <w:tc>
          <w:tcPr>
            <w:tcW w:w="5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27,402</w:t>
            </w:r>
          </w:p>
        </w:tc>
        <w:tc>
          <w:tcPr>
            <w:tcW w:w="120" w:type="dxa"/>
            <w:vAlign w:val="bottom"/>
            <w:shd w:val="clear" w:color="auto" w:fill="CFF0FC"/>
          </w:tcPr>
          <w:p>
            <w:pPr>
              <w:spacing w:after="0"/>
              <w:rPr>
                <w:sz w:val="20"/>
                <w:szCs w:val="20"/>
                <w:color w:val="auto"/>
              </w:rPr>
            </w:pPr>
          </w:p>
        </w:tc>
      </w:tr>
      <w:tr>
        <w:trPr>
          <w:trHeight w:val="230"/>
        </w:trPr>
        <w:tc>
          <w:tcPr>
            <w:tcW w:w="5760" w:type="dxa"/>
            <w:vAlign w:val="bottom"/>
          </w:tcPr>
          <w:p>
            <w:pPr>
              <w:ind w:left="240"/>
              <w:spacing w:after="0"/>
              <w:rPr>
                <w:sz w:val="20"/>
                <w:szCs w:val="20"/>
                <w:color w:val="auto"/>
              </w:rPr>
            </w:pPr>
            <w:r>
              <w:rPr>
                <w:rFonts w:ascii="Arial" w:cs="Arial" w:eastAsia="Arial" w:hAnsi="Arial"/>
                <w:sz w:val="18"/>
                <w:szCs w:val="18"/>
                <w:color w:val="auto"/>
              </w:rPr>
              <w:t>Extinguishment of PPP loan</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10,000</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 associated with debt-related costs</w:t>
            </w: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8,870</w:t>
            </w:r>
          </w:p>
        </w:tc>
        <w:tc>
          <w:tcPr>
            <w:tcW w:w="5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Dividend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During October 2021, LSB paid the Special Dividend through the issuance of approximately 9.1 million shares of common stock as discussed in Note 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Notes due 2028</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14, 2021, LSB completed a private offering of $500 million in aggregate principal amount of its 6.250% Senior Secured Notes due 2028 (the “Notes”).</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Notes were issued at a price equal to 100% of their face value and pursuant to an indenture, dated as of October 14, 2021 (the “Indenture”), by and among the LSB, the subsidiary guarantors named therein, and a trustee and collateral agent. In addition, the Notes were issued in a transaction exempt from the registration requirements under the Securities Act of 1933 (the “Securities Act”) and are being resold to eligible purchasers in reliance on Rule 144A under the Securities Act and to non-U.S. persons in accordance with Regulation S under the Securities Act.</w:t>
      </w:r>
    </w:p>
    <w:p>
      <w:pPr>
        <w:spacing w:after="0" w:line="6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Notes will mature on October 15, 2028 and rank senior in right of payment to all of our debt that is expressly subordinated in right of payment to the notes, and will rank pari passu in right of payment with all of our liabilities that are not so subordinated, including the Working Capital Revolver Loan. LSB’s obligations under the Notes are jointly and severally guaranteed by the subsidiary guarantors named in the Indenture on a senior secured basis. Interest on the Notes accrues at a rate of 6.250% per annum and is payable semi-annually in arrears on May 15 and October 15 of each year, beginning on May 15, 2022, to the holders of record on the immediately preceding May 1 and October 1.</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 (continued)</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Pursuant to the Indenture, LSB may redeem the Notes at its option, in whole or in part, at certain redemption prices, including a “make-whole” premium, as set forth in the Indenture but also includes redemption requirements associated with a change of control. In addition, the Indenture contains customary covenants that limit, among other things, LSB and certain of its subsidiaries’ ability to engage in certain transactions and also provides for customary events of default (subject in certain cases to customary grace and cure periods). Generally, if an event of default occurs and is continuing, the trustee or holders of at least 25% in principal amount of the then outstanding Notes may declare the principal of and accrued but unpaid interest on all the Notes to be due and payable.</w:t>
      </w:r>
    </w:p>
    <w:p>
      <w:pPr>
        <w:spacing w:after="0" w:line="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This summary description of the Indenture and Notes does not purport to be complete and is qualified in its entirety by reference to the Indenture and the form of the Notes included as exhibits to our Current Report on Form 8-K, filed on October 15, 2021.</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net proceeds from the Notes were used to redeem $435 million in aggregate principal amount of the Senior Secured Notes, representing all of the Senior Secured Notes outstanding, to pay related transaction fees, expenses and premiums and, to the extent of any remaining net proceeds, will be used for general corporate purposes.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29, 2021, LSB issued a conditional notice of redemption to redeem all of the Existing Notes (the “Redemption”), conditioned on the closing of the offering of the Notes, which condition was satisfied as of October 14, 2021.</w:t>
      </w:r>
    </w:p>
    <w:p>
      <w:pPr>
        <w:spacing w:after="0" w:line="6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Also on October 14, 2021, LSB satisfied and discharged its obligations under the indenture governing the Senior Secured Notes by irrevocably depositing with the trustee for the Senior Secured Notes funds sufficient to redeem the Senior Secured Notes in full and to pay related fees and expenses.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Redemption was completed by the trustee on October 29,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are currently evaluating the impact on our financial statements as the result of the debt financing transaction discussed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should be read in conjunction with a review of the other Items included in this Form 10-Q and our September 30, 2021 condensed consolidated financial statements included elsewhere in this report. A reference to a “Note” relates to a note in the accompanying notes to the condensed consolidated financial statements. This MD&amp;A reflects our operating results, unless otherwise noted. Certain statements contained in this MD&amp;A may be deemed to be forward-looking statements. See “Special Note Regarding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LSB is headquartered in Oklahoma City, Oklahoma and through its subsidiaries, manufactures and sells chemical products for the agricultural, mining, and industrial markets. We own and operate facilities in Cherokee, Alabama, El Dorado, Arkansas and Pryor, Oklahoma, and operate a facility on behalf of a global chemical company in Baytown, Texas. Our products are sold through distributors and directly to end customers primarily throughout the U.S. and parts of Mexico and Canada.</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Initiatives for 2021</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our future results of operations and financial condition will depend significantly on our ability to successfully implement the following key initiatives:</w:t>
      </w:r>
    </w:p>
    <w:p>
      <w:pPr>
        <w:spacing w:after="0" w:line="62" w:lineRule="exact"/>
        <w:rPr>
          <w:sz w:val="20"/>
          <w:szCs w:val="20"/>
          <w:color w:val="auto"/>
        </w:rPr>
      </w:pPr>
    </w:p>
    <w:p>
      <w:pPr>
        <w:ind w:left="540" w:hanging="357"/>
        <w:spacing w:after="0" w:line="277"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Continue Focusing on Becoming a “Best in Class” Chemical Plant Operator with Respect to Safe, Reliable Operations that Produce the Highest Quality Products.</w:t>
      </w:r>
    </w:p>
    <w:p>
      <w:pPr>
        <w:spacing w:after="0" w:line="75" w:lineRule="exact"/>
        <w:rPr>
          <w:rFonts w:ascii="Arial" w:cs="Arial" w:eastAsia="Arial" w:hAnsi="Arial"/>
          <w:sz w:val="18"/>
          <w:szCs w:val="18"/>
          <w:color w:val="auto"/>
        </w:rPr>
      </w:pPr>
    </w:p>
    <w:p>
      <w:pPr>
        <w:jc w:val="both"/>
        <w:ind w:left="1260" w:hanging="375"/>
        <w:spacing w:after="0" w:line="263" w:lineRule="auto"/>
        <w:tabs>
          <w:tab w:leader="none" w:pos="12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We believe that high safety standards are critical and a precursor to improved plant performance. With that in mind, we have implemented and are currently managing enhanced safety programs at our facilities that focus on improving our safety culture, which will reduce risks and improve our safety performance.</w:t>
      </w:r>
    </w:p>
    <w:p>
      <w:pPr>
        <w:spacing w:after="0" w:line="75" w:lineRule="exact"/>
        <w:rPr>
          <w:rFonts w:ascii="Arial" w:cs="Arial" w:eastAsia="Arial" w:hAnsi="Arial"/>
          <w:sz w:val="18"/>
          <w:szCs w:val="18"/>
          <w:color w:val="auto"/>
        </w:rPr>
      </w:pPr>
    </w:p>
    <w:p>
      <w:pPr>
        <w:jc w:val="both"/>
        <w:ind w:left="1260" w:hanging="375"/>
        <w:spacing w:after="0" w:line="279" w:lineRule="auto"/>
        <w:tabs>
          <w:tab w:leader="none" w:pos="12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We have several initiatives underway that we believe will improve the overall reliability of our plants and allow us to produce more products for sale while lowering our cost of production. Those initiatives are focused on, operations excellence through enhancements in the operating procedure program, asset health monitoring optimization and asset care excellence maintenance programs, and product quality programs focused on providing products to the customer that meet the highest quality standards.</w:t>
      </w:r>
    </w:p>
    <w:p>
      <w:pPr>
        <w:spacing w:after="0" w:line="63" w:lineRule="exact"/>
        <w:rPr>
          <w:rFonts w:ascii="Arial" w:cs="Arial" w:eastAsia="Arial" w:hAnsi="Arial"/>
          <w:sz w:val="17"/>
          <w:szCs w:val="17"/>
          <w:color w:val="auto"/>
        </w:rPr>
      </w:pPr>
    </w:p>
    <w:p>
      <w:pPr>
        <w:jc w:val="both"/>
        <w:ind w:left="540" w:hanging="357"/>
        <w:spacing w:after="0" w:line="263"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Continue Broadening the Distribution and optimization of our Product mix. </w:t>
      </w:r>
      <w:r>
        <w:rPr>
          <w:rFonts w:ascii="Arial" w:cs="Arial" w:eastAsia="Arial" w:hAnsi="Arial"/>
          <w:sz w:val="18"/>
          <w:szCs w:val="18"/>
          <w:color w:val="auto"/>
        </w:rPr>
        <w:t>To further leverage our plants current production capacity, we are</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to expand the distribution of our industrial and mining products by partnering with customers to take product into different markets while also focusing our efforts to upgrade our margins through the optimization of our product mix.</w:t>
      </w:r>
    </w:p>
    <w:p>
      <w:pPr>
        <w:spacing w:after="0" w:line="75" w:lineRule="exact"/>
        <w:rPr>
          <w:rFonts w:ascii="Arial" w:cs="Arial" w:eastAsia="Arial" w:hAnsi="Arial"/>
          <w:sz w:val="18"/>
          <w:szCs w:val="18"/>
          <w:color w:val="auto"/>
        </w:rPr>
      </w:pPr>
    </w:p>
    <w:p>
      <w:pPr>
        <w:jc w:val="both"/>
        <w:ind w:left="1260" w:hanging="375"/>
        <w:spacing w:after="0" w:line="263" w:lineRule="auto"/>
        <w:tabs>
          <w:tab w:leader="none" w:pos="12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 the first quarter of 2021, we commenced a new long-term nitric acid supply contract with a customer. Under the agreement, we agreed to supply between 70,000 to 100,000 tons of nitric acid per year This contract advances our focus to leverage underutilized nitric acid production capacity at our El Dorado Facility.</w:t>
      </w:r>
    </w:p>
    <w:p>
      <w:pPr>
        <w:spacing w:after="0" w:line="75" w:lineRule="exact"/>
        <w:rPr>
          <w:rFonts w:ascii="Arial" w:cs="Arial" w:eastAsia="Arial" w:hAnsi="Arial"/>
          <w:sz w:val="18"/>
          <w:szCs w:val="18"/>
          <w:color w:val="auto"/>
        </w:rPr>
      </w:pPr>
    </w:p>
    <w:p>
      <w:pPr>
        <w:ind w:left="1260" w:hanging="375"/>
        <w:spacing w:after="0" w:line="277" w:lineRule="auto"/>
        <w:tabs>
          <w:tab w:leader="none" w:pos="12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We also executed a new contract to capture and sell carbon dioxide out of our El Dorado Facility, where our customer is building a guest plant. We expect to begin sales under this agreement in the fourth quarter of 2021.</w:t>
      </w:r>
    </w:p>
    <w:p>
      <w:pPr>
        <w:spacing w:after="0" w:line="62" w:lineRule="exact"/>
        <w:rPr>
          <w:rFonts w:ascii="Arial" w:cs="Arial" w:eastAsia="Arial" w:hAnsi="Arial"/>
          <w:sz w:val="18"/>
          <w:szCs w:val="18"/>
          <w:color w:val="auto"/>
        </w:rPr>
      </w:pPr>
    </w:p>
    <w:p>
      <w:pPr>
        <w:ind w:left="1260" w:hanging="375"/>
        <w:spacing w:after="0" w:line="277" w:lineRule="auto"/>
        <w:tabs>
          <w:tab w:leader="none" w:pos="12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We are evaluating our next phase of margin enhancement opportunities to optimize our storage and distribution capability, as well as, to upgrade ammonia into further downstream production to capture additional margin.</w:t>
      </w:r>
    </w:p>
    <w:p>
      <w:pPr>
        <w:spacing w:after="0" w:line="58" w:lineRule="exact"/>
        <w:rPr>
          <w:rFonts w:ascii="Arial" w:cs="Arial" w:eastAsia="Arial" w:hAnsi="Arial"/>
          <w:sz w:val="18"/>
          <w:szCs w:val="18"/>
          <w:color w:val="auto"/>
        </w:rPr>
      </w:pPr>
    </w:p>
    <w:p>
      <w:pPr>
        <w:jc w:val="both"/>
        <w:ind w:left="540" w:hanging="357"/>
        <w:spacing w:after="0" w:line="291" w:lineRule="auto"/>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Development of a Strategy to Capitalize on Ammonia Opportunities in a Renewable Energy Focused Economy</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As there is a heightened global</w:t>
      </w:r>
      <w:r>
        <w:rPr>
          <w:rFonts w:ascii="Arial" w:cs="Arial" w:eastAsia="Arial" w:hAnsi="Arial"/>
          <w:sz w:val="16"/>
          <w:szCs w:val="16"/>
          <w:i w:val="1"/>
          <w:iCs w:val="1"/>
          <w:color w:val="auto"/>
        </w:rPr>
        <w:t xml:space="preserve"> </w:t>
      </w:r>
      <w:r>
        <w:rPr>
          <w:rFonts w:ascii="Arial" w:cs="Arial" w:eastAsia="Arial" w:hAnsi="Arial"/>
          <w:sz w:val="16"/>
          <w:szCs w:val="16"/>
          <w:color w:val="auto"/>
        </w:rPr>
        <w:t>focus on significantly increasing the use of renewable energy to reduce carbon emissions, we are currently developing a strategy to enter the market for low-carbon or no carbon ammonia, a rapidly emerging trend referred to as “blue-green ammonia.” Many studies have shown that ammonia is the best carrier for hydrogen, given higher energy content and relative ease of storage via hydrogen gas. Ammonia can also be used as zero carbon fuel in the maritime sector, a carbon free fertilizer and as a coal substitute in energy constrained countries. If ammonia were to be used for energy consumption globally, this would equate to five times the amount of current global annual production of ammonia, or approximately 50 times the current seaborne trade. We believe we are well-placed to partake in this opportunity given our ability to retrofit our existing plants rather than investing in greenfield projects, thereby reducing the time to market and the upfront capital expenditures, which will help the overall economics.</w:t>
      </w:r>
    </w:p>
    <w:p>
      <w:pPr>
        <w:spacing w:after="0" w:line="55" w:lineRule="exact"/>
        <w:rPr>
          <w:rFonts w:ascii="Arial" w:cs="Arial" w:eastAsia="Arial" w:hAnsi="Arial"/>
          <w:sz w:val="16"/>
          <w:szCs w:val="16"/>
          <w:color w:val="auto"/>
        </w:rPr>
      </w:pPr>
    </w:p>
    <w:p>
      <w:pPr>
        <w:jc w:val="both"/>
        <w:ind w:left="540" w:hanging="357"/>
        <w:spacing w:after="0" w:line="263"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Evaluate Acquisitions of Strategic Assets or Companies. </w:t>
      </w:r>
      <w:r>
        <w:rPr>
          <w:rFonts w:ascii="Arial" w:cs="Arial" w:eastAsia="Arial" w:hAnsi="Arial"/>
          <w:sz w:val="18"/>
          <w:szCs w:val="18"/>
          <w:color w:val="auto"/>
        </w:rPr>
        <w:t>We are evaluating opportunities to acquire strategic assets or companies, mergers with</w:t>
      </w:r>
      <w:r>
        <w:rPr>
          <w:rFonts w:ascii="Arial" w:cs="Arial" w:eastAsia="Arial" w:hAnsi="Arial"/>
          <w:sz w:val="18"/>
          <w:szCs w:val="18"/>
          <w:i w:val="1"/>
          <w:iCs w:val="1"/>
          <w:color w:val="auto"/>
        </w:rPr>
        <w:t xml:space="preserve"> </w:t>
      </w:r>
      <w:r>
        <w:rPr>
          <w:rFonts w:ascii="Arial" w:cs="Arial" w:eastAsia="Arial" w:hAnsi="Arial"/>
          <w:sz w:val="18"/>
          <w:szCs w:val="18"/>
          <w:color w:val="auto"/>
        </w:rPr>
        <w:t>other companies and investment in additional production capacity where we believe those acquisitions, mergers or expansion of production capacity will enhance the value of the Company and provide appropriate returns.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We may not successfully implement any or all of these initiatives. Even if we successfully implement the initiatives, they may not achieve the results that we expect or desire.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Exchange Transaction and Special Common Stock Dividend</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September 27, 2021, we closed a Securities Exchange Transaction (the “Exchange Transaction”) with LSB Funding LLC (the “Holder”), an affiliate of Eldridge, in which we exchanged the shares of Series E and Series F Redeemable Preferred Stock held by the Holder for shares of our common stock. In summary, we exchanged the approximately $310 million liquidation preference of preferred stock held by the Holder into our common stock based on an exchange price of $6.16, which was equal to the 30-day volume weighted average price as of the date of the Exchange Agreement. However, the exchange consideration paid under the Exchange Agreement was reduced by approximately 1.2 million shares, which shares were included in the Special Dividend and received by the Holder. In connection with the transaction, on October 8, 2021, our common stockholders, including the Holder, received a special dividend in the form of 0.30 shares of our common stock for every share owned as of the September 24, 2021, special dividend record date. The main benefit of the exchange is that it relieved our Company and our common stockholders from the expensive, compounding burden of the preferred stock dividend, improving the current capital structure.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Reduced Cost of Capital through Debt Refinancing</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Exchange Transaction discussed above prompted the major credit rating agencies, Moody’s and S&amp;P to upgrade their credit ratings on our debt, which combined with the favorable credit markets, enabled us to complete a refinancing of our senior notes on significantly improved terms, reducing our cost of capital, bolstering our liquidity and extending the maturity of our debt. More specifically, on October 14, 2021 we closed on an offering of $500 million of senior secured notes due 2028, bearing an interest rate of 6.250%, which we used to redeem our $435 million of 9.625% senior notes that were due to mature in 2023, with the balance being used to enhance the liquidity of our balance sheet and for general corporate purposes. The reduction of the rate of interest on our outstanding notes by more than 300 basis points represents a meaningful reduction in our annual cash interest expense and puts us in a position to more aggressively pursue our key operating initiatives discussed above.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Continued Improvement in Product Sales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Driven by several supply and demand factors, selling prices for all of our major products continued to improve during the third quarter of 2021 compared to the same quarter of 2020. As for our agricultural business, corn prices, while lower than in the second quarter of 2021, remain well above price levels for more than seven years leading up to 2021, and importantly, sit significantly higher than $4 per bushel, the level that we believe represent a key threshold as it relates to favorable farmer economics. Chinese demand for corn continues to be strong as China continues to rebuild their swine population following the swine flu, which decimated the swine population several years ago. This demand for feed is expected to remain robust as China has moved to large institutional hog farms for which the demand for feed is significant. In addition, domestic corn demand to produce ethanol has rebounded to pre-pandemic levels as the continued roll-out of vaccines has allowed for the re-opening of the vast majority of the U.S. economy, promoting increased mobility and a return to historical levels of gasoline consumption. Additionally, in February 2021, winter storm Uri and the resultant severe cold weather experienced in many areas of the U.S. that caused many nitrogen producers to idle their plants resulting in a tightening in the supply of nitrogen products headed into the spring planting season. Also supporting the strength in fertilizer prices has been the significant increase in the cost of natural gas, the primary feedstock for production of ammonia, which has prompted various producers to cease operations of some facilities, particularly in Europe where natural gas prices have surged to more than $20 per MMBtu, rendering some ammonia plants uneconomical to operate. The resultant decrease in global production of ammonia has fueled further strength in nitrogen-based fertilizer prices, which has thus far materially outstripped the impact to production costs of rising natural gas prices in the U.S. The factors discussed above has led to continued strong pricing into the fourth quarter, which we expect to persist throughout 2021 and into 2022.</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for our industrial and mining products, selling prices continued to improve as the supply of ammonia remained tight due to strong global demand, curtailed global supply due to rising natural gas prices, numerous global unplanned outages and lower than expected product imports. As a result, the Tampa Ammonia benchmark price increased, which in turn, increased our selling prices as many of our industrial contracts are indexed to this benchmark price. In addition, sales of nitric acid increased pursuant to the new long-term nitric acid supply contract discussed above. Also, demand for our mining products continued to improve due to increased mining activities.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See a more detailed discussion below under “Key Industry Factors.”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Key Industry Factors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Supply and Demand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Agricultural</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Sales of our agricultural products were approximately 40% of our total net sales for the third quarter of 2021. The </w:t>
      </w:r>
      <w:r>
        <w:rPr>
          <w:rFonts w:ascii="Arial" w:cs="Arial" w:eastAsia="Arial" w:hAnsi="Arial"/>
          <w:sz w:val="18"/>
          <w:szCs w:val="18"/>
          <w:color w:val="2E2E2E"/>
        </w:rPr>
        <w:t>price at which our agricultural products</w:t>
      </w:r>
      <w:r>
        <w:rPr>
          <w:rFonts w:ascii="Arial" w:cs="Arial" w:eastAsia="Arial" w:hAnsi="Arial"/>
          <w:sz w:val="18"/>
          <w:szCs w:val="18"/>
          <w:color w:val="auto"/>
        </w:rPr>
        <w:t xml:space="preserve"> </w:t>
      </w:r>
      <w:r>
        <w:rPr>
          <w:rFonts w:ascii="Arial" w:cs="Arial" w:eastAsia="Arial" w:hAnsi="Arial"/>
          <w:sz w:val="18"/>
          <w:szCs w:val="18"/>
          <w:color w:val="2E2E2E"/>
        </w:rPr>
        <w:t>are ultimately sold depends on numerous factors, including the supply and demand for nitrogen fertilizers which, in turn, depends upon world grain demand and production levels, the cost and availability of transportation and storage, weather conditions, competitive pricing and the availability of imports. Additionally, expansions or upgrades of competitors’ facilities and international and domestic political and economic developments continue to play an important role in the global nitrogen fertilizer industry economics, including the impact from the Phase 1 trade agreement between the U.S. and China. These factors can affect, in addition to selling prices, the level of inventories in the market which can cause price volatility and affect product margins.</w:t>
      </w:r>
    </w:p>
    <w:p>
      <w:pPr>
        <w:spacing w:after="0" w:line="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a farmer’s perspective, the demand for fertilizer is affected by the aggregate crop planting decisions and fertilizer application rate decisions of individual farmers. Individual farmers make planting decisions based largely on prospective profitability of a harvest, while the specific varieties and amounts of fertilizer they apply depend on factors such as their financial resources, soil conditions, weather patterns and the types of crops planted.</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changes in corn prices, as well as soybean, cotton and wheat prices, can affect the number of acres of corn planted in a given year, and the number of acres planted will drive the level of nitrogen fertilizer consumption, likely affecting prices.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According to the October Report, farmers planted approximately 93 million acres of corn in 2021, up 3 percent compared to the 2020 planting season. In addition, the USDA estimates the U.S. ending stocks for the 2022 Crop will be approximately 38 million metric tons, a 12% increase from the 2021 Crop. The UDSA also is estimating a record yield for the 2022 Crop, up approximately 3% from a year ago.</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October 2021 estimates are associated with the corn market: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2022 Crop</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2021 Crop</w:t>
            </w: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2020 Crop</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(2021 Harvest)</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(2020 Harvest)</w:t>
            </w:r>
          </w:p>
        </w:tc>
        <w:tc>
          <w:tcPr>
            <w:tcW w:w="13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Percentage</w:t>
            </w:r>
          </w:p>
        </w:tc>
        <w:tc>
          <w:tcPr>
            <w:tcW w:w="1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(2019 Harvest)</w:t>
            </w: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15"/>
        </w:trPr>
        <w:tc>
          <w:tcPr>
            <w:tcW w:w="3540" w:type="dxa"/>
            <w:vAlign w:val="bottom"/>
            <w:vMerge w:val="restart"/>
          </w:tcPr>
          <w:p>
            <w:pPr>
              <w:spacing w:after="0"/>
              <w:rPr>
                <w:sz w:val="20"/>
                <w:szCs w:val="20"/>
                <w:color w:val="auto"/>
              </w:rPr>
            </w:pPr>
            <w:r>
              <w:rPr>
                <w:rFonts w:ascii="Arial" w:cs="Arial" w:eastAsia="Arial" w:hAnsi="Arial"/>
                <w:sz w:val="18"/>
                <w:szCs w:val="18"/>
                <w:color w:val="auto"/>
              </w:rPr>
              <w:t xml:space="preserve">U.S. Area Planted </w:t>
            </w:r>
            <w:r>
              <w:rPr>
                <w:rFonts w:ascii="Arial" w:cs="Arial" w:eastAsia="Arial" w:hAnsi="Arial"/>
                <w:sz w:val="14"/>
                <w:szCs w:val="14"/>
                <w:i w:val="1"/>
                <w:iCs w:val="1"/>
                <w:color w:val="auto"/>
              </w:rPr>
              <w:t>(Million acres)</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October Report (1)</w:t>
            </w:r>
          </w:p>
        </w:tc>
        <w:tc>
          <w:tcPr>
            <w:tcW w:w="26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October Report (1)</w:t>
            </w:r>
          </w:p>
        </w:tc>
        <w:tc>
          <w:tcPr>
            <w:tcW w:w="240" w:type="dxa"/>
            <w:vAlign w:val="bottom"/>
          </w:tcPr>
          <w:p>
            <w:pPr>
              <w:spacing w:after="0"/>
              <w:rPr>
                <w:sz w:val="18"/>
                <w:szCs w:val="18"/>
                <w:color w:val="auto"/>
              </w:rPr>
            </w:pPr>
          </w:p>
        </w:tc>
        <w:tc>
          <w:tcPr>
            <w:tcW w:w="11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Change (2)</w:t>
            </w:r>
          </w:p>
        </w:tc>
        <w:tc>
          <w:tcPr>
            <w:tcW w:w="16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October Report (1)</w:t>
            </w:r>
          </w:p>
        </w:tc>
        <w:tc>
          <w:tcPr>
            <w:tcW w:w="240" w:type="dxa"/>
            <w:vAlign w:val="bottom"/>
          </w:tcPr>
          <w:p>
            <w:pPr>
              <w:spacing w:after="0"/>
              <w:rPr>
                <w:sz w:val="18"/>
                <w:szCs w:val="18"/>
                <w:color w:val="auto"/>
              </w:rPr>
            </w:pPr>
          </w:p>
        </w:tc>
        <w:tc>
          <w:tcPr>
            <w:tcW w:w="11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Change (3)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40" w:type="dxa"/>
            <w:vAlign w:val="bottom"/>
            <w:vMerge w:val="continue"/>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93.3</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90.7</w:t>
            </w:r>
          </w:p>
        </w:tc>
        <w:tc>
          <w:tcPr>
            <w:tcW w:w="2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1420" w:type="dxa"/>
            <w:vAlign w:val="bottom"/>
          </w:tcPr>
          <w:p>
            <w:pPr>
              <w:jc w:val="right"/>
              <w:spacing w:after="0"/>
              <w:rPr>
                <w:sz w:val="20"/>
                <w:szCs w:val="20"/>
                <w:color w:val="auto"/>
              </w:rPr>
            </w:pPr>
            <w:r>
              <w:rPr>
                <w:rFonts w:ascii="Arial" w:cs="Arial" w:eastAsia="Arial" w:hAnsi="Arial"/>
                <w:sz w:val="18"/>
                <w:szCs w:val="18"/>
                <w:color w:val="auto"/>
              </w:rPr>
              <w:t>89.7</w:t>
            </w:r>
          </w:p>
        </w:tc>
        <w:tc>
          <w:tcPr>
            <w:tcW w:w="24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U.S. Yield per Acre </w:t>
            </w:r>
            <w:r>
              <w:rPr>
                <w:rFonts w:ascii="Arial" w:cs="Arial" w:eastAsia="Arial" w:hAnsi="Arial"/>
                <w:sz w:val="14"/>
                <w:szCs w:val="14"/>
                <w:i w:val="1"/>
                <w:iCs w:val="1"/>
                <w:color w:val="auto"/>
              </w:rPr>
              <w:t>(Bushels)</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176.5</w:t>
            </w: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171.4</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 xml:space="preserve">U.S. Production </w:t>
            </w:r>
            <w:r>
              <w:rPr>
                <w:rFonts w:ascii="Arial" w:cs="Arial" w:eastAsia="Arial" w:hAnsi="Arial"/>
                <w:sz w:val="14"/>
                <w:szCs w:val="14"/>
                <w:i w:val="1"/>
                <w:iCs w:val="1"/>
                <w:color w:val="auto"/>
              </w:rPr>
              <w:t>(Million bushels)</w:t>
            </w:r>
          </w:p>
        </w:tc>
        <w:tc>
          <w:tcPr>
            <w:tcW w:w="1400" w:type="dxa"/>
            <w:vAlign w:val="bottom"/>
          </w:tcPr>
          <w:p>
            <w:pPr>
              <w:jc w:val="right"/>
              <w:spacing w:after="0"/>
              <w:rPr>
                <w:sz w:val="20"/>
                <w:szCs w:val="20"/>
                <w:color w:val="auto"/>
              </w:rPr>
            </w:pPr>
            <w:r>
              <w:rPr>
                <w:rFonts w:ascii="Arial" w:cs="Arial" w:eastAsia="Arial" w:hAnsi="Arial"/>
                <w:sz w:val="18"/>
                <w:szCs w:val="18"/>
                <w:color w:val="auto"/>
              </w:rPr>
              <w:t>15,019</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14,111</w:t>
            </w:r>
          </w:p>
        </w:tc>
        <w:tc>
          <w:tcPr>
            <w:tcW w:w="2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1420" w:type="dxa"/>
            <w:vAlign w:val="bottom"/>
          </w:tcPr>
          <w:p>
            <w:pPr>
              <w:jc w:val="right"/>
              <w:spacing w:after="0"/>
              <w:rPr>
                <w:sz w:val="20"/>
                <w:szCs w:val="20"/>
                <w:color w:val="auto"/>
              </w:rPr>
            </w:pPr>
            <w:r>
              <w:rPr>
                <w:rFonts w:ascii="Arial" w:cs="Arial" w:eastAsia="Arial" w:hAnsi="Arial"/>
                <w:sz w:val="18"/>
                <w:szCs w:val="18"/>
                <w:color w:val="auto"/>
              </w:rPr>
              <w:t>13,620</w:t>
            </w:r>
          </w:p>
        </w:tc>
        <w:tc>
          <w:tcPr>
            <w:tcW w:w="24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9"/>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U.S. Ending Stocks </w:t>
            </w:r>
            <w:r>
              <w:rPr>
                <w:rFonts w:ascii="Arial" w:cs="Arial" w:eastAsia="Arial" w:hAnsi="Arial"/>
                <w:sz w:val="14"/>
                <w:szCs w:val="14"/>
                <w:i w:val="1"/>
                <w:iCs w:val="1"/>
                <w:color w:val="auto"/>
              </w:rPr>
              <w:t>(Million metric tons)</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11.7%</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 xml:space="preserve">World Ending Stocks </w:t>
            </w:r>
            <w:r>
              <w:rPr>
                <w:rFonts w:ascii="Arial" w:cs="Arial" w:eastAsia="Arial" w:hAnsi="Arial"/>
                <w:sz w:val="14"/>
                <w:szCs w:val="14"/>
                <w:i w:val="1"/>
                <w:iCs w:val="1"/>
                <w:color w:val="auto"/>
              </w:rPr>
              <w:t>(Million metric tons)</w:t>
            </w:r>
          </w:p>
        </w:tc>
        <w:tc>
          <w:tcPr>
            <w:tcW w:w="1400" w:type="dxa"/>
            <w:vAlign w:val="bottom"/>
          </w:tcPr>
          <w:p>
            <w:pPr>
              <w:jc w:val="right"/>
              <w:spacing w:after="0"/>
              <w:rPr>
                <w:sz w:val="20"/>
                <w:szCs w:val="20"/>
                <w:color w:val="auto"/>
              </w:rPr>
            </w:pPr>
            <w:r>
              <w:rPr>
                <w:rFonts w:ascii="Arial" w:cs="Arial" w:eastAsia="Arial" w:hAnsi="Arial"/>
                <w:sz w:val="18"/>
                <w:szCs w:val="18"/>
                <w:color w:val="auto"/>
              </w:rPr>
              <w:t>301.7</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290.0</w:t>
            </w:r>
          </w:p>
        </w:tc>
        <w:tc>
          <w:tcPr>
            <w:tcW w:w="2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1420" w:type="dxa"/>
            <w:vAlign w:val="bottom"/>
          </w:tcPr>
          <w:p>
            <w:pPr>
              <w:jc w:val="right"/>
              <w:spacing w:after="0"/>
              <w:rPr>
                <w:sz w:val="20"/>
                <w:szCs w:val="20"/>
                <w:color w:val="auto"/>
              </w:rPr>
            </w:pPr>
            <w:r>
              <w:rPr>
                <w:rFonts w:ascii="Arial" w:cs="Arial" w:eastAsia="Arial" w:hAnsi="Arial"/>
                <w:sz w:val="18"/>
                <w:szCs w:val="18"/>
                <w:color w:val="auto"/>
              </w:rPr>
              <w:t>306.1</w:t>
            </w:r>
          </w:p>
        </w:tc>
        <w:tc>
          <w:tcPr>
            <w:tcW w:w="24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left="740" w:hanging="368"/>
        <w:spacing w:after="0" w:line="254"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Information obtained from WASDE reports dated October 12, 2021 (“October Report”) for the 2021/2022 (“2022 Crop”), 2020/2021 (“2021 Crop”) and 2019/2020 (“2020 Crop”) corn marketing years. The marketing year is the twelve-month period during which a crop normally is marketed. For example, the marketing year for the current corn crop is from September 1 of the current year to August 31 of the next year. The year begins at the harvest and continues until just before harvest of the following year.</w:t>
      </w:r>
    </w:p>
    <w:p>
      <w:pPr>
        <w:spacing w:after="0" w:line="2"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the percentage change between the 2022 Crop amounts compared to the 2021 Crop amounts.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the percentage change between the 2022 Crop amounts compared to the 2020 Crop amounts.</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current USDA corn outlook for the U.S. compared to the July Report is for slightly higher production, lower feed and residual use, and larger ending stocks. From a demand perspective, corn prices, while lower than in the second quarter of 2021, remain well above prices levels for more than seven years leading up to 2021, remaining significantly higher than $4 per bushel, the level that we believe represent a key threshold as it relates to favorable farmer economics. In addition, domestic corn demand to produce ethanol has rebounded to pre-pandemic levels as the continued roll-out of vaccines has allowed for the re-opening of the vast majority of the U.S. economy, promoting increased mobility and a return to historical levels of gasoline consumption. Most gasoline has 10% ethanol content. Ethanol is commonly made from corn and ethanol production is the largest user of U.S. corn, currently representing roughly 35% of total U.S. corn demand.</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available U.S. supply of ammonia and other nitrogen products has tightened in 2021 to date, primarily as the result of higher demand for such products, in addition to the idling of many nitrogen plants in February 2021 due to the severe cold weather and ongoing industry downtime caused the lingering problems of that event coupled with more turnaround activity in 2021 as many companies chose to delay turnarounds in 2020 as a result of the pandemic and lost production from several hurricane events in 2021.</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these factors discussed above, we have experienced a price rally for fertilizers over the last several months, which we expect will continue for the remainder of 2021, compared to the same period of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t>Industrial and Mining</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Sales of our industrial products were approximately 50% of our total net sales for the third quarter of 2021. Our industrial products sales volumes are dependent upon general economic conditions primarily in the housing, automotive, and paper industries. According to the American Chemistry Council, the U.S. economic indicators are improving and pointing towards continued improvement in the markets we serve. Our sales prices generally vary with the market price of ammonia or natural gas, as applicable, in our pricing arrangements with customers.</w:t>
      </w:r>
    </w:p>
    <w:p>
      <w:pPr>
        <w:spacing w:after="0" w:line="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Sales of our mining products were approximately 10% of our total net sales for the third quarter of 2021. Our mining products are LDAN and AN solution, which are primarily used as AN fuel oil and specialty emulsions for usage in the quarry and the construction industries, for metals mining, and to a lesser extent, for coal. In our mining markets, our sales volumes are typically driven by changes in the overall North American consumption levels of mining products that can be impacted by weather. Metals prices continue to improve in 2021 as producers continue to extract as much as possible. This improvement includes an increase in copper mining, driven primarily by demand for electric vehicles. We believe our plants are well located to support the more stable quarry and construction industries and the metals mining industries.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Natural Gas Prices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Natural gas is the primary feedstock used to produce nitrogen fertilizers at our manufacturing facilities. In recent years, U.S. natural gas reserves have increased significantly due to, among other factors, advances in extracting shale gas, which has reduced and stabilized natural gas prices, providing North America with a cost advantage over certain imports. As a result, our competitive position and that of other North American nitrogen fertilizer producers has been positively affected.</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historically have purchased natural gas either on the spot market, through forward purchase contracts, or a combination of both and have used forward purchase contracts to lock in pricing for a portion of our natural gas requirements. These forward purchase contracts are generally either fixed-price or index-price, short-term in nature and for a fixed supply quantity. We are able to purchase natural gas at competitive prices due to our connections to large distribution systems and their proximity to interstate pipeline systems. The following table shows the volume of natural gas we purchased and the average cost per MMBtu:</w:t>
      </w:r>
    </w:p>
    <w:p>
      <w:pPr>
        <w:spacing w:after="0" w:line="215"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Three Months Ended</w:t>
      </w:r>
    </w:p>
    <w:p>
      <w:pPr>
        <w:spacing w:after="0" w:line="36"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September 30,</w:t>
      </w:r>
    </w:p>
    <w:p>
      <w:pPr>
        <w:spacing w:after="0" w:line="23" w:lineRule="exact"/>
        <w:rPr>
          <w:sz w:val="20"/>
          <w:szCs w:val="20"/>
          <w:color w:val="auto"/>
        </w:rPr>
      </w:pPr>
    </w:p>
    <w:p>
      <w:pPr>
        <w:ind w:left="7440"/>
        <w:spacing w:after="0"/>
        <w:tabs>
          <w:tab w:leader="none" w:pos="8720" w:val="left"/>
        </w:tabs>
        <w:rPr>
          <w:sz w:val="20"/>
          <w:szCs w:val="20"/>
          <w:color w:val="auto"/>
        </w:rPr>
      </w:pPr>
      <w:r>
        <w:rPr>
          <w:rFonts w:ascii="Arial" w:cs="Arial" w:eastAsia="Arial" w:hAnsi="Arial"/>
          <w:sz w:val="18"/>
          <w:szCs w:val="18"/>
          <w:color w:val="auto"/>
        </w:rPr>
        <w:t>2021</w:t>
      </w:r>
      <w:r>
        <w:rPr>
          <w:sz w:val="20"/>
          <w:szCs w:val="20"/>
          <w:color w:val="auto"/>
        </w:rPr>
        <w:tab/>
      </w:r>
      <w:r>
        <w:rPr>
          <w:rFonts w:ascii="Arial" w:cs="Arial" w:eastAsia="Arial" w:hAnsi="Arial"/>
          <w:sz w:val="18"/>
          <w:szCs w:val="18"/>
          <w:color w:val="auto"/>
        </w:rPr>
        <w:t>2020</w:t>
      </w:r>
    </w:p>
    <w:p>
      <w:pPr>
        <w:spacing w:after="0" w:line="21" w:lineRule="exact"/>
        <w:rPr>
          <w:sz w:val="20"/>
          <w:szCs w:val="20"/>
          <w:color w:val="auto"/>
        </w:rPr>
      </w:pPr>
    </w:p>
    <w:tbl>
      <w:tblPr>
        <w:tblLayout w:type="fixed"/>
        <w:tblInd w:w="1700" w:type="dxa"/>
        <w:tblCellMar>
          <w:top w:w="0" w:type="dxa"/>
          <w:left w:w="0" w:type="dxa"/>
          <w:bottom w:w="0" w:type="dxa"/>
          <w:right w:w="0" w:type="dxa"/>
        </w:tblCellMar>
      </w:tblPr>
      <w:tr>
        <w:trPr>
          <w:trHeight w:val="225"/>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Natural gas volumes (MMBtu in millions)</w:t>
            </w:r>
          </w:p>
        </w:tc>
        <w:tc>
          <w:tcPr>
            <w:tcW w:w="116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Natural gas average cost per MMBtu</w:t>
            </w:r>
          </w:p>
        </w:tc>
        <w:tc>
          <w:tcPr>
            <w:tcW w:w="16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Transportation Costs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Costs for transporting nitrogen-based products can be significant relative to their selling price. For example, ammonia is a hazardous gas at ambient temperatures and must be transported in specialized equipment, which is more expensive than other forms of nitrogen fertilizers. In recent years, a significant amount of the ammonia consumed annually in the U.S. was imported. Therefore, nitrogen fertilizers prices in the U.S. are influenced by the cost to transport product from exporting countries, giving domestic producers who transport shorter distances an advantage. However, we continue to evaluate the recent rising costs of rail and truck freight domestically. Since the Magellan ammonia pipeline was permanently shut down in 2020, certain Oklahoma and Texas producers that relied on the pipeline to transport their ammonia are relying on other transportation modes, primarily trucks, but also rail and barge transport. As a result of increases in demand for trucks to transport ammonia, primarily during the spring and fall planting seasons, higher transportation costs have and could continue to impact our margins, if we were unable to fully pass through these costs to our customers. Additionally, continued truck driver shortages could impact our ability to fulfill customer demand. As a result, we continue to evaluate supply chain efficiencies to reduce or counter the impact of higher logistics costs.</w:t>
      </w:r>
    </w:p>
    <w:p>
      <w:pPr>
        <w:spacing w:after="0" w:line="73" w:lineRule="exact"/>
        <w:rPr>
          <w:sz w:val="20"/>
          <w:szCs w:val="20"/>
          <w:color w:val="auto"/>
        </w:rPr>
      </w:pPr>
    </w:p>
    <w:p>
      <w:pPr>
        <w:jc w:val="center"/>
        <w:ind w:right="9320"/>
        <w:spacing w:after="0"/>
        <w:rPr>
          <w:sz w:val="20"/>
          <w:szCs w:val="20"/>
          <w:color w:val="auto"/>
        </w:rPr>
      </w:pPr>
      <w:r>
        <w:rPr>
          <w:rFonts w:ascii="Arial" w:cs="Arial" w:eastAsia="Arial" w:hAnsi="Arial"/>
          <w:sz w:val="16"/>
          <w:szCs w:val="16"/>
          <w:b w:val="1"/>
          <w:bCs w:val="1"/>
          <w:color w:val="auto"/>
        </w:rPr>
        <w:t>Key Operational Factors</w:t>
      </w:r>
    </w:p>
    <w:p>
      <w:pPr>
        <w:spacing w:after="0" w:line="144" w:lineRule="exact"/>
        <w:rPr>
          <w:sz w:val="20"/>
          <w:szCs w:val="20"/>
          <w:color w:val="auto"/>
        </w:rPr>
      </w:pPr>
    </w:p>
    <w:p>
      <w:pPr>
        <w:jc w:val="center"/>
        <w:ind w:right="9340"/>
        <w:spacing w:after="0"/>
        <w:rPr>
          <w:sz w:val="20"/>
          <w:szCs w:val="20"/>
          <w:color w:val="auto"/>
        </w:rPr>
      </w:pPr>
      <w:r>
        <w:rPr>
          <w:rFonts w:ascii="Arial" w:cs="Arial" w:eastAsia="Arial" w:hAnsi="Arial"/>
          <w:sz w:val="18"/>
          <w:szCs w:val="18"/>
          <w:b w:val="1"/>
          <w:bCs w:val="1"/>
          <w:i w:val="1"/>
          <w:iCs w:val="1"/>
          <w:color w:val="auto"/>
        </w:rPr>
        <w:t>Facility Reliability</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Consistent, reliable and safe operations at our chemical plants are critical to our financial performance and results of operations. The financial effects of planned downtime at our plants, including Turnarounds (primarily associated with our ammonia plants), is mitigated through a diligent planning process that considers the availability of resources to perform the needed maintenance and other factors. Unplanned downtime of our plants typically results in lost contribution margin from lost sales of our products, lost fixed cost absorption from lower production of our products and increased costs related to repairs and maintenance. All Turnarounds result in lost contribution margin from lost sales of our products, lost fixed cost absorption from lower production of our products, and increased costs related to repairs and maintenance, which repair, and maintenance costs are expensed as incurred.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color w:val="auto"/>
        </w:rPr>
        <w:t>Our Cherokee Facility is currently on a three-year ammonia plant Turnaround cycle completing a planned Turnaround during the third quarter of 2021 with the next ammonia plant Turnaround planned in the third quarter of 2024.</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El Dorado and Pryor Facilities are currently on a three-year ammonia plant Turnaround cycle with both currently scheduled for their next ammonia plant Turnarounds in the third quarter of 2022.</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Ammonia Production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Ammonia is the basic product used to produce all of our upgraded products. The ammonia production rates of our plants affect the total cost per ton of each product produced and the overall sales of our products.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2021, we are targeting total ammonia production of approximately 770,000 tons to 780,000 tons despite the Turnaround performed at our Cherokee Facility, which lowered ammonia production during the third quarter by approximately 21,000 tons.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our focus on continuous improvement in reliability as discussed in key operating initiatives will result in year over year improvement in ammonia production for 2021.</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Forward Sales Contracts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forward sales of our fertilizer products to optimize our asset utilization, planning process and production scheduling. These sales are made by offering customers the opportunity to purchase product on a forward basis at prices and delivery dates that are agreed upon, with dates typically occurring within 12 months. We use this program to varying degrees during the year depending on market conditions and our view of changing price environments. Fixing the selling prices of our products months in advance of their ultimate delivery to customers typically causes our reported selling prices and margins to differ from spot market prices and margins available at the time of shipment.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the Third Quarter of 2021</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consolidated net sales for the third quarter of 2021 were $127.2 million compared to $74.0 million for the same period in 2020. Our consolidated operating income for the third quarter of 2021 was $5.4 million compared to an operating loss of $9.0 million for the same period in 2020. The items impacting our operating results are discussed in more detail below and under “Results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Results of the Third Quarter</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Prices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third quarter of 2021, average agricultural selling prices for our ammonia, UAN and HDAN increased 188%, 128% and 66%, respectively, compared to the third quarter of 2020. As discussed above under “Recent Business Developments,” increased demand, higher corn prices and tighter supplies of nitrogen products contributed to the improved pricing.</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third quarter of 2021, average industrial selling prices for most of our products were also higher compared to the same period of 2020, primarily driven by the $403 per metric ton increase in the Tampa Ammonia benchmark price, as many of our industrial contracts are indexed to the Tampa Ammonia benchmark price.</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Turnaround Activities (2021 only)</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When a Turnaround is performed, overall results are negatively impacted. This impact includes lost contribution margin from lost sales, lost fixed cost absorption from lower production, and increased costs associated with repairs and maintenance. The effects of our Turnaround, exclusive of the impacts due to lost production during the downtime, are shown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3"/>
            <w:vMerge w:val="restart"/>
          </w:tcPr>
          <w:p>
            <w:pPr>
              <w:ind w:left="20"/>
              <w:spacing w:after="0"/>
              <w:rPr>
                <w:sz w:val="20"/>
                <w:szCs w:val="20"/>
                <w:color w:val="auto"/>
              </w:rPr>
            </w:pPr>
            <w:r>
              <w:rPr>
                <w:rFonts w:ascii="Arial" w:cs="Arial" w:eastAsia="Arial" w:hAnsi="Arial"/>
                <w:sz w:val="18"/>
                <w:szCs w:val="18"/>
                <w:color w:val="auto"/>
              </w:rPr>
              <w:t>Turnaround Expense</w:t>
            </w:r>
          </w:p>
        </w:tc>
        <w:tc>
          <w:tcPr>
            <w:tcW w:w="19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Estimated Lost</w:t>
            </w:r>
          </w:p>
        </w:tc>
        <w:tc>
          <w:tcPr>
            <w:tcW w:w="0" w:type="dxa"/>
            <w:vAlign w:val="bottom"/>
          </w:tcPr>
          <w:p>
            <w:pPr>
              <w:spacing w:after="0"/>
              <w:rPr>
                <w:sz w:val="1"/>
                <w:szCs w:val="1"/>
                <w:color w:val="auto"/>
              </w:rPr>
            </w:pPr>
          </w:p>
        </w:tc>
      </w:tr>
      <w:tr>
        <w:trPr>
          <w:trHeight w:val="122"/>
        </w:trPr>
        <w:tc>
          <w:tcPr>
            <w:tcW w:w="3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0"/>
              </w:rPr>
              <w:t>Turnaround</w:t>
            </w:r>
          </w:p>
        </w:tc>
        <w:tc>
          <w:tcPr>
            <w:tcW w:w="1820" w:type="dxa"/>
            <w:vAlign w:val="bottom"/>
            <w:gridSpan w:val="3"/>
            <w:vMerge w:val="continue"/>
          </w:tcPr>
          <w:p>
            <w:pPr>
              <w:spacing w:after="0"/>
              <w:rPr>
                <w:sz w:val="10"/>
                <w:szCs w:val="10"/>
                <w:color w:val="auto"/>
              </w:rPr>
            </w:pPr>
          </w:p>
        </w:tc>
        <w:tc>
          <w:tcPr>
            <w:tcW w:w="198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0"/>
              </w:rPr>
              <w:t>Production</w:t>
            </w:r>
          </w:p>
        </w:tc>
        <w:tc>
          <w:tcPr>
            <w:tcW w:w="0" w:type="dxa"/>
            <w:vAlign w:val="bottom"/>
          </w:tcPr>
          <w:p>
            <w:pPr>
              <w:spacing w:after="0"/>
              <w:rPr>
                <w:sz w:val="1"/>
                <w:szCs w:val="1"/>
                <w:color w:val="auto"/>
              </w:rPr>
            </w:pPr>
          </w:p>
        </w:tc>
      </w:tr>
      <w:tr>
        <w:trPr>
          <w:trHeight w:val="107"/>
        </w:trPr>
        <w:tc>
          <w:tcPr>
            <w:tcW w:w="3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9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Facility</w:t>
            </w:r>
          </w:p>
        </w:tc>
        <w:tc>
          <w:tcPr>
            <w:tcW w:w="21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2021 Related Period</w:t>
            </w: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Downtime</w:t>
            </w:r>
          </w:p>
        </w:tc>
        <w:tc>
          <w:tcPr>
            <w:tcW w:w="160" w:type="dxa"/>
            <w:vAlign w:val="bottom"/>
          </w:tcPr>
          <w:p>
            <w:pPr>
              <w:spacing w:after="0"/>
              <w:rPr>
                <w:sz w:val="20"/>
                <w:szCs w:val="20"/>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color w:val="auto"/>
              </w:rPr>
              <w:t>(In Thousands)</w:t>
            </w:r>
          </w:p>
        </w:tc>
        <w:tc>
          <w:tcPr>
            <w:tcW w:w="19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(In Tons)</w:t>
            </w:r>
          </w:p>
        </w:tc>
        <w:tc>
          <w:tcPr>
            <w:tcW w:w="0" w:type="dxa"/>
            <w:vAlign w:val="bottom"/>
          </w:tcPr>
          <w:p>
            <w:pPr>
              <w:spacing w:after="0"/>
              <w:rPr>
                <w:sz w:val="1"/>
                <w:szCs w:val="1"/>
                <w:color w:val="auto"/>
              </w:rPr>
            </w:pPr>
          </w:p>
        </w:tc>
      </w:tr>
      <w:tr>
        <w:trPr>
          <w:trHeight w:val="223"/>
        </w:trPr>
        <w:tc>
          <w:tcPr>
            <w:tcW w:w="3720" w:type="dxa"/>
            <w:vAlign w:val="bottom"/>
            <w:tcBorders>
              <w:top w:val="single" w:sz="8" w:color="auto"/>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Cherokee</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960" w:type="dxa"/>
            <w:vAlign w:val="bottom"/>
            <w:tcBorders>
              <w:top w:val="single" w:sz="8" w:color="auto"/>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1"/>
              </w:rPr>
              <w:t>3</w:t>
            </w:r>
            <w:r>
              <w:rPr>
                <w:rFonts w:ascii="Arial" w:cs="Arial" w:eastAsia="Arial" w:hAnsi="Arial"/>
                <w:sz w:val="15"/>
                <w:szCs w:val="15"/>
                <w:color w:val="auto"/>
                <w:w w:val="91"/>
              </w:rPr>
              <w:t>rd</w:t>
            </w:r>
            <w:r>
              <w:rPr>
                <w:rFonts w:ascii="Arial" w:cs="Arial" w:eastAsia="Arial" w:hAnsi="Arial"/>
                <w:sz w:val="18"/>
                <w:szCs w:val="18"/>
                <w:color w:val="auto"/>
                <w:w w:val="91"/>
              </w:rPr>
              <w:t xml:space="preserve"> Quarter</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auto"/>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8"/>
              </w:rPr>
              <w:t>40 days</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 of Control and Special Dividend (2021 only)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the result of the Exchange Transaction discussed above under Recent Business Developments and in Note 2, Eldridge held over 60% of our outstanding shares of common stock on the closing date of the Exchange Transaction. As a result, a change of control (“CoC”) event occurred as defined in certain agreements, including stock-based awards and cash-based awards. As a result, additional expense was recognized due to the CoC event. In addition, pursuant to anti-dilutive terms included in the cash-based awards, the number of units of cash-based awards increased due to the Special Dividend, also resulting in additional expense being recognized. In summary, we recognized approximately $5.0 million expense, of which $1.2 million is classified as cost of sales and $3.8 million is classified as SG&amp;A.</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Results of Operations should be read in conjunction with our condensed consolidated financial statements for the three and nine months ended September 30, 2021 and 2020 and accompanying notes and the discussions under “Overview” and “Liquidity and Capital Resources” included in this MD&amp;A.</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present the following information about our results of operations. Net sales to unaffiliated customers are reported in the condensed consolidated financial statements and gross profit (loss) represents net sales less cost of sales. Net sales are reported on a gross basis with the cost of freight being recorded in cost of sales.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Three Months Ended September 30, 2021 Compared to Three Months Ended September 30, 2020</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The following table contains certain financial information:</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60" w:type="dxa"/>
            <w:vAlign w:val="bottom"/>
            <w:gridSpan w:val="6"/>
          </w:tcPr>
          <w:p>
            <w:pPr>
              <w:jc w:val="right"/>
              <w:ind w:right="940"/>
              <w:spacing w:after="0"/>
              <w:rPr>
                <w:sz w:val="20"/>
                <w:szCs w:val="20"/>
                <w:color w:val="auto"/>
              </w:rPr>
            </w:pPr>
            <w:r>
              <w:rPr>
                <w:rFonts w:ascii="Arial" w:cs="Arial" w:eastAsia="Arial" w:hAnsi="Arial"/>
                <w:sz w:val="18"/>
                <w:szCs w:val="18"/>
                <w:color w:val="auto"/>
              </w:rPr>
              <w:t>Three Months Ended</w:t>
            </w: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gridSpan w:val="4"/>
          </w:tcPr>
          <w:p>
            <w:pPr>
              <w:jc w:val="right"/>
              <w:spacing w:after="0"/>
              <w:rPr>
                <w:sz w:val="20"/>
                <w:szCs w:val="20"/>
                <w:color w:val="auto"/>
              </w:rPr>
            </w:pPr>
            <w:r>
              <w:rPr>
                <w:rFonts w:ascii="Arial" w:cs="Arial" w:eastAsia="Arial" w:hAnsi="Arial"/>
                <w:sz w:val="18"/>
                <w:szCs w:val="18"/>
                <w:color w:val="auto"/>
              </w:rPr>
              <w:t>September 30,</w:t>
            </w: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Percentage</w:t>
            </w:r>
          </w:p>
        </w:tc>
        <w:tc>
          <w:tcPr>
            <w:tcW w:w="0" w:type="dxa"/>
            <w:vAlign w:val="bottom"/>
          </w:tcPr>
          <w:p>
            <w:pPr>
              <w:spacing w:after="0"/>
              <w:rPr>
                <w:sz w:val="1"/>
                <w:szCs w:val="1"/>
                <w:color w:val="auto"/>
              </w:rPr>
            </w:pPr>
          </w:p>
        </w:tc>
      </w:tr>
      <w:tr>
        <w:trPr>
          <w:trHeight w:val="243"/>
        </w:trPr>
        <w:tc>
          <w:tcPr>
            <w:tcW w:w="5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color w:val="auto"/>
                <w:w w:val="89"/>
              </w:rPr>
              <w:t>2020</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Change</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7"/>
        </w:trPr>
        <w:tc>
          <w:tcPr>
            <w:tcW w:w="56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gridSpan w:val="5"/>
          </w:tcPr>
          <w:p>
            <w:pPr>
              <w:jc w:val="right"/>
              <w:ind w:right="220"/>
              <w:spacing w:after="0"/>
              <w:rPr>
                <w:sz w:val="20"/>
                <w:szCs w:val="20"/>
                <w:color w:val="auto"/>
              </w:rPr>
            </w:pPr>
            <w:r>
              <w:rPr>
                <w:rFonts w:ascii="Arial" w:cs="Arial" w:eastAsia="Arial" w:hAnsi="Arial"/>
                <w:sz w:val="16"/>
                <w:szCs w:val="16"/>
                <w:color w:val="auto"/>
                <w:w w:val="98"/>
              </w:rPr>
              <w:t>(Dollars In Thousands)</w:t>
            </w: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140"/>
              <w:spacing w:after="0"/>
              <w:rPr>
                <w:sz w:val="20"/>
                <w:szCs w:val="20"/>
                <w:color w:val="auto"/>
              </w:rPr>
            </w:pPr>
            <w:r>
              <w:rPr>
                <w:rFonts w:ascii="Arial" w:cs="Arial" w:eastAsia="Arial" w:hAnsi="Arial"/>
                <w:sz w:val="18"/>
                <w:szCs w:val="18"/>
                <w:color w:val="auto"/>
              </w:rPr>
              <w:t>Agricultural products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51,102</w:t>
            </w:r>
          </w:p>
        </w:tc>
        <w:tc>
          <w:tcPr>
            <w:tcW w:w="220" w:type="dxa"/>
            <w:vAlign w:val="bottom"/>
          </w:tcPr>
          <w:p>
            <w:pPr>
              <w:spacing w:after="0"/>
              <w:rPr>
                <w:sz w:val="19"/>
                <w:szCs w:val="19"/>
                <w:color w:val="auto"/>
              </w:rPr>
            </w:pP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31,986</w:t>
            </w:r>
          </w:p>
        </w:tc>
        <w:tc>
          <w:tcPr>
            <w:tcW w:w="36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19,116</w:t>
            </w:r>
          </w:p>
        </w:tc>
        <w:tc>
          <w:tcPr>
            <w:tcW w:w="3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Industrial and mining products</w:t>
            </w: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76,097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41,983</w:t>
            </w:r>
          </w:p>
        </w:tc>
        <w:tc>
          <w:tcPr>
            <w:tcW w:w="3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34,114</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63"/>
        </w:trPr>
        <w:tc>
          <w:tcPr>
            <w:tcW w:w="5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net sales</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127,199</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73,969</w:t>
            </w:r>
          </w:p>
        </w:tc>
        <w:tc>
          <w:tcPr>
            <w:tcW w:w="3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53,230</w:t>
            </w:r>
          </w:p>
        </w:tc>
        <w:tc>
          <w:tcPr>
            <w:tcW w:w="300" w:type="dxa"/>
            <w:vAlign w:val="bottom"/>
            <w:tcBorders>
              <w:bottom w:val="single" w:sz="8" w:color="CFF0FC"/>
            </w:tcBorders>
          </w:tcPr>
          <w:p>
            <w:pPr>
              <w:spacing w:after="0"/>
              <w:rPr>
                <w:sz w:val="22"/>
                <w:szCs w:val="22"/>
                <w:color w:val="auto"/>
              </w:rPr>
            </w:pPr>
          </w:p>
        </w:tc>
        <w:tc>
          <w:tcPr>
            <w:tcW w:w="118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0"/>
        </w:trPr>
        <w:tc>
          <w:tcPr>
            <w:tcW w:w="5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80" w:type="dxa"/>
            <w:vAlign w:val="bottom"/>
          </w:tcPr>
          <w:p>
            <w:pPr>
              <w:spacing w:after="0"/>
              <w:rPr>
                <w:sz w:val="20"/>
                <w:szCs w:val="20"/>
                <w:color w:val="auto"/>
              </w:rPr>
            </w:pPr>
            <w:r>
              <w:rPr>
                <w:rFonts w:ascii="Arial" w:cs="Arial" w:eastAsia="Arial" w:hAnsi="Arial"/>
                <w:sz w:val="18"/>
                <w:szCs w:val="18"/>
                <w:color w:val="auto"/>
              </w:rPr>
              <w:t>Gross profit (loss):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Adjusted gross profit </w:t>
            </w:r>
            <w:r>
              <w:rPr>
                <w:rFonts w:ascii="Arial" w:cs="Arial" w:eastAsia="Arial" w:hAnsi="Arial"/>
                <w:sz w:val="14"/>
                <w:szCs w:val="14"/>
                <w:color w:val="auto"/>
              </w:rPr>
              <w:t>(1)</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43,056</w:t>
            </w:r>
          </w:p>
        </w:tc>
        <w:tc>
          <w:tcPr>
            <w:tcW w:w="2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16,337</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26,719</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0"/>
        </w:trPr>
        <w:tc>
          <w:tcPr>
            <w:tcW w:w="5680" w:type="dxa"/>
            <w:vAlign w:val="bottom"/>
          </w:tcPr>
          <w:p>
            <w:pPr>
              <w:ind w:left="14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4"/>
                <w:szCs w:val="14"/>
                <w:color w:val="auto"/>
              </w:rPr>
              <w:t>(2)</w:t>
            </w:r>
          </w:p>
        </w:tc>
        <w:tc>
          <w:tcPr>
            <w:tcW w:w="240" w:type="dxa"/>
            <w:vAlign w:val="bottom"/>
          </w:tcPr>
          <w:p>
            <w:pPr>
              <w:spacing w:after="0"/>
              <w:rPr>
                <w:sz w:val="19"/>
                <w:szCs w:val="19"/>
                <w:color w:val="auto"/>
              </w:rPr>
            </w:pPr>
          </w:p>
        </w:tc>
        <w:tc>
          <w:tcPr>
            <w:tcW w:w="1140" w:type="dxa"/>
            <w:vAlign w:val="bottom"/>
            <w:gridSpan w:val="2"/>
          </w:tcPr>
          <w:p>
            <w:pPr>
              <w:jc w:val="right"/>
              <w:ind w:right="79"/>
              <w:spacing w:after="0"/>
              <w:rPr>
                <w:sz w:val="20"/>
                <w:szCs w:val="20"/>
                <w:color w:val="auto"/>
              </w:rPr>
            </w:pPr>
            <w:r>
              <w:rPr>
                <w:rFonts w:ascii="Arial" w:cs="Arial" w:eastAsia="Arial" w:hAnsi="Arial"/>
                <w:sz w:val="18"/>
                <w:szCs w:val="18"/>
                <w:color w:val="auto"/>
              </w:rPr>
              <w:t>(17,633)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(17,362)</w:t>
            </w:r>
          </w:p>
        </w:tc>
        <w:tc>
          <w:tcPr>
            <w:tcW w:w="1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(271)</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Turnaround expense</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79"/>
              <w:spacing w:after="0"/>
              <w:rPr>
                <w:sz w:val="20"/>
                <w:szCs w:val="20"/>
                <w:color w:val="auto"/>
              </w:rPr>
            </w:pPr>
            <w:r>
              <w:rPr>
                <w:rFonts w:ascii="Arial" w:cs="Arial" w:eastAsia="Arial" w:hAnsi="Arial"/>
                <w:sz w:val="18"/>
                <w:szCs w:val="18"/>
                <w:color w:val="auto"/>
              </w:rPr>
              <w:t>(7,976)</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(7,942)</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Pr>
          <w:p>
            <w:pPr>
              <w:ind w:left="260"/>
              <w:spacing w:after="0"/>
              <w:rPr>
                <w:sz w:val="20"/>
                <w:szCs w:val="20"/>
                <w:color w:val="auto"/>
              </w:rPr>
            </w:pPr>
            <w:r>
              <w:rPr>
                <w:rFonts w:ascii="Arial" w:cs="Arial" w:eastAsia="Arial" w:hAnsi="Arial"/>
                <w:sz w:val="18"/>
                <w:szCs w:val="18"/>
                <w:color w:val="auto"/>
              </w:rPr>
              <w:t>Total gross profit (loss)</w:t>
            </w: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17,447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18,506</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7,068</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4,532</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Other expense, net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875</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(401)</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Operating income (loss)</w:t>
            </w: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5,373</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(9,002)</w:t>
            </w:r>
          </w:p>
        </w:tc>
        <w:tc>
          <w:tcPr>
            <w:tcW w:w="3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14,375</w:t>
            </w:r>
          </w:p>
        </w:tc>
        <w:tc>
          <w:tcPr>
            <w:tcW w:w="3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12,956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12,554</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402</w:t>
            </w:r>
          </w:p>
        </w:tc>
        <w:tc>
          <w:tcPr>
            <w:tcW w:w="3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Non-operating other expense, net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(1,370)</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1,389</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(20,402)</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11,474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Other information:</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680" w:type="dxa"/>
            <w:vAlign w:val="bottom"/>
          </w:tcPr>
          <w:p>
            <w:pPr>
              <w:ind w:left="140"/>
              <w:spacing w:after="0"/>
              <w:rPr>
                <w:sz w:val="20"/>
                <w:szCs w:val="20"/>
                <w:color w:val="auto"/>
              </w:rPr>
            </w:pPr>
            <w:r>
              <w:rPr>
                <w:rFonts w:ascii="Arial" w:cs="Arial" w:eastAsia="Arial" w:hAnsi="Arial"/>
                <w:sz w:val="18"/>
                <w:szCs w:val="18"/>
                <w:color w:val="auto"/>
              </w:rPr>
              <w:t xml:space="preserve">Gross profit (loss) percentage </w:t>
            </w:r>
            <w:r>
              <w:rPr>
                <w:rFonts w:ascii="Arial" w:cs="Arial" w:eastAsia="Arial" w:hAnsi="Arial"/>
                <w:sz w:val="14"/>
                <w:szCs w:val="14"/>
                <w:color w:val="auto"/>
              </w:rPr>
              <w:t>(3)</w:t>
            </w:r>
          </w:p>
        </w:tc>
        <w:tc>
          <w:tcPr>
            <w:tcW w:w="24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15.1%</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80" w:type="dxa"/>
            <w:vAlign w:val="bottom"/>
            <w:tcBorders>
              <w:top w:val="single" w:sz="8" w:color="CFF0FC"/>
            </w:tcBorders>
            <w:vMerge w:val="restart"/>
            <w:shd w:val="clear" w:color="auto" w:fill="CFF0FC"/>
          </w:tcPr>
          <w:p>
            <w:pPr>
              <w:ind w:left="140"/>
              <w:spacing w:after="0"/>
              <w:rPr>
                <w:sz w:val="20"/>
                <w:szCs w:val="20"/>
                <w:color w:val="auto"/>
              </w:rPr>
            </w:pPr>
            <w:r>
              <w:rPr>
                <w:rFonts w:ascii="Arial" w:cs="Arial" w:eastAsia="Arial" w:hAnsi="Arial"/>
                <w:sz w:val="18"/>
                <w:szCs w:val="18"/>
                <w:color w:val="auto"/>
              </w:rPr>
              <w:t xml:space="preserve">Adjusted gross profit percentage </w:t>
            </w:r>
            <w:r>
              <w:rPr>
                <w:rFonts w:ascii="Arial" w:cs="Arial" w:eastAsia="Arial" w:hAnsi="Arial"/>
                <w:sz w:val="14"/>
                <w:szCs w:val="14"/>
                <w:color w:val="auto"/>
              </w:rPr>
              <w:t>(3)</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22.1%</w:t>
            </w: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11.7%</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Borders>
              <w:top w:val="single" w:sz="8" w:color="CFF0FC"/>
              <w:bottom w:val="single" w:sz="8" w:color="CFF0FC"/>
            </w:tcBorders>
            <w:vMerge w:val="restart"/>
          </w:tcPr>
          <w:p>
            <w:pPr>
              <w:ind w:left="140"/>
              <w:spacing w:after="0"/>
              <w:rPr>
                <w:sz w:val="20"/>
                <w:szCs w:val="20"/>
                <w:color w:val="auto"/>
              </w:rPr>
            </w:pPr>
            <w:r>
              <w:rPr>
                <w:rFonts w:ascii="Arial" w:cs="Arial" w:eastAsia="Arial" w:hAnsi="Arial"/>
                <w:sz w:val="18"/>
                <w:szCs w:val="18"/>
                <w:color w:val="auto"/>
              </w:rPr>
              <w:t>Property, plant and equipment expenditures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bottom w:val="single" w:sz="8" w:color="CFF0FC"/>
            </w:tcBorders>
            <w:gridSpan w:val="2"/>
            <w:vMerge w:val="restart"/>
          </w:tcPr>
          <w:p>
            <w:pPr>
              <w:jc w:val="right"/>
              <w:ind w:right="8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line="20" w:lineRule="exact"/>
              <w:rPr>
                <w:sz w:val="1"/>
                <w:szCs w:val="1"/>
                <w:color w:val="auto"/>
              </w:rPr>
            </w:pPr>
          </w:p>
        </w:tc>
      </w:tr>
      <w:tr>
        <w:trPr>
          <w:trHeight w:val="210"/>
        </w:trPr>
        <w:tc>
          <w:tcPr>
            <w:tcW w:w="5680" w:type="dxa"/>
            <w:vAlign w:val="bottom"/>
            <w:vMerge w:val="continue"/>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4,277</w:t>
            </w:r>
          </w:p>
        </w:tc>
        <w:tc>
          <w:tcPr>
            <w:tcW w:w="36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6,975</w:t>
            </w:r>
          </w:p>
        </w:tc>
        <w:tc>
          <w:tcPr>
            <w:tcW w:w="3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740" w:hanging="368"/>
        <w:spacing w:after="0"/>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a non-GAAP measure since the amount excludes unallocated depreciation, amortization and Turnaround expenses.</w:t>
      </w:r>
    </w:p>
    <w:p>
      <w:pPr>
        <w:spacing w:after="0" w:line="32" w:lineRule="exact"/>
        <w:rPr>
          <w:rFonts w:ascii="Arial" w:cs="Arial" w:eastAsia="Arial" w:hAnsi="Arial"/>
          <w:sz w:val="16"/>
          <w:szCs w:val="16"/>
          <w:color w:val="auto"/>
        </w:rPr>
      </w:pPr>
    </w:p>
    <w:p>
      <w:pPr>
        <w:ind w:left="740" w:hanging="368"/>
        <w:spacing w:after="0"/>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amount classified as cost of sales.</w:t>
      </w:r>
    </w:p>
    <w:p>
      <w:pPr>
        <w:spacing w:after="0" w:line="32" w:lineRule="exact"/>
        <w:rPr>
          <w:rFonts w:ascii="Arial" w:cs="Arial" w:eastAsia="Arial" w:hAnsi="Arial"/>
          <w:sz w:val="16"/>
          <w:szCs w:val="16"/>
          <w:color w:val="auto"/>
        </w:rPr>
      </w:pPr>
    </w:p>
    <w:p>
      <w:pPr>
        <w:ind w:left="740" w:hanging="368"/>
        <w:spacing w:after="0"/>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 a percentage of the total net sales.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key operating metrics for the agricultural products: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460" w:type="dxa"/>
            <w:vAlign w:val="bottom"/>
            <w:gridSpan w:val="4"/>
          </w:tcPr>
          <w:p>
            <w:pPr>
              <w:jc w:val="center"/>
              <w:ind w:right="220"/>
              <w:spacing w:after="0"/>
              <w:rPr>
                <w:sz w:val="20"/>
                <w:szCs w:val="20"/>
                <w:color w:val="auto"/>
              </w:rPr>
            </w:pPr>
            <w:r>
              <w:rPr>
                <w:rFonts w:ascii="Arial" w:cs="Arial" w:eastAsia="Arial" w:hAnsi="Arial"/>
                <w:sz w:val="18"/>
                <w:szCs w:val="18"/>
                <w:color w:val="auto"/>
                <w:w w:val="90"/>
              </w:rPr>
              <w:t>Three Months Ended</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460" w:type="dxa"/>
            <w:vAlign w:val="bottom"/>
            <w:gridSpan w:val="4"/>
          </w:tcPr>
          <w:p>
            <w:pPr>
              <w:jc w:val="center"/>
              <w:ind w:right="220"/>
              <w:spacing w:after="0"/>
              <w:rPr>
                <w:sz w:val="20"/>
                <w:szCs w:val="20"/>
                <w:color w:val="auto"/>
              </w:rPr>
            </w:pPr>
            <w:r>
              <w:rPr>
                <w:rFonts w:ascii="Arial" w:cs="Arial" w:eastAsia="Arial" w:hAnsi="Arial"/>
                <w:sz w:val="18"/>
                <w:szCs w:val="18"/>
                <w:color w:val="auto"/>
                <w:w w:val="88"/>
              </w:rPr>
              <w:t>September 30,</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70"/>
              <w:spacing w:after="0"/>
              <w:rPr>
                <w:sz w:val="20"/>
                <w:szCs w:val="20"/>
                <w:color w:val="auto"/>
              </w:rPr>
            </w:pPr>
            <w:r>
              <w:rPr>
                <w:rFonts w:ascii="Arial" w:cs="Arial" w:eastAsia="Arial" w:hAnsi="Arial"/>
                <w:sz w:val="18"/>
                <w:szCs w:val="18"/>
                <w:color w:val="auto"/>
                <w:w w:val="93"/>
              </w:rPr>
              <w:t>Percentage</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020" w:type="dxa"/>
            <w:vAlign w:val="bottom"/>
            <w:gridSpan w:val="2"/>
          </w:tcPr>
          <w:p>
            <w:pPr>
              <w:spacing w:after="0"/>
              <w:rPr>
                <w:sz w:val="20"/>
                <w:szCs w:val="20"/>
                <w:color w:val="auto"/>
              </w:rPr>
            </w:pPr>
            <w:r>
              <w:rPr>
                <w:rFonts w:ascii="Arial" w:cs="Arial" w:eastAsia="Arial" w:hAnsi="Arial"/>
                <w:sz w:val="14"/>
                <w:szCs w:val="14"/>
                <w:color w:val="auto"/>
              </w:rPr>
              <w:t>Product (tons sold)</w:t>
            </w:r>
          </w:p>
        </w:tc>
        <w:tc>
          <w:tcPr>
            <w:tcW w:w="3160" w:type="dxa"/>
            <w:vAlign w:val="bottom"/>
            <w:gridSpan w:val="2"/>
          </w:tcPr>
          <w:p>
            <w:pPr>
              <w:jc w:val="right"/>
              <w:ind w:right="25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Change</w:t>
            </w:r>
          </w:p>
        </w:tc>
        <w:tc>
          <w:tcPr>
            <w:tcW w:w="1240" w:type="dxa"/>
            <w:vAlign w:val="bottom"/>
            <w:gridSpan w:val="2"/>
          </w:tcPr>
          <w:p>
            <w:pPr>
              <w:jc w:val="right"/>
              <w:ind w:right="390"/>
              <w:spacing w:after="0"/>
              <w:rPr>
                <w:sz w:val="20"/>
                <w:szCs w:val="20"/>
                <w:color w:val="auto"/>
              </w:rPr>
            </w:pPr>
            <w:r>
              <w:rPr>
                <w:rFonts w:ascii="Arial" w:cs="Arial" w:eastAsia="Arial" w:hAnsi="Arial"/>
                <w:sz w:val="18"/>
                <w:szCs w:val="18"/>
                <w:color w:val="auto"/>
              </w:rPr>
              <w:t>Change</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108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UAN</w:t>
            </w:r>
          </w:p>
        </w:tc>
        <w:tc>
          <w:tcPr>
            <w:tcW w:w="1940" w:type="dxa"/>
            <w:vAlign w:val="bottom"/>
            <w:tcBorders>
              <w:top w:val="single" w:sz="8" w:color="CFF0FC"/>
            </w:tcBorders>
            <w:shd w:val="clear" w:color="auto" w:fill="CFF0FC"/>
          </w:tcPr>
          <w:p>
            <w:pPr>
              <w:spacing w:after="0"/>
              <w:rPr>
                <w:sz w:val="18"/>
                <w:szCs w:val="18"/>
                <w:color w:val="auto"/>
              </w:rPr>
            </w:pPr>
          </w:p>
        </w:tc>
        <w:tc>
          <w:tcPr>
            <w:tcW w:w="214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82,556</w:t>
            </w:r>
          </w:p>
        </w:tc>
        <w:tc>
          <w:tcPr>
            <w:tcW w:w="2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140,524</w:t>
            </w: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(57,968)</w:t>
            </w:r>
          </w:p>
        </w:tc>
        <w:tc>
          <w:tcPr>
            <w:tcW w:w="2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020" w:type="dxa"/>
            <w:vAlign w:val="bottom"/>
            <w:gridSpan w:val="2"/>
          </w:tcPr>
          <w:p>
            <w:pPr>
              <w:ind w:left="240"/>
              <w:spacing w:after="0"/>
              <w:rPr>
                <w:sz w:val="20"/>
                <w:szCs w:val="20"/>
                <w:color w:val="auto"/>
              </w:rPr>
            </w:pPr>
            <w:r>
              <w:rPr>
                <w:rFonts w:ascii="Arial" w:cs="Arial" w:eastAsia="Arial" w:hAnsi="Arial"/>
                <w:sz w:val="18"/>
                <w:szCs w:val="18"/>
                <w:color w:val="auto"/>
              </w:rPr>
              <w:t>HDAN</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37,011</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27,800</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9,211</w:t>
            </w:r>
          </w:p>
        </w:tc>
        <w:tc>
          <w:tcPr>
            <w:tcW w:w="2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0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3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14,100</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20,181</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(6,081)</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02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2,394</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2,824</w:t>
            </w: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(430)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020" w:type="dxa"/>
            <w:vAlign w:val="bottom"/>
            <w:tcBorders>
              <w:top w:val="single" w:sz="8" w:color="CFF0FC"/>
              <w:bottom w:val="single" w:sz="8" w:color="CFF0FC"/>
            </w:tcBorders>
            <w:gridSpan w:val="2"/>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214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136,061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191,329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(55,268)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4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0" w:name="page31"/>
    <w:bookmarkEnd w:id="30"/>
    <w:tbl>
      <w:tblPr>
        <w:tblLayout w:type="fixed"/>
        <w:tblInd w:w="580" w:type="dxa"/>
        <w:tblCellMar>
          <w:top w:w="0" w:type="dxa"/>
          <w:left w:w="0" w:type="dxa"/>
          <w:bottom w:w="0" w:type="dxa"/>
          <w:right w:w="0" w:type="dxa"/>
        </w:tblCellMar>
      </w:tblPr>
      <w:tr>
        <w:trPr>
          <w:trHeight w:val="229"/>
        </w:trPr>
        <w:tc>
          <w:tcPr>
            <w:tcW w:w="25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80" w:type="dxa"/>
            <w:vAlign w:val="bottom"/>
            <w:gridSpan w:val="5"/>
          </w:tcPr>
          <w:p>
            <w:pPr>
              <w:jc w:val="center"/>
              <w:ind w:right="440"/>
              <w:spacing w:after="0"/>
              <w:rPr>
                <w:sz w:val="20"/>
                <w:szCs w:val="20"/>
                <w:color w:val="auto"/>
              </w:rPr>
            </w:pPr>
            <w:r>
              <w:rPr>
                <w:rFonts w:ascii="Arial" w:cs="Arial" w:eastAsia="Arial" w:hAnsi="Arial"/>
                <w:sz w:val="18"/>
                <w:szCs w:val="18"/>
                <w:color w:val="auto"/>
                <w:w w:val="90"/>
              </w:rPr>
              <w:t>Three Months Ended</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80" w:type="dxa"/>
            <w:vAlign w:val="bottom"/>
            <w:gridSpan w:val="5"/>
          </w:tcPr>
          <w:p>
            <w:pPr>
              <w:jc w:val="center"/>
              <w:ind w:right="440"/>
              <w:spacing w:after="0"/>
              <w:rPr>
                <w:sz w:val="20"/>
                <w:szCs w:val="20"/>
                <w:color w:val="auto"/>
              </w:rPr>
            </w:pPr>
            <w:r>
              <w:rPr>
                <w:rFonts w:ascii="Arial" w:cs="Arial" w:eastAsia="Arial" w:hAnsi="Arial"/>
                <w:sz w:val="18"/>
                <w:szCs w:val="18"/>
                <w:color w:val="auto"/>
                <w:w w:val="88"/>
              </w:rPr>
              <w:t>September 30,</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Percentage</w:t>
            </w:r>
          </w:p>
        </w:tc>
        <w:tc>
          <w:tcPr>
            <w:tcW w:w="0" w:type="dxa"/>
            <w:vAlign w:val="bottom"/>
          </w:tcPr>
          <w:p>
            <w:pPr>
              <w:spacing w:after="0"/>
              <w:rPr>
                <w:sz w:val="1"/>
                <w:szCs w:val="1"/>
                <w:color w:val="auto"/>
              </w:rPr>
            </w:pPr>
          </w:p>
        </w:tc>
      </w:tr>
      <w:tr>
        <w:trPr>
          <w:trHeight w:val="217"/>
        </w:trPr>
        <w:tc>
          <w:tcPr>
            <w:tcW w:w="2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Gross Average Selling Prices (price per ton)</w:t>
            </w:r>
          </w:p>
        </w:tc>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color w:val="auto"/>
              </w:rPr>
              <w:t>Change</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
        </w:trPr>
        <w:tc>
          <w:tcPr>
            <w:tcW w:w="5180" w:type="dxa"/>
            <w:vAlign w:val="bottom"/>
            <w:gridSpan w:val="2"/>
            <w:vMerge w:val="restart"/>
            <w:shd w:val="clear" w:color="auto" w:fill="CFF0FC"/>
          </w:tcPr>
          <w:p>
            <w:pPr>
              <w:ind w:left="240"/>
              <w:spacing w:after="0"/>
              <w:rPr>
                <w:sz w:val="20"/>
                <w:szCs w:val="20"/>
                <w:color w:val="auto"/>
              </w:rPr>
            </w:pPr>
            <w:r>
              <w:rPr>
                <w:rFonts w:ascii="Arial" w:cs="Arial" w:eastAsia="Arial" w:hAnsi="Arial"/>
                <w:sz w:val="18"/>
                <w:szCs w:val="18"/>
                <w:color w:val="auto"/>
              </w:rPr>
              <w:t>UAN</w:t>
            </w: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22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2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220" w:type="dxa"/>
            <w:vAlign w:val="bottom"/>
            <w:vMerge w:val="continue"/>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5180" w:type="dxa"/>
            <w:vAlign w:val="bottom"/>
            <w:gridSpan w:val="2"/>
          </w:tcPr>
          <w:p>
            <w:pPr>
              <w:ind w:left="240"/>
              <w:spacing w:after="0"/>
              <w:rPr>
                <w:sz w:val="20"/>
                <w:szCs w:val="20"/>
                <w:color w:val="auto"/>
              </w:rPr>
            </w:pPr>
            <w:r>
              <w:rPr>
                <w:rFonts w:ascii="Arial" w:cs="Arial" w:eastAsia="Arial" w:hAnsi="Arial"/>
                <w:sz w:val="18"/>
                <w:szCs w:val="18"/>
                <w:color w:val="auto"/>
              </w:rPr>
              <w:t>HDAN</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384</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sales of industrial and mining products, the following table indicates key operating metrics of our major products: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10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60" w:type="dxa"/>
            <w:vAlign w:val="bottom"/>
            <w:gridSpan w:val="5"/>
          </w:tcPr>
          <w:p>
            <w:pPr>
              <w:jc w:val="center"/>
              <w:ind w:right="420"/>
              <w:spacing w:after="0"/>
              <w:rPr>
                <w:sz w:val="20"/>
                <w:szCs w:val="20"/>
                <w:color w:val="auto"/>
              </w:rPr>
            </w:pPr>
            <w:r>
              <w:rPr>
                <w:rFonts w:ascii="Arial" w:cs="Arial" w:eastAsia="Arial" w:hAnsi="Arial"/>
                <w:sz w:val="18"/>
                <w:szCs w:val="18"/>
                <w:color w:val="auto"/>
                <w:w w:val="90"/>
              </w:rPr>
              <w:t>Three Months Ended</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60" w:type="dxa"/>
            <w:vAlign w:val="bottom"/>
            <w:gridSpan w:val="5"/>
          </w:tcPr>
          <w:p>
            <w:pPr>
              <w:jc w:val="center"/>
              <w:ind w:right="420"/>
              <w:spacing w:after="0"/>
              <w:rPr>
                <w:sz w:val="20"/>
                <w:szCs w:val="20"/>
                <w:color w:val="auto"/>
              </w:rPr>
            </w:pPr>
            <w:r>
              <w:rPr>
                <w:rFonts w:ascii="Arial" w:cs="Arial" w:eastAsia="Arial" w:hAnsi="Arial"/>
                <w:sz w:val="18"/>
                <w:szCs w:val="18"/>
                <w:color w:val="auto"/>
                <w:w w:val="88"/>
              </w:rPr>
              <w:t>September 30,</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Percentage</w:t>
            </w:r>
          </w:p>
        </w:tc>
        <w:tc>
          <w:tcPr>
            <w:tcW w:w="0" w:type="dxa"/>
            <w:vAlign w:val="bottom"/>
          </w:tcPr>
          <w:p>
            <w:pPr>
              <w:spacing w:after="0"/>
              <w:rPr>
                <w:sz w:val="1"/>
                <w:szCs w:val="1"/>
                <w:color w:val="auto"/>
              </w:rPr>
            </w:pPr>
          </w:p>
        </w:tc>
      </w:tr>
      <w:tr>
        <w:trPr>
          <w:trHeight w:val="217"/>
        </w:trPr>
        <w:tc>
          <w:tcPr>
            <w:tcW w:w="5120" w:type="dxa"/>
            <w:vAlign w:val="bottom"/>
            <w:gridSpan w:val="3"/>
          </w:tcPr>
          <w:p>
            <w:pPr>
              <w:spacing w:after="0"/>
              <w:rPr>
                <w:sz w:val="20"/>
                <w:szCs w:val="20"/>
                <w:color w:val="auto"/>
              </w:rPr>
            </w:pPr>
            <w:r>
              <w:rPr>
                <w:rFonts w:ascii="Arial" w:cs="Arial" w:eastAsia="Arial" w:hAnsi="Arial"/>
                <w:sz w:val="14"/>
                <w:szCs w:val="14"/>
                <w:color w:val="auto"/>
              </w:rPr>
              <w:t>Product (tons sold)</w:t>
            </w:r>
          </w:p>
        </w:tc>
        <w:tc>
          <w:tcPr>
            <w:tcW w:w="220" w:type="dxa"/>
            <w:vAlign w:val="bottom"/>
          </w:tcPr>
          <w:p>
            <w:pPr>
              <w:spacing w:after="0"/>
              <w:rPr>
                <w:sz w:val="18"/>
                <w:szCs w:val="18"/>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color w:val="auto"/>
              </w:rPr>
              <w:t>Change</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
        </w:trPr>
        <w:tc>
          <w:tcPr>
            <w:tcW w:w="1080" w:type="dxa"/>
            <w:vAlign w:val="bottom"/>
            <w:tcBorders>
              <w:top w:val="single" w:sz="8" w:color="auto"/>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4040" w:type="dxa"/>
            <w:vAlign w:val="bottom"/>
            <w:gridSpan w:val="2"/>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080" w:type="dxa"/>
            <w:vAlign w:val="bottom"/>
            <w:vMerge w:val="continue"/>
            <w:shd w:val="clear" w:color="auto" w:fill="CFF0FC"/>
          </w:tcPr>
          <w:p>
            <w:pPr>
              <w:spacing w:after="0"/>
              <w:rPr>
                <w:sz w:val="18"/>
                <w:szCs w:val="18"/>
                <w:color w:val="auto"/>
              </w:rPr>
            </w:pPr>
          </w:p>
        </w:tc>
        <w:tc>
          <w:tcPr>
            <w:tcW w:w="4040" w:type="dxa"/>
            <w:vAlign w:val="bottom"/>
            <w:gridSpan w:val="2"/>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65,901</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68,366</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(2,465)</w:t>
            </w:r>
          </w:p>
        </w:tc>
        <w:tc>
          <w:tcPr>
            <w:tcW w:w="220" w:type="dxa"/>
            <w:vAlign w:val="bottom"/>
            <w:vMerge w:val="continue"/>
            <w:shd w:val="clear" w:color="auto" w:fill="CFF0FC"/>
          </w:tcPr>
          <w:p>
            <w:pPr>
              <w:spacing w:after="0"/>
              <w:rPr>
                <w:sz w:val="18"/>
                <w:szCs w:val="18"/>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FF0FC"/>
            </w:tcBorders>
            <w:gridSpan w:val="3"/>
          </w:tcPr>
          <w:p>
            <w:pPr>
              <w:ind w:left="240"/>
              <w:spacing w:after="0"/>
              <w:rPr>
                <w:sz w:val="20"/>
                <w:szCs w:val="20"/>
                <w:color w:val="auto"/>
              </w:rPr>
            </w:pPr>
            <w:r>
              <w:rPr>
                <w:rFonts w:ascii="Arial" w:cs="Arial" w:eastAsia="Arial" w:hAnsi="Arial"/>
                <w:sz w:val="18"/>
                <w:szCs w:val="18"/>
                <w:color w:val="auto"/>
              </w:rPr>
              <w:t>AN, Nitric Acid and Other</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101,540</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74,753</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26,787</w:t>
            </w:r>
          </w:p>
        </w:tc>
        <w:tc>
          <w:tcPr>
            <w:tcW w:w="22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CFF0FC"/>
            </w:tcBorders>
            <w:gridSpan w:val="3"/>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167,441</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143,119</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24,322</w:t>
            </w:r>
          </w:p>
        </w:tc>
        <w:tc>
          <w:tcPr>
            <w:tcW w:w="22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120" w:type="dxa"/>
            <w:vAlign w:val="bottom"/>
            <w:gridSpan w:val="3"/>
            <w:shd w:val="clear" w:color="auto" w:fill="CFF0FC"/>
          </w:tcPr>
          <w:p>
            <w:pPr>
              <w:spacing w:after="0" w:line="189" w:lineRule="exact"/>
              <w:rPr>
                <w:sz w:val="20"/>
                <w:szCs w:val="20"/>
                <w:color w:val="auto"/>
              </w:rPr>
            </w:pPr>
            <w:r>
              <w:rPr>
                <w:rFonts w:ascii="Arial" w:cs="Arial" w:eastAsia="Arial" w:hAnsi="Arial"/>
                <w:sz w:val="18"/>
                <w:szCs w:val="18"/>
                <w:color w:val="auto"/>
              </w:rPr>
              <w:t>Tampa Ammonia Benchmark (price per metric ton)</w:t>
            </w:r>
          </w:p>
        </w:tc>
        <w:tc>
          <w:tcPr>
            <w:tcW w:w="220" w:type="dxa"/>
            <w:vAlign w:val="bottom"/>
            <w:shd w:val="clear" w:color="auto" w:fill="CFF0FC"/>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610</w:t>
            </w: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207</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403</w:t>
            </w:r>
          </w:p>
        </w:tc>
        <w:tc>
          <w:tcPr>
            <w:tcW w:w="2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80"/>
              <w:spacing w:after="0" w:line="189" w:lineRule="exact"/>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
        </w:trPr>
        <w:tc>
          <w:tcPr>
            <w:tcW w:w="1080" w:type="dxa"/>
            <w:vAlign w:val="bottom"/>
            <w:tcBorders>
              <w:top w:val="single" w:sz="8" w:color="auto"/>
            </w:tcBorders>
            <w:shd w:val="clear" w:color="auto" w:fill="CFF0FC"/>
          </w:tcPr>
          <w:p>
            <w:pPr>
              <w:spacing w:after="0" w:line="20" w:lineRule="exact"/>
              <w:rPr>
                <w:sz w:val="1"/>
                <w:szCs w:val="1"/>
                <w:color w:val="auto"/>
              </w:rPr>
            </w:pPr>
          </w:p>
        </w:tc>
        <w:tc>
          <w:tcPr>
            <w:tcW w:w="2620" w:type="dxa"/>
            <w:vAlign w:val="bottom"/>
            <w:tcBorders>
              <w:top w:val="single" w:sz="8" w:color="auto"/>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Sales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sales of our agricultural products increased during the third quarter of 2021 compared to the prior year period driven by stronger pricing for UAN, ammonia and HDAN. Partially offsetting the benefit of stronger pricing was lower sales volumes for UAN and ammonia caused by the Turnaround completed at our Cherokee Facility during the third quarter of 2021 and more sales out of inventory in the third quarter of 2020 as a result of higher inventory levels headed into the period. Agricultural sales were also impacted by a shift in product mix as we continue our focus on the industrial products business.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of our industrial and mining products increased as a result of higher pricing related to a rise in the Tampa ammonia benchmark price, to which many of our industrial contracts are tied. Also benefitting industrial sales was the ramp up of a new nitric acid offtake agreement along with the continued recovery of demand from several key end markets including automotive, home building quarry and construction, precious metals mining and power generation, which have now exceeded pre-pandemic demand levels.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Profit</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noted in the table above, we recognized a gross profit of $17.4 million for the third quarter of 2021 compared to a gross loss of $1.1 million for the same period in 2020, or an $18.5 million improvement. Overall, our gross profit percentage was 13.7% compared to a gross loss percentage of 1.4% for the same period in 2020. Our adjusted gross profit percentage increased to 33.8% for the third quarter of 2021 from 22.1% for the third quarter of 2020.</w:t>
      </w:r>
    </w:p>
    <w:p>
      <w:pPr>
        <w:spacing w:after="0" w:line="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increase in gross profit was primarily driven by higher sales prices for our products coupled with increased sales volume of HDAN partially offset by lower volumes of UAN, ammonia and upgraded industrial and mining products. The improvement in gross profit was partially offset by overall higher average natural gas costs which averaged $3.71 per MMBtu for the third quarter of 2021 as compared to $1.98 per MMBtu for the third quarter of 2020 and the impact of the Turnaround completed at our Cherokee Facility as discussed above under “Turnaround Activities”.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General and Administrative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SG&amp;A expenses were $11.6 million for the third quarter of 2021, an increase of $4.5 million compared to the same period in 2020. The net increase was primarily driven by approximately $3.8 million of expense due to CoC and anti-dilutive provisions included in certain agreements as discussed above under “Change of Control and Special Dividend”.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Other Expense, net</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Non-operating other expense for the third quarter of 2021 was $1.3 million compared to $0.2 million for the same period in 2020 or a change of $1.1 million. This change primarily relates to the change in fair value of the embedded derivative included in the Series E Redeemable Preferred prior to its extinguishment through the completion of the Exchange Transaction discussed above under “Recent Business Developments”.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(Benefit) for Income Taxes</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provision for income taxes for the third quarter of 2021 was minimal compared to a benefit for income taxes of $1.4 million for the same period of 2020. For both periods, the effective tax rate is less than the statutory rate primarily due to the impact of the PPP loan forgiveness, state tax law changes and valuation allowances. Also see discussion in Note 8.</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2020" w:type="dxa"/>
            <w:vAlign w:val="bottom"/>
          </w:tcPr>
          <w:p>
            <w:pPr>
              <w:spacing w:after="0"/>
              <w:rPr>
                <w:sz w:val="17"/>
                <w:szCs w:val="17"/>
                <w:color w:val="auto"/>
              </w:rPr>
            </w:pPr>
          </w:p>
        </w:tc>
        <w:tc>
          <w:tcPr>
            <w:tcW w:w="8040" w:type="dxa"/>
            <w:vAlign w:val="bottom"/>
            <w:gridSpan w:val="12"/>
          </w:tcPr>
          <w:p>
            <w:pPr>
              <w:jc w:val="right"/>
              <w:ind w:right="840"/>
              <w:spacing w:after="0"/>
              <w:rPr>
                <w:sz w:val="20"/>
                <w:szCs w:val="20"/>
                <w:color w:val="auto"/>
              </w:rPr>
            </w:pPr>
            <w:r>
              <w:rPr>
                <w:rFonts w:ascii="Arial" w:cs="Arial" w:eastAsia="Arial" w:hAnsi="Arial"/>
                <w:sz w:val="18"/>
                <w:szCs w:val="18"/>
                <w:b w:val="1"/>
                <w:bCs w:val="1"/>
                <w:color w:val="auto"/>
                <w:w w:val="90"/>
              </w:rPr>
              <w:t>Nine Months Ended September 30, 2021 Compared to Nine Month Ended September 30, 2020</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980" w:type="dxa"/>
            <w:vAlign w:val="bottom"/>
            <w:gridSpan w:val="2"/>
          </w:tcPr>
          <w:p>
            <w:pPr>
              <w:spacing w:after="0"/>
              <w:rPr>
                <w:sz w:val="20"/>
                <w:szCs w:val="20"/>
                <w:color w:val="auto"/>
              </w:rPr>
            </w:pPr>
            <w:r>
              <w:rPr>
                <w:rFonts w:ascii="Arial" w:cs="Arial" w:eastAsia="Arial" w:hAnsi="Arial"/>
                <w:sz w:val="18"/>
                <w:szCs w:val="18"/>
                <w:color w:val="auto"/>
              </w:rPr>
              <w:t>The following table contains certain financial information:</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2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20" w:type="dxa"/>
            <w:vAlign w:val="bottom"/>
            <w:gridSpan w:val="5"/>
          </w:tcPr>
          <w:p>
            <w:pPr>
              <w:jc w:val="right"/>
              <w:ind w:right="920"/>
              <w:spacing w:after="0"/>
              <w:rPr>
                <w:sz w:val="20"/>
                <w:szCs w:val="20"/>
                <w:color w:val="auto"/>
              </w:rPr>
            </w:pPr>
            <w:r>
              <w:rPr>
                <w:rFonts w:ascii="Arial" w:cs="Arial" w:eastAsia="Arial" w:hAnsi="Arial"/>
                <w:sz w:val="18"/>
                <w:szCs w:val="18"/>
                <w:color w:val="auto"/>
              </w:rPr>
              <w:t>Nine Months Ended</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Percentage</w:t>
            </w:r>
          </w:p>
        </w:tc>
        <w:tc>
          <w:tcPr>
            <w:tcW w:w="0" w:type="dxa"/>
            <w:vAlign w:val="bottom"/>
          </w:tcPr>
          <w:p>
            <w:pPr>
              <w:spacing w:after="0"/>
              <w:rPr>
                <w:sz w:val="1"/>
                <w:szCs w:val="1"/>
                <w:color w:val="auto"/>
              </w:rPr>
            </w:pPr>
          </w:p>
        </w:tc>
      </w:tr>
      <w:tr>
        <w:trPr>
          <w:trHeight w:val="230"/>
        </w:trPr>
        <w:tc>
          <w:tcPr>
            <w:tcW w:w="20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color w:val="auto"/>
                <w:w w:val="89"/>
              </w:rPr>
              <w:t>2020</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jc w:val="right"/>
              <w:ind w:right="580"/>
              <w:spacing w:after="0"/>
              <w:rPr>
                <w:sz w:val="20"/>
                <w:szCs w:val="20"/>
                <w:color w:val="auto"/>
              </w:rPr>
            </w:pPr>
            <w:r>
              <w:rPr>
                <w:rFonts w:ascii="Arial" w:cs="Arial" w:eastAsia="Arial" w:hAnsi="Arial"/>
                <w:sz w:val="18"/>
                <w:szCs w:val="18"/>
                <w:color w:val="auto"/>
                <w:w w:val="98"/>
              </w:rPr>
              <w:t>Change</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7"/>
        </w:trPr>
        <w:tc>
          <w:tcPr>
            <w:tcW w:w="20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gridSpan w:val="4"/>
          </w:tcPr>
          <w:p>
            <w:pPr>
              <w:jc w:val="right"/>
              <w:ind w:right="200"/>
              <w:spacing w:after="0"/>
              <w:rPr>
                <w:sz w:val="20"/>
                <w:szCs w:val="20"/>
                <w:color w:val="auto"/>
              </w:rPr>
            </w:pPr>
            <w:r>
              <w:rPr>
                <w:rFonts w:ascii="Arial" w:cs="Arial" w:eastAsia="Arial" w:hAnsi="Arial"/>
                <w:sz w:val="16"/>
                <w:szCs w:val="16"/>
                <w:color w:val="auto"/>
                <w:w w:val="97"/>
              </w:rPr>
              <w:t>(Dollars In Thousands)</w:t>
            </w:r>
          </w:p>
        </w:tc>
        <w:tc>
          <w:tcPr>
            <w:tcW w:w="1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sales:</w:t>
            </w:r>
          </w:p>
        </w:tc>
        <w:tc>
          <w:tcPr>
            <w:tcW w:w="7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32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80" w:type="dxa"/>
            <w:vAlign w:val="bottom"/>
            <w:gridSpan w:val="2"/>
          </w:tcPr>
          <w:p>
            <w:pPr>
              <w:ind w:left="140"/>
              <w:spacing w:after="0"/>
              <w:rPr>
                <w:sz w:val="20"/>
                <w:szCs w:val="20"/>
                <w:color w:val="auto"/>
              </w:rPr>
            </w:pPr>
            <w:r>
              <w:rPr>
                <w:rFonts w:ascii="Arial" w:cs="Arial" w:eastAsia="Arial" w:hAnsi="Arial"/>
                <w:sz w:val="18"/>
                <w:szCs w:val="18"/>
                <w:color w:val="auto"/>
              </w:rPr>
              <w:t>Agricultural products</w:t>
            </w:r>
          </w:p>
        </w:tc>
        <w:tc>
          <w:tcPr>
            <w:tcW w:w="9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162,523</w:t>
            </w:r>
          </w:p>
        </w:tc>
        <w:tc>
          <w:tcPr>
            <w:tcW w:w="3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138,441</w:t>
            </w:r>
          </w:p>
        </w:tc>
        <w:tc>
          <w:tcPr>
            <w:tcW w:w="32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24,082</w:t>
            </w:r>
          </w:p>
        </w:tc>
        <w:tc>
          <w:tcPr>
            <w:tcW w:w="3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49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Industrial and mining products</w:t>
            </w:r>
          </w:p>
        </w:tc>
        <w:tc>
          <w:tcPr>
            <w:tcW w:w="7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203,488</w:t>
            </w:r>
          </w:p>
        </w:tc>
        <w:tc>
          <w:tcPr>
            <w:tcW w:w="3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123,972</w:t>
            </w:r>
          </w:p>
        </w:tc>
        <w:tc>
          <w:tcPr>
            <w:tcW w:w="32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79,516</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63"/>
        </w:trPr>
        <w:tc>
          <w:tcPr>
            <w:tcW w:w="49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Total net sales</w:t>
            </w:r>
          </w:p>
        </w:tc>
        <w:tc>
          <w:tcPr>
            <w:tcW w:w="7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366,011</w:t>
            </w:r>
          </w:p>
        </w:tc>
        <w:tc>
          <w:tcPr>
            <w:tcW w:w="30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262,413</w:t>
            </w:r>
          </w:p>
        </w:tc>
        <w:tc>
          <w:tcPr>
            <w:tcW w:w="3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103,598</w:t>
            </w:r>
          </w:p>
        </w:tc>
        <w:tc>
          <w:tcPr>
            <w:tcW w:w="300" w:type="dxa"/>
            <w:vAlign w:val="bottom"/>
            <w:tcBorders>
              <w:bottom w:val="single" w:sz="8" w:color="CFF0FC"/>
            </w:tcBorders>
          </w:tcPr>
          <w:p>
            <w:pPr>
              <w:spacing w:after="0"/>
              <w:rPr>
                <w:sz w:val="22"/>
                <w:szCs w:val="22"/>
                <w:color w:val="auto"/>
              </w:rPr>
            </w:pPr>
          </w:p>
        </w:tc>
        <w:tc>
          <w:tcPr>
            <w:tcW w:w="118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0"/>
        </w:trPr>
        <w:tc>
          <w:tcPr>
            <w:tcW w:w="2020" w:type="dxa"/>
            <w:vAlign w:val="bottom"/>
            <w:shd w:val="clear" w:color="auto" w:fill="CFF0FC"/>
          </w:tcPr>
          <w:p>
            <w:pPr>
              <w:spacing w:after="0"/>
              <w:rPr>
                <w:sz w:val="18"/>
                <w:szCs w:val="18"/>
                <w:color w:val="auto"/>
              </w:rPr>
            </w:pPr>
          </w:p>
        </w:tc>
        <w:tc>
          <w:tcPr>
            <w:tcW w:w="29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2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 xml:space="preserve">Adjusted gross profit by market </w:t>
            </w:r>
            <w:r>
              <w:rPr>
                <w:rFonts w:ascii="Arial" w:cs="Arial" w:eastAsia="Arial" w:hAnsi="Arial"/>
                <w:sz w:val="14"/>
                <w:szCs w:val="14"/>
                <w:color w:val="auto"/>
              </w:rPr>
              <w:t>(1)</w:t>
            </w:r>
          </w:p>
        </w:tc>
        <w:tc>
          <w:tcPr>
            <w:tcW w:w="98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120,652</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66,793</w:t>
            </w:r>
          </w:p>
        </w:tc>
        <w:tc>
          <w:tcPr>
            <w:tcW w:w="32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53,859</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4980" w:type="dxa"/>
            <w:vAlign w:val="bottom"/>
            <w:gridSpan w:val="2"/>
          </w:tcPr>
          <w:p>
            <w:pPr>
              <w:ind w:left="14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4"/>
                <w:szCs w:val="14"/>
                <w:color w:val="auto"/>
              </w:rPr>
              <w:t>(2)</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59"/>
              <w:spacing w:after="0"/>
              <w:rPr>
                <w:sz w:val="20"/>
                <w:szCs w:val="20"/>
                <w:color w:val="auto"/>
              </w:rPr>
            </w:pPr>
            <w:r>
              <w:rPr>
                <w:rFonts w:ascii="Arial" w:cs="Arial" w:eastAsia="Arial" w:hAnsi="Arial"/>
                <w:sz w:val="18"/>
                <w:szCs w:val="18"/>
                <w:color w:val="auto"/>
              </w:rPr>
              <w:t>(51,314)</w:t>
            </w:r>
          </w:p>
        </w:tc>
        <w:tc>
          <w:tcPr>
            <w:tcW w:w="38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(51,899)</w:t>
            </w:r>
          </w:p>
        </w:tc>
        <w:tc>
          <w:tcPr>
            <w:tcW w:w="1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585</w:t>
            </w:r>
          </w:p>
        </w:tc>
        <w:tc>
          <w:tcPr>
            <w:tcW w:w="3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9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Turnaround expense</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59"/>
              <w:spacing w:after="0"/>
              <w:rPr>
                <w:sz w:val="20"/>
                <w:szCs w:val="20"/>
                <w:color w:val="auto"/>
              </w:rPr>
            </w:pPr>
            <w:r>
              <w:rPr>
                <w:rFonts w:ascii="Arial" w:cs="Arial" w:eastAsia="Arial" w:hAnsi="Arial"/>
                <w:sz w:val="18"/>
                <w:szCs w:val="18"/>
                <w:color w:val="auto"/>
              </w:rPr>
              <w:t>(8,823)</w:t>
            </w:r>
          </w:p>
        </w:tc>
        <w:tc>
          <w:tcPr>
            <w:tcW w:w="380" w:type="dxa"/>
            <w:vAlign w:val="bottom"/>
            <w:shd w:val="clear" w:color="auto" w:fill="CFF0FC"/>
          </w:tcPr>
          <w:p>
            <w:pPr>
              <w:spacing w:after="0"/>
              <w:rPr>
                <w:sz w:val="19"/>
                <w:szCs w:val="19"/>
                <w:color w:val="auto"/>
              </w:rPr>
            </w:pPr>
          </w:p>
        </w:tc>
        <w:tc>
          <w:tcPr>
            <w:tcW w:w="11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(8,778)</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gridSpan w:val="2"/>
          </w:tcPr>
          <w:p>
            <w:pPr>
              <w:ind w:left="140"/>
              <w:spacing w:after="0"/>
              <w:rPr>
                <w:sz w:val="20"/>
                <w:szCs w:val="20"/>
                <w:color w:val="auto"/>
              </w:rPr>
            </w:pPr>
            <w:r>
              <w:rPr>
                <w:rFonts w:ascii="Arial" w:cs="Arial" w:eastAsia="Arial" w:hAnsi="Arial"/>
                <w:sz w:val="18"/>
                <w:szCs w:val="18"/>
                <w:color w:val="auto"/>
              </w:rPr>
              <w:t>Recovery from settlements with certain vendors</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39"/>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5,664</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(5,664)</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 gross profit</w:t>
            </w:r>
          </w:p>
        </w:tc>
        <w:tc>
          <w:tcPr>
            <w:tcW w:w="7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60,515</w:t>
            </w:r>
          </w:p>
        </w:tc>
        <w:tc>
          <w:tcPr>
            <w:tcW w:w="3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20,513</w:t>
            </w:r>
          </w:p>
        </w:tc>
        <w:tc>
          <w:tcPr>
            <w:tcW w:w="320" w:type="dxa"/>
            <w:vAlign w:val="bottom"/>
            <w:tcBorders>
              <w:top w:val="single" w:sz="8" w:color="CFF0FC"/>
              <w:right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40,002</w:t>
            </w:r>
          </w:p>
        </w:tc>
        <w:tc>
          <w:tcPr>
            <w:tcW w:w="3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28,938</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25,578</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3,360</w:t>
            </w:r>
          </w:p>
        </w:tc>
        <w:tc>
          <w:tcPr>
            <w:tcW w:w="3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32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(23)</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gridSpan w:val="2"/>
          </w:tcPr>
          <w:p>
            <w:pPr>
              <w:ind w:left="140"/>
              <w:spacing w:after="0"/>
              <w:rPr>
                <w:sz w:val="20"/>
                <w:szCs w:val="20"/>
                <w:color w:val="auto"/>
              </w:rPr>
            </w:pPr>
            <w:r>
              <w:rPr>
                <w:rFonts w:ascii="Arial" w:cs="Arial" w:eastAsia="Arial" w:hAnsi="Arial"/>
                <w:sz w:val="18"/>
                <w:szCs w:val="18"/>
                <w:color w:val="auto"/>
              </w:rPr>
              <w:t>Operating income (loss)</w:t>
            </w:r>
          </w:p>
        </w:tc>
        <w:tc>
          <w:tcPr>
            <w:tcW w:w="7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31,360</w:t>
            </w:r>
          </w:p>
        </w:tc>
        <w:tc>
          <w:tcPr>
            <w:tcW w:w="3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(5,305)</w:t>
            </w: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36,665</w:t>
            </w:r>
          </w:p>
        </w:tc>
        <w:tc>
          <w:tcPr>
            <w:tcW w:w="3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29"/>
        </w:trPr>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37,618</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38,509</w:t>
            </w:r>
          </w:p>
        </w:tc>
        <w:tc>
          <w:tcPr>
            <w:tcW w:w="32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(891)</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980" w:type="dxa"/>
            <w:vAlign w:val="bottom"/>
            <w:gridSpan w:val="2"/>
          </w:tcPr>
          <w:p>
            <w:pPr>
              <w:spacing w:after="0"/>
              <w:rPr>
                <w:sz w:val="20"/>
                <w:szCs w:val="20"/>
                <w:color w:val="auto"/>
              </w:rPr>
            </w:pPr>
            <w:r>
              <w:rPr>
                <w:rFonts w:ascii="Arial" w:cs="Arial" w:eastAsia="Arial" w:hAnsi="Arial"/>
                <w:sz w:val="18"/>
                <w:szCs w:val="18"/>
                <w:color w:val="auto"/>
              </w:rPr>
              <w:t>Gain on extinguishment of debt</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59"/>
              <w:spacing w:after="0"/>
              <w:rPr>
                <w:sz w:val="20"/>
                <w:szCs w:val="20"/>
                <w:color w:val="auto"/>
              </w:rPr>
            </w:pPr>
            <w:r>
              <w:rPr>
                <w:rFonts w:ascii="Arial" w:cs="Arial" w:eastAsia="Arial" w:hAnsi="Arial"/>
                <w:sz w:val="18"/>
                <w:szCs w:val="18"/>
                <w:color w:val="auto"/>
              </w:rPr>
              <w:t>(10,000)</w:t>
            </w:r>
          </w:p>
        </w:tc>
        <w:tc>
          <w:tcPr>
            <w:tcW w:w="38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(10,000)</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Non-operating other expense (income), net</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2,466</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(587)</w:t>
            </w: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3,053</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gridSpan w:val="2"/>
          </w:tcPr>
          <w:p>
            <w:pPr>
              <w:spacing w:after="0"/>
              <w:rPr>
                <w:sz w:val="20"/>
                <w:szCs w:val="20"/>
                <w:color w:val="auto"/>
              </w:rPr>
            </w:pPr>
            <w:r>
              <w:rPr>
                <w:rFonts w:ascii="Arial" w:cs="Arial" w:eastAsia="Arial" w:hAnsi="Arial"/>
                <w:sz w:val="18"/>
                <w:szCs w:val="18"/>
                <w:color w:val="auto"/>
              </w:rPr>
              <w:t>Benefit for income taxes</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59"/>
              <w:spacing w:after="0"/>
              <w:rPr>
                <w:sz w:val="20"/>
                <w:szCs w:val="20"/>
                <w:color w:val="auto"/>
              </w:rPr>
            </w:pPr>
            <w:r>
              <w:rPr>
                <w:rFonts w:ascii="Arial" w:cs="Arial" w:eastAsia="Arial" w:hAnsi="Arial"/>
                <w:sz w:val="18"/>
                <w:szCs w:val="18"/>
                <w:color w:val="auto"/>
              </w:rPr>
              <w:t>(187)</w:t>
            </w:r>
          </w:p>
        </w:tc>
        <w:tc>
          <w:tcPr>
            <w:tcW w:w="38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(3,008)</w:t>
            </w:r>
          </w:p>
        </w:tc>
        <w:tc>
          <w:tcPr>
            <w:tcW w:w="1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2,821</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Net income (loss)</w:t>
            </w: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(40,219)</w:t>
            </w:r>
          </w:p>
        </w:tc>
        <w:tc>
          <w:tcPr>
            <w:tcW w:w="32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41,682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information:</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980" w:type="dxa"/>
            <w:vAlign w:val="bottom"/>
            <w:gridSpan w:val="2"/>
          </w:tcPr>
          <w:p>
            <w:pPr>
              <w:ind w:left="140"/>
              <w:spacing w:after="0"/>
              <w:rPr>
                <w:sz w:val="20"/>
                <w:szCs w:val="20"/>
                <w:color w:val="auto"/>
              </w:rPr>
            </w:pPr>
            <w:r>
              <w:rPr>
                <w:rFonts w:ascii="Arial" w:cs="Arial" w:eastAsia="Arial" w:hAnsi="Arial"/>
                <w:sz w:val="18"/>
                <w:szCs w:val="18"/>
                <w:color w:val="auto"/>
              </w:rPr>
              <w:t xml:space="preserve">Gross profit percentage </w:t>
            </w:r>
            <w:r>
              <w:rPr>
                <w:rFonts w:ascii="Arial" w:cs="Arial" w:eastAsia="Arial" w:hAnsi="Arial"/>
                <w:sz w:val="14"/>
                <w:szCs w:val="14"/>
                <w:color w:val="auto"/>
              </w:rPr>
              <w:t>(3)</w:t>
            </w: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79"/>
              <w:spacing w:after="0"/>
              <w:rPr>
                <w:sz w:val="20"/>
                <w:szCs w:val="20"/>
                <w:color w:val="auto"/>
              </w:rPr>
            </w:pPr>
            <w:r>
              <w:rPr>
                <w:rFonts w:ascii="Arial" w:cs="Arial" w:eastAsia="Arial" w:hAnsi="Arial"/>
                <w:sz w:val="18"/>
                <w:szCs w:val="18"/>
                <w:color w:val="auto"/>
              </w:rPr>
              <w:t>16.5%</w:t>
            </w:r>
          </w:p>
        </w:tc>
        <w:tc>
          <w:tcPr>
            <w:tcW w:w="38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21"/>
                <w:szCs w:val="21"/>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8.7%</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tcBorders>
            <w:gridSpan w:val="2"/>
            <w:vMerge w:val="restart"/>
            <w:shd w:val="clear" w:color="auto" w:fill="CFF0FC"/>
          </w:tcPr>
          <w:p>
            <w:pPr>
              <w:ind w:left="140"/>
              <w:spacing w:after="0"/>
              <w:rPr>
                <w:sz w:val="20"/>
                <w:szCs w:val="20"/>
                <w:color w:val="auto"/>
              </w:rPr>
            </w:pPr>
            <w:r>
              <w:rPr>
                <w:rFonts w:ascii="Arial" w:cs="Arial" w:eastAsia="Arial" w:hAnsi="Arial"/>
                <w:sz w:val="18"/>
                <w:szCs w:val="18"/>
                <w:color w:val="auto"/>
              </w:rPr>
              <w:t xml:space="preserve">Adjusted gross profit percentage </w:t>
            </w:r>
            <w:r>
              <w:rPr>
                <w:rFonts w:ascii="Arial" w:cs="Arial" w:eastAsia="Arial" w:hAnsi="Arial"/>
                <w:sz w:val="14"/>
                <w:szCs w:val="14"/>
                <w:color w:val="auto"/>
              </w:rPr>
              <w:t>(3)</w:t>
            </w: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gridSpan w:val="2"/>
            <w:vMerge w:val="continue"/>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79"/>
              <w:spacing w:after="0"/>
              <w:rPr>
                <w:sz w:val="20"/>
                <w:szCs w:val="20"/>
                <w:color w:val="auto"/>
              </w:rPr>
            </w:pPr>
            <w:r>
              <w:rPr>
                <w:rFonts w:ascii="Arial" w:cs="Arial" w:eastAsia="Arial" w:hAnsi="Arial"/>
                <w:sz w:val="18"/>
                <w:szCs w:val="18"/>
                <w:color w:val="auto"/>
              </w:rPr>
              <w:t>33.0%</w:t>
            </w:r>
          </w:p>
        </w:tc>
        <w:tc>
          <w:tcPr>
            <w:tcW w:w="38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7.5%</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bottom w:val="single" w:sz="8" w:color="CFF0FC"/>
            </w:tcBorders>
            <w:gridSpan w:val="2"/>
            <w:vMerge w:val="restart"/>
          </w:tcPr>
          <w:p>
            <w:pPr>
              <w:ind w:left="140"/>
              <w:spacing w:after="0"/>
              <w:rPr>
                <w:sz w:val="20"/>
                <w:szCs w:val="20"/>
                <w:color w:val="auto"/>
              </w:rPr>
            </w:pPr>
            <w:r>
              <w:rPr>
                <w:rFonts w:ascii="Arial" w:cs="Arial" w:eastAsia="Arial" w:hAnsi="Arial"/>
                <w:sz w:val="18"/>
                <w:szCs w:val="18"/>
                <w:color w:val="auto"/>
              </w:rPr>
              <w:t>Property, plant and equipment expenditures</w:t>
            </w:r>
          </w:p>
        </w:tc>
        <w:tc>
          <w:tcPr>
            <w:tcW w:w="7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bottom w:val="single" w:sz="8" w:color="CFF0FC"/>
            </w:tcBorders>
            <w:gridSpan w:val="2"/>
            <w:vMerge w:val="restart"/>
          </w:tcPr>
          <w:p>
            <w:pPr>
              <w:jc w:val="right"/>
              <w:ind w:right="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line="20" w:lineRule="exact"/>
              <w:rPr>
                <w:sz w:val="1"/>
                <w:szCs w:val="1"/>
                <w:color w:val="auto"/>
              </w:rPr>
            </w:pPr>
          </w:p>
        </w:tc>
      </w:tr>
      <w:tr>
        <w:trPr>
          <w:trHeight w:val="210"/>
        </w:trPr>
        <w:tc>
          <w:tcPr>
            <w:tcW w:w="498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26,101</w:t>
            </w:r>
          </w:p>
        </w:tc>
        <w:tc>
          <w:tcPr>
            <w:tcW w:w="30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22,230</w:t>
            </w:r>
          </w:p>
        </w:tc>
        <w:tc>
          <w:tcPr>
            <w:tcW w:w="32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3,871</w:t>
            </w:r>
          </w:p>
        </w:tc>
        <w:tc>
          <w:tcPr>
            <w:tcW w:w="3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740" w:hanging="368"/>
        <w:spacing w:after="0"/>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Represents a non-GAAP measure since the amount excludes unallocated depreciation, amortization, Turnaround expenses, and a recovery from settlements.</w:t>
      </w:r>
    </w:p>
    <w:p>
      <w:pPr>
        <w:spacing w:after="0" w:line="43" w:lineRule="exact"/>
        <w:rPr>
          <w:rFonts w:ascii="Arial" w:cs="Arial" w:eastAsia="Arial" w:hAnsi="Arial"/>
          <w:sz w:val="15"/>
          <w:szCs w:val="15"/>
          <w:color w:val="auto"/>
        </w:rPr>
      </w:pPr>
    </w:p>
    <w:p>
      <w:pPr>
        <w:ind w:left="740" w:hanging="368"/>
        <w:spacing w:after="0"/>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amount classified as cost of sales.</w:t>
      </w:r>
    </w:p>
    <w:p>
      <w:pPr>
        <w:spacing w:after="0" w:line="32" w:lineRule="exact"/>
        <w:rPr>
          <w:rFonts w:ascii="Arial" w:cs="Arial" w:eastAsia="Arial" w:hAnsi="Arial"/>
          <w:sz w:val="16"/>
          <w:szCs w:val="16"/>
          <w:color w:val="auto"/>
        </w:rPr>
      </w:pPr>
    </w:p>
    <w:p>
      <w:pPr>
        <w:ind w:left="740" w:hanging="368"/>
        <w:spacing w:after="0"/>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 a percentage of the total net sales.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key operating metrics for the agricultural products: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60" w:type="dxa"/>
            <w:vAlign w:val="bottom"/>
            <w:gridSpan w:val="7"/>
          </w:tcPr>
          <w:p>
            <w:pPr>
              <w:jc w:val="center"/>
              <w:ind w:right="580"/>
              <w:spacing w:after="0"/>
              <w:rPr>
                <w:sz w:val="20"/>
                <w:szCs w:val="20"/>
                <w:color w:val="auto"/>
              </w:rPr>
            </w:pPr>
            <w:r>
              <w:rPr>
                <w:rFonts w:ascii="Arial" w:cs="Arial" w:eastAsia="Arial" w:hAnsi="Arial"/>
                <w:sz w:val="18"/>
                <w:szCs w:val="18"/>
                <w:color w:val="auto"/>
                <w:w w:val="92"/>
              </w:rPr>
              <w:t>Nine Months Ended</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60" w:type="dxa"/>
            <w:vAlign w:val="bottom"/>
            <w:gridSpan w:val="7"/>
          </w:tcPr>
          <w:p>
            <w:pPr>
              <w:jc w:val="center"/>
              <w:ind w:right="560"/>
              <w:spacing w:after="0"/>
              <w:rPr>
                <w:sz w:val="20"/>
                <w:szCs w:val="20"/>
                <w:color w:val="auto"/>
              </w:rPr>
            </w:pPr>
            <w:r>
              <w:rPr>
                <w:rFonts w:ascii="Arial" w:cs="Arial" w:eastAsia="Arial" w:hAnsi="Arial"/>
                <w:sz w:val="18"/>
                <w:szCs w:val="18"/>
                <w:color w:val="auto"/>
                <w:w w:val="88"/>
              </w:rPr>
              <w:t>September 30,</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w w:val="95"/>
              </w:rPr>
              <w:t>Percentage</w:t>
            </w:r>
          </w:p>
        </w:tc>
        <w:tc>
          <w:tcPr>
            <w:tcW w:w="0" w:type="dxa"/>
            <w:vAlign w:val="bottom"/>
          </w:tcPr>
          <w:p>
            <w:pPr>
              <w:spacing w:after="0"/>
              <w:rPr>
                <w:sz w:val="1"/>
                <w:szCs w:val="1"/>
                <w:color w:val="auto"/>
              </w:rPr>
            </w:pPr>
          </w:p>
        </w:tc>
      </w:tr>
      <w:tr>
        <w:trPr>
          <w:trHeight w:val="237"/>
        </w:trPr>
        <w:tc>
          <w:tcPr>
            <w:tcW w:w="4040" w:type="dxa"/>
            <w:vAlign w:val="bottom"/>
            <w:gridSpan w:val="3"/>
          </w:tcPr>
          <w:p>
            <w:pPr>
              <w:spacing w:after="0"/>
              <w:rPr>
                <w:sz w:val="20"/>
                <w:szCs w:val="20"/>
                <w:color w:val="auto"/>
              </w:rPr>
            </w:pPr>
            <w:r>
              <w:rPr>
                <w:rFonts w:ascii="Arial" w:cs="Arial" w:eastAsia="Arial" w:hAnsi="Arial"/>
                <w:sz w:val="14"/>
                <w:szCs w:val="14"/>
                <w:color w:val="auto"/>
              </w:rPr>
              <w:t>Product (tons sold)</w:t>
            </w:r>
          </w:p>
        </w:tc>
        <w:tc>
          <w:tcPr>
            <w:tcW w:w="1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jc w:val="right"/>
              <w:ind w:right="600"/>
              <w:spacing w:after="0"/>
              <w:rPr>
                <w:sz w:val="20"/>
                <w:szCs w:val="20"/>
                <w:color w:val="auto"/>
              </w:rPr>
            </w:pPr>
            <w:r>
              <w:rPr>
                <w:rFonts w:ascii="Arial" w:cs="Arial" w:eastAsia="Arial" w:hAnsi="Arial"/>
                <w:sz w:val="18"/>
                <w:szCs w:val="18"/>
                <w:color w:val="auto"/>
                <w:w w:val="95"/>
              </w:rPr>
              <w:t>Change</w:t>
            </w:r>
          </w:p>
        </w:tc>
        <w:tc>
          <w:tcPr>
            <w:tcW w:w="1300" w:type="dxa"/>
            <w:vAlign w:val="bottom"/>
            <w:gridSpan w:val="3"/>
          </w:tcPr>
          <w:p>
            <w:pPr>
              <w:jc w:val="right"/>
              <w:ind w:right="52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17"/>
        </w:trPr>
        <w:tc>
          <w:tcPr>
            <w:tcW w:w="1100" w:type="dxa"/>
            <w:vAlign w:val="bottom"/>
            <w:tcBorders>
              <w:top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UAN</w:t>
            </w:r>
          </w:p>
        </w:tc>
        <w:tc>
          <w:tcPr>
            <w:tcW w:w="2940" w:type="dxa"/>
            <w:vAlign w:val="bottom"/>
            <w:tcBorders>
              <w:top w:val="single" w:sz="8" w:color="CFF0FC"/>
            </w:tcBorders>
            <w:gridSpan w:val="2"/>
            <w:shd w:val="clear" w:color="auto" w:fill="CFF0FC"/>
          </w:tcPr>
          <w:p>
            <w:pPr>
              <w:spacing w:after="0"/>
              <w:rPr>
                <w:sz w:val="18"/>
                <w:szCs w:val="18"/>
                <w:color w:val="auto"/>
              </w:rPr>
            </w:pPr>
          </w:p>
        </w:tc>
        <w:tc>
          <w:tcPr>
            <w:tcW w:w="17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313,794</w:t>
            </w:r>
          </w:p>
        </w:tc>
        <w:tc>
          <w:tcPr>
            <w:tcW w:w="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367,073</w:t>
            </w:r>
          </w:p>
        </w:tc>
        <w:tc>
          <w:tcPr>
            <w:tcW w:w="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(53,279)</w:t>
            </w:r>
          </w:p>
        </w:tc>
        <w:tc>
          <w:tcPr>
            <w:tcW w:w="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40" w:type="dxa"/>
            <w:vAlign w:val="bottom"/>
            <w:gridSpan w:val="3"/>
          </w:tcPr>
          <w:p>
            <w:pPr>
              <w:ind w:left="260"/>
              <w:spacing w:after="0"/>
              <w:rPr>
                <w:sz w:val="20"/>
                <w:szCs w:val="20"/>
                <w:color w:val="auto"/>
              </w:rPr>
            </w:pPr>
            <w:r>
              <w:rPr>
                <w:rFonts w:ascii="Arial" w:cs="Arial" w:eastAsia="Arial" w:hAnsi="Arial"/>
                <w:sz w:val="18"/>
                <w:szCs w:val="18"/>
                <w:color w:val="auto"/>
              </w:rPr>
              <w:t>HDAN</w:t>
            </w: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189,712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221,692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(31,980)</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0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Ammonia</w:t>
            </w:r>
          </w:p>
        </w:tc>
        <w:tc>
          <w:tcPr>
            <w:tcW w:w="17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53,192</w:t>
            </w:r>
          </w:p>
        </w:tc>
        <w:tc>
          <w:tcPr>
            <w:tcW w:w="6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69,074</w:t>
            </w:r>
          </w:p>
        </w:tc>
        <w:tc>
          <w:tcPr>
            <w:tcW w:w="6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tcBorders>
              <w:right w:val="single" w:sz="8" w:color="CFF0FC"/>
            </w:tcBorders>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(15,882)</w:t>
            </w:r>
          </w:p>
        </w:tc>
        <w:tc>
          <w:tcPr>
            <w:tcW w:w="13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4040" w:type="dxa"/>
            <w:vAlign w:val="bottom"/>
            <w:gridSpan w:val="3"/>
          </w:tcPr>
          <w:p>
            <w:pPr>
              <w:ind w:left="260"/>
              <w:spacing w:after="0"/>
              <w:rPr>
                <w:sz w:val="20"/>
                <w:szCs w:val="20"/>
                <w:color w:val="auto"/>
              </w:rPr>
            </w:pPr>
            <w:r>
              <w:rPr>
                <w:rFonts w:ascii="Arial" w:cs="Arial" w:eastAsia="Arial" w:hAnsi="Arial"/>
                <w:sz w:val="18"/>
                <w:szCs w:val="18"/>
                <w:color w:val="auto"/>
              </w:rPr>
              <w:t>Other</w:t>
            </w: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11,772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15,027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(3,255)</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4040" w:type="dxa"/>
            <w:vAlign w:val="bottom"/>
            <w:tcBorders>
              <w:top w:val="single" w:sz="8" w:color="CFF0FC"/>
              <w:bottom w:val="single" w:sz="8" w:color="CFF0FC"/>
            </w:tcBorders>
            <w:gridSpan w:val="3"/>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17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568,470</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672,866</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(104,396)</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300" w:type="dxa"/>
            <w:vAlign w:val="bottom"/>
            <w:tcBorders>
              <w:top w:val="single" w:sz="8" w:color="CFF0FC"/>
              <w:bottom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gridSpan w:val="7"/>
          </w:tcPr>
          <w:p>
            <w:pPr>
              <w:jc w:val="center"/>
              <w:ind w:right="460"/>
              <w:spacing w:after="0"/>
              <w:rPr>
                <w:sz w:val="20"/>
                <w:szCs w:val="20"/>
                <w:color w:val="auto"/>
              </w:rPr>
            </w:pPr>
            <w:r>
              <w:rPr>
                <w:rFonts w:ascii="Arial" w:cs="Arial" w:eastAsia="Arial" w:hAnsi="Arial"/>
                <w:sz w:val="18"/>
                <w:szCs w:val="18"/>
                <w:color w:val="auto"/>
                <w:w w:val="92"/>
              </w:rPr>
              <w:t>Nine Months Ended</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60" w:type="dxa"/>
            <w:vAlign w:val="bottom"/>
            <w:gridSpan w:val="7"/>
          </w:tcPr>
          <w:p>
            <w:pPr>
              <w:jc w:val="center"/>
              <w:ind w:right="480"/>
              <w:spacing w:after="0"/>
              <w:rPr>
                <w:sz w:val="20"/>
                <w:szCs w:val="20"/>
                <w:color w:val="auto"/>
              </w:rPr>
            </w:pPr>
            <w:r>
              <w:rPr>
                <w:rFonts w:ascii="Arial" w:cs="Arial" w:eastAsia="Arial" w:hAnsi="Arial"/>
                <w:sz w:val="18"/>
                <w:szCs w:val="18"/>
                <w:color w:val="auto"/>
                <w:w w:val="88"/>
              </w:rPr>
              <w:t>September 30,</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3"/>
          </w:tcPr>
          <w:p>
            <w:pPr>
              <w:jc w:val="right"/>
              <w:ind w:right="360"/>
              <w:spacing w:after="0"/>
              <w:rPr>
                <w:sz w:val="20"/>
                <w:szCs w:val="20"/>
                <w:color w:val="auto"/>
              </w:rPr>
            </w:pPr>
            <w:r>
              <w:rPr>
                <w:rFonts w:ascii="Arial" w:cs="Arial" w:eastAsia="Arial" w:hAnsi="Arial"/>
                <w:sz w:val="18"/>
                <w:szCs w:val="18"/>
                <w:color w:val="auto"/>
                <w:w w:val="99"/>
              </w:rPr>
              <w:t>Percentage</w:t>
            </w:r>
          </w:p>
        </w:tc>
        <w:tc>
          <w:tcPr>
            <w:tcW w:w="0" w:type="dxa"/>
            <w:vAlign w:val="bottom"/>
          </w:tcPr>
          <w:p>
            <w:pPr>
              <w:spacing w:after="0"/>
              <w:rPr>
                <w:sz w:val="1"/>
                <w:szCs w:val="1"/>
                <w:color w:val="auto"/>
              </w:rPr>
            </w:pPr>
          </w:p>
        </w:tc>
      </w:tr>
      <w:tr>
        <w:trPr>
          <w:trHeight w:val="217"/>
        </w:trPr>
        <w:tc>
          <w:tcPr>
            <w:tcW w:w="4040" w:type="dxa"/>
            <w:vAlign w:val="bottom"/>
            <w:gridSpan w:val="3"/>
          </w:tcPr>
          <w:p>
            <w:pPr>
              <w:spacing w:after="0"/>
              <w:rPr>
                <w:sz w:val="20"/>
                <w:szCs w:val="20"/>
                <w:color w:val="auto"/>
              </w:rPr>
            </w:pPr>
            <w:r>
              <w:rPr>
                <w:rFonts w:ascii="Arial" w:cs="Arial" w:eastAsia="Arial" w:hAnsi="Arial"/>
                <w:sz w:val="14"/>
                <w:szCs w:val="14"/>
                <w:color w:val="auto"/>
              </w:rPr>
              <w:t>Gross Average Selling Prices (price per ton)</w:t>
            </w: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560"/>
              <w:spacing w:after="0"/>
              <w:rPr>
                <w:sz w:val="20"/>
                <w:szCs w:val="20"/>
                <w:color w:val="auto"/>
              </w:rPr>
            </w:pPr>
            <w:r>
              <w:rPr>
                <w:rFonts w:ascii="Arial" w:cs="Arial" w:eastAsia="Arial" w:hAnsi="Arial"/>
                <w:sz w:val="18"/>
                <w:szCs w:val="18"/>
                <w:color w:val="auto"/>
              </w:rPr>
              <w:t>Change</w:t>
            </w: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
        </w:trPr>
        <w:tc>
          <w:tcPr>
            <w:tcW w:w="2540" w:type="dxa"/>
            <w:vAlign w:val="bottom"/>
            <w:tcBorders>
              <w:top w:val="single" w:sz="8" w:color="auto"/>
            </w:tcBorders>
            <w:gridSpan w:val="2"/>
            <w:vMerge w:val="restart"/>
            <w:shd w:val="clear" w:color="auto" w:fill="CFF0FC"/>
          </w:tcPr>
          <w:p>
            <w:pPr>
              <w:ind w:left="260"/>
              <w:spacing w:after="0"/>
              <w:rPr>
                <w:sz w:val="20"/>
                <w:szCs w:val="20"/>
                <w:color w:val="auto"/>
              </w:rPr>
            </w:pPr>
            <w:r>
              <w:rPr>
                <w:rFonts w:ascii="Arial" w:cs="Arial" w:eastAsia="Arial" w:hAnsi="Arial"/>
                <w:sz w:val="18"/>
                <w:szCs w:val="18"/>
                <w:color w:val="auto"/>
              </w:rPr>
              <w:t>UAN</w:t>
            </w:r>
          </w:p>
        </w:tc>
        <w:tc>
          <w:tcPr>
            <w:tcW w:w="1500" w:type="dxa"/>
            <w:vAlign w:val="bottom"/>
            <w:vMerge w:val="restart"/>
            <w:shd w:val="clear" w:color="auto" w:fill="CFF0FC"/>
          </w:tcPr>
          <w:p>
            <w:pPr>
              <w:spacing w:after="0" w:line="20" w:lineRule="exact"/>
              <w:rPr>
                <w:sz w:val="1"/>
                <w:szCs w:val="1"/>
                <w:color w:val="auto"/>
              </w:rPr>
            </w:pPr>
          </w:p>
        </w:tc>
        <w:tc>
          <w:tcPr>
            <w:tcW w:w="1760" w:type="dxa"/>
            <w:vAlign w:val="bottom"/>
            <w:gridSpan w:val="2"/>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FF0FC"/>
            </w:tcBorders>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FF0FC"/>
            </w:tcBorders>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CFF0FC"/>
            </w:tcBorders>
            <w:vMerge w:val="restart"/>
            <w:shd w:val="clear" w:color="auto" w:fill="CFF0FC"/>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540" w:type="dxa"/>
            <w:vAlign w:val="bottom"/>
            <w:gridSpan w:val="2"/>
            <w:vMerge w:val="continue"/>
            <w:shd w:val="clear" w:color="auto" w:fill="CFF0FC"/>
          </w:tcPr>
          <w:p>
            <w:pPr>
              <w:spacing w:after="0"/>
              <w:rPr>
                <w:sz w:val="18"/>
                <w:szCs w:val="18"/>
                <w:color w:val="auto"/>
              </w:rPr>
            </w:pPr>
          </w:p>
        </w:tc>
        <w:tc>
          <w:tcPr>
            <w:tcW w:w="1500" w:type="dxa"/>
            <w:vAlign w:val="bottom"/>
            <w:vMerge w:val="continue"/>
            <w:shd w:val="clear" w:color="auto" w:fill="CFF0FC"/>
          </w:tcPr>
          <w:p>
            <w:pPr>
              <w:spacing w:after="0"/>
              <w:rPr>
                <w:sz w:val="18"/>
                <w:szCs w:val="18"/>
                <w:color w:val="auto"/>
              </w:rPr>
            </w:pPr>
          </w:p>
        </w:tc>
        <w:tc>
          <w:tcPr>
            <w:tcW w:w="176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234</w:t>
            </w:r>
          </w:p>
        </w:tc>
        <w:tc>
          <w:tcPr>
            <w:tcW w:w="240" w:type="dxa"/>
            <w:vAlign w:val="bottom"/>
            <w:tcBorders>
              <w:right w:val="single" w:sz="8" w:color="CFF0FC"/>
            </w:tcBorders>
            <w:vMerge w:val="continue"/>
            <w:shd w:val="clear" w:color="auto" w:fill="CFF0FC"/>
          </w:tcPr>
          <w:p>
            <w:pPr>
              <w:spacing w:after="0"/>
              <w:rPr>
                <w:sz w:val="18"/>
                <w:szCs w:val="18"/>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153</w:t>
            </w:r>
          </w:p>
        </w:tc>
        <w:tc>
          <w:tcPr>
            <w:tcW w:w="240" w:type="dxa"/>
            <w:vAlign w:val="bottom"/>
            <w:tcBorders>
              <w:right w:val="single" w:sz="8" w:color="CFF0FC"/>
            </w:tcBorders>
            <w:vMerge w:val="continue"/>
            <w:shd w:val="clear" w:color="auto" w:fill="CFF0FC"/>
          </w:tcPr>
          <w:p>
            <w:pPr>
              <w:spacing w:after="0"/>
              <w:rPr>
                <w:sz w:val="18"/>
                <w:szCs w:val="18"/>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60" w:type="dxa"/>
            <w:vAlign w:val="bottom"/>
            <w:tcBorders>
              <w:right w:val="single" w:sz="8" w:color="CFF0FC"/>
            </w:tcBorders>
            <w:vMerge w:val="continue"/>
            <w:shd w:val="clear" w:color="auto" w:fill="CFF0FC"/>
          </w:tcPr>
          <w:p>
            <w:pPr>
              <w:spacing w:after="0"/>
              <w:rPr>
                <w:sz w:val="18"/>
                <w:szCs w:val="18"/>
                <w:color w:val="auto"/>
              </w:rPr>
            </w:pPr>
          </w:p>
        </w:tc>
        <w:tc>
          <w:tcPr>
            <w:tcW w:w="13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4040" w:type="dxa"/>
            <w:vAlign w:val="bottom"/>
            <w:gridSpan w:val="3"/>
          </w:tcPr>
          <w:p>
            <w:pPr>
              <w:ind w:left="260"/>
              <w:spacing w:after="0"/>
              <w:rPr>
                <w:sz w:val="20"/>
                <w:szCs w:val="20"/>
                <w:color w:val="auto"/>
              </w:rPr>
            </w:pPr>
            <w:r>
              <w:rPr>
                <w:rFonts w:ascii="Arial" w:cs="Arial" w:eastAsia="Arial" w:hAnsi="Arial"/>
                <w:sz w:val="18"/>
                <w:szCs w:val="18"/>
                <w:color w:val="auto"/>
              </w:rPr>
              <w:t>HDAN</w:t>
            </w:r>
          </w:p>
        </w:tc>
        <w:tc>
          <w:tcPr>
            <w:tcW w:w="1960" w:type="dxa"/>
            <w:vAlign w:val="bottom"/>
            <w:gridSpan w:val="3"/>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297</w:t>
            </w:r>
          </w:p>
        </w:tc>
        <w:tc>
          <w:tcPr>
            <w:tcW w:w="24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9"/>
                <w:szCs w:val="19"/>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40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Ammonia</w:t>
            </w:r>
          </w:p>
        </w:tc>
        <w:tc>
          <w:tcPr>
            <w:tcW w:w="1960" w:type="dxa"/>
            <w:vAlign w:val="bottom"/>
            <w:gridSpan w:val="3"/>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397</w:t>
            </w:r>
          </w:p>
        </w:tc>
        <w:tc>
          <w:tcPr>
            <w:tcW w:w="24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233</w:t>
            </w:r>
          </w:p>
        </w:tc>
        <w:tc>
          <w:tcPr>
            <w:tcW w:w="24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260" w:type="dxa"/>
            <w:vAlign w:val="bottom"/>
            <w:tcBorders>
              <w:right w:val="single" w:sz="8" w:color="CFF0FC"/>
            </w:tcBorders>
            <w:shd w:val="clear" w:color="auto" w:fill="CFF0FC"/>
          </w:tcPr>
          <w:p>
            <w:pPr>
              <w:spacing w:after="0"/>
              <w:rPr>
                <w:sz w:val="19"/>
                <w:szCs w:val="19"/>
                <w:color w:val="auto"/>
              </w:rPr>
            </w:pPr>
          </w:p>
        </w:tc>
        <w:tc>
          <w:tcPr>
            <w:tcW w:w="13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With respect to sales of industrial and mining products, the following table indicates key operating metrics of our major products: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gridSpan w:val="4"/>
          </w:tcPr>
          <w:p>
            <w:pPr>
              <w:jc w:val="right"/>
              <w:ind w:right="450"/>
              <w:spacing w:after="0"/>
              <w:rPr>
                <w:sz w:val="20"/>
                <w:szCs w:val="20"/>
                <w:color w:val="auto"/>
              </w:rPr>
            </w:pPr>
            <w:r>
              <w:rPr>
                <w:rFonts w:ascii="Arial" w:cs="Arial" w:eastAsia="Arial" w:hAnsi="Arial"/>
                <w:sz w:val="18"/>
                <w:szCs w:val="18"/>
                <w:color w:val="auto"/>
              </w:rPr>
              <w:t>Nine Months Ended</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gridSpan w:val="4"/>
          </w:tcPr>
          <w:p>
            <w:pPr>
              <w:jc w:val="right"/>
              <w:ind w:right="650"/>
              <w:spacing w:after="0"/>
              <w:rPr>
                <w:sz w:val="20"/>
                <w:szCs w:val="20"/>
                <w:color w:val="auto"/>
              </w:rPr>
            </w:pPr>
            <w:r>
              <w:rPr>
                <w:rFonts w:ascii="Arial" w:cs="Arial" w:eastAsia="Arial" w:hAnsi="Arial"/>
                <w:sz w:val="18"/>
                <w:szCs w:val="18"/>
                <w:color w:val="auto"/>
              </w:rPr>
              <w:t>September 30,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Percentage</w:t>
            </w:r>
          </w:p>
        </w:tc>
        <w:tc>
          <w:tcPr>
            <w:tcW w:w="0" w:type="dxa"/>
            <w:vAlign w:val="bottom"/>
          </w:tcPr>
          <w:p>
            <w:pPr>
              <w:spacing w:after="0"/>
              <w:rPr>
                <w:sz w:val="1"/>
                <w:szCs w:val="1"/>
                <w:color w:val="auto"/>
              </w:rPr>
            </w:pPr>
          </w:p>
        </w:tc>
      </w:tr>
      <w:tr>
        <w:trPr>
          <w:trHeight w:val="217"/>
        </w:trPr>
        <w:tc>
          <w:tcPr>
            <w:tcW w:w="4720" w:type="dxa"/>
            <w:vAlign w:val="bottom"/>
            <w:gridSpan w:val="3"/>
          </w:tcPr>
          <w:p>
            <w:pPr>
              <w:spacing w:after="0"/>
              <w:rPr>
                <w:sz w:val="20"/>
                <w:szCs w:val="20"/>
                <w:color w:val="auto"/>
              </w:rPr>
            </w:pPr>
            <w:r>
              <w:rPr>
                <w:rFonts w:ascii="Arial" w:cs="Arial" w:eastAsia="Arial" w:hAnsi="Arial"/>
                <w:sz w:val="14"/>
                <w:szCs w:val="14"/>
                <w:color w:val="auto"/>
              </w:rPr>
              <w:t>Product (tons sold)</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
        </w:trPr>
        <w:tc>
          <w:tcPr>
            <w:tcW w:w="1100" w:type="dxa"/>
            <w:vAlign w:val="bottom"/>
            <w:tcBorders>
              <w:top w:val="single" w:sz="8" w:color="auto"/>
            </w:tcBorders>
            <w:vMerge w:val="restart"/>
            <w:shd w:val="clear" w:color="auto" w:fill="CFF0FC"/>
          </w:tcPr>
          <w:p>
            <w:pPr>
              <w:ind w:left="260"/>
              <w:spacing w:after="0"/>
              <w:rPr>
                <w:sz w:val="20"/>
                <w:szCs w:val="20"/>
                <w:color w:val="auto"/>
              </w:rPr>
            </w:pPr>
            <w:r>
              <w:rPr>
                <w:rFonts w:ascii="Arial" w:cs="Arial" w:eastAsia="Arial" w:hAnsi="Arial"/>
                <w:sz w:val="18"/>
                <w:szCs w:val="18"/>
                <w:color w:val="auto"/>
              </w:rPr>
              <w:t>Ammonia</w:t>
            </w:r>
          </w:p>
        </w:tc>
        <w:tc>
          <w:tcPr>
            <w:tcW w:w="3620" w:type="dxa"/>
            <w:vAlign w:val="bottom"/>
            <w:gridSpan w:val="2"/>
            <w:vMerge w:val="restart"/>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00" w:type="dxa"/>
            <w:vAlign w:val="bottom"/>
            <w:vMerge w:val="continue"/>
            <w:shd w:val="clear" w:color="auto" w:fill="CFF0FC"/>
          </w:tcPr>
          <w:p>
            <w:pPr>
              <w:spacing w:after="0"/>
              <w:rPr>
                <w:sz w:val="18"/>
                <w:szCs w:val="18"/>
                <w:color w:val="auto"/>
              </w:rPr>
            </w:pPr>
          </w:p>
        </w:tc>
        <w:tc>
          <w:tcPr>
            <w:tcW w:w="3620" w:type="dxa"/>
            <w:vAlign w:val="bottom"/>
            <w:gridSpan w:val="2"/>
            <w:vMerge w:val="continue"/>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176,597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201,002</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(24,405)</w:t>
            </w:r>
          </w:p>
        </w:tc>
        <w:tc>
          <w:tcPr>
            <w:tcW w:w="240" w:type="dxa"/>
            <w:vAlign w:val="bottom"/>
            <w:vMerge w:val="continue"/>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CFF0FC"/>
            </w:tcBorders>
            <w:gridSpan w:val="3"/>
          </w:tcPr>
          <w:p>
            <w:pPr>
              <w:ind w:left="260"/>
              <w:spacing w:after="0"/>
              <w:rPr>
                <w:sz w:val="20"/>
                <w:szCs w:val="20"/>
                <w:color w:val="auto"/>
              </w:rPr>
            </w:pPr>
            <w:r>
              <w:rPr>
                <w:rFonts w:ascii="Arial" w:cs="Arial" w:eastAsia="Arial" w:hAnsi="Arial"/>
                <w:sz w:val="18"/>
                <w:szCs w:val="18"/>
                <w:color w:val="auto"/>
              </w:rPr>
              <w:t>AN, Nitric Acid and Other</w:t>
            </w:r>
          </w:p>
        </w:tc>
        <w:tc>
          <w:tcPr>
            <w:tcW w:w="10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336,032</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215,177</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120,855</w:t>
            </w:r>
          </w:p>
        </w:tc>
        <w:tc>
          <w:tcPr>
            <w:tcW w:w="240" w:type="dxa"/>
            <w:vAlign w:val="bottom"/>
            <w:tcBorders>
              <w:bottom w:val="single" w:sz="8" w:color="CFF0FC"/>
            </w:tcBorders>
          </w:tcPr>
          <w:p>
            <w:pPr>
              <w:spacing w:after="0"/>
              <w:rPr>
                <w:sz w:val="19"/>
                <w:szCs w:val="19"/>
                <w:color w:val="auto"/>
              </w:rPr>
            </w:pPr>
          </w:p>
        </w:tc>
        <w:tc>
          <w:tcPr>
            <w:tcW w:w="136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4720" w:type="dxa"/>
            <w:vAlign w:val="bottom"/>
            <w:tcBorders>
              <w:bottom w:val="single" w:sz="8" w:color="CFF0FC"/>
            </w:tcBorders>
            <w:gridSpan w:val="3"/>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512,629</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416,179</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96,450</w:t>
            </w:r>
          </w:p>
        </w:tc>
        <w:tc>
          <w:tcPr>
            <w:tcW w:w="24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720" w:type="dxa"/>
            <w:vAlign w:val="bottom"/>
            <w:gridSpan w:val="3"/>
            <w:shd w:val="clear" w:color="auto" w:fill="CFF0FC"/>
          </w:tcPr>
          <w:p>
            <w:pPr>
              <w:spacing w:after="0" w:line="189" w:lineRule="exact"/>
              <w:rPr>
                <w:sz w:val="20"/>
                <w:szCs w:val="20"/>
                <w:color w:val="auto"/>
              </w:rPr>
            </w:pPr>
            <w:r>
              <w:rPr>
                <w:rFonts w:ascii="Arial" w:cs="Arial" w:eastAsia="Arial" w:hAnsi="Arial"/>
                <w:sz w:val="18"/>
                <w:szCs w:val="18"/>
                <w:color w:val="auto"/>
              </w:rPr>
              <w:t>Tampa Ammonia Benchmark (price per metric ton)</w:t>
            </w:r>
          </w:p>
        </w:tc>
        <w:tc>
          <w:tcPr>
            <w:tcW w:w="126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505</w:t>
            </w:r>
          </w:p>
        </w:tc>
        <w:tc>
          <w:tcPr>
            <w:tcW w:w="48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231</w:t>
            </w:r>
          </w:p>
        </w:tc>
        <w:tc>
          <w:tcPr>
            <w:tcW w:w="420" w:type="dxa"/>
            <w:vAlign w:val="bottom"/>
            <w:gridSpan w:val="2"/>
            <w:shd w:val="clear" w:color="auto" w:fill="CFF0FC"/>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274</w:t>
            </w:r>
          </w:p>
        </w:tc>
        <w:tc>
          <w:tcPr>
            <w:tcW w:w="24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80"/>
              <w:spacing w:after="0" w:line="189"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1100" w:type="dxa"/>
            <w:vAlign w:val="bottom"/>
            <w:tcBorders>
              <w:top w:val="single" w:sz="8" w:color="auto"/>
            </w:tcBorders>
            <w:shd w:val="clear" w:color="auto" w:fill="CFF0FC"/>
          </w:tcPr>
          <w:p>
            <w:pPr>
              <w:spacing w:after="0" w:line="20" w:lineRule="exact"/>
              <w:rPr>
                <w:sz w:val="1"/>
                <w:szCs w:val="1"/>
                <w:color w:val="auto"/>
              </w:rPr>
            </w:pPr>
          </w:p>
        </w:tc>
        <w:tc>
          <w:tcPr>
            <w:tcW w:w="2620" w:type="dxa"/>
            <w:vAlign w:val="bottom"/>
            <w:tcBorders>
              <w:top w:val="single" w:sz="8" w:color="auto"/>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Sales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Agricultural product sales increased driven primarily by higher sales prices for all of our agricultural products partially offset by lower sales volumes of our products resulting from lower production, including ammonia, due to the February 2021 weather event, the completion of a Turnaround at our Cherokee Facility during the third quarter of 2021, and product mix shifts to our industrial and mining products. As discussed above under “Recent Business Developments,” increased demand, higher corn prices, and tighter supplies of nitrogen products contributed to the improved pricing.</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Industrial product sales increased primarily from higher sales prices due primarily to higher Tampa Ammonia benchmark pricing and higher nitric acid sales volume due in part to sales beginning in 2021 pursuant to the new long-term nitric acid supply agreement, and product mix shifts. The average Tampa Ammonia pricing was approximately $274 per ton higher compared to the same period in 2020.</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Mining products sales improved driven by primarily from increased sales volumes. Demand for mining products has improved, especially relating to metals mining as expanding electric vehicle market is driving the need for copper. Also, certain mining sales contracts are linked to natural gas indexes and as the cost of natural gas increases, the pricing for these products increase accordingly.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Profit</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noted in the table above, we recognized a gross profit of $60.5 million for the first nine months of 2021 compared to $20.5 million for the same period in 2020, or a $40.0 million improvement. Overall, our gross profit percentage was 16.5% compared to 7.8% for the same period in 2020. Our adjusted gross profit percentage increased to 33.0% for the first nine months of 2021 from 25.5% for the first nine months of 2020.</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increase in gross profit was primarily driven by higher sales prices for our products coupled with an overall increase in sales volume of upgraded industrial and mining products partially offset by lower volumes of our agricultural products. The improvement in gross profit was also partially offset by the net impact of the February weather disruption and overall higher average natural gas costs, which averaged $3.20 per MMBtu for the first nine months of 2021 as compared to $1.96 per MMBtu for the same period of 2020 and the impact of the Turnaround completed at our Cherokee Facility as discussed above under “Turnaround Activities”. The first nine months of 2020 also included settlements with certain vendors resulting in a recovery of approximately $5.7 million.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General and Administrative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SG&amp;A expenses were $28.9 million for the first nine months of 2021, an increase of $3.4 million compared to the same period in 2020. The net increase was primarily driven by approximately $3.8 million of expense due to CoC and anti-dilutive provisions included in certain agreements as discussed above under “Change of Control and Special Dividend.”, approximately $2.3 million associated with short and long-term compensation incentives and other payroll related costs partially offset by lower professional fees of $4.0 million.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 net</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Interest expense for the first nine months of 2021 was $37.6 million compared to $38.5 million for the same period in 2020. The decrease relates primarily to the interest expense incurred during the first nine months of 2020 associated with a litigation judgment discussed in footnote (B) of Note 6.</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Gain on Extinguishment of Debt – PPP Loan Forgiven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discussed in Note 5 in June 2021, the PPP loan was fully forgiven by the SBA and lender. As a result, we recognized a gain on extinguishment of debt of $10 million for the second quarter of 2021.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Other Expense (Income), net</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Non-operating other expense for the first nine months of 2021 was $2.5 million compared to non-operating income of $0.6 million for the same period in 2020 or a change of $3.1 million. This change primarily relates to the change in fair value of the embedded derivative included in the Series E Redeemable Preferred prior to its extinguishment through the completion of the Exchange Transaction discussed above under “Recent Business Developments”.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auto"/>
        </w:rPr>
        <w:t>Benefit for Income Taxes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benefit for income taxes for the first nine months of 2021 was $0.2 million compared to $3.0 million for the same period in 2020. For both periods, the effective tax rate is less than the statutory rate primarily due to the impact of the PPP loan forgiveness, state tax law changes and valuation allowances. Also see discussion in Note 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activities for the nine months ended September 30:</w:t>
      </w:r>
    </w:p>
    <w:p>
      <w:pPr>
        <w:spacing w:after="0" w:line="13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332"/>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Change</w:t>
            </w:r>
          </w:p>
        </w:tc>
      </w:tr>
      <w:tr>
        <w:trPr>
          <w:trHeight w:val="234"/>
        </w:trPr>
        <w:tc>
          <w:tcPr>
            <w:tcW w:w="59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6"/>
                <w:szCs w:val="16"/>
                <w:color w:val="auto"/>
                <w:w w:val="91"/>
              </w:rPr>
              <w:t>(In Thousands)</w:t>
            </w: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2"/>
        </w:trPr>
        <w:tc>
          <w:tcPr>
            <w:tcW w:w="5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flows from operating activities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65,471</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24,715</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40,756</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5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4"/>
        </w:trPr>
        <w:tc>
          <w:tcPr>
            <w:tcW w:w="5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from investing activities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(25,719)</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(20,219)</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(5,500)</w:t>
            </w:r>
          </w:p>
        </w:tc>
      </w:tr>
      <w:tr>
        <w:trPr>
          <w:trHeight w:val="20"/>
        </w:trPr>
        <w:tc>
          <w:tcPr>
            <w:tcW w:w="59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210"/>
        </w:trPr>
        <w:tc>
          <w:tcPr>
            <w:tcW w:w="5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from financing activities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(23,161)</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(37,968)</w:t>
            </w:r>
          </w:p>
        </w:tc>
      </w:tr>
      <w:tr>
        <w:trPr>
          <w:trHeight w:val="20"/>
        </w:trPr>
        <w:tc>
          <w:tcPr>
            <w:tcW w:w="59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Cash Flow from Operating Activities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operating activities was $65.5 million for first nine months of 2021 compared to $24.7 million for the same period of 2020, a change of $40.8 million.</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first nine months of 2021, the net cash provided is the result of net income of $1.5 million plus adjustments of $51.4 million for depreciation and amortization of PP&amp;E, other adjustments of $8.8 million less $10.0 million for a gain on extinguishment of debt, and net cash provided of $13.8 million primarily from our working capital.</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first nine months of 2020, the net cash provided is the result of a net loss of $40.2 million plus adjustments of $52 million for depreciation and amortization of PP&amp;E and other adjustments of $6.2 million less an adjustment of $3.1 million for deferred taxes and net cash provided of $9.8 million primarily from our working capital.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Cash Flow from Investing Activities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by investing activities was $25.7 million for the first nine months of 2021 compared to $20.2 million for the same period of 2020, a change of $5.5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For the first nine months of 2021 and 2020, the net cash used relates primarily to expenditures for PP&amp;E.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Cash Flow from Financing Activities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by financing activities was $23.2 million for the first nine months of 2021 compared to net cash provided of $14.8 million for the same period of 2020, a change of $38.0 million.</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first nine months of 2021, the net cash used primarily consists of payments on other long-term debt and short-term financing of $20.2 million, payments of $2.6 million for equity and debt-related cost and $0.3 million for other financing activities.</w:t>
      </w:r>
    </w:p>
    <w:p>
      <w:pPr>
        <w:spacing w:after="0" w:line="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first nine months of 2020, the net cash provided primarily consists of proceeds of $42.6 million from other long-term debt partially offset by payments on other long-term debt and short-term financing of $27.6 million and payments of $0.2 million for other financing activities.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auto"/>
        </w:rPr>
        <w:t>Capitalization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our total current cash, long-term debt, redeemable preferred stock and stockholders’ equity:</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5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September 30,</w:t>
            </w:r>
          </w:p>
        </w:tc>
        <w:tc>
          <w:tcPr>
            <w:tcW w:w="14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40" w:type="dxa"/>
            <w:vAlign w:val="bottom"/>
            <w:gridSpan w:val="5"/>
          </w:tcPr>
          <w:p>
            <w:pPr>
              <w:jc w:val="right"/>
              <w:ind w:right="1240"/>
              <w:spacing w:after="0"/>
              <w:rPr>
                <w:sz w:val="20"/>
                <w:szCs w:val="20"/>
                <w:color w:val="auto"/>
              </w:rPr>
            </w:pPr>
            <w:r>
              <w:rPr>
                <w:rFonts w:ascii="Arial" w:cs="Arial" w:eastAsia="Arial" w:hAnsi="Arial"/>
                <w:sz w:val="16"/>
                <w:szCs w:val="16"/>
                <w:color w:val="auto"/>
              </w:rPr>
              <w:t>(In Millions)</w:t>
            </w:r>
          </w:p>
        </w:tc>
        <w:tc>
          <w:tcPr>
            <w:tcW w:w="0" w:type="dxa"/>
            <w:vAlign w:val="bottom"/>
          </w:tcPr>
          <w:p>
            <w:pPr>
              <w:spacing w:after="0"/>
              <w:rPr>
                <w:sz w:val="1"/>
                <w:szCs w:val="1"/>
                <w:color w:val="auto"/>
              </w:rPr>
            </w:pPr>
          </w:p>
        </w:tc>
      </w:tr>
      <w:tr>
        <w:trPr>
          <w:trHeight w:val="23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Long-term debt:</w:t>
            </w:r>
          </w:p>
        </w:tc>
        <w:tc>
          <w:tcPr>
            <w:tcW w:w="15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Working Capital Revolver Loan</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 xml:space="preserve">Senior Secured Notes due 2023 </w:t>
            </w:r>
            <w:r>
              <w:rPr>
                <w:rFonts w:ascii="Arial" w:cs="Arial" w:eastAsia="Arial" w:hAnsi="Arial"/>
                <w:sz w:val="14"/>
                <w:szCs w:val="14"/>
                <w:color w:val="auto"/>
              </w:rPr>
              <w:t>(1)</w:t>
            </w: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435.0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Secured Financing due 2023</w:t>
            </w:r>
          </w:p>
        </w:tc>
        <w:tc>
          <w:tcPr>
            <w:tcW w:w="1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Secured Loan Agreement due 2025</w:t>
            </w: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Secured Financing due 2025</w:t>
            </w:r>
          </w:p>
        </w:tc>
        <w:tc>
          <w:tcPr>
            <w:tcW w:w="1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Unsecured Loan Agreement due 2022</w:t>
            </w: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Secured Promissory Note due 2021</w:t>
            </w:r>
          </w:p>
        </w:tc>
        <w:tc>
          <w:tcPr>
            <w:tcW w:w="1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Other</w:t>
            </w: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Unamortized discount and debt issuance costs</w:t>
            </w:r>
          </w:p>
        </w:tc>
        <w:tc>
          <w:tcPr>
            <w:tcW w:w="1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63"/>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long-term debt, including current portion, net</w:t>
            </w:r>
          </w:p>
        </w:tc>
        <w:tc>
          <w:tcPr>
            <w:tcW w:w="156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469.9</w:t>
            </w:r>
          </w:p>
        </w:tc>
        <w:tc>
          <w:tcPr>
            <w:tcW w:w="26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484.2</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Series E and Series F redeemable preferred stocks </w:t>
            </w:r>
            <w:r>
              <w:rPr>
                <w:rFonts w:ascii="Arial" w:cs="Arial" w:eastAsia="Arial" w:hAnsi="Arial"/>
                <w:sz w:val="14"/>
                <w:szCs w:val="14"/>
                <w:color w:val="auto"/>
              </w:rPr>
              <w:t>(1)</w:t>
            </w:r>
          </w:p>
        </w:tc>
        <w:tc>
          <w:tcPr>
            <w:tcW w:w="15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 xml:space="preserve">Total stockholders' equity </w:t>
            </w:r>
            <w:r>
              <w:rPr>
                <w:rFonts w:ascii="Arial" w:cs="Arial" w:eastAsia="Arial" w:hAnsi="Arial"/>
                <w:sz w:val="14"/>
                <w:szCs w:val="14"/>
                <w:color w:val="auto"/>
              </w:rPr>
              <w:t>(1)</w:t>
            </w:r>
          </w:p>
        </w:tc>
        <w:tc>
          <w:tcPr>
            <w:tcW w:w="17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423.1</w:t>
            </w: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740" w:hanging="368"/>
        <w:spacing w:after="0" w:line="277"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 discussion above under “Recent Business Developments” and Note 2 relating to the Exchange Transaction associated with the Series E and Series F redeemable preferred stock and debt refinancing completed in October.</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have a revolving credit facility, our Working Capital Revolver Loan, with a borrowing base of $65 million. As of September 30, 2021, our Working Capital Revolver Loan was undrawn and had approximately $48.2 million of availability.</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full year of 2021, we expect capital expenditures to be approximately $35 million to $40 million, which includes approximately $5 million for margin enhancement projects. The remaining capital spending is planned for reliability and maintenance capital projects.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the combination of our cash on hand, the availability on our revolving credit facility, and our cash flow from operations will be sufficient to fund our anticipated liquidity needs for the next twelve months.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Long - Term Debt Covenants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below in Note 5, the Working Capital Revolver Loan requires, among other things, that we meet certain financial covenants. The Working Capital Revolver Loan does not include financial covenant requirements unless a defined covenant trigger event has occurred and is continuing. As of September 30, 2021, no trigger event had occurred.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Loan Agreements</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Senior Secured Notes – </w:t>
      </w:r>
      <w:r>
        <w:rPr>
          <w:rFonts w:ascii="Arial" w:cs="Arial" w:eastAsia="Arial" w:hAnsi="Arial"/>
          <w:sz w:val="18"/>
          <w:szCs w:val="18"/>
          <w:color w:val="auto"/>
        </w:rPr>
        <w:t>As discussed in Note 13, an October 14, 2021, LSB completed a private offering of $500 million in aggregate principal amount of</w:t>
      </w:r>
      <w:r>
        <w:rPr>
          <w:rFonts w:ascii="Arial" w:cs="Arial" w:eastAsia="Arial" w:hAnsi="Arial"/>
          <w:sz w:val="18"/>
          <w:szCs w:val="18"/>
          <w:b w:val="1"/>
          <w:bCs w:val="1"/>
          <w:color w:val="auto"/>
        </w:rPr>
        <w:t xml:space="preserve"> </w:t>
      </w:r>
      <w:r>
        <w:rPr>
          <w:rFonts w:ascii="Arial" w:cs="Arial" w:eastAsia="Arial" w:hAnsi="Arial"/>
          <w:sz w:val="18"/>
          <w:szCs w:val="18"/>
          <w:color w:val="auto"/>
        </w:rPr>
        <w:t>its 6.250% Senior Secured Notes due 2028 (the “Notes”).</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Notes were issued at a price equal to 100% of their face value and pursuant to an indenture, dated as of October 14, 2021, and will mature on October 15, 2028 and rank senior in right of payment to all of our debt that is expressly subordinated in right of payment to the notes, and will rank pari passu in right of payment with all of our liabilities that are not so subordinated, including the Working Capital Revolver Loan. Our obligations under the Notes are jointly and severally guaranteed by the subsidiary guarantors named in the Indenture on a senior secured basis. Interest on the Notes accrues at a rate of 6.250% per annum and is payable semi-annually in arrears on May 15 and October 15 of each year, beginning on May 15, 2022, to the holders of record on the immediately preceding May 1 and October 1.</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net proceeds from the Notes were used to redeem $435 million in aggregate principal amount of the Senior Secured Notes due 2023 (the “Existing Notes”), representing all of the notes outstanding, to pay related transaction fees, expenses and premiums and, to the extent of any remaining net proceeds, for general corporate purposes.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previously issued a conditional notice of redemption on September 29, 2021, to redeem all of the Existing Notes (the “Redemption”), conditioned on the closing of the offering of the Notes, which condition was satisfied as of October 14, 2021. The Redemption was completed by the trustee on October 29,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5" w:name="page36"/>
    <w:bookmarkEnd w:id="35"/>
    <w:p>
      <w:pPr>
        <w:jc w:val="both"/>
        <w:ind w:right="20"/>
        <w:spacing w:after="0" w:line="277" w:lineRule="auto"/>
        <w:rPr>
          <w:sz w:val="20"/>
          <w:szCs w:val="20"/>
          <w:color w:val="auto"/>
        </w:rPr>
      </w:pPr>
      <w:r>
        <w:rPr>
          <w:rFonts w:ascii="Arial" w:cs="Arial" w:eastAsia="Arial" w:hAnsi="Arial"/>
          <w:sz w:val="18"/>
          <w:szCs w:val="18"/>
          <w:color w:val="auto"/>
        </w:rPr>
        <w:t>Also on October 14, 2021, LSB satisfied and discharged its obligations under the indenture governing the Existing Notes by irrevocably depositing with the trustee for the Existing Notes funds sufficient to redeem the Existing Notes in full and to pay related fees and expenses.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are currently evaluating the impact on our financial statements as the result of the debt transaction discussed above.</w:t>
      </w:r>
    </w:p>
    <w:p>
      <w:pPr>
        <w:spacing w:after="0" w:line="11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Secured Financing due 2023 – </w:t>
      </w:r>
      <w:r>
        <w:rPr>
          <w:rFonts w:ascii="Arial" w:cs="Arial" w:eastAsia="Arial" w:hAnsi="Arial"/>
          <w:sz w:val="18"/>
          <w:szCs w:val="18"/>
          <w:color w:val="auto"/>
        </w:rPr>
        <w:t>EDC is party to a secured financing arrangement with an affiliate of LSB Funding. Principal and interest are payable in 48</w:t>
      </w:r>
      <w:r>
        <w:rPr>
          <w:rFonts w:ascii="Arial" w:cs="Arial" w:eastAsia="Arial" w:hAnsi="Arial"/>
          <w:sz w:val="18"/>
          <w:szCs w:val="18"/>
          <w:b w:val="1"/>
          <w:bCs w:val="1"/>
          <w:color w:val="auto"/>
        </w:rPr>
        <w:t xml:space="preserve"> </w:t>
      </w:r>
      <w:r>
        <w:rPr>
          <w:rFonts w:ascii="Arial" w:cs="Arial" w:eastAsia="Arial" w:hAnsi="Arial"/>
          <w:sz w:val="18"/>
          <w:szCs w:val="18"/>
          <w:color w:val="auto"/>
        </w:rPr>
        <w:t>equal monthly installments with a final balloon payment of approximately $3 million due in June 2023.</w:t>
      </w:r>
    </w:p>
    <w:p>
      <w:pPr>
        <w:spacing w:after="0" w:line="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Secured Loan Agreement due 2025 - </w:t>
      </w:r>
      <w:r>
        <w:rPr>
          <w:rFonts w:ascii="Arial" w:cs="Arial" w:eastAsia="Arial" w:hAnsi="Arial"/>
          <w:sz w:val="18"/>
          <w:szCs w:val="18"/>
          <w:color w:val="auto"/>
        </w:rPr>
        <w:t>EDC is party to a secured loan agreement with an affiliate of LSB Funding. Principal and interest are payable in 60</w:t>
      </w:r>
      <w:r>
        <w:rPr>
          <w:rFonts w:ascii="Arial" w:cs="Arial" w:eastAsia="Arial" w:hAnsi="Arial"/>
          <w:sz w:val="18"/>
          <w:szCs w:val="18"/>
          <w:b w:val="1"/>
          <w:bCs w:val="1"/>
          <w:color w:val="auto"/>
        </w:rPr>
        <w:t xml:space="preserve"> </w:t>
      </w:r>
      <w:r>
        <w:rPr>
          <w:rFonts w:ascii="Arial" w:cs="Arial" w:eastAsia="Arial" w:hAnsi="Arial"/>
          <w:sz w:val="18"/>
          <w:szCs w:val="18"/>
          <w:color w:val="auto"/>
        </w:rPr>
        <w:t>equal monthly installments through March 2025.</w:t>
      </w:r>
    </w:p>
    <w:p>
      <w:pPr>
        <w:spacing w:after="0" w:line="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Secured Financing due 2025 – </w:t>
      </w:r>
      <w:r>
        <w:rPr>
          <w:rFonts w:ascii="Arial" w:cs="Arial" w:eastAsia="Arial" w:hAnsi="Arial"/>
          <w:sz w:val="18"/>
          <w:szCs w:val="18"/>
          <w:color w:val="auto"/>
        </w:rPr>
        <w:t>EDA is party to a $30 million secured financing arrangement with an affiliate of LSB Funding. Principal and interest are</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in 60 equal monthly installments with a final balloon payment of approximately $5 million due in August 2025.</w:t>
      </w:r>
    </w:p>
    <w:p>
      <w:pPr>
        <w:spacing w:after="0" w:line="5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Working Capital Revolver Loan – </w:t>
      </w:r>
      <w:r>
        <w:rPr>
          <w:rFonts w:ascii="Arial" w:cs="Arial" w:eastAsia="Arial" w:hAnsi="Arial"/>
          <w:sz w:val="18"/>
          <w:szCs w:val="18"/>
          <w:color w:val="auto"/>
        </w:rPr>
        <w:t>At September 30, 2021, our Working Capital Revolver Loan was undrawn and had approximately $48.2 million of</w:t>
      </w:r>
      <w:r>
        <w:rPr>
          <w:rFonts w:ascii="Arial" w:cs="Arial" w:eastAsia="Arial" w:hAnsi="Arial"/>
          <w:sz w:val="18"/>
          <w:szCs w:val="18"/>
          <w:b w:val="1"/>
          <w:bCs w:val="1"/>
          <w:color w:val="auto"/>
        </w:rPr>
        <w:t xml:space="preserve"> </w:t>
      </w:r>
      <w:r>
        <w:rPr>
          <w:rFonts w:ascii="Arial" w:cs="Arial" w:eastAsia="Arial" w:hAnsi="Arial"/>
          <w:sz w:val="18"/>
          <w:szCs w:val="18"/>
          <w:color w:val="auto"/>
        </w:rPr>
        <w:t>availability, based on our eligible collateral, less outstanding letters of credit as of that date. Also see discussion above under “Compliance with Long-Term Debt Covenants.”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 – First Nine Months of 2021</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first nine months of 2021, capital expenditures relating to PP&amp;E were $26.1 million. The capital expenditures were funded primarily from cash and working capital.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under “Capitalization” for our expected capital expenditures.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Associated with Environmental Regulatory Compliance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specific federal and state environmental compliance laws, regulations and guidelines. As a result, we incurred expenses of $2.6 million during the first nine months of 2021 in connection with environmental projects. For the remainder of 2021, we expect to incur expenses ranging from $0.9 million to $1.1 million in connection with additional environmental projects. However, it is possible that the actual costs could be significantly different than our estimates.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discussions above under “Recent Business Developments” and Notes 1 and 13 regarding the common stock Special Dividend.</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paid cash dividends on our outstanding common stock in many years, and we do not currently anticipate paying cash dividends on our outstanding common stock in the near future.</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Dividends on the Series D 6% cumulative convertible Class C preferred stock (the “Series D Preferred”) and Series B 12% cumulative convertible Class C Preferred Stock (the “Series B Preferred”) are payable annually, only when declared by our Board, as follows:</w:t>
      </w:r>
    </w:p>
    <w:p>
      <w:pPr>
        <w:spacing w:after="0" w:line="62" w:lineRule="exact"/>
        <w:rPr>
          <w:sz w:val="20"/>
          <w:szCs w:val="20"/>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$0.06 per share on our outstanding non-redeemable Series D Preferred for an aggregate dividend of $60,000,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$12.00 per share on our outstanding non-redeemable Series B Preferred for an aggregate dividend of $240,000.</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2021, the amount of accumulated dividends on the Series D Preferred and Series B Preferred totaled approximately $1.8 million. All shares of the Series D Preferred and Series B Preferred are owned by the Golsen Holders and an immediate family member. There are no optional or mandatory redemption rights with respect to the Series B Preferred or Series D Preferred.</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lender of our Working Capital Revolver Loan has provided LSB a consent to allow for a payment of dividends not to exceed $2 million to the holders of the Series B and Series D Preferred, if and when declared by the Board.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fertilizer products sold to the agricultural industry are seasonal, while sales into the industrial and mining sectors generally are less susceptible to seasonal fluctuations. The selling seasons for agricultural products are primarily during the spring and fall planting seasons, which typically extend from March through June and from September through November in the geographical markets where we distribute the majority of our agricultural products. As a result, we typically increase our inventory of fertilizer products prior to the beginning of each planting season in order to meet the demand for our products. In addition, the amount and timing of sales to the agricultural markets depend upon weather conditions and other circumstances beyond our control.</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and Payment Bonds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September 30, 2021, we have agreed to indemnify the sureties for payments, up to $9.7 million, made by them in respect of such bonds. These insurance bonds are expected to expire or be renewed later in 2021.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auto"/>
        </w:rPr>
        <w:t>New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for recently issued accounting standards.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See “Critical Accounting Policies and Estimates,” Item 7 of our 2020 Form 10-K. In addition, the preparation of financial statements requires us to make estimates and assumptions that affect the reported amount of assets, liabilities, revenues and expenses, and disclosures of contingencies and fair values, including, but not limited to, various environmental and legal matters, including matters discussed under footnote A and the lawsuit styled </w:t>
      </w:r>
      <w:r>
        <w:rPr>
          <w:rFonts w:ascii="Arial" w:cs="Arial" w:eastAsia="Arial" w:hAnsi="Arial"/>
          <w:sz w:val="17"/>
          <w:szCs w:val="17"/>
          <w:i w:val="1"/>
          <w:iCs w:val="1"/>
          <w:color w:val="auto"/>
        </w:rPr>
        <w:t>City of West,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Texas vs. CF Industries, Inc., et al., </w:t>
      </w:r>
      <w:r>
        <w:rPr>
          <w:rFonts w:ascii="Arial" w:cs="Arial" w:eastAsia="Arial" w:hAnsi="Arial"/>
          <w:sz w:val="17"/>
          <w:szCs w:val="17"/>
          <w:color w:val="auto"/>
        </w:rPr>
        <w:t>discussed under “Other Pending, Threatened or Settled Litigation” of Note 6.</w:t>
      </w:r>
    </w:p>
    <w:p>
      <w:pPr>
        <w:spacing w:after="0" w:line="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Series E and Series F Redeemable Preferred </w:t>
      </w:r>
      <w:r>
        <w:rPr>
          <w:rFonts w:ascii="Arial" w:cs="Arial" w:eastAsia="Arial" w:hAnsi="Arial"/>
          <w:sz w:val="17"/>
          <w:szCs w:val="17"/>
          <w:color w:val="auto"/>
        </w:rPr>
        <w:t>- As discussed in Note 1, the Series E and Series F Redeemable Preferred that were redeemable outside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control were classified as temporary/mezzanine equity. These redeemable preferred stocks were recorded at fair value upon issuance, net of issuance costs or discounts. In addition, certain embedded features included in the Series E Redeemable Preferred required bifurcation and were classified as derivative liabilities. The carrying values of the redeemable preferred stocks were being increased by periodic accretions (including the amount for dividends earned but not yet declared or paid) using the interest method so that the carrying amount would equal the redemption value as of the earliest possible redemption date by the holder (October 25, 2023). The accretion was recorded to retained earnings. However, during the third quarter of 2021, our redeemable preferred stocks were exchanged into our common stock as discussed in below.</w:t>
      </w:r>
    </w:p>
    <w:p>
      <w:pPr>
        <w:spacing w:after="0" w:line="6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discussed in Note 2, in July 2021, we entered into the Exchange Agreement with the Holder, an affiliate of Eldridge, which Exchange Agreement was voted on and approved by our stockholders at the Special Meeting held in September 2021. Pursuant to the terms of the Exchange Agreement, the Holder would exchange all of the shares of the Series E and Series F Redeemable Preferred into our common stock based on the Liquidation Preference and an exchange price of $6.16, which is equal to the 30-day volume weighted average price as of the date of the Exchange Agreement. The Liquidation Preference primarily consists of $1,000 per share of Series E Redeemable Preferred plus accrued and unpaid dividends plus the participation rights value. However, the exchange consideration paid under the Exchange Agreement would be reduced by approximately 1.2 million shares, which shares were included in the Special Dividend and received by the Holder.</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September 27, 2021, the closing of the Exchange Agreement occurred, and the Exchange Transaction was consummated. Pursuant to the terms of the Exchange Agreement, the Holder exchanged all of the shares of the Series E and Series F Redeemable Preferred for approximately 49.1 million shares of our common stock.</w:t>
      </w:r>
    </w:p>
    <w:p>
      <w:pPr>
        <w:spacing w:after="0" w:line="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total fair value of the approximately 49.1 million shares of common stock issued was approximately $531.1 million (based on the average per share price on the date of closing). The fair value of the common stock issued was in excess of the Series E and Series F Redeemable Preferred carrying amount, net of the bifurcated embedded derivative and unamortized issuance costs, by approximately $231.8 million and is treated as a deemed dividend. Because we were in an accumulated deficit position on the closing date, the deemed dividend was charged to capital in excess of par value.</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Income taxes are accounted for under the asset and liability method. Deferred tax assets and liabilities are measured using enacted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rates expected to apply to taxable income in the years in which those differences are expected to be recovered or settled. We establish valuation allowances if we believe it is more-likely-than-not that some or all of deferred tax assets will not be realized. Significant judgment is applied in evaluating the need for and the magnitude of appropriate valuation allowances against deferred tax assets.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also reasonably possible that the estimates and assumptions utilized as of September 30, 2021 could change in the near term. Actual results could differ materially from these estimates and judgments, as additional information becomes known.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 as defined in Item 303(a)(4)(ii) of Regulation S-K under the Exchange Act.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General</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results of operations and operating cash flows are impacted by changes in market prices of ammonia and natural gas and changes in market interest rates.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Forward Sales Commitments Risk</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Periodically, we enter into forward firm sales commitments for products to be delivered in future periods. As a result, we could be exposed to embedded losses should our product costs exceed the firm sales prices at the end of a reporting period. At September 30, 2021, we had no embedded losses associated with sales commitments with firm sales prices.</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Commodity Price Risk</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substantial portion of our products and raw materials are commodities whose prices fluctuate as market supply and demand fundamentals change. Since we are exposed to commodity price risk, we periodically enter into contracts to purchase natural gas for anticipated production needs to manage risk related to changes in prices of natural gas commodities. Generally, these contracts are considered normal purchases because they provide for the purchase of natural gas that will be delivered in quantities expected to be used over a reasonable period of time in the normal course of business, these contracts are exempt from the accounting and reporting requirements relating to derivatives. At September 30, 2021, we had no outstanding natural gas contracts, which are accounted for on a mark-to-market basis.</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Interest Rate Risk</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Generally, we are exposed to variable interest rate risk with respect to our revolving credit facility. As of September 30, 2021, we had no outstanding borrowings on this credit facility and no other variable rate borrowings. We currently do not hedge our interest rate risk associated with our variable interest loan.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maintains disclosure controls and procedures as defined in Rule 13a-15 under the Exchange Act designed to provide reasonable assurance that the information required to be disclosed by the Company in the reports it files or submits under the Exchange Act is recorded, processed, summarized, and reported within the time periods specified in the SEC’s rules and forms. These include controls and procedures designed to ensure that this information is accumulated and communicated to the Company's management, including its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September 30, 2021. Based on this evaluation, the Company's Chief Executive Officer and Chief Financial Officer have concluded that the Company's disclosure controls and procedures were effective as of September 30, 2021, at the reasonable assurance level.</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u w:val="single" w:color="auto"/>
          <w:color w:val="auto"/>
        </w:rPr>
        <w:t>SPECIAL NOTE REGARDING FORWARD-LOOKING STATEMENTS</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Certain statements contained within this report may be deemed “Forward-Looking Statements” within the meaning of Section 27A of the Securities Act of 1933 (as amended, the “Securities Act”) and Section 21E of the Securities Exchange Act. All statements in this report other than statements of historical fact are Forward-Looking Statements that are subject to known and unknown risks, uncertainties and other factors which could cause actual results and performance of the Company to differ materially from such statements. The words “believe,” “expect,” “anticipate,” “intend,” “plan,” “may,” “could” and similar expressions identify Forward-Looking Statements. Forward-Looking Statements contained herein include, but are not limited to, the following:</w:t>
      </w:r>
    </w:p>
    <w:p>
      <w:pPr>
        <w:spacing w:after="0" w:line="159" w:lineRule="exact"/>
        <w:rPr>
          <w:sz w:val="20"/>
          <w:szCs w:val="20"/>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LSB Funding and its affiliate Eldridge holding a majority of our common stock;</w:t>
      </w: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invest in projects that will generate the best returns for our stockholders;</w:t>
      </w:r>
    </w:p>
    <w:p>
      <w:pPr>
        <w:spacing w:after="0" w:line="20"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from the COVID-19 pandemic;</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future liquidity outlook;</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outlook of our chemical products and related markets;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 timing and effect on the nitrogen market from the recent nitrogen expansion projects;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from the lack of non-seasonal volume;</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belief that competition is based upon service, price, location of production and distribution sites, and product quality and performance;</w:t>
      </w:r>
    </w:p>
    <w:p>
      <w:pPr>
        <w:spacing w:after="0" w:line="61" w:lineRule="exact"/>
        <w:rPr>
          <w:rFonts w:ascii="Arial" w:cs="Arial" w:eastAsia="Arial" w:hAnsi="Arial"/>
          <w:sz w:val="17"/>
          <w:szCs w:val="17"/>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outlook for the industrial and mining industries;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raw materials;</w:t>
      </w:r>
    </w:p>
    <w:p>
      <w:pPr>
        <w:spacing w:after="0" w:line="49" w:lineRule="exact"/>
        <w:rPr>
          <w:rFonts w:ascii="Arial" w:cs="Arial" w:eastAsia="Arial" w:hAnsi="Arial"/>
          <w:sz w:val="18"/>
          <w:szCs w:val="18"/>
          <w:color w:val="auto"/>
        </w:rPr>
      </w:pPr>
    </w:p>
    <w:p>
      <w:pPr>
        <w:ind w:left="740" w:hanging="368"/>
        <w:spacing w:after="0" w:line="273"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broaden the distribution of our products, including our ability to leverage our nitric acid production capacity at our El Dorado Facility;</w:t>
      </w:r>
    </w:p>
    <w:p>
      <w:pPr>
        <w:spacing w:after="0" w:line="1"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develop a strategy to capitalize on ammonia opportunities;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domestic fertilizer production;</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increasing output and capacity of our production facilities;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on-stream rates at our production facilities;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moderate risk inherent in agricultural markets;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sources to fund our cash needs and how this cash will be used;</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to enter into the additional borrowings;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anticipated cost and timing of our capital projects;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certain costs covered under warranty provisions;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pass to our customers cost increases in the form of higher prices;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belief as to whether we have sufficient sources for materials and components;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annual natural gas requirements;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by our facilities with the terms of our permits;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compliance with environmental laws, health laws, security regulations and transportation regulations;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belief as to when Turnarounds will be performed and completed;</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expenses in connection with environmental projects;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litigation and other contingencies;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increase in interest expense;</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comply with debt servicing and covenants;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meet debt maturities or redemption obligations when due; and</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beliefs as to whether we can meet all required covenant tests for the next twelve months.</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w:t>
      </w:r>
    </w:p>
    <w:p>
      <w:pPr>
        <w:spacing w:after="0" w:line="13" w:lineRule="exact"/>
        <w:rPr>
          <w:sz w:val="20"/>
          <w:szCs w:val="20"/>
          <w:color w:val="auto"/>
        </w:rPr>
      </w:pPr>
    </w:p>
    <w:p>
      <w:pPr>
        <w:ind w:left="740" w:hanging="368"/>
        <w:spacing w:after="0" w:line="273"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ownership percentage of Eldridge and its affiliate, LSB Funding, resulting in them no longer holding a majority of our outstanding common stock;</w:t>
      </w:r>
    </w:p>
    <w:p>
      <w:pPr>
        <w:spacing w:after="0" w:line="1" w:lineRule="exact"/>
        <w:rPr>
          <w:rFonts w:ascii="Arial" w:cs="Arial" w:eastAsia="Arial" w:hAnsi="Arial"/>
          <w:sz w:val="18"/>
          <w:szCs w:val="18"/>
          <w:color w:val="auto"/>
        </w:rPr>
      </w:pPr>
    </w:p>
    <w:p>
      <w:pPr>
        <w:ind w:left="740" w:hanging="36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associated with the COVID-19 pandemic and governmental and related responses;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general economic conditions, both domestic and foreign;</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material reductions in revenues;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9" w:name="page40"/>
    <w:bookmarkEnd w:id="39"/>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material changes in interest rates;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collect in a timely manner a material amount of receivables;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competitive pressures;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effects on increases in prices of raw materials;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federal, state and local laws and regulations, including environmental regulations, or in the interpretation of such;</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laws, regulations or other issues related to climate change;</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releases of pollutants into the environment exceeding our permitted limits;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material increases in equipment, maintenance, operating or labor costs not presently anticipated by us;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requirement to use internally generated funds for purposes not presently anticipated;</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to secure additional financing for planned capital expenditures or financing obligations due in the near future;</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substantial existing indebtedness;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material changes in the cost of natural gas and certain precious metals;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limitations due to financial covenants;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competition;</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loss of any significant customer;</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operating strategy or development plans;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adequately evaluate potential acquisitions of strategic assets or companies;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inability to fund the working capital and expansion of our businesses;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improve our capital structure and overall cost of capital;</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production efficiency of our facilities;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results in our contingencies including pending litigation;</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unplanned downtime at one or more of our chemical facilities;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production rates at any of our chemical plants;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inability to obtain necessary raw materials and purchased components;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material increases in cost of raw materials;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material changes in our accounting estimates;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problems within our production equipment;</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fire or natural disasters;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inability to obtain or retain our insurance coverage;</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difficulty obtaining necessary permits;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difficulty obtaining third-party financing;</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associated with proxy contests initiated by dissident stockholders;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fertilizer production;</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reduction in acres planted for crops requiring fertilizer;</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decreases in duties for products we sell resulting in an increase in imported products into the U.S.;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effects from regulatory policies, including tariffs;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volatility of natural gas prices;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imported agricultural products; and</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factors described in “Risk Factors” in our Form 10-K for the year ended December 31, 2020.</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Given these uncertainties, all parties are cautioned not to place undue reliance on such Forward-Looking Statements. We disclaim any obligation to update any such factors or to publicly announce the result of any revisions to any of the Forward-Looking Statements contained herein to reflect future events or developments.</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The following is a list of terms used in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r>
              <w:rPr>
                <w:rFonts w:ascii="Arial" w:cs="Arial" w:eastAsia="Arial" w:hAnsi="Arial"/>
                <w:sz w:val="18"/>
                <w:szCs w:val="18"/>
                <w:b w:val="1"/>
                <w:bCs w:val="1"/>
                <w:color w:val="auto"/>
              </w:rPr>
              <w:t>ADEQ</w:t>
            </w:r>
          </w:p>
        </w:tc>
        <w:tc>
          <w:tcPr>
            <w:tcW w:w="8380" w:type="dxa"/>
            <w:vAlign w:val="bottom"/>
          </w:tcPr>
          <w:p>
            <w:pPr>
              <w:ind w:left="320"/>
              <w:spacing w:after="0"/>
              <w:rPr>
                <w:sz w:val="20"/>
                <w:szCs w:val="20"/>
                <w:color w:val="auto"/>
              </w:rPr>
            </w:pPr>
            <w:r>
              <w:rPr>
                <w:rFonts w:ascii="Arial" w:cs="Arial" w:eastAsia="Arial" w:hAnsi="Arial"/>
                <w:sz w:val="18"/>
                <w:szCs w:val="18"/>
                <w:color w:val="auto"/>
              </w:rPr>
              <w:t>- The Arkansas Department of Environmental Quality.</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AN</w:t>
            </w:r>
          </w:p>
        </w:tc>
        <w:tc>
          <w:tcPr>
            <w:tcW w:w="8380" w:type="dxa"/>
            <w:vAlign w:val="bottom"/>
          </w:tcPr>
          <w:p>
            <w:pPr>
              <w:ind w:left="320"/>
              <w:spacing w:after="0"/>
              <w:rPr>
                <w:sz w:val="20"/>
                <w:szCs w:val="20"/>
                <w:color w:val="auto"/>
              </w:rPr>
            </w:pPr>
            <w:r>
              <w:rPr>
                <w:rFonts w:ascii="Arial" w:cs="Arial" w:eastAsia="Arial" w:hAnsi="Arial"/>
                <w:sz w:val="18"/>
                <w:szCs w:val="18"/>
                <w:color w:val="auto"/>
              </w:rPr>
              <w:t>- Ammonium nitrate.</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ASC</w:t>
            </w:r>
          </w:p>
        </w:tc>
        <w:tc>
          <w:tcPr>
            <w:tcW w:w="8380" w:type="dxa"/>
            <w:vAlign w:val="bottom"/>
          </w:tcPr>
          <w:p>
            <w:pPr>
              <w:ind w:left="320"/>
              <w:spacing w:after="0"/>
              <w:rPr>
                <w:sz w:val="20"/>
                <w:szCs w:val="20"/>
                <w:color w:val="auto"/>
              </w:rPr>
            </w:pPr>
            <w:r>
              <w:rPr>
                <w:rFonts w:ascii="Arial" w:cs="Arial" w:eastAsia="Arial" w:hAnsi="Arial"/>
                <w:sz w:val="18"/>
                <w:szCs w:val="18"/>
                <w:color w:val="auto"/>
              </w:rPr>
              <w:t>- Accounting Standard Codification.</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ASU</w:t>
            </w:r>
          </w:p>
        </w:tc>
        <w:tc>
          <w:tcPr>
            <w:tcW w:w="8380" w:type="dxa"/>
            <w:vAlign w:val="bottom"/>
          </w:tcPr>
          <w:p>
            <w:pPr>
              <w:ind w:left="320"/>
              <w:spacing w:after="0"/>
              <w:rPr>
                <w:sz w:val="20"/>
                <w:szCs w:val="20"/>
                <w:color w:val="auto"/>
              </w:rPr>
            </w:pPr>
            <w:r>
              <w:rPr>
                <w:rFonts w:ascii="Arial" w:cs="Arial" w:eastAsia="Arial" w:hAnsi="Arial"/>
                <w:sz w:val="18"/>
                <w:szCs w:val="18"/>
                <w:color w:val="auto"/>
              </w:rPr>
              <w:t>- Accounting Standard Update.</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Board</w:t>
            </w:r>
          </w:p>
        </w:tc>
        <w:tc>
          <w:tcPr>
            <w:tcW w:w="8380" w:type="dxa"/>
            <w:vAlign w:val="bottom"/>
          </w:tcPr>
          <w:p>
            <w:pPr>
              <w:ind w:left="320"/>
              <w:spacing w:after="0"/>
              <w:rPr>
                <w:sz w:val="20"/>
                <w:szCs w:val="20"/>
                <w:color w:val="auto"/>
              </w:rPr>
            </w:pPr>
            <w:r>
              <w:rPr>
                <w:rFonts w:ascii="Arial" w:cs="Arial" w:eastAsia="Arial" w:hAnsi="Arial"/>
                <w:sz w:val="18"/>
                <w:szCs w:val="18"/>
                <w:color w:val="auto"/>
              </w:rPr>
              <w:t>- Board of Directors</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CAO</w:t>
            </w:r>
          </w:p>
        </w:tc>
        <w:tc>
          <w:tcPr>
            <w:tcW w:w="8380" w:type="dxa"/>
            <w:vAlign w:val="bottom"/>
          </w:tcPr>
          <w:p>
            <w:pPr>
              <w:ind w:left="320"/>
              <w:spacing w:after="0"/>
              <w:rPr>
                <w:sz w:val="20"/>
                <w:szCs w:val="20"/>
                <w:color w:val="auto"/>
              </w:rPr>
            </w:pPr>
            <w:r>
              <w:rPr>
                <w:rFonts w:ascii="Arial" w:cs="Arial" w:eastAsia="Arial" w:hAnsi="Arial"/>
                <w:sz w:val="18"/>
                <w:szCs w:val="18"/>
                <w:color w:val="auto"/>
              </w:rPr>
              <w:t>- A consent administrative order.</w:t>
            </w:r>
          </w:p>
        </w:tc>
      </w:tr>
      <w:tr>
        <w:trPr>
          <w:trHeight w:val="270"/>
        </w:trPr>
        <w:tc>
          <w:tcPr>
            <w:tcW w:w="2860" w:type="dxa"/>
            <w:vAlign w:val="bottom"/>
          </w:tcPr>
          <w:p>
            <w:pPr>
              <w:spacing w:after="0"/>
              <w:rPr>
                <w:sz w:val="20"/>
                <w:szCs w:val="20"/>
                <w:color w:val="auto"/>
              </w:rPr>
            </w:pPr>
            <w:r>
              <w:rPr>
                <w:rFonts w:ascii="Arial" w:cs="Arial" w:eastAsia="Arial" w:hAnsi="Arial"/>
                <w:sz w:val="18"/>
                <w:szCs w:val="18"/>
                <w:b w:val="1"/>
                <w:bCs w:val="1"/>
                <w:color w:val="auto"/>
              </w:rPr>
              <w:t>CARES</w:t>
            </w:r>
          </w:p>
        </w:tc>
        <w:tc>
          <w:tcPr>
            <w:tcW w:w="8380" w:type="dxa"/>
            <w:vAlign w:val="bottom"/>
          </w:tcPr>
          <w:p>
            <w:pPr>
              <w:ind w:left="320"/>
              <w:spacing w:after="0"/>
              <w:rPr>
                <w:sz w:val="20"/>
                <w:szCs w:val="20"/>
                <w:color w:val="auto"/>
              </w:rPr>
            </w:pPr>
            <w:r>
              <w:rPr>
                <w:rFonts w:ascii="Arial" w:cs="Arial" w:eastAsia="Arial" w:hAnsi="Arial"/>
                <w:sz w:val="18"/>
                <w:szCs w:val="18"/>
                <w:color w:val="auto"/>
              </w:rPr>
              <w:t>- Coronavirus Aid, Relief, and Economic Security Act.</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Cherokee Facility</w:t>
            </w:r>
          </w:p>
        </w:tc>
        <w:tc>
          <w:tcPr>
            <w:tcW w:w="8380" w:type="dxa"/>
            <w:vAlign w:val="bottom"/>
          </w:tcPr>
          <w:p>
            <w:pPr>
              <w:ind w:left="320"/>
              <w:spacing w:after="0"/>
              <w:rPr>
                <w:sz w:val="20"/>
                <w:szCs w:val="20"/>
                <w:color w:val="auto"/>
              </w:rPr>
            </w:pPr>
            <w:r>
              <w:rPr>
                <w:rFonts w:ascii="Arial" w:cs="Arial" w:eastAsia="Arial" w:hAnsi="Arial"/>
                <w:sz w:val="18"/>
                <w:szCs w:val="18"/>
                <w:color w:val="auto"/>
              </w:rPr>
              <w:t>- Our chemical production facility located in Cherokee, Alabama.</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Chevron</w:t>
            </w:r>
          </w:p>
        </w:tc>
        <w:tc>
          <w:tcPr>
            <w:tcW w:w="8380" w:type="dxa"/>
            <w:vAlign w:val="bottom"/>
          </w:tcPr>
          <w:p>
            <w:pPr>
              <w:ind w:left="320"/>
              <w:spacing w:after="0"/>
              <w:rPr>
                <w:sz w:val="20"/>
                <w:szCs w:val="20"/>
                <w:color w:val="auto"/>
              </w:rPr>
            </w:pPr>
            <w:r>
              <w:rPr>
                <w:rFonts w:ascii="Arial" w:cs="Arial" w:eastAsia="Arial" w:hAnsi="Arial"/>
                <w:sz w:val="18"/>
                <w:szCs w:val="18"/>
                <w:color w:val="auto"/>
              </w:rPr>
              <w:t>- Chevron Environmental Management Company.</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CoC</w:t>
            </w:r>
          </w:p>
        </w:tc>
        <w:tc>
          <w:tcPr>
            <w:tcW w:w="8380" w:type="dxa"/>
            <w:vAlign w:val="bottom"/>
          </w:tcPr>
          <w:p>
            <w:pPr>
              <w:ind w:left="320"/>
              <w:spacing w:after="0"/>
              <w:rPr>
                <w:sz w:val="20"/>
                <w:szCs w:val="20"/>
                <w:color w:val="auto"/>
              </w:rPr>
            </w:pPr>
            <w:r>
              <w:rPr>
                <w:rFonts w:ascii="Arial" w:cs="Arial" w:eastAsia="Arial" w:hAnsi="Arial"/>
                <w:sz w:val="18"/>
                <w:szCs w:val="18"/>
                <w:color w:val="auto"/>
              </w:rPr>
              <w:t>- Change of Control</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COVID-19</w:t>
            </w:r>
          </w:p>
        </w:tc>
        <w:tc>
          <w:tcPr>
            <w:tcW w:w="8380" w:type="dxa"/>
            <w:vAlign w:val="bottom"/>
          </w:tcPr>
          <w:p>
            <w:pPr>
              <w:ind w:left="320"/>
              <w:spacing w:after="0"/>
              <w:rPr>
                <w:sz w:val="20"/>
                <w:szCs w:val="20"/>
                <w:color w:val="auto"/>
              </w:rPr>
            </w:pPr>
            <w:r>
              <w:rPr>
                <w:rFonts w:ascii="Arial" w:cs="Arial" w:eastAsia="Arial" w:hAnsi="Arial"/>
                <w:sz w:val="18"/>
                <w:szCs w:val="18"/>
                <w:color w:val="auto"/>
              </w:rPr>
              <w:t>- The novel coronavirus disease of 2019.</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EDA</w:t>
            </w:r>
          </w:p>
        </w:tc>
        <w:tc>
          <w:tcPr>
            <w:tcW w:w="8380" w:type="dxa"/>
            <w:vAlign w:val="bottom"/>
          </w:tcPr>
          <w:p>
            <w:pPr>
              <w:ind w:left="320"/>
              <w:spacing w:after="0"/>
              <w:rPr>
                <w:sz w:val="20"/>
                <w:szCs w:val="20"/>
                <w:color w:val="auto"/>
              </w:rPr>
            </w:pPr>
            <w:r>
              <w:rPr>
                <w:rFonts w:ascii="Arial" w:cs="Arial" w:eastAsia="Arial" w:hAnsi="Arial"/>
                <w:sz w:val="18"/>
                <w:szCs w:val="18"/>
                <w:color w:val="auto"/>
              </w:rPr>
              <w:t>- El Dorado Ammonia L.L.C.</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EDC</w:t>
            </w:r>
          </w:p>
        </w:tc>
        <w:tc>
          <w:tcPr>
            <w:tcW w:w="8380" w:type="dxa"/>
            <w:vAlign w:val="bottom"/>
          </w:tcPr>
          <w:p>
            <w:pPr>
              <w:ind w:left="320"/>
              <w:spacing w:after="0"/>
              <w:rPr>
                <w:sz w:val="20"/>
                <w:szCs w:val="20"/>
                <w:color w:val="auto"/>
              </w:rPr>
            </w:pPr>
            <w:r>
              <w:rPr>
                <w:rFonts w:ascii="Arial" w:cs="Arial" w:eastAsia="Arial" w:hAnsi="Arial"/>
                <w:sz w:val="18"/>
                <w:szCs w:val="18"/>
                <w:color w:val="auto"/>
              </w:rPr>
              <w:t>- El Dorado Chemical Company.</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El Dorado Facility</w:t>
            </w:r>
          </w:p>
        </w:tc>
        <w:tc>
          <w:tcPr>
            <w:tcW w:w="8380" w:type="dxa"/>
            <w:vAlign w:val="bottom"/>
          </w:tcPr>
          <w:p>
            <w:pPr>
              <w:ind w:left="320"/>
              <w:spacing w:after="0"/>
              <w:rPr>
                <w:sz w:val="20"/>
                <w:szCs w:val="20"/>
                <w:color w:val="auto"/>
              </w:rPr>
            </w:pPr>
            <w:r>
              <w:rPr>
                <w:rFonts w:ascii="Arial" w:cs="Arial" w:eastAsia="Arial" w:hAnsi="Arial"/>
                <w:sz w:val="18"/>
                <w:szCs w:val="18"/>
                <w:color w:val="auto"/>
              </w:rPr>
              <w:t>- Our chemical production facility located in El Dorado, Arkansas.</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Eldridge</w:t>
            </w:r>
          </w:p>
        </w:tc>
        <w:tc>
          <w:tcPr>
            <w:tcW w:w="8380" w:type="dxa"/>
            <w:vAlign w:val="bottom"/>
          </w:tcPr>
          <w:p>
            <w:pPr>
              <w:ind w:left="320"/>
              <w:spacing w:after="0"/>
              <w:rPr>
                <w:sz w:val="20"/>
                <w:szCs w:val="20"/>
                <w:color w:val="auto"/>
              </w:rPr>
            </w:pPr>
            <w:r>
              <w:rPr>
                <w:rFonts w:ascii="Arial" w:cs="Arial" w:eastAsia="Arial" w:hAnsi="Arial"/>
                <w:sz w:val="18"/>
                <w:szCs w:val="18"/>
                <w:color w:val="auto"/>
              </w:rPr>
              <w:t>- Eldridge Industries, LLC, an affiliate of LSB Funding</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Environmental and Health Laws</w:t>
            </w:r>
          </w:p>
        </w:tc>
        <w:tc>
          <w:tcPr>
            <w:tcW w:w="8380" w:type="dxa"/>
            <w:vAlign w:val="bottom"/>
          </w:tcPr>
          <w:p>
            <w:pPr>
              <w:ind w:left="320"/>
              <w:spacing w:after="0"/>
              <w:rPr>
                <w:sz w:val="20"/>
                <w:szCs w:val="20"/>
                <w:color w:val="auto"/>
              </w:rPr>
            </w:pPr>
            <w:r>
              <w:rPr>
                <w:rFonts w:ascii="Arial" w:cs="Arial" w:eastAsia="Arial" w:hAnsi="Arial"/>
                <w:sz w:val="18"/>
                <w:szCs w:val="18"/>
                <w:color w:val="auto"/>
              </w:rPr>
              <w:t>- Numerous federal, state and local environmental, health and safety laws.</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EUC</w:t>
            </w:r>
          </w:p>
        </w:tc>
        <w:tc>
          <w:tcPr>
            <w:tcW w:w="8380" w:type="dxa"/>
            <w:vAlign w:val="bottom"/>
          </w:tcPr>
          <w:p>
            <w:pPr>
              <w:ind w:left="320"/>
              <w:spacing w:after="0"/>
              <w:rPr>
                <w:sz w:val="20"/>
                <w:szCs w:val="20"/>
                <w:color w:val="auto"/>
              </w:rPr>
            </w:pPr>
            <w:r>
              <w:rPr>
                <w:rFonts w:ascii="Arial" w:cs="Arial" w:eastAsia="Arial" w:hAnsi="Arial"/>
                <w:sz w:val="18"/>
                <w:szCs w:val="18"/>
                <w:color w:val="auto"/>
              </w:rPr>
              <w:t>- Environmental Use Control.</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Exchange Agreement</w:t>
            </w:r>
          </w:p>
        </w:tc>
        <w:tc>
          <w:tcPr>
            <w:tcW w:w="8380" w:type="dxa"/>
            <w:vAlign w:val="bottom"/>
          </w:tcPr>
          <w:p>
            <w:pPr>
              <w:ind w:left="320"/>
              <w:spacing w:after="0"/>
              <w:rPr>
                <w:sz w:val="20"/>
                <w:szCs w:val="20"/>
                <w:color w:val="auto"/>
              </w:rPr>
            </w:pPr>
            <w:r>
              <w:rPr>
                <w:rFonts w:ascii="Arial" w:cs="Arial" w:eastAsia="Arial" w:hAnsi="Arial"/>
                <w:sz w:val="18"/>
                <w:szCs w:val="18"/>
                <w:color w:val="auto"/>
                <w:w w:val="95"/>
              </w:rPr>
              <w:t>- A Securities Exchange Agreement between LSB Funding L.L.C. and affiliate of Eldridge L.L.C. and LSB.</w:t>
            </w:r>
          </w:p>
        </w:tc>
      </w:tr>
      <w:tr>
        <w:trPr>
          <w:trHeight w:val="242"/>
        </w:trPr>
        <w:tc>
          <w:tcPr>
            <w:tcW w:w="2860" w:type="dxa"/>
            <w:vAlign w:val="bottom"/>
          </w:tcPr>
          <w:p>
            <w:pPr>
              <w:spacing w:after="0"/>
              <w:rPr>
                <w:sz w:val="20"/>
                <w:szCs w:val="20"/>
                <w:color w:val="auto"/>
              </w:rPr>
            </w:pPr>
            <w:r>
              <w:rPr>
                <w:rFonts w:ascii="Arial" w:cs="Arial" w:eastAsia="Arial" w:hAnsi="Arial"/>
                <w:sz w:val="18"/>
                <w:szCs w:val="18"/>
                <w:b w:val="1"/>
                <w:bCs w:val="1"/>
                <w:color w:val="auto"/>
              </w:rPr>
              <w:t>Exchange Transaction</w:t>
            </w:r>
          </w:p>
        </w:tc>
        <w:tc>
          <w:tcPr>
            <w:tcW w:w="8380" w:type="dxa"/>
            <w:vAlign w:val="bottom"/>
          </w:tcPr>
          <w:p>
            <w:pPr>
              <w:ind w:left="320"/>
              <w:spacing w:after="0"/>
              <w:rPr>
                <w:sz w:val="20"/>
                <w:szCs w:val="20"/>
                <w:color w:val="auto"/>
              </w:rPr>
            </w:pPr>
            <w:r>
              <w:rPr>
                <w:rFonts w:ascii="Arial" w:cs="Arial" w:eastAsia="Arial" w:hAnsi="Arial"/>
                <w:sz w:val="18"/>
                <w:szCs w:val="18"/>
                <w:color w:val="auto"/>
                <w:w w:val="94"/>
              </w:rPr>
              <w:t>- The exchange of shares of the Series E and Series F Redeemable Preferred for shares of common stock</w:t>
            </w:r>
          </w:p>
        </w:tc>
      </w:tr>
      <w:tr>
        <w:trPr>
          <w:trHeight w:val="230"/>
        </w:trPr>
        <w:tc>
          <w:tcPr>
            <w:tcW w:w="2860" w:type="dxa"/>
            <w:vAlign w:val="bottom"/>
          </w:tcPr>
          <w:p>
            <w:pPr>
              <w:spacing w:after="0"/>
              <w:rPr>
                <w:sz w:val="20"/>
                <w:szCs w:val="20"/>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pursuant to the Exchange Agreement.</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FASB</w:t>
            </w:r>
          </w:p>
        </w:tc>
        <w:tc>
          <w:tcPr>
            <w:tcW w:w="8380" w:type="dxa"/>
            <w:vAlign w:val="bottom"/>
          </w:tcPr>
          <w:p>
            <w:pPr>
              <w:ind w:left="320"/>
              <w:spacing w:after="0"/>
              <w:rPr>
                <w:sz w:val="20"/>
                <w:szCs w:val="20"/>
                <w:color w:val="auto"/>
              </w:rPr>
            </w:pPr>
            <w:r>
              <w:rPr>
                <w:rFonts w:ascii="Arial" w:cs="Arial" w:eastAsia="Arial" w:hAnsi="Arial"/>
                <w:sz w:val="18"/>
                <w:szCs w:val="18"/>
                <w:color w:val="auto"/>
              </w:rPr>
              <w:t>- Financial Accounting Standards Board.</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Financial Covenant</w:t>
            </w:r>
          </w:p>
        </w:tc>
        <w:tc>
          <w:tcPr>
            <w:tcW w:w="8380" w:type="dxa"/>
            <w:vAlign w:val="bottom"/>
          </w:tcPr>
          <w:p>
            <w:pPr>
              <w:ind w:left="320"/>
              <w:spacing w:after="0"/>
              <w:rPr>
                <w:sz w:val="20"/>
                <w:szCs w:val="20"/>
                <w:color w:val="auto"/>
              </w:rPr>
            </w:pPr>
            <w:r>
              <w:rPr>
                <w:rFonts w:ascii="Arial" w:cs="Arial" w:eastAsia="Arial" w:hAnsi="Arial"/>
                <w:sz w:val="18"/>
                <w:szCs w:val="18"/>
                <w:color w:val="auto"/>
              </w:rPr>
              <w:t>- Certain springing financial covenants associated with the working capital revolver loan.</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GAAP</w:t>
            </w:r>
          </w:p>
        </w:tc>
        <w:tc>
          <w:tcPr>
            <w:tcW w:w="8380" w:type="dxa"/>
            <w:vAlign w:val="bottom"/>
          </w:tcPr>
          <w:p>
            <w:pPr>
              <w:ind w:left="320"/>
              <w:spacing w:after="0"/>
              <w:rPr>
                <w:sz w:val="20"/>
                <w:szCs w:val="20"/>
                <w:color w:val="auto"/>
              </w:rPr>
            </w:pPr>
            <w:r>
              <w:rPr>
                <w:rFonts w:ascii="Arial" w:cs="Arial" w:eastAsia="Arial" w:hAnsi="Arial"/>
                <w:sz w:val="18"/>
                <w:szCs w:val="18"/>
                <w:color w:val="auto"/>
              </w:rPr>
              <w:t>- U.S. Generally Accepted Accounting Principles.</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Global</w:t>
            </w:r>
          </w:p>
        </w:tc>
        <w:tc>
          <w:tcPr>
            <w:tcW w:w="8380" w:type="dxa"/>
            <w:vAlign w:val="bottom"/>
          </w:tcPr>
          <w:p>
            <w:pPr>
              <w:ind w:left="320"/>
              <w:spacing w:after="0"/>
              <w:rPr>
                <w:sz w:val="20"/>
                <w:szCs w:val="20"/>
                <w:color w:val="auto"/>
              </w:rPr>
            </w:pPr>
            <w:r>
              <w:rPr>
                <w:rFonts w:ascii="Arial" w:cs="Arial" w:eastAsia="Arial" w:hAnsi="Arial"/>
                <w:sz w:val="18"/>
                <w:szCs w:val="18"/>
                <w:color w:val="auto"/>
                <w:w w:val="98"/>
              </w:rPr>
              <w:t>- Global Industrial, Inc., a subcontractor asserting mechanics liens for work rendered to LSB and EDC.</w:t>
            </w:r>
          </w:p>
        </w:tc>
      </w:tr>
      <w:tr>
        <w:trPr>
          <w:trHeight w:val="242"/>
        </w:trPr>
        <w:tc>
          <w:tcPr>
            <w:tcW w:w="2860" w:type="dxa"/>
            <w:vAlign w:val="bottom"/>
          </w:tcPr>
          <w:p>
            <w:pPr>
              <w:spacing w:after="0"/>
              <w:rPr>
                <w:sz w:val="20"/>
                <w:szCs w:val="20"/>
                <w:color w:val="auto"/>
              </w:rPr>
            </w:pPr>
            <w:r>
              <w:rPr>
                <w:rFonts w:ascii="Arial" w:cs="Arial" w:eastAsia="Arial" w:hAnsi="Arial"/>
                <w:sz w:val="18"/>
                <w:szCs w:val="18"/>
                <w:b w:val="1"/>
                <w:bCs w:val="1"/>
                <w:color w:val="auto"/>
              </w:rPr>
              <w:t>Golsen Holders</w:t>
            </w:r>
          </w:p>
        </w:tc>
        <w:tc>
          <w:tcPr>
            <w:tcW w:w="8380" w:type="dxa"/>
            <w:vAlign w:val="bottom"/>
          </w:tcPr>
          <w:p>
            <w:pPr>
              <w:ind w:left="320"/>
              <w:spacing w:after="0"/>
              <w:rPr>
                <w:sz w:val="20"/>
                <w:szCs w:val="20"/>
                <w:color w:val="auto"/>
              </w:rPr>
            </w:pPr>
            <w:r>
              <w:rPr>
                <w:rFonts w:ascii="Arial" w:cs="Arial" w:eastAsia="Arial" w:hAnsi="Arial"/>
                <w:sz w:val="18"/>
                <w:szCs w:val="18"/>
                <w:color w:val="auto"/>
                <w:w w:val="95"/>
              </w:rPr>
              <w:t>- Jack E. Golsen, Barry H. Golsen, and certain of their related parties identified as beneficial owners of our</w:t>
            </w:r>
          </w:p>
        </w:tc>
      </w:tr>
      <w:tr>
        <w:trPr>
          <w:trHeight w:val="230"/>
        </w:trPr>
        <w:tc>
          <w:tcPr>
            <w:tcW w:w="2860" w:type="dxa"/>
            <w:vAlign w:val="bottom"/>
          </w:tcPr>
          <w:p>
            <w:pPr>
              <w:spacing w:after="0"/>
              <w:rPr>
                <w:sz w:val="20"/>
                <w:szCs w:val="20"/>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securities.</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Hallowell Facility</w:t>
            </w:r>
          </w:p>
        </w:tc>
        <w:tc>
          <w:tcPr>
            <w:tcW w:w="8380" w:type="dxa"/>
            <w:vAlign w:val="bottom"/>
          </w:tcPr>
          <w:p>
            <w:pPr>
              <w:ind w:left="320"/>
              <w:spacing w:after="0"/>
              <w:rPr>
                <w:sz w:val="20"/>
                <w:szCs w:val="20"/>
                <w:color w:val="auto"/>
              </w:rPr>
            </w:pPr>
            <w:r>
              <w:rPr>
                <w:rFonts w:ascii="Arial" w:cs="Arial" w:eastAsia="Arial" w:hAnsi="Arial"/>
                <w:sz w:val="18"/>
                <w:szCs w:val="18"/>
                <w:color w:val="auto"/>
              </w:rPr>
              <w:t>- A chemical facility previously owned by two of our subsidiaries located in Kansas.</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HDAN</w:t>
            </w:r>
          </w:p>
        </w:tc>
        <w:tc>
          <w:tcPr>
            <w:tcW w:w="8380" w:type="dxa"/>
            <w:vAlign w:val="bottom"/>
          </w:tcPr>
          <w:p>
            <w:pPr>
              <w:ind w:left="320"/>
              <w:spacing w:after="0"/>
              <w:rPr>
                <w:sz w:val="20"/>
                <w:szCs w:val="20"/>
                <w:color w:val="auto"/>
              </w:rPr>
            </w:pPr>
            <w:r>
              <w:rPr>
                <w:rFonts w:ascii="Arial" w:cs="Arial" w:eastAsia="Arial" w:hAnsi="Arial"/>
                <w:sz w:val="18"/>
                <w:szCs w:val="18"/>
                <w:color w:val="auto"/>
              </w:rPr>
              <w:t>- High density ammonium nitrate prills used in the agricultural industry.</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Holder</w:t>
            </w:r>
          </w:p>
        </w:tc>
        <w:tc>
          <w:tcPr>
            <w:tcW w:w="8380" w:type="dxa"/>
            <w:vAlign w:val="bottom"/>
          </w:tcPr>
          <w:p>
            <w:pPr>
              <w:ind w:left="320"/>
              <w:spacing w:after="0"/>
              <w:rPr>
                <w:sz w:val="20"/>
                <w:szCs w:val="20"/>
                <w:color w:val="auto"/>
              </w:rPr>
            </w:pPr>
            <w:r>
              <w:rPr>
                <w:rFonts w:ascii="Arial" w:cs="Arial" w:eastAsia="Arial" w:hAnsi="Arial"/>
                <w:sz w:val="18"/>
                <w:szCs w:val="18"/>
                <w:color w:val="auto"/>
                <w:w w:val="96"/>
              </w:rPr>
              <w:t>- LSB Funding L.L.C., the holder of all of the shares of the Series E and Series F Redeemable Preferred.</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KDHE</w:t>
            </w:r>
          </w:p>
        </w:tc>
        <w:tc>
          <w:tcPr>
            <w:tcW w:w="8380" w:type="dxa"/>
            <w:vAlign w:val="bottom"/>
          </w:tcPr>
          <w:p>
            <w:pPr>
              <w:ind w:left="320"/>
              <w:spacing w:after="0"/>
              <w:rPr>
                <w:sz w:val="20"/>
                <w:szCs w:val="20"/>
                <w:color w:val="auto"/>
              </w:rPr>
            </w:pPr>
            <w:r>
              <w:rPr>
                <w:rFonts w:ascii="Arial" w:cs="Arial" w:eastAsia="Arial" w:hAnsi="Arial"/>
                <w:sz w:val="18"/>
                <w:szCs w:val="18"/>
                <w:color w:val="auto"/>
              </w:rPr>
              <w:t>- The Kansas Department of Health and Environment.</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LDAN</w:t>
            </w:r>
          </w:p>
        </w:tc>
        <w:tc>
          <w:tcPr>
            <w:tcW w:w="8380" w:type="dxa"/>
            <w:vAlign w:val="bottom"/>
          </w:tcPr>
          <w:p>
            <w:pPr>
              <w:ind w:left="320"/>
              <w:spacing w:after="0"/>
              <w:rPr>
                <w:sz w:val="20"/>
                <w:szCs w:val="20"/>
                <w:color w:val="auto"/>
              </w:rPr>
            </w:pPr>
            <w:r>
              <w:rPr>
                <w:rFonts w:ascii="Arial" w:cs="Arial" w:eastAsia="Arial" w:hAnsi="Arial"/>
                <w:sz w:val="18"/>
                <w:szCs w:val="18"/>
                <w:color w:val="auto"/>
              </w:rPr>
              <w:t>- Low density ammonium nitrate prills used in the mining industry.</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Leidos</w:t>
            </w:r>
          </w:p>
        </w:tc>
        <w:tc>
          <w:tcPr>
            <w:tcW w:w="8380" w:type="dxa"/>
            <w:vAlign w:val="bottom"/>
          </w:tcPr>
          <w:p>
            <w:pPr>
              <w:ind w:left="320"/>
              <w:spacing w:after="0"/>
              <w:rPr>
                <w:sz w:val="20"/>
                <w:szCs w:val="20"/>
                <w:color w:val="auto"/>
              </w:rPr>
            </w:pPr>
            <w:r>
              <w:rPr>
                <w:rFonts w:ascii="Arial" w:cs="Arial" w:eastAsia="Arial" w:hAnsi="Arial"/>
                <w:sz w:val="18"/>
                <w:szCs w:val="18"/>
                <w:color w:val="auto"/>
              </w:rPr>
              <w:t>- Leidos Constructors L.L.C.</w:t>
            </w:r>
          </w:p>
        </w:tc>
      </w:tr>
      <w:tr>
        <w:trPr>
          <w:trHeight w:val="242"/>
        </w:trPr>
        <w:tc>
          <w:tcPr>
            <w:tcW w:w="2860" w:type="dxa"/>
            <w:vAlign w:val="bottom"/>
          </w:tcPr>
          <w:p>
            <w:pPr>
              <w:spacing w:after="0"/>
              <w:rPr>
                <w:sz w:val="20"/>
                <w:szCs w:val="20"/>
                <w:color w:val="auto"/>
              </w:rPr>
            </w:pPr>
            <w:r>
              <w:rPr>
                <w:rFonts w:ascii="Arial" w:cs="Arial" w:eastAsia="Arial" w:hAnsi="Arial"/>
                <w:sz w:val="18"/>
                <w:szCs w:val="18"/>
                <w:b w:val="1"/>
                <w:bCs w:val="1"/>
                <w:color w:val="auto"/>
              </w:rPr>
              <w:t>Liquidation Preference</w:t>
            </w:r>
          </w:p>
        </w:tc>
        <w:tc>
          <w:tcPr>
            <w:tcW w:w="8380" w:type="dxa"/>
            <w:vAlign w:val="bottom"/>
          </w:tcPr>
          <w:p>
            <w:pPr>
              <w:ind w:left="320"/>
              <w:spacing w:after="0"/>
              <w:rPr>
                <w:sz w:val="20"/>
                <w:szCs w:val="20"/>
                <w:color w:val="auto"/>
              </w:rPr>
            </w:pPr>
            <w:r>
              <w:rPr>
                <w:rFonts w:ascii="Arial" w:cs="Arial" w:eastAsia="Arial" w:hAnsi="Arial"/>
                <w:sz w:val="18"/>
                <w:szCs w:val="18"/>
                <w:color w:val="auto"/>
                <w:w w:val="95"/>
              </w:rPr>
              <w:t>- The Series E Redeemable Preferred liquidation preference of $1,000 per share plus accrued and unpaid</w:t>
            </w:r>
          </w:p>
        </w:tc>
      </w:tr>
      <w:tr>
        <w:trPr>
          <w:trHeight w:val="230"/>
        </w:trPr>
        <w:tc>
          <w:tcPr>
            <w:tcW w:w="2860" w:type="dxa"/>
            <w:vAlign w:val="bottom"/>
          </w:tcPr>
          <w:p>
            <w:pPr>
              <w:spacing w:after="0"/>
              <w:rPr>
                <w:sz w:val="20"/>
                <w:szCs w:val="20"/>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dividends plus the participation rights value.</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LSB</w:t>
            </w:r>
          </w:p>
        </w:tc>
        <w:tc>
          <w:tcPr>
            <w:tcW w:w="8380" w:type="dxa"/>
            <w:vAlign w:val="bottom"/>
          </w:tcPr>
          <w:p>
            <w:pPr>
              <w:ind w:left="320"/>
              <w:spacing w:after="0"/>
              <w:rPr>
                <w:sz w:val="20"/>
                <w:szCs w:val="20"/>
                <w:color w:val="auto"/>
              </w:rPr>
            </w:pPr>
            <w:r>
              <w:rPr>
                <w:rFonts w:ascii="Arial" w:cs="Arial" w:eastAsia="Arial" w:hAnsi="Arial"/>
                <w:sz w:val="18"/>
                <w:szCs w:val="18"/>
                <w:color w:val="auto"/>
              </w:rPr>
              <w:t>- LSB Industries, Inc.</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LSB Funding</w:t>
            </w:r>
          </w:p>
        </w:tc>
        <w:tc>
          <w:tcPr>
            <w:tcW w:w="8380" w:type="dxa"/>
            <w:vAlign w:val="bottom"/>
          </w:tcPr>
          <w:p>
            <w:pPr>
              <w:ind w:left="320"/>
              <w:spacing w:after="0"/>
              <w:rPr>
                <w:sz w:val="20"/>
                <w:szCs w:val="20"/>
                <w:color w:val="auto"/>
              </w:rPr>
            </w:pPr>
            <w:r>
              <w:rPr>
                <w:rFonts w:ascii="Arial" w:cs="Arial" w:eastAsia="Arial" w:hAnsi="Arial"/>
                <w:sz w:val="18"/>
                <w:szCs w:val="18"/>
                <w:color w:val="auto"/>
              </w:rPr>
              <w:t>- LSB Funding L.L.C.</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MD&amp;A</w:t>
            </w:r>
          </w:p>
        </w:tc>
        <w:tc>
          <w:tcPr>
            <w:tcW w:w="8380" w:type="dxa"/>
            <w:vAlign w:val="bottom"/>
          </w:tcPr>
          <w:p>
            <w:pPr>
              <w:ind w:left="320"/>
              <w:spacing w:after="0"/>
              <w:rPr>
                <w:sz w:val="20"/>
                <w:szCs w:val="20"/>
                <w:color w:val="auto"/>
              </w:rPr>
            </w:pPr>
            <w:r>
              <w:rPr>
                <w:rFonts w:ascii="Arial" w:cs="Arial" w:eastAsia="Arial" w:hAnsi="Arial"/>
                <w:sz w:val="18"/>
                <w:szCs w:val="18"/>
                <w:color w:val="auto"/>
              </w:rPr>
              <w:t>- Management’s Discussion and Analysis of Financial Condition and Results of Operations.</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Note</w:t>
            </w:r>
          </w:p>
        </w:tc>
        <w:tc>
          <w:tcPr>
            <w:tcW w:w="8380" w:type="dxa"/>
            <w:vAlign w:val="bottom"/>
          </w:tcPr>
          <w:p>
            <w:pPr>
              <w:ind w:left="320"/>
              <w:spacing w:after="0"/>
              <w:rPr>
                <w:sz w:val="20"/>
                <w:szCs w:val="20"/>
                <w:color w:val="auto"/>
              </w:rPr>
            </w:pPr>
            <w:r>
              <w:rPr>
                <w:rFonts w:ascii="Arial" w:cs="Arial" w:eastAsia="Arial" w:hAnsi="Arial"/>
                <w:sz w:val="18"/>
                <w:szCs w:val="18"/>
                <w:color w:val="auto"/>
              </w:rPr>
              <w:t>- A note in the accompanying notes to the condensed consolidated financial statements.</w:t>
            </w:r>
          </w:p>
        </w:tc>
      </w:tr>
      <w:tr>
        <w:trPr>
          <w:trHeight w:val="242"/>
        </w:trPr>
        <w:tc>
          <w:tcPr>
            <w:tcW w:w="2860" w:type="dxa"/>
            <w:vAlign w:val="bottom"/>
          </w:tcPr>
          <w:p>
            <w:pPr>
              <w:spacing w:after="0"/>
              <w:rPr>
                <w:sz w:val="20"/>
                <w:szCs w:val="20"/>
                <w:color w:val="auto"/>
              </w:rPr>
            </w:pPr>
            <w:r>
              <w:rPr>
                <w:rFonts w:ascii="Arial" w:cs="Arial" w:eastAsia="Arial" w:hAnsi="Arial"/>
                <w:sz w:val="18"/>
                <w:szCs w:val="18"/>
                <w:b w:val="1"/>
                <w:bCs w:val="1"/>
                <w:color w:val="auto"/>
              </w:rPr>
              <w:t>Notes</w:t>
            </w:r>
          </w:p>
        </w:tc>
        <w:tc>
          <w:tcPr>
            <w:tcW w:w="8380" w:type="dxa"/>
            <w:vAlign w:val="bottom"/>
          </w:tcPr>
          <w:p>
            <w:pPr>
              <w:ind w:left="320"/>
              <w:spacing w:after="0"/>
              <w:rPr>
                <w:sz w:val="20"/>
                <w:szCs w:val="20"/>
                <w:color w:val="auto"/>
              </w:rPr>
            </w:pPr>
            <w:r>
              <w:rPr>
                <w:rFonts w:ascii="Arial" w:cs="Arial" w:eastAsia="Arial" w:hAnsi="Arial"/>
                <w:sz w:val="18"/>
                <w:szCs w:val="18"/>
                <w:color w:val="auto"/>
                <w:w w:val="89"/>
              </w:rPr>
              <w:t>- The senior secured notes issued on October 14, 2021 with an interest rate of 6.250%, which mature in October</w:t>
            </w:r>
          </w:p>
        </w:tc>
      </w:tr>
      <w:tr>
        <w:trPr>
          <w:trHeight w:val="230"/>
        </w:trPr>
        <w:tc>
          <w:tcPr>
            <w:tcW w:w="2860" w:type="dxa"/>
            <w:vAlign w:val="bottom"/>
          </w:tcPr>
          <w:p>
            <w:pPr>
              <w:spacing w:after="0"/>
              <w:rPr>
                <w:sz w:val="20"/>
                <w:szCs w:val="20"/>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2028.</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Notes Trustee</w:t>
            </w:r>
          </w:p>
        </w:tc>
        <w:tc>
          <w:tcPr>
            <w:tcW w:w="8380" w:type="dxa"/>
            <w:vAlign w:val="bottom"/>
          </w:tcPr>
          <w:p>
            <w:pPr>
              <w:ind w:left="320"/>
              <w:spacing w:after="0"/>
              <w:rPr>
                <w:sz w:val="20"/>
                <w:szCs w:val="20"/>
                <w:color w:val="auto"/>
              </w:rPr>
            </w:pPr>
            <w:r>
              <w:rPr>
                <w:rFonts w:ascii="Arial" w:cs="Arial" w:eastAsia="Arial" w:hAnsi="Arial"/>
                <w:sz w:val="18"/>
                <w:szCs w:val="18"/>
                <w:color w:val="auto"/>
              </w:rPr>
              <w:t>- Wilmington Trust and National Association as trustee and collateral agent.</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NPDES</w:t>
            </w:r>
          </w:p>
        </w:tc>
        <w:tc>
          <w:tcPr>
            <w:tcW w:w="8380" w:type="dxa"/>
            <w:vAlign w:val="bottom"/>
          </w:tcPr>
          <w:p>
            <w:pPr>
              <w:ind w:left="320"/>
              <w:spacing w:after="0"/>
              <w:rPr>
                <w:sz w:val="20"/>
                <w:szCs w:val="20"/>
                <w:color w:val="auto"/>
              </w:rPr>
            </w:pPr>
            <w:r>
              <w:rPr>
                <w:rFonts w:ascii="Arial" w:cs="Arial" w:eastAsia="Arial" w:hAnsi="Arial"/>
                <w:sz w:val="18"/>
                <w:szCs w:val="18"/>
                <w:color w:val="auto"/>
              </w:rPr>
              <w:t>- National Pollutant Discharge Elimination System.</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ODEQ</w:t>
            </w:r>
          </w:p>
        </w:tc>
        <w:tc>
          <w:tcPr>
            <w:tcW w:w="8380" w:type="dxa"/>
            <w:vAlign w:val="bottom"/>
          </w:tcPr>
          <w:p>
            <w:pPr>
              <w:ind w:left="320"/>
              <w:spacing w:after="0"/>
              <w:rPr>
                <w:sz w:val="20"/>
                <w:szCs w:val="20"/>
                <w:color w:val="auto"/>
              </w:rPr>
            </w:pPr>
            <w:r>
              <w:rPr>
                <w:rFonts w:ascii="Arial" w:cs="Arial" w:eastAsia="Arial" w:hAnsi="Arial"/>
                <w:sz w:val="18"/>
                <w:szCs w:val="18"/>
                <w:color w:val="auto"/>
              </w:rPr>
              <w:t>- The Oklahoma Department of Environmental Quality.</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PAR</w:t>
            </w:r>
          </w:p>
        </w:tc>
        <w:tc>
          <w:tcPr>
            <w:tcW w:w="8380" w:type="dxa"/>
            <w:vAlign w:val="bottom"/>
          </w:tcPr>
          <w:p>
            <w:pPr>
              <w:ind w:left="320"/>
              <w:spacing w:after="0"/>
              <w:rPr>
                <w:sz w:val="20"/>
                <w:szCs w:val="20"/>
                <w:color w:val="auto"/>
              </w:rPr>
            </w:pPr>
            <w:r>
              <w:rPr>
                <w:rFonts w:ascii="Arial" w:cs="Arial" w:eastAsia="Arial" w:hAnsi="Arial"/>
                <w:sz w:val="18"/>
                <w:szCs w:val="18"/>
                <w:color w:val="auto"/>
              </w:rPr>
              <w:t>- Permit Appeal Resolution.</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PCC</w:t>
            </w:r>
          </w:p>
        </w:tc>
        <w:tc>
          <w:tcPr>
            <w:tcW w:w="8380" w:type="dxa"/>
            <w:vAlign w:val="bottom"/>
          </w:tcPr>
          <w:p>
            <w:pPr>
              <w:ind w:left="320"/>
              <w:spacing w:after="0"/>
              <w:rPr>
                <w:sz w:val="20"/>
                <w:szCs w:val="20"/>
                <w:color w:val="auto"/>
              </w:rPr>
            </w:pPr>
            <w:r>
              <w:rPr>
                <w:rFonts w:ascii="Arial" w:cs="Arial" w:eastAsia="Arial" w:hAnsi="Arial"/>
                <w:sz w:val="18"/>
                <w:szCs w:val="18"/>
                <w:color w:val="auto"/>
              </w:rPr>
              <w:t>- Pryor Chemical Company.</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PP&amp;E</w:t>
            </w:r>
          </w:p>
        </w:tc>
        <w:tc>
          <w:tcPr>
            <w:tcW w:w="8380" w:type="dxa"/>
            <w:vAlign w:val="bottom"/>
          </w:tcPr>
          <w:p>
            <w:pPr>
              <w:ind w:left="320"/>
              <w:spacing w:after="0"/>
              <w:rPr>
                <w:sz w:val="20"/>
                <w:szCs w:val="20"/>
                <w:color w:val="auto"/>
              </w:rPr>
            </w:pPr>
            <w:r>
              <w:rPr>
                <w:rFonts w:ascii="Arial" w:cs="Arial" w:eastAsia="Arial" w:hAnsi="Arial"/>
                <w:sz w:val="18"/>
                <w:szCs w:val="18"/>
                <w:color w:val="auto"/>
              </w:rPr>
              <w:t>- Plant, property and equipment.</w:t>
            </w:r>
          </w:p>
        </w:tc>
      </w:tr>
      <w:tr>
        <w:trPr>
          <w:trHeight w:val="473"/>
        </w:trPr>
        <w:tc>
          <w:tcPr>
            <w:tcW w:w="2860" w:type="dxa"/>
            <w:vAlign w:val="bottom"/>
          </w:tcPr>
          <w:p>
            <w:pPr>
              <w:spacing w:after="0"/>
              <w:rPr>
                <w:sz w:val="24"/>
                <w:szCs w:val="24"/>
                <w:color w:val="auto"/>
              </w:rPr>
            </w:pPr>
          </w:p>
        </w:tc>
        <w:tc>
          <w:tcPr>
            <w:tcW w:w="8380" w:type="dxa"/>
            <w:vAlign w:val="bottom"/>
          </w:tcPr>
          <w:p>
            <w:pPr>
              <w:ind w:left="2680"/>
              <w:spacing w:after="0"/>
              <w:rPr>
                <w:sz w:val="20"/>
                <w:szCs w:val="20"/>
                <w:color w:val="auto"/>
              </w:rPr>
            </w:pPr>
            <w:r>
              <w:rPr>
                <w:rFonts w:ascii="Arial" w:cs="Arial" w:eastAsia="Arial" w:hAnsi="Arial"/>
                <w:sz w:val="18"/>
                <w:szCs w:val="18"/>
                <w:color w:val="auto"/>
              </w:rPr>
              <w:t>41</w:t>
            </w:r>
          </w:p>
        </w:tc>
      </w:tr>
      <w:tr>
        <w:trPr>
          <w:trHeight w:val="115"/>
        </w:trPr>
        <w:tc>
          <w:tcPr>
            <w:tcW w:w="2860" w:type="dxa"/>
            <w:vAlign w:val="bottom"/>
            <w:tcBorders>
              <w:bottom w:val="single" w:sz="8" w:color="9A9A9A"/>
            </w:tcBorders>
          </w:tcPr>
          <w:p>
            <w:pPr>
              <w:spacing w:after="0"/>
              <w:rPr>
                <w:sz w:val="10"/>
                <w:szCs w:val="10"/>
                <w:color w:val="auto"/>
              </w:rPr>
            </w:pPr>
          </w:p>
        </w:tc>
        <w:tc>
          <w:tcPr>
            <w:tcW w:w="83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PPP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Pryor Facility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SBA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Financing due 2023</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Financing due 2025</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Secured Loan Agreement due 2025</w:t>
      </w:r>
    </w:p>
    <w:p>
      <w:pPr>
        <w:spacing w:after="0" w:line="289" w:lineRule="exact"/>
        <w:rPr>
          <w:sz w:val="20"/>
          <w:szCs w:val="20"/>
          <w:color w:val="auto"/>
        </w:rPr>
      </w:pPr>
    </w:p>
    <w:p>
      <w:pPr>
        <w:ind w:right="20"/>
        <w:spacing w:after="0" w:line="297" w:lineRule="auto"/>
        <w:rPr>
          <w:sz w:val="20"/>
          <w:szCs w:val="20"/>
          <w:color w:val="auto"/>
        </w:rPr>
      </w:pPr>
      <w:r>
        <w:rPr>
          <w:rFonts w:ascii="Arial" w:cs="Arial" w:eastAsia="Arial" w:hAnsi="Arial"/>
          <w:sz w:val="18"/>
          <w:szCs w:val="18"/>
          <w:b w:val="1"/>
          <w:bCs w:val="1"/>
          <w:color w:val="auto"/>
        </w:rPr>
        <w:t>Secured Promissory Note due 2021 Senior Secured Notes Series B Preferred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D Preferred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E Redeemable Preferred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F Redeemable Preferred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SG&amp;A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Dividend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Turnaround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UAN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USDA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WASDE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 Fertilizer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Revolver Loan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Crop</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Crop</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Crop</w:t>
      </w:r>
    </w:p>
    <w:p>
      <w:pPr>
        <w:spacing w:after="0" w:line="20" w:lineRule="exact"/>
        <w:rPr>
          <w:sz w:val="20"/>
          <w:szCs w:val="20"/>
          <w:color w:val="auto"/>
        </w:rPr>
      </w:pPr>
      <w:r>
        <w:rPr>
          <w:sz w:val="20"/>
          <w:szCs w:val="20"/>
          <w:color w:val="auto"/>
        </w:rPr>
        <w:br w:type="column"/>
      </w: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Paycheck Protection Program.</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chemical production facility located in Pryor, Oklahoma.</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LSB Funding L.L.C.</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Small Business Administration.</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U.S. Securities and Exchange Commission.</w:t>
      </w:r>
    </w:p>
    <w:p>
      <w:pPr>
        <w:spacing w:after="0" w:line="49" w:lineRule="exact"/>
        <w:rPr>
          <w:rFonts w:ascii="Arial" w:cs="Arial" w:eastAsia="Arial" w:hAnsi="Arial"/>
          <w:sz w:val="18"/>
          <w:szCs w:val="18"/>
          <w:color w:val="auto"/>
        </w:rPr>
      </w:pPr>
    </w:p>
    <w:p>
      <w:pPr>
        <w:ind w:left="96" w:hanging="96"/>
        <w:spacing w:after="0" w:line="273" w:lineRule="auto"/>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secured financing arrangement between EDC and an affiliate of LSB Funding L.L.C. which matures in June 2023.</w:t>
      </w:r>
    </w:p>
    <w:p>
      <w:pPr>
        <w:spacing w:after="0" w:line="1" w:lineRule="exact"/>
        <w:rPr>
          <w:rFonts w:ascii="Arial" w:cs="Arial" w:eastAsia="Arial" w:hAnsi="Arial"/>
          <w:sz w:val="18"/>
          <w:szCs w:val="18"/>
          <w:color w:val="auto"/>
        </w:rPr>
      </w:pPr>
    </w:p>
    <w:p>
      <w:pPr>
        <w:ind w:left="96" w:hanging="96"/>
        <w:spacing w:after="0" w:line="273" w:lineRule="auto"/>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secured financing arrangement between EDA and an affiliate of LSB Funding L.L.C. which matures in August 2025.</w:t>
      </w:r>
    </w:p>
    <w:p>
      <w:pPr>
        <w:spacing w:after="0" w:line="1" w:lineRule="exact"/>
        <w:rPr>
          <w:rFonts w:ascii="Arial" w:cs="Arial" w:eastAsia="Arial" w:hAnsi="Arial"/>
          <w:sz w:val="18"/>
          <w:szCs w:val="18"/>
          <w:color w:val="auto"/>
        </w:rPr>
      </w:pPr>
    </w:p>
    <w:p>
      <w:pPr>
        <w:ind w:left="96" w:right="20" w:hanging="96"/>
        <w:spacing w:after="0" w:line="273" w:lineRule="auto"/>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secured loan agreement between EDC and an affiliate of LSB Funding L.L.C. which matures in March 2025.</w:t>
      </w:r>
    </w:p>
    <w:p>
      <w:pPr>
        <w:spacing w:after="0" w:line="1"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secured promissory note between EDC and a lender which, matured in March 2021.</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Senior secured notes with a stated interest rate of 9.625%, which were redeemed in October 2021.</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Series B 12% cumulative convertible Class C Preferred stock.</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Series D 6% cumulative convertible Class C preferred stock.</w:t>
      </w:r>
    </w:p>
    <w:p>
      <w:pPr>
        <w:spacing w:after="0" w:line="49" w:lineRule="exact"/>
        <w:rPr>
          <w:rFonts w:ascii="Arial" w:cs="Arial" w:eastAsia="Arial" w:hAnsi="Arial"/>
          <w:sz w:val="18"/>
          <w:szCs w:val="18"/>
          <w:color w:val="auto"/>
        </w:rPr>
      </w:pPr>
    </w:p>
    <w:p>
      <w:pPr>
        <w:ind w:left="96" w:hanging="96"/>
        <w:spacing w:after="0" w:line="273" w:lineRule="auto"/>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14% Series E-1 Redeemable Preferred stock with participating rights and liquidating distributions based on a certain number of shares of our common stock.</w:t>
      </w:r>
    </w:p>
    <w:p>
      <w:pPr>
        <w:spacing w:after="0" w:line="1" w:lineRule="exact"/>
        <w:rPr>
          <w:rFonts w:ascii="Arial" w:cs="Arial" w:eastAsia="Arial" w:hAnsi="Arial"/>
          <w:sz w:val="18"/>
          <w:szCs w:val="18"/>
          <w:color w:val="auto"/>
        </w:rPr>
      </w:pPr>
    </w:p>
    <w:p>
      <w:pPr>
        <w:ind w:left="96" w:right="20" w:hanging="96"/>
        <w:spacing w:after="0" w:line="273" w:lineRule="auto"/>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Series F-1 Redeemable Preferred stock with one share to vote as a single class on all matters with our common stock equal to 456,225 shares of our common stock.</w:t>
      </w:r>
    </w:p>
    <w:p>
      <w:pPr>
        <w:spacing w:after="0" w:line="1"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Selling, general and administrative expense.</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stock split in the form of a common stock dividend declared by our Board.</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Meeting of our stockholders held during the third quarter of 2021.</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planned major maintenance activity.</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Urea ammonium nitrate.</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United States.</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United States Department of Agriculture.</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World Agricultural Supply and Demand Estimates Report.</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West Fertilizer Company.</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secured revolving credit facility.</w:t>
      </w:r>
    </w:p>
    <w:p>
      <w:pPr>
        <w:spacing w:after="0" w:line="49" w:lineRule="exact"/>
        <w:rPr>
          <w:rFonts w:ascii="Arial" w:cs="Arial" w:eastAsia="Arial" w:hAnsi="Arial"/>
          <w:sz w:val="18"/>
          <w:szCs w:val="18"/>
          <w:color w:val="auto"/>
        </w:rPr>
      </w:pPr>
    </w:p>
    <w:p>
      <w:pPr>
        <w:ind w:left="96" w:hanging="96"/>
        <w:spacing w:after="0" w:line="273" w:lineRule="auto"/>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Corn crop marketing year (September 1 - August 31), which began in 2019 and ended in 2020 and primarily relates to corn planted and harvested in 2019.</w:t>
      </w:r>
    </w:p>
    <w:p>
      <w:pPr>
        <w:spacing w:after="0" w:line="1" w:lineRule="exact"/>
        <w:rPr>
          <w:rFonts w:ascii="Arial" w:cs="Arial" w:eastAsia="Arial" w:hAnsi="Arial"/>
          <w:sz w:val="18"/>
          <w:szCs w:val="18"/>
          <w:color w:val="auto"/>
        </w:rPr>
      </w:pPr>
    </w:p>
    <w:p>
      <w:pPr>
        <w:ind w:left="96" w:hanging="96"/>
        <w:spacing w:after="0" w:line="273" w:lineRule="auto"/>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Corn crop marketing year (September 1 - August 31), which began in 2020 and ended in 2021 and primarily relates to corn planted and harvested in 2020.</w:t>
      </w:r>
    </w:p>
    <w:p>
      <w:pPr>
        <w:spacing w:after="0" w:line="1" w:lineRule="exact"/>
        <w:rPr>
          <w:rFonts w:ascii="Arial" w:cs="Arial" w:eastAsia="Arial" w:hAnsi="Arial"/>
          <w:sz w:val="18"/>
          <w:szCs w:val="18"/>
          <w:color w:val="auto"/>
        </w:rPr>
      </w:pPr>
    </w:p>
    <w:p>
      <w:pPr>
        <w:ind w:left="96" w:hanging="96"/>
        <w:spacing w:after="0" w:line="277" w:lineRule="auto"/>
        <w:tabs>
          <w:tab w:leader="none" w:pos="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Corn crop marketing year (September 1 - August 31), which began in 2021 and will end in 2022 and primarily relates to corn planted and harvested in 2021.</w:t>
      </w:r>
    </w:p>
    <w:p>
      <w:pPr>
        <w:spacing w:after="0" w:line="386" w:lineRule="exact"/>
        <w:rPr>
          <w:sz w:val="20"/>
          <w:szCs w:val="20"/>
          <w:color w:val="auto"/>
        </w:rPr>
      </w:pPr>
    </w:p>
    <w:p>
      <w:pPr>
        <w:ind w:left="2356"/>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700" w:space="484"/>
            <w:col w:w="8056"/>
          </w:cols>
          <w:pgMar w:left="320" w:top="337" w:right="33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Litigation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from time to time subject to various legal proceedings and claims arising in the ordinary course of business, including, but not limited to, examinations by the Internal Revenue Service. For further discussion of our legal matters, see “Note 6—Commitments and Contingencies—Legal Matters” in the Notes to the Condensed Consolidated Financial Statements in this Form 10-Q.</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to be reported under this Item is not required for smaller reporting companies.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“Index to Exhibits” on page 44.</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auto"/>
        </w:rPr>
        <w:t>Index to Exhibits Item</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ind w:left="34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0" w:type="dxa"/>
            <w:vAlign w:val="bottom"/>
            <w:gridSpan w:val="12"/>
            <w:vMerge w:val="restart"/>
          </w:tcPr>
          <w:p>
            <w:pPr>
              <w:ind w:left="460"/>
              <w:spacing w:after="0"/>
              <w:rPr>
                <w:sz w:val="20"/>
                <w:szCs w:val="20"/>
                <w:color w:val="auto"/>
              </w:rPr>
            </w:pPr>
            <w:r>
              <w:rPr>
                <w:rFonts w:ascii="Arial" w:cs="Arial" w:eastAsia="Arial" w:hAnsi="Arial"/>
                <w:sz w:val="14"/>
                <w:szCs w:val="14"/>
                <w:b w:val="1"/>
                <w:bCs w:val="1"/>
                <w:color w:val="auto"/>
              </w:rPr>
              <w:t>Exhibit Title</w:t>
            </w:r>
          </w:p>
        </w:tc>
        <w:tc>
          <w:tcPr>
            <w:tcW w:w="60" w:type="dxa"/>
            <w:vAlign w:val="bottom"/>
            <w:vMerge w:val="restart"/>
          </w:tcPr>
          <w:p>
            <w:pPr>
              <w:spacing w:after="0"/>
              <w:rPr>
                <w:sz w:val="14"/>
                <w:szCs w:val="14"/>
                <w:color w:val="auto"/>
              </w:rPr>
            </w:pPr>
          </w:p>
        </w:tc>
        <w:tc>
          <w:tcPr>
            <w:tcW w:w="4480" w:type="dxa"/>
            <w:vAlign w:val="bottom"/>
          </w:tcPr>
          <w:p>
            <w:pPr>
              <w:ind w:left="142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71"/>
        </w:trPr>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12"/>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4480" w:type="dxa"/>
            <w:vAlign w:val="bottom"/>
            <w:tcBorders>
              <w:bottom w:val="single" w:sz="8" w:color="auto"/>
            </w:tcBorders>
          </w:tcPr>
          <w:p>
            <w:pPr>
              <w:ind w:left="1740"/>
              <w:spacing w:after="0"/>
              <w:rPr>
                <w:sz w:val="20"/>
                <w:szCs w:val="20"/>
                <w:color w:val="auto"/>
              </w:rPr>
            </w:pPr>
            <w:r>
              <w:rPr>
                <w:rFonts w:ascii="Arial" w:cs="Arial" w:eastAsia="Arial" w:hAnsi="Arial"/>
                <w:sz w:val="14"/>
                <w:szCs w:val="14"/>
                <w:b w:val="1"/>
                <w:bCs w:val="1"/>
                <w:color w:val="auto"/>
              </w:rPr>
              <w:t>to the Following</w:t>
            </w:r>
          </w:p>
        </w:tc>
        <w:tc>
          <w:tcPr>
            <w:tcW w:w="0" w:type="dxa"/>
            <w:vAlign w:val="bottom"/>
          </w:tcPr>
          <w:p>
            <w:pPr>
              <w:spacing w:after="0"/>
              <w:rPr>
                <w:sz w:val="1"/>
                <w:szCs w:val="1"/>
                <w:color w:val="auto"/>
              </w:rPr>
            </w:pPr>
          </w:p>
        </w:tc>
      </w:tr>
      <w:tr>
        <w:trPr>
          <w:trHeight w:val="290"/>
        </w:trPr>
        <w:tc>
          <w:tcPr>
            <w:tcW w:w="1140" w:type="dxa"/>
            <w:vAlign w:val="bottom"/>
          </w:tcPr>
          <w:p>
            <w:pPr>
              <w:ind w:left="100"/>
              <w:spacing w:after="0"/>
              <w:rPr>
                <w:sz w:val="20"/>
                <w:szCs w:val="20"/>
                <w:color w:val="auto"/>
              </w:rPr>
            </w:pPr>
            <w:r>
              <w:rPr>
                <w:rFonts w:ascii="Arial" w:cs="Arial" w:eastAsia="Arial" w:hAnsi="Arial"/>
                <w:sz w:val="18"/>
                <w:szCs w:val="18"/>
                <w:color w:val="auto"/>
              </w:rPr>
              <w:t>3(i)</w:t>
            </w:r>
          </w:p>
        </w:tc>
        <w:tc>
          <w:tcPr>
            <w:tcW w:w="120" w:type="dxa"/>
            <w:vAlign w:val="bottom"/>
          </w:tcPr>
          <w:p>
            <w:pPr>
              <w:spacing w:after="0"/>
              <w:rPr>
                <w:sz w:val="24"/>
                <w:szCs w:val="24"/>
                <w:color w:val="auto"/>
              </w:rPr>
            </w:pPr>
          </w:p>
        </w:tc>
        <w:tc>
          <w:tcPr>
            <w:tcW w:w="5400" w:type="dxa"/>
            <w:vAlign w:val="bottom"/>
            <w:tcBorders>
              <w:bottom w:val="single" w:sz="8" w:color="0000EE"/>
            </w:tcBorders>
            <w:gridSpan w:val="12"/>
          </w:tcPr>
          <w:p>
            <w:pPr>
              <w:spacing w:after="0"/>
              <w:rPr>
                <w:rFonts w:ascii="Arial" w:cs="Arial" w:eastAsia="Arial" w:hAnsi="Arial"/>
                <w:sz w:val="18"/>
                <w:szCs w:val="18"/>
                <w:color w:val="0000EE"/>
                <w:w w:val="95"/>
              </w:rPr>
            </w:pPr>
            <w:hyperlink r:id="rId65">
              <w:r>
                <w:rPr>
                  <w:rFonts w:ascii="Arial" w:cs="Arial" w:eastAsia="Arial" w:hAnsi="Arial"/>
                  <w:sz w:val="18"/>
                  <w:szCs w:val="18"/>
                  <w:color w:val="0000EE"/>
                  <w:w w:val="95"/>
                </w:rPr>
                <w:t>Restated  Certificate  of  Incorporation  of  LSB  Industries,  Inc.,  dated</w:t>
              </w:r>
            </w:hyperlink>
          </w:p>
        </w:tc>
        <w:tc>
          <w:tcPr>
            <w:tcW w:w="100" w:type="dxa"/>
            <w:vAlign w:val="bottom"/>
            <w:gridSpan w:val="3"/>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Exhibit  3(i).1  to  the  Company’s  Form  10-K  filed  on</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r:id="rId65">
              <w:r>
                <w:rPr>
                  <w:rFonts w:ascii="Arial" w:cs="Arial" w:eastAsia="Arial" w:hAnsi="Arial"/>
                  <w:sz w:val="18"/>
                  <w:szCs w:val="18"/>
                  <w:color w:val="0000EE"/>
                  <w:w w:val="88"/>
                </w:rPr>
                <w:t>January 21, 1977, as amended August 27, 1987</w:t>
              </w:r>
            </w:hyperlink>
          </w:p>
        </w:tc>
        <w:tc>
          <w:tcPr>
            <w:tcW w:w="2080" w:type="dxa"/>
            <w:vAlign w:val="bottom"/>
            <w:gridSpan w:val="9"/>
          </w:tcPr>
          <w:p>
            <w:pPr>
              <w:spacing w:after="0"/>
              <w:rPr>
                <w:sz w:val="17"/>
                <w:szCs w:val="17"/>
                <w:color w:val="auto"/>
              </w:rPr>
            </w:pPr>
          </w:p>
        </w:tc>
        <w:tc>
          <w:tcPr>
            <w:tcW w:w="4480" w:type="dxa"/>
            <w:vAlign w:val="bottom"/>
          </w:tcPr>
          <w:p>
            <w:pPr>
              <w:spacing w:after="0" w:line="196" w:lineRule="exact"/>
              <w:rPr>
                <w:sz w:val="20"/>
                <w:szCs w:val="20"/>
                <w:color w:val="auto"/>
              </w:rPr>
            </w:pPr>
            <w:r>
              <w:rPr>
                <w:rFonts w:ascii="Arial" w:cs="Arial" w:eastAsia="Arial" w:hAnsi="Arial"/>
                <w:sz w:val="18"/>
                <w:szCs w:val="18"/>
                <w:color w:val="auto"/>
              </w:rPr>
              <w:t>February 28, 2013</w:t>
            </w:r>
          </w:p>
        </w:tc>
        <w:tc>
          <w:tcPr>
            <w:tcW w:w="0" w:type="dxa"/>
            <w:vAlign w:val="bottom"/>
          </w:tcPr>
          <w:p>
            <w:pPr>
              <w:spacing w:after="0"/>
              <w:rPr>
                <w:sz w:val="1"/>
                <w:szCs w:val="1"/>
                <w:color w:val="auto"/>
              </w:rPr>
            </w:pPr>
          </w:p>
        </w:tc>
      </w:tr>
      <w:tr>
        <w:trPr>
          <w:trHeight w:val="317"/>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0" w:type="dxa"/>
            <w:vAlign w:val="bottom"/>
            <w:tcBorders>
              <w:bottom w:val="single" w:sz="8" w:color="0000EE"/>
            </w:tcBorders>
            <w:gridSpan w:val="12"/>
          </w:tcPr>
          <w:p>
            <w:pPr>
              <w:spacing w:after="0"/>
              <w:rPr>
                <w:rFonts w:ascii="Arial" w:cs="Arial" w:eastAsia="Arial" w:hAnsi="Arial"/>
                <w:sz w:val="18"/>
                <w:szCs w:val="18"/>
                <w:color w:val="0000EE"/>
                <w:w w:val="91"/>
              </w:rPr>
            </w:pPr>
            <w:hyperlink r:id="rId66">
              <w:r>
                <w:rPr>
                  <w:rFonts w:ascii="Arial" w:cs="Arial" w:eastAsia="Arial" w:hAnsi="Arial"/>
                  <w:sz w:val="18"/>
                  <w:szCs w:val="18"/>
                  <w:color w:val="0000EE"/>
                  <w:w w:val="91"/>
                </w:rPr>
                <w:t>Second Amended and Restated Bylaws of LSB Industries, Inc., dated July</w:t>
              </w:r>
            </w:hyperlink>
          </w:p>
        </w:tc>
        <w:tc>
          <w:tcPr>
            <w:tcW w:w="100" w:type="dxa"/>
            <w:vAlign w:val="bottom"/>
            <w:gridSpan w:val="3"/>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100"/>
              <w:spacing w:after="0" w:line="196" w:lineRule="exact"/>
              <w:rPr>
                <w:sz w:val="20"/>
                <w:szCs w:val="20"/>
                <w:color w:val="auto"/>
              </w:rPr>
            </w:pPr>
            <w:r>
              <w:rPr>
                <w:rFonts w:ascii="Arial" w:cs="Arial" w:eastAsia="Arial" w:hAnsi="Arial"/>
                <w:sz w:val="18"/>
                <w:szCs w:val="18"/>
                <w:color w:val="auto"/>
              </w:rPr>
              <w:t>3(ii)</w:t>
            </w:r>
          </w:p>
        </w:tc>
        <w:tc>
          <w:tcPr>
            <w:tcW w:w="120" w:type="dxa"/>
            <w:vAlign w:val="bottom"/>
          </w:tcPr>
          <w:p>
            <w:pPr>
              <w:spacing w:after="0"/>
              <w:rPr>
                <w:sz w:val="17"/>
                <w:szCs w:val="17"/>
                <w:color w:val="auto"/>
              </w:rPr>
            </w:pPr>
          </w:p>
        </w:tc>
        <w:tc>
          <w:tcPr>
            <w:tcW w:w="64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66">
              <w:r>
                <w:rPr>
                  <w:rFonts w:ascii="Arial" w:cs="Arial" w:eastAsia="Arial" w:hAnsi="Arial"/>
                  <w:sz w:val="18"/>
                  <w:szCs w:val="18"/>
                  <w:color w:val="0000EE"/>
                  <w:w w:val="88"/>
                </w:rPr>
                <w:t>19, 2021</w:t>
              </w:r>
            </w:hyperlink>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80" w:type="dxa"/>
            <w:vAlign w:val="bottom"/>
          </w:tcPr>
          <w:p>
            <w:pPr>
              <w:spacing w:after="0" w:line="196" w:lineRule="exact"/>
              <w:rPr>
                <w:sz w:val="20"/>
                <w:szCs w:val="20"/>
                <w:color w:val="auto"/>
              </w:rPr>
            </w:pPr>
            <w:r>
              <w:rPr>
                <w:rFonts w:ascii="Arial" w:cs="Arial" w:eastAsia="Arial" w:hAnsi="Arial"/>
                <w:sz w:val="18"/>
                <w:szCs w:val="18"/>
                <w:color w:val="auto"/>
                <w:w w:val="97"/>
              </w:rPr>
              <w:t>Exhibit 3.1 to the Company’s Form 8-K filed July 19, 2021</w:t>
            </w: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0" w:type="dxa"/>
            <w:vAlign w:val="bottom"/>
            <w:tcBorders>
              <w:bottom w:val="single" w:sz="8" w:color="0000EE"/>
            </w:tcBorders>
            <w:gridSpan w:val="12"/>
          </w:tcPr>
          <w:p>
            <w:pPr>
              <w:spacing w:after="0"/>
              <w:rPr>
                <w:rFonts w:ascii="Arial" w:cs="Arial" w:eastAsia="Arial" w:hAnsi="Arial"/>
                <w:sz w:val="18"/>
                <w:szCs w:val="18"/>
                <w:color w:val="0000EE"/>
                <w:w w:val="95"/>
              </w:rPr>
            </w:pPr>
            <w:hyperlink r:id="rId67">
              <w:r>
                <w:rPr>
                  <w:rFonts w:ascii="Arial" w:cs="Arial" w:eastAsia="Arial" w:hAnsi="Arial"/>
                  <w:sz w:val="18"/>
                  <w:szCs w:val="18"/>
                  <w:color w:val="0000EE"/>
                  <w:w w:val="95"/>
                </w:rPr>
                <w:t>Certificate of Designations of Series G Class C Preferred Stock of LSB</w:t>
              </w:r>
            </w:hyperlink>
          </w:p>
        </w:tc>
        <w:tc>
          <w:tcPr>
            <w:tcW w:w="100" w:type="dxa"/>
            <w:vAlign w:val="bottom"/>
            <w:gridSpan w:val="3"/>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w w:val="99"/>
              </w:rPr>
              <w:t>Exhibit 3.1 to the Company’s Form 8-K filed July 6, 2020</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tcBorders>
              <w:bottom w:val="single" w:sz="8" w:color="0000EE"/>
            </w:tcBorders>
            <w:gridSpan w:val="12"/>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Industries, Inc., as filed with the Secretary of State of the State of</w:t>
              </w:r>
            </w:hyperlink>
          </w:p>
        </w:tc>
        <w:tc>
          <w:tcPr>
            <w:tcW w:w="100" w:type="dxa"/>
            <w:vAlign w:val="bottom"/>
            <w:gridSpan w:val="3"/>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100"/>
              <w:spacing w:after="0" w:line="196"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5500" w:type="dxa"/>
            <w:vAlign w:val="bottom"/>
            <w:gridSpan w:val="15"/>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Delaware on July 6, 2020</w:t>
              </w:r>
            </w:hyperlink>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0" w:type="dxa"/>
            <w:vAlign w:val="bottom"/>
            <w:tcBorders>
              <w:bottom w:val="single" w:sz="8" w:color="0000EE"/>
            </w:tcBorders>
            <w:gridSpan w:val="12"/>
          </w:tcPr>
          <w:p>
            <w:pPr>
              <w:spacing w:after="0"/>
              <w:rPr>
                <w:rFonts w:ascii="Arial" w:cs="Arial" w:eastAsia="Arial" w:hAnsi="Arial"/>
                <w:sz w:val="18"/>
                <w:szCs w:val="18"/>
                <w:color w:val="0000EE"/>
                <w:w w:val="95"/>
              </w:rPr>
            </w:pPr>
            <w:hyperlink r:id="rId68">
              <w:r>
                <w:rPr>
                  <w:rFonts w:ascii="Arial" w:cs="Arial" w:eastAsia="Arial" w:hAnsi="Arial"/>
                  <w:sz w:val="18"/>
                  <w:szCs w:val="18"/>
                  <w:color w:val="0000EE"/>
                  <w:w w:val="95"/>
                </w:rPr>
                <w:t>Securities Exchange Agreement, dated July 19, 2021, by and between</w:t>
              </w:r>
            </w:hyperlink>
          </w:p>
        </w:tc>
        <w:tc>
          <w:tcPr>
            <w:tcW w:w="100" w:type="dxa"/>
            <w:vAlign w:val="bottom"/>
            <w:gridSpan w:val="3"/>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100"/>
              <w:spacing w:after="0" w:line="19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7"/>
                <w:szCs w:val="17"/>
                <w:color w:val="auto"/>
              </w:rPr>
            </w:pPr>
          </w:p>
        </w:tc>
        <w:tc>
          <w:tcPr>
            <w:tcW w:w="5500" w:type="dxa"/>
            <w:vAlign w:val="bottom"/>
            <w:gridSpan w:val="15"/>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LSB Industries, Inc. and LSB Funding LLC</w:t>
              </w:r>
            </w:hyperlink>
          </w:p>
        </w:tc>
        <w:tc>
          <w:tcPr>
            <w:tcW w:w="4480" w:type="dxa"/>
            <w:vAlign w:val="bottom"/>
          </w:tcPr>
          <w:p>
            <w:pPr>
              <w:spacing w:after="0" w:line="196" w:lineRule="exact"/>
              <w:rPr>
                <w:sz w:val="20"/>
                <w:szCs w:val="20"/>
                <w:color w:val="auto"/>
              </w:rPr>
            </w:pPr>
            <w:r>
              <w:rPr>
                <w:rFonts w:ascii="Arial" w:cs="Arial" w:eastAsia="Arial" w:hAnsi="Arial"/>
                <w:sz w:val="18"/>
                <w:szCs w:val="18"/>
                <w:color w:val="auto"/>
                <w:w w:val="95"/>
              </w:rPr>
              <w:t>Exhibit 10.1 to the Company’s Form 8-K filed July 19, 2021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0" w:type="dxa"/>
            <w:vAlign w:val="bottom"/>
            <w:tcBorders>
              <w:bottom w:val="single" w:sz="8" w:color="0000EE"/>
            </w:tcBorders>
            <w:gridSpan w:val="12"/>
          </w:tcPr>
          <w:p>
            <w:pPr>
              <w:spacing w:after="0"/>
              <w:rPr>
                <w:rFonts w:ascii="Arial" w:cs="Arial" w:eastAsia="Arial" w:hAnsi="Arial"/>
                <w:sz w:val="18"/>
                <w:szCs w:val="18"/>
                <w:color w:val="0000EE"/>
                <w:w w:val="94"/>
              </w:rPr>
            </w:pPr>
            <w:hyperlink r:id="rId69">
              <w:r>
                <w:rPr>
                  <w:rFonts w:ascii="Arial" w:cs="Arial" w:eastAsia="Arial" w:hAnsi="Arial"/>
                  <w:sz w:val="18"/>
                  <w:szCs w:val="18"/>
                  <w:color w:val="0000EE"/>
                  <w:w w:val="94"/>
                </w:rPr>
                <w:t>Consent and Fourth Amendment to Third Amended and Restated Loan</w:t>
              </w:r>
            </w:hyperlink>
          </w:p>
        </w:tc>
        <w:tc>
          <w:tcPr>
            <w:tcW w:w="100" w:type="dxa"/>
            <w:vAlign w:val="bottom"/>
            <w:gridSpan w:val="3"/>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w w:val="92"/>
              </w:rPr>
              <w:t>Exhibit 10.1 to the Company’s Form 8-K filed September 27,</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69">
              <w:r>
                <w:rPr>
                  <w:rFonts w:ascii="Arial" w:cs="Arial" w:eastAsia="Arial" w:hAnsi="Arial"/>
                  <w:sz w:val="18"/>
                  <w:szCs w:val="18"/>
                  <w:color w:val="0000EE"/>
                  <w:w w:val="92"/>
                </w:rPr>
                <w:t>and Security Agreement, dated as of September 22, 2021, by and among</w:t>
              </w:r>
            </w:hyperlink>
          </w:p>
        </w:tc>
        <w:tc>
          <w:tcPr>
            <w:tcW w:w="100" w:type="dxa"/>
            <w:vAlign w:val="bottom"/>
            <w:gridSpan w:val="3"/>
          </w:tcPr>
          <w:p>
            <w:pPr>
              <w:spacing w:after="0"/>
              <w:rPr>
                <w:sz w:val="17"/>
                <w:szCs w:val="17"/>
                <w:color w:val="auto"/>
              </w:rPr>
            </w:pPr>
          </w:p>
        </w:tc>
        <w:tc>
          <w:tcPr>
            <w:tcW w:w="4480" w:type="dxa"/>
            <w:vAlign w:val="bottom"/>
          </w:tcPr>
          <w:p>
            <w:pPr>
              <w:spacing w:after="0" w:line="196" w:lineRule="exact"/>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tcBorders>
              <w:bottom w:val="single" w:sz="8" w:color="0000EE"/>
            </w:tcBorders>
            <w:gridSpan w:val="12"/>
          </w:tcPr>
          <w:p>
            <w:pPr>
              <w:spacing w:after="0" w:line="196" w:lineRule="exact"/>
              <w:rPr>
                <w:rFonts w:ascii="Arial" w:cs="Arial" w:eastAsia="Arial" w:hAnsi="Arial"/>
                <w:sz w:val="18"/>
                <w:szCs w:val="18"/>
                <w:color w:val="0000EE"/>
                <w:w w:val="97"/>
              </w:rPr>
            </w:pPr>
            <w:hyperlink r:id="rId69">
              <w:r>
                <w:rPr>
                  <w:rFonts w:ascii="Arial" w:cs="Arial" w:eastAsia="Arial" w:hAnsi="Arial"/>
                  <w:sz w:val="18"/>
                  <w:szCs w:val="18"/>
                  <w:color w:val="0000EE"/>
                  <w:w w:val="97"/>
                </w:rPr>
                <w:t>Wells Fargo Capital Finance, LLC, as the arranger and administrative</w:t>
              </w:r>
            </w:hyperlink>
          </w:p>
        </w:tc>
        <w:tc>
          <w:tcPr>
            <w:tcW w:w="100" w:type="dxa"/>
            <w:vAlign w:val="bottom"/>
            <w:gridSpan w:val="3"/>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r:id="rId69">
              <w:r>
                <w:rPr>
                  <w:rFonts w:ascii="Arial" w:cs="Arial" w:eastAsia="Arial" w:hAnsi="Arial"/>
                  <w:sz w:val="18"/>
                  <w:szCs w:val="18"/>
                  <w:color w:val="0000EE"/>
                  <w:w w:val="93"/>
                </w:rPr>
                <w:t>agent, the lenders party thereto, LSB Industries, Inc. and its subsidiaries</w:t>
              </w:r>
            </w:hyperlink>
          </w:p>
        </w:tc>
        <w:tc>
          <w:tcPr>
            <w:tcW w:w="100" w:type="dxa"/>
            <w:vAlign w:val="bottom"/>
            <w:gridSpan w:val="3"/>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69">
              <w:r>
                <w:rPr>
                  <w:rFonts w:ascii="Arial" w:cs="Arial" w:eastAsia="Arial" w:hAnsi="Arial"/>
                  <w:sz w:val="18"/>
                  <w:szCs w:val="18"/>
                  <w:color w:val="0000EE"/>
                  <w:w w:val="91"/>
                </w:rPr>
                <w:t>identified on the signature pages thereto as borrowers and the Company’s</w:t>
              </w:r>
            </w:hyperlink>
          </w:p>
        </w:tc>
        <w:tc>
          <w:tcPr>
            <w:tcW w:w="100" w:type="dxa"/>
            <w:vAlign w:val="bottom"/>
            <w:gridSpan w:val="3"/>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100"/>
              <w:spacing w:after="0" w:line="196"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7"/>
                <w:szCs w:val="17"/>
                <w:color w:val="auto"/>
              </w:rPr>
            </w:pPr>
          </w:p>
        </w:tc>
        <w:tc>
          <w:tcPr>
            <w:tcW w:w="5500" w:type="dxa"/>
            <w:vAlign w:val="bottom"/>
            <w:gridSpan w:val="15"/>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subsidiaries identified on the signature pages thereto as guarantors</w:t>
              </w:r>
            </w:hyperlink>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0" w:type="dxa"/>
            <w:vAlign w:val="bottom"/>
            <w:tcBorders>
              <w:bottom w:val="single" w:sz="8" w:color="0000EE"/>
            </w:tcBorders>
            <w:gridSpan w:val="12"/>
          </w:tcPr>
          <w:p>
            <w:pPr>
              <w:spacing w:after="0"/>
              <w:rPr>
                <w:rFonts w:ascii="Arial" w:cs="Arial" w:eastAsia="Arial" w:hAnsi="Arial"/>
                <w:sz w:val="18"/>
                <w:szCs w:val="18"/>
                <w:color w:val="0000EE"/>
                <w:w w:val="98"/>
              </w:rPr>
            </w:pPr>
            <w:hyperlink w:anchor="page46">
              <w:r>
                <w:rPr>
                  <w:rFonts w:ascii="Arial" w:cs="Arial" w:eastAsia="Arial" w:hAnsi="Arial"/>
                  <w:sz w:val="18"/>
                  <w:szCs w:val="18"/>
                  <w:color w:val="0000EE"/>
                  <w:w w:val="98"/>
                </w:rPr>
                <w:t>Written Consent of LSB Funding, LLC approving of the incurrence of</w:t>
              </w:r>
            </w:hyperlink>
          </w:p>
        </w:tc>
        <w:tc>
          <w:tcPr>
            <w:tcW w:w="100" w:type="dxa"/>
            <w:vAlign w:val="bottom"/>
            <w:gridSpan w:val="3"/>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indebtedness by LSB Industries, Inc., dated September 22, 2021, provided</w:t>
              </w:r>
            </w:hyperlink>
          </w:p>
        </w:tc>
        <w:tc>
          <w:tcPr>
            <w:tcW w:w="100" w:type="dxa"/>
            <w:vAlign w:val="bottom"/>
            <w:gridSpan w:val="3"/>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pursuant to the Securities Exchange Agreement, dated as of July 19, 2021,</w:t>
              </w:r>
            </w:hyperlink>
          </w:p>
        </w:tc>
        <w:tc>
          <w:tcPr>
            <w:tcW w:w="80" w:type="dxa"/>
            <w:vAlign w:val="bottom"/>
            <w:gridSpan w:val="2"/>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100"/>
              <w:spacing w:after="0" w:line="196" w:lineRule="exact"/>
              <w:rPr>
                <w:sz w:val="20"/>
                <w:szCs w:val="20"/>
                <w:color w:val="auto"/>
              </w:rPr>
            </w:pPr>
            <w:r>
              <w:rPr>
                <w:rFonts w:ascii="Arial" w:cs="Arial" w:eastAsia="Arial" w:hAnsi="Arial"/>
                <w:sz w:val="18"/>
                <w:szCs w:val="18"/>
                <w:color w:val="auto"/>
              </w:rPr>
              <w:t>10.3(a)</w:t>
            </w:r>
          </w:p>
        </w:tc>
        <w:tc>
          <w:tcPr>
            <w:tcW w:w="120" w:type="dxa"/>
            <w:vAlign w:val="bottom"/>
          </w:tcPr>
          <w:p>
            <w:pPr>
              <w:spacing w:after="0"/>
              <w:rPr>
                <w:sz w:val="17"/>
                <w:szCs w:val="17"/>
                <w:color w:val="auto"/>
              </w:rPr>
            </w:pPr>
          </w:p>
        </w:tc>
        <w:tc>
          <w:tcPr>
            <w:tcW w:w="38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46">
              <w:r>
                <w:rPr>
                  <w:rFonts w:ascii="Arial" w:cs="Arial" w:eastAsia="Arial" w:hAnsi="Arial"/>
                  <w:sz w:val="18"/>
                  <w:szCs w:val="18"/>
                  <w:color w:val="0000EE"/>
                  <w:w w:val="92"/>
                </w:rPr>
                <w:t>between LSB Industries, Inc. and LSB Funding, LLC</w:t>
              </w:r>
            </w:hyperlink>
          </w:p>
        </w:tc>
        <w:tc>
          <w:tcPr>
            <w:tcW w:w="1640" w:type="dxa"/>
            <w:vAlign w:val="bottom"/>
            <w:gridSpan w:val="6"/>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0" w:type="dxa"/>
            <w:vAlign w:val="bottom"/>
            <w:tcBorders>
              <w:bottom w:val="single" w:sz="8" w:color="0000EE"/>
            </w:tcBorders>
            <w:gridSpan w:val="12"/>
          </w:tcPr>
          <w:p>
            <w:pPr>
              <w:spacing w:after="0"/>
              <w:rPr>
                <w:rFonts w:ascii="Arial" w:cs="Arial" w:eastAsia="Arial" w:hAnsi="Arial"/>
                <w:sz w:val="18"/>
                <w:szCs w:val="18"/>
                <w:color w:val="0000EE"/>
                <w:w w:val="99"/>
              </w:rPr>
            </w:pPr>
            <w:hyperlink r:id="rId70">
              <w:r>
                <w:rPr>
                  <w:rFonts w:ascii="Arial" w:cs="Arial" w:eastAsia="Arial" w:hAnsi="Arial"/>
                  <w:sz w:val="18"/>
                  <w:szCs w:val="18"/>
                  <w:color w:val="0000EE"/>
                  <w:w w:val="99"/>
                </w:rPr>
                <w:t>Amendment  and  Waiver  to  Board  Representation  and  Standstill</w:t>
              </w:r>
            </w:hyperlink>
          </w:p>
        </w:tc>
        <w:tc>
          <w:tcPr>
            <w:tcW w:w="100" w:type="dxa"/>
            <w:vAlign w:val="bottom"/>
            <w:gridSpan w:val="3"/>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w w:val="92"/>
              </w:rPr>
              <w:t>Exhibit 10.1 to the Company’s Form 8-K filed September 27,</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70">
              <w:r>
                <w:rPr>
                  <w:rFonts w:ascii="Arial" w:cs="Arial" w:eastAsia="Arial" w:hAnsi="Arial"/>
                  <w:sz w:val="18"/>
                  <w:szCs w:val="18"/>
                  <w:color w:val="0000EE"/>
                  <w:w w:val="90"/>
                </w:rPr>
                <w:t>Agreement, dated as of September 27, 2021, by and among the Company,</w:t>
              </w:r>
            </w:hyperlink>
          </w:p>
        </w:tc>
        <w:tc>
          <w:tcPr>
            <w:tcW w:w="100" w:type="dxa"/>
            <w:vAlign w:val="bottom"/>
            <w:gridSpan w:val="3"/>
          </w:tcPr>
          <w:p>
            <w:pPr>
              <w:spacing w:after="0"/>
              <w:rPr>
                <w:sz w:val="17"/>
                <w:szCs w:val="17"/>
                <w:color w:val="auto"/>
              </w:rPr>
            </w:pPr>
          </w:p>
        </w:tc>
        <w:tc>
          <w:tcPr>
            <w:tcW w:w="4480" w:type="dxa"/>
            <w:vAlign w:val="bottom"/>
          </w:tcPr>
          <w:p>
            <w:pPr>
              <w:spacing w:after="0" w:line="196" w:lineRule="exact"/>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196"/>
        </w:trPr>
        <w:tc>
          <w:tcPr>
            <w:tcW w:w="1140" w:type="dxa"/>
            <w:vAlign w:val="bottom"/>
          </w:tcPr>
          <w:p>
            <w:pPr>
              <w:ind w:left="100"/>
              <w:spacing w:after="0" w:line="196"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7"/>
                <w:szCs w:val="17"/>
                <w:color w:val="auto"/>
              </w:rPr>
            </w:pPr>
          </w:p>
        </w:tc>
        <w:tc>
          <w:tcPr>
            <w:tcW w:w="5500" w:type="dxa"/>
            <w:vAlign w:val="bottom"/>
            <w:gridSpan w:val="15"/>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the Holder and the other parties thereto</w:t>
              </w:r>
            </w:hyperlink>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31.1(a)</w:t>
            </w:r>
          </w:p>
        </w:tc>
        <w:tc>
          <w:tcPr>
            <w:tcW w:w="120" w:type="dxa"/>
            <w:vAlign w:val="bottom"/>
          </w:tcPr>
          <w:p>
            <w:pPr>
              <w:spacing w:after="0"/>
              <w:rPr>
                <w:sz w:val="24"/>
                <w:szCs w:val="24"/>
                <w:color w:val="auto"/>
              </w:rPr>
            </w:pPr>
          </w:p>
        </w:tc>
        <w:tc>
          <w:tcPr>
            <w:tcW w:w="5400" w:type="dxa"/>
            <w:vAlign w:val="bottom"/>
            <w:tcBorders>
              <w:bottom w:val="single" w:sz="8" w:color="0000EE"/>
            </w:tcBorders>
            <w:gridSpan w:val="12"/>
          </w:tcPr>
          <w:p>
            <w:pPr>
              <w:spacing w:after="0"/>
              <w:rPr>
                <w:rFonts w:ascii="Arial" w:cs="Arial" w:eastAsia="Arial" w:hAnsi="Arial"/>
                <w:sz w:val="18"/>
                <w:szCs w:val="18"/>
                <w:color w:val="0000EE"/>
                <w:w w:val="97"/>
              </w:rPr>
            </w:pPr>
            <w:hyperlink w:anchor="page49">
              <w:r>
                <w:rPr>
                  <w:rFonts w:ascii="Arial" w:cs="Arial" w:eastAsia="Arial" w:hAnsi="Arial"/>
                  <w:sz w:val="18"/>
                  <w:szCs w:val="18"/>
                  <w:color w:val="0000EE"/>
                  <w:w w:val="97"/>
                </w:rPr>
                <w:t>Certification of Mark T. Behrman, Chief Executive Officer, pursuant to</w:t>
              </w:r>
            </w:hyperlink>
          </w:p>
        </w:tc>
        <w:tc>
          <w:tcPr>
            <w:tcW w:w="100" w:type="dxa"/>
            <w:vAlign w:val="bottom"/>
            <w:gridSpan w:val="3"/>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15"/>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Sarbanes-Oxley Act of 2002, Section 302</w:t>
              </w:r>
            </w:hyperlink>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0" w:type="dxa"/>
            <w:vAlign w:val="bottom"/>
            <w:gridSpan w:val="4"/>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31.2(a)</w:t>
            </w:r>
          </w:p>
        </w:tc>
        <w:tc>
          <w:tcPr>
            <w:tcW w:w="120" w:type="dxa"/>
            <w:vAlign w:val="bottom"/>
          </w:tcPr>
          <w:p>
            <w:pPr>
              <w:spacing w:after="0"/>
              <w:rPr>
                <w:sz w:val="24"/>
                <w:szCs w:val="24"/>
                <w:color w:val="auto"/>
              </w:rPr>
            </w:pPr>
          </w:p>
        </w:tc>
        <w:tc>
          <w:tcPr>
            <w:tcW w:w="5400" w:type="dxa"/>
            <w:vAlign w:val="bottom"/>
            <w:tcBorders>
              <w:bottom w:val="single" w:sz="8" w:color="0000EE"/>
            </w:tcBorders>
            <w:gridSpan w:val="12"/>
          </w:tcPr>
          <w:p>
            <w:pPr>
              <w:spacing w:after="0"/>
              <w:rPr>
                <w:rFonts w:ascii="Arial" w:cs="Arial" w:eastAsia="Arial" w:hAnsi="Arial"/>
                <w:sz w:val="18"/>
                <w:szCs w:val="18"/>
                <w:color w:val="0000EE"/>
                <w:w w:val="97"/>
              </w:rPr>
            </w:pPr>
            <w:hyperlink w:anchor="page50">
              <w:r>
                <w:rPr>
                  <w:rFonts w:ascii="Arial" w:cs="Arial" w:eastAsia="Arial" w:hAnsi="Arial"/>
                  <w:sz w:val="18"/>
                  <w:szCs w:val="18"/>
                  <w:color w:val="0000EE"/>
                  <w:w w:val="97"/>
                </w:rPr>
                <w:t>Certification of Cheryl A. Maguire, Chief Financial Officer, pursuant to</w:t>
              </w:r>
            </w:hyperlink>
          </w:p>
        </w:tc>
        <w:tc>
          <w:tcPr>
            <w:tcW w:w="100" w:type="dxa"/>
            <w:vAlign w:val="bottom"/>
            <w:gridSpan w:val="3"/>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15"/>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Sarbanes-Oxley Act of 2002, Section 302</w:t>
              </w:r>
            </w:hyperlink>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0" w:type="dxa"/>
            <w:vAlign w:val="bottom"/>
            <w:gridSpan w:val="4"/>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32.1(b)</w:t>
            </w:r>
          </w:p>
        </w:tc>
        <w:tc>
          <w:tcPr>
            <w:tcW w:w="120" w:type="dxa"/>
            <w:vAlign w:val="bottom"/>
          </w:tcPr>
          <w:p>
            <w:pPr>
              <w:spacing w:after="0"/>
              <w:rPr>
                <w:sz w:val="24"/>
                <w:szCs w:val="24"/>
                <w:color w:val="auto"/>
              </w:rPr>
            </w:pPr>
          </w:p>
        </w:tc>
        <w:tc>
          <w:tcPr>
            <w:tcW w:w="5400" w:type="dxa"/>
            <w:vAlign w:val="bottom"/>
            <w:tcBorders>
              <w:bottom w:val="single" w:sz="8" w:color="0000EE"/>
            </w:tcBorders>
            <w:gridSpan w:val="12"/>
          </w:tcPr>
          <w:p>
            <w:pPr>
              <w:spacing w:after="0"/>
              <w:rPr>
                <w:rFonts w:ascii="Arial" w:cs="Arial" w:eastAsia="Arial" w:hAnsi="Arial"/>
                <w:sz w:val="18"/>
                <w:szCs w:val="18"/>
                <w:color w:val="0000EE"/>
                <w:w w:val="96"/>
              </w:rPr>
            </w:pPr>
            <w:hyperlink w:anchor="page51">
              <w:r>
                <w:rPr>
                  <w:rFonts w:ascii="Arial" w:cs="Arial" w:eastAsia="Arial" w:hAnsi="Arial"/>
                  <w:sz w:val="18"/>
                  <w:szCs w:val="18"/>
                  <w:color w:val="0000EE"/>
                  <w:w w:val="96"/>
                </w:rPr>
                <w:t>Certification of Mark T. Behrman,  Chief  Executive  Officer,  furnished</w:t>
              </w:r>
            </w:hyperlink>
          </w:p>
        </w:tc>
        <w:tc>
          <w:tcPr>
            <w:tcW w:w="100" w:type="dxa"/>
            <w:vAlign w:val="bottom"/>
            <w:gridSpan w:val="3"/>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51">
              <w:r>
                <w:rPr>
                  <w:rFonts w:ascii="Arial" w:cs="Arial" w:eastAsia="Arial" w:hAnsi="Arial"/>
                  <w:sz w:val="18"/>
                  <w:szCs w:val="18"/>
                  <w:color w:val="0000EE"/>
                  <w:w w:val="86"/>
                </w:rPr>
                <w:t>pursuant to Sarbanes-Oxley Act of 2002, Section 906</w:t>
              </w:r>
            </w:hyperlink>
          </w:p>
        </w:tc>
        <w:tc>
          <w:tcPr>
            <w:tcW w:w="1820" w:type="dxa"/>
            <w:vAlign w:val="bottom"/>
            <w:gridSpan w:val="8"/>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32.2(b)</w:t>
            </w:r>
          </w:p>
        </w:tc>
        <w:tc>
          <w:tcPr>
            <w:tcW w:w="120" w:type="dxa"/>
            <w:vAlign w:val="bottom"/>
          </w:tcPr>
          <w:p>
            <w:pPr>
              <w:spacing w:after="0"/>
              <w:rPr>
                <w:sz w:val="24"/>
                <w:szCs w:val="24"/>
                <w:color w:val="auto"/>
              </w:rPr>
            </w:pPr>
          </w:p>
        </w:tc>
        <w:tc>
          <w:tcPr>
            <w:tcW w:w="5380" w:type="dxa"/>
            <w:vAlign w:val="bottom"/>
            <w:tcBorders>
              <w:bottom w:val="single" w:sz="8" w:color="0000EE"/>
            </w:tcBorders>
            <w:gridSpan w:val="11"/>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Certification of Cheryl A. Maguire, Chief Financial Officer, furnished</w:t>
              </w:r>
            </w:hyperlink>
          </w:p>
        </w:tc>
        <w:tc>
          <w:tcPr>
            <w:tcW w:w="120" w:type="dxa"/>
            <w:vAlign w:val="bottom"/>
            <w:gridSpan w:val="4"/>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15"/>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pursuant to Sarbanes-Oxley Act of 2002, Section 906</w:t>
              </w:r>
            </w:hyperlink>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60" w:type="dxa"/>
            <w:vAlign w:val="bottom"/>
            <w:gridSpan w:val="8"/>
            <w:shd w:val="clear" w:color="auto" w:fill="0000EE"/>
          </w:tcPr>
          <w:p>
            <w:pPr>
              <w:spacing w:after="0" w:line="20" w:lineRule="exact"/>
              <w:rPr>
                <w:sz w:val="1"/>
                <w:szCs w:val="1"/>
                <w:color w:val="auto"/>
              </w:rPr>
            </w:pPr>
          </w:p>
        </w:tc>
        <w:tc>
          <w:tcPr>
            <w:tcW w:w="1740" w:type="dxa"/>
            <w:vAlign w:val="bottom"/>
            <w:gridSpan w:val="7"/>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40" w:type="dxa"/>
            <w:vAlign w:val="bottom"/>
          </w:tcPr>
          <w:p>
            <w:pPr>
              <w:spacing w:after="0"/>
              <w:rPr>
                <w:sz w:val="20"/>
                <w:szCs w:val="20"/>
                <w:color w:val="auto"/>
              </w:rPr>
            </w:pPr>
            <w:r>
              <w:rPr>
                <w:rFonts w:ascii="Arial" w:cs="Arial" w:eastAsia="Arial" w:hAnsi="Arial"/>
                <w:sz w:val="18"/>
                <w:szCs w:val="18"/>
                <w:color w:val="auto"/>
              </w:rPr>
              <w:t>101.INS(a)</w:t>
            </w:r>
          </w:p>
        </w:tc>
        <w:tc>
          <w:tcPr>
            <w:tcW w:w="120" w:type="dxa"/>
            <w:vAlign w:val="bottom"/>
          </w:tcPr>
          <w:p>
            <w:pPr>
              <w:spacing w:after="0"/>
              <w:rPr>
                <w:sz w:val="24"/>
                <w:szCs w:val="24"/>
                <w:color w:val="auto"/>
              </w:rPr>
            </w:pPr>
          </w:p>
        </w:tc>
        <w:tc>
          <w:tcPr>
            <w:tcW w:w="5500" w:type="dxa"/>
            <w:vAlign w:val="bottom"/>
            <w:gridSpan w:val="15"/>
          </w:tcPr>
          <w:p>
            <w:pPr>
              <w:spacing w:after="0"/>
              <w:rPr>
                <w:sz w:val="20"/>
                <w:szCs w:val="20"/>
                <w:color w:val="auto"/>
              </w:rPr>
            </w:pPr>
            <w:r>
              <w:rPr>
                <w:rFonts w:ascii="Arial" w:cs="Arial" w:eastAsia="Arial" w:hAnsi="Arial"/>
                <w:sz w:val="18"/>
                <w:szCs w:val="18"/>
                <w:color w:val="auto"/>
                <w:w w:val="92"/>
              </w:rPr>
              <w:t>Inline XBRL Instance Document – the instance document does not appear</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15"/>
          </w:tcPr>
          <w:p>
            <w:pPr>
              <w:spacing w:after="0"/>
              <w:rPr>
                <w:sz w:val="20"/>
                <w:szCs w:val="20"/>
                <w:color w:val="auto"/>
              </w:rPr>
            </w:pPr>
            <w:r>
              <w:rPr>
                <w:rFonts w:ascii="Arial" w:cs="Arial" w:eastAsia="Arial" w:hAnsi="Arial"/>
                <w:sz w:val="18"/>
                <w:szCs w:val="18"/>
                <w:color w:val="auto"/>
                <w:w w:val="96"/>
              </w:rPr>
              <w:t>in the Interactive Data File because its XBRL tags are embedded within</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00" w:type="dxa"/>
            <w:vAlign w:val="bottom"/>
            <w:gridSpan w:val="15"/>
          </w:tcPr>
          <w:p>
            <w:pPr>
              <w:spacing w:after="0"/>
              <w:rPr>
                <w:sz w:val="20"/>
                <w:szCs w:val="20"/>
                <w:color w:val="auto"/>
              </w:rPr>
            </w:pPr>
            <w:r>
              <w:rPr>
                <w:rFonts w:ascii="Arial" w:cs="Arial" w:eastAsia="Arial" w:hAnsi="Arial"/>
                <w:sz w:val="18"/>
                <w:szCs w:val="18"/>
                <w:color w:val="auto"/>
              </w:rPr>
              <w:t>the Inline XBRL document.</w:t>
            </w:r>
          </w:p>
        </w:tc>
        <w:tc>
          <w:tcPr>
            <w:tcW w:w="4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101.SCH(a)</w:t>
            </w:r>
          </w:p>
        </w:tc>
        <w:tc>
          <w:tcPr>
            <w:tcW w:w="120" w:type="dxa"/>
            <w:vAlign w:val="bottom"/>
          </w:tcPr>
          <w:p>
            <w:pPr>
              <w:spacing w:after="0"/>
              <w:rPr>
                <w:sz w:val="24"/>
                <w:szCs w:val="24"/>
                <w:color w:val="auto"/>
              </w:rPr>
            </w:pPr>
          </w:p>
        </w:tc>
        <w:tc>
          <w:tcPr>
            <w:tcW w:w="550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101.CAL(a)</w:t>
            </w:r>
          </w:p>
        </w:tc>
        <w:tc>
          <w:tcPr>
            <w:tcW w:w="120" w:type="dxa"/>
            <w:vAlign w:val="bottom"/>
          </w:tcPr>
          <w:p>
            <w:pPr>
              <w:spacing w:after="0"/>
              <w:rPr>
                <w:sz w:val="24"/>
                <w:szCs w:val="24"/>
                <w:color w:val="auto"/>
              </w:rPr>
            </w:pPr>
          </w:p>
        </w:tc>
        <w:tc>
          <w:tcPr>
            <w:tcW w:w="5500" w:type="dxa"/>
            <w:vAlign w:val="bottom"/>
            <w:gridSpan w:val="15"/>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101.DEF(a)</w:t>
            </w:r>
          </w:p>
        </w:tc>
        <w:tc>
          <w:tcPr>
            <w:tcW w:w="120" w:type="dxa"/>
            <w:vAlign w:val="bottom"/>
          </w:tcPr>
          <w:p>
            <w:pPr>
              <w:spacing w:after="0"/>
              <w:rPr>
                <w:sz w:val="24"/>
                <w:szCs w:val="24"/>
                <w:color w:val="auto"/>
              </w:rPr>
            </w:pPr>
          </w:p>
        </w:tc>
        <w:tc>
          <w:tcPr>
            <w:tcW w:w="550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1140" w:type="dxa"/>
            <w:vAlign w:val="bottom"/>
          </w:tcPr>
          <w:p>
            <w:pPr>
              <w:spacing w:after="0"/>
              <w:rPr>
                <w:sz w:val="20"/>
                <w:szCs w:val="20"/>
                <w:color w:val="auto"/>
              </w:rPr>
            </w:pPr>
            <w:r>
              <w:rPr>
                <w:rFonts w:ascii="Arial" w:cs="Arial" w:eastAsia="Arial" w:hAnsi="Arial"/>
                <w:sz w:val="18"/>
                <w:szCs w:val="18"/>
                <w:color w:val="auto"/>
              </w:rPr>
              <w:t>101.LAB(a)</w:t>
            </w:r>
          </w:p>
        </w:tc>
        <w:tc>
          <w:tcPr>
            <w:tcW w:w="120" w:type="dxa"/>
            <w:vAlign w:val="bottom"/>
          </w:tcPr>
          <w:p>
            <w:pPr>
              <w:spacing w:after="0"/>
              <w:rPr>
                <w:sz w:val="24"/>
                <w:szCs w:val="24"/>
                <w:color w:val="auto"/>
              </w:rPr>
            </w:pPr>
          </w:p>
        </w:tc>
        <w:tc>
          <w:tcPr>
            <w:tcW w:w="5500" w:type="dxa"/>
            <w:vAlign w:val="bottom"/>
            <w:gridSpan w:val="15"/>
          </w:tcPr>
          <w:p>
            <w:pPr>
              <w:spacing w:after="0"/>
              <w:rPr>
                <w:sz w:val="20"/>
                <w:szCs w:val="20"/>
                <w:color w:val="auto"/>
              </w:rPr>
            </w:pPr>
            <w:r>
              <w:rPr>
                <w:rFonts w:ascii="Arial" w:cs="Arial" w:eastAsia="Arial" w:hAnsi="Arial"/>
                <w:sz w:val="18"/>
                <w:szCs w:val="18"/>
                <w:color w:val="auto"/>
              </w:rPr>
              <w:t>Inline XBRL Taxonomy Extension Labels Linkbase Document</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101.PRE(a)</w:t>
            </w:r>
          </w:p>
        </w:tc>
        <w:tc>
          <w:tcPr>
            <w:tcW w:w="120" w:type="dxa"/>
            <w:vAlign w:val="bottom"/>
          </w:tcPr>
          <w:p>
            <w:pPr>
              <w:spacing w:after="0"/>
              <w:rPr>
                <w:sz w:val="24"/>
                <w:szCs w:val="24"/>
                <w:color w:val="auto"/>
              </w:rPr>
            </w:pPr>
          </w:p>
        </w:tc>
        <w:tc>
          <w:tcPr>
            <w:tcW w:w="5500" w:type="dxa"/>
            <w:vAlign w:val="bottom"/>
            <w:gridSpan w:val="15"/>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260" w:right="5020" w:hanging="1252"/>
        <w:spacing w:after="0" w:line="277" w:lineRule="auto"/>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170" w:lineRule="exact"/>
        <w:rPr>
          <w:sz w:val="20"/>
          <w:szCs w:val="20"/>
          <w:color w:val="auto"/>
        </w:rPr>
      </w:pPr>
    </w:p>
    <w:p>
      <w:pPr>
        <w:ind w:left="380" w:hanging="372"/>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380" w:hanging="372"/>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Company has caused the undersigned, duly authorized, to sign this report on its behalf on this 2</w:t>
      </w:r>
      <w:r>
        <w:rPr>
          <w:rFonts w:ascii="Arial" w:cs="Arial" w:eastAsia="Arial" w:hAnsi="Arial"/>
          <w:sz w:val="15"/>
          <w:szCs w:val="15"/>
          <w:color w:val="auto"/>
        </w:rPr>
        <w:t>nd</w:t>
      </w:r>
      <w:r>
        <w:rPr>
          <w:rFonts w:ascii="Arial" w:cs="Arial" w:eastAsia="Arial" w:hAnsi="Arial"/>
          <w:sz w:val="18"/>
          <w:szCs w:val="18"/>
          <w:color w:val="auto"/>
        </w:rPr>
        <w:t xml:space="preserve"> day of November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LSB INDUSTRIES,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087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Cheryl A. Maguire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553"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20"/>
          <w:szCs w:val="20"/>
          <w:color w:val="auto"/>
        </w:rPr>
        <w:t>Exhibit 10.3</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LSB Funding LLC 600</w:t>
      </w:r>
    </w:p>
    <w:p>
      <w:pPr>
        <w:jc w:val="center"/>
        <w:spacing w:after="0" w:line="238" w:lineRule="auto"/>
        <w:rPr>
          <w:sz w:val="20"/>
          <w:szCs w:val="20"/>
          <w:color w:val="auto"/>
        </w:rPr>
      </w:pPr>
      <w:r>
        <w:rPr>
          <w:rFonts w:ascii="Arial" w:cs="Arial" w:eastAsia="Arial" w:hAnsi="Arial"/>
          <w:sz w:val="22"/>
          <w:szCs w:val="22"/>
          <w:color w:val="auto"/>
        </w:rPr>
        <w:t>Steamboat Road</w:t>
      </w:r>
    </w:p>
    <w:p>
      <w:pPr>
        <w:jc w:val="center"/>
        <w:ind w:right="20"/>
        <w:spacing w:after="0"/>
        <w:rPr>
          <w:sz w:val="20"/>
          <w:szCs w:val="20"/>
          <w:color w:val="auto"/>
        </w:rPr>
      </w:pPr>
      <w:r>
        <w:rPr>
          <w:rFonts w:ascii="Arial" w:cs="Arial" w:eastAsia="Arial" w:hAnsi="Arial"/>
          <w:sz w:val="22"/>
          <w:szCs w:val="22"/>
          <w:color w:val="auto"/>
        </w:rPr>
        <w:t>Greenwich, CT 06830</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22"/>
          <w:szCs w:val="22"/>
          <w:color w:val="auto"/>
        </w:rPr>
        <w:t>September 22, 2021</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22"/>
          <w:szCs w:val="22"/>
          <w:color w:val="auto"/>
        </w:rPr>
        <w:t>LSB Industries, Inc.</w:t>
      </w:r>
    </w:p>
    <w:p>
      <w:pPr>
        <w:ind w:left="120"/>
        <w:spacing w:after="0" w:line="230" w:lineRule="auto"/>
        <w:rPr>
          <w:sz w:val="20"/>
          <w:szCs w:val="20"/>
          <w:color w:val="auto"/>
        </w:rPr>
      </w:pPr>
      <w:r>
        <w:rPr>
          <w:rFonts w:ascii="Arial" w:cs="Arial" w:eastAsia="Arial" w:hAnsi="Arial"/>
          <w:sz w:val="22"/>
          <w:szCs w:val="22"/>
          <w:color w:val="auto"/>
        </w:rPr>
        <w:t>3503 NW 63</w:t>
      </w:r>
      <w:r>
        <w:rPr>
          <w:rFonts w:ascii="Arial" w:cs="Arial" w:eastAsia="Arial" w:hAnsi="Arial"/>
          <w:sz w:val="14"/>
          <w:szCs w:val="14"/>
          <w:color w:val="auto"/>
        </w:rPr>
        <w:t>rd</w:t>
      </w:r>
      <w:r>
        <w:rPr>
          <w:rFonts w:ascii="Arial" w:cs="Arial" w:eastAsia="Arial" w:hAnsi="Arial"/>
          <w:sz w:val="22"/>
          <w:szCs w:val="22"/>
          <w:color w:val="auto"/>
        </w:rPr>
        <w:t xml:space="preserve"> Street, Suite 500 Oklahoma City,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Oklahoma 73116 Attention: Mark Behrman</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22"/>
          <w:szCs w:val="22"/>
          <w:color w:val="auto"/>
        </w:rPr>
        <w:t>Re: Consents Pursuant to Section 4 of the Securities Exchange Agreement Dear Mr. Behrman:</w:t>
      </w:r>
    </w:p>
    <w:p>
      <w:pPr>
        <w:spacing w:after="0" w:line="8" w:lineRule="exact"/>
        <w:rPr>
          <w:sz w:val="20"/>
          <w:szCs w:val="20"/>
          <w:color w:val="auto"/>
        </w:rPr>
      </w:pPr>
    </w:p>
    <w:p>
      <w:pPr>
        <w:ind w:left="120" w:right="740" w:firstLine="854"/>
        <w:spacing w:after="0" w:line="233" w:lineRule="auto"/>
        <w:rPr>
          <w:sz w:val="20"/>
          <w:szCs w:val="20"/>
          <w:color w:val="auto"/>
        </w:rPr>
      </w:pPr>
      <w:r>
        <w:rPr>
          <w:rFonts w:ascii="Arial" w:cs="Arial" w:eastAsia="Arial" w:hAnsi="Arial"/>
          <w:sz w:val="22"/>
          <w:szCs w:val="22"/>
          <w:color w:val="auto"/>
        </w:rPr>
        <w:t>Reference is made to the Securities Exchange Agreement by and between LSB Industries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LSB Funding LLC, a Delaware limited liability company (“</w:t>
      </w:r>
      <w:r>
        <w:rPr>
          <w:rFonts w:ascii="Arial" w:cs="Arial" w:eastAsia="Arial" w:hAnsi="Arial"/>
          <w:sz w:val="22"/>
          <w:szCs w:val="22"/>
          <w:u w:val="single" w:color="auto"/>
          <w:color w:val="auto"/>
        </w:rPr>
        <w:t>LSB Funding</w:t>
      </w:r>
      <w:r>
        <w:rPr>
          <w:rFonts w:ascii="Arial" w:cs="Arial" w:eastAsia="Arial" w:hAnsi="Arial"/>
          <w:sz w:val="22"/>
          <w:szCs w:val="22"/>
          <w:color w:val="auto"/>
        </w:rPr>
        <w:t>”), dated as of July 19, 2021 (the “</w:t>
      </w:r>
      <w:r>
        <w:rPr>
          <w:rFonts w:ascii="Arial" w:cs="Arial" w:eastAsia="Arial" w:hAnsi="Arial"/>
          <w:sz w:val="22"/>
          <w:szCs w:val="22"/>
          <w:u w:val="single" w:color="auto"/>
          <w:color w:val="auto"/>
        </w:rPr>
        <w:t>Agreement</w:t>
      </w:r>
      <w:r>
        <w:rPr>
          <w:rFonts w:ascii="Arial" w:cs="Arial" w:eastAsia="Arial" w:hAnsi="Arial"/>
          <w:sz w:val="22"/>
          <w:szCs w:val="22"/>
          <w:color w:val="auto"/>
        </w:rPr>
        <w:t>”). Capitalized terms used but not otherwise defined herein shall have the meanings ascribed to them in the Agreement.</w:t>
      </w:r>
    </w:p>
    <w:p>
      <w:pPr>
        <w:spacing w:after="0" w:line="215" w:lineRule="exact"/>
        <w:rPr>
          <w:sz w:val="20"/>
          <w:szCs w:val="20"/>
          <w:color w:val="auto"/>
        </w:rPr>
      </w:pPr>
    </w:p>
    <w:p>
      <w:pPr>
        <w:ind w:left="120" w:right="240" w:firstLine="886"/>
        <w:spacing w:after="0" w:line="235" w:lineRule="auto"/>
        <w:rPr>
          <w:sz w:val="20"/>
          <w:szCs w:val="20"/>
          <w:color w:val="auto"/>
        </w:rPr>
      </w:pPr>
      <w:r>
        <w:rPr>
          <w:rFonts w:ascii="Arial" w:cs="Arial" w:eastAsia="Arial" w:hAnsi="Arial"/>
          <w:sz w:val="22"/>
          <w:szCs w:val="22"/>
          <w:color w:val="auto"/>
        </w:rPr>
        <w:t>LSB Funding hereby provides its prior written consent pursuant to Section 4.1 and Section 4.12 of the Agreement to refinance the Company’s current $435,000,000 of Indebtedness in the form of secured bonds through the incurrence by the Company and its subsidiaries of up to $500,000,000 of Indebtedness in the form of secured bonds (the “New Notes”) and all encumbrances on any assets of the Company or any of its subsidiaries associated therewith. The consent granted herein is conditioned upon the Company successfully negotiating the following terms, at a minimum, in its refinancing of the existing secured bonds:</w:t>
      </w:r>
    </w:p>
    <w:p>
      <w:pPr>
        <w:spacing w:after="0" w:line="215" w:lineRule="exact"/>
        <w:rPr>
          <w:sz w:val="20"/>
          <w:szCs w:val="20"/>
          <w:color w:val="auto"/>
        </w:rPr>
      </w:pPr>
    </w:p>
    <w:p>
      <w:pPr>
        <w:ind w:left="1920" w:hanging="899"/>
        <w:spacing w:after="0"/>
        <w:tabs>
          <w:tab w:leader="none" w:pos="192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tenor of the New Notes runs for at least seven (7) years from the date of issuance,</w:t>
      </w:r>
    </w:p>
    <w:p>
      <w:pPr>
        <w:spacing w:after="0" w:line="8" w:lineRule="exact"/>
        <w:rPr>
          <w:rFonts w:ascii="Arial" w:cs="Arial" w:eastAsia="Arial" w:hAnsi="Arial"/>
          <w:sz w:val="22"/>
          <w:szCs w:val="22"/>
          <w:color w:val="auto"/>
        </w:rPr>
      </w:pPr>
    </w:p>
    <w:p>
      <w:pPr>
        <w:ind w:left="1920" w:hanging="899"/>
        <w:spacing w:after="0" w:line="230" w:lineRule="auto"/>
        <w:tabs>
          <w:tab w:leader="none" w:pos="192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interest rate for the New Notes does not exceed six percent (6%), and</w:t>
      </w:r>
    </w:p>
    <w:p>
      <w:pPr>
        <w:ind w:left="1920" w:right="320" w:hanging="899"/>
        <w:spacing w:after="0" w:line="280" w:lineRule="auto"/>
        <w:tabs>
          <w:tab w:leader="none" w:pos="1920" w:val="left"/>
        </w:tabs>
        <w:numPr>
          <w:ilvl w:val="0"/>
          <w:numId w:val="26"/>
        </w:numPr>
        <w:rPr>
          <w:rFonts w:ascii="Arial" w:cs="Arial" w:eastAsia="Arial" w:hAnsi="Arial"/>
          <w:sz w:val="19"/>
          <w:szCs w:val="19"/>
          <w:color w:val="auto"/>
        </w:rPr>
      </w:pPr>
      <w:r>
        <w:rPr>
          <w:rFonts w:ascii="Arial" w:cs="Arial" w:eastAsia="Arial" w:hAnsi="Arial"/>
          <w:sz w:val="19"/>
          <w:szCs w:val="19"/>
          <w:color w:val="auto"/>
        </w:rPr>
        <w:t>terms of the New Notes allow the Company to incur unlimited additional debt so long as the Fixed Charge Coverage Ratio (as defined in the Description of Notes in the offering memorandum for the New Notes (the “Description of the Notes”)) shall be equal to or greater than 2:1 and the Secured Leverage Ratio (as defined in the Description of Notes) does not exceed 5.5:1.</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21"/>
          <w:szCs w:val="21"/>
          <w:color w:val="auto"/>
        </w:rPr>
        <w:t>Nothing in this consent amends, modifies or waives any of the consent rights or any other provisions of the Agreement.</w:t>
      </w:r>
    </w:p>
    <w:p>
      <w:pPr>
        <w:spacing w:after="0" w:line="245" w:lineRule="exact"/>
        <w:rPr>
          <w:sz w:val="20"/>
          <w:szCs w:val="20"/>
          <w:color w:val="auto"/>
        </w:rPr>
      </w:pPr>
    </w:p>
    <w:p>
      <w:pPr>
        <w:ind w:left="120" w:right="120" w:firstLine="888"/>
        <w:spacing w:after="0" w:line="250" w:lineRule="auto"/>
        <w:rPr>
          <w:sz w:val="20"/>
          <w:szCs w:val="20"/>
          <w:color w:val="auto"/>
        </w:rPr>
      </w:pPr>
      <w:r>
        <w:rPr>
          <w:rFonts w:ascii="Arial" w:cs="Arial" w:eastAsia="Arial" w:hAnsi="Arial"/>
          <w:sz w:val="22"/>
          <w:szCs w:val="22"/>
          <w:color w:val="auto"/>
        </w:rPr>
        <w:t>LSB Funding hereby consents to any and all actions required in connection with the preceding paragraph, which consent is provided for all purposes of Section 4.1 and Section 4.12 of the Agreement.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107115381_4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293370</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60" w:top="122" w:right="339" w:bottom="1440" w:gutter="0" w:footer="0" w:header="0"/>
        </w:sectPr>
      </w:pPr>
    </w:p>
    <w:bookmarkStart w:id="46" w:name="page47"/>
    <w:bookmarkEnd w:id="46"/>
    <w:p>
      <w:pPr>
        <w:ind w:left="100" w:firstLine="900"/>
        <w:spacing w:after="0" w:line="282" w:lineRule="auto"/>
        <w:rPr>
          <w:sz w:val="20"/>
          <w:szCs w:val="20"/>
          <w:color w:val="auto"/>
        </w:rPr>
      </w:pPr>
      <w:r>
        <w:rPr>
          <w:rFonts w:ascii="Arial" w:cs="Arial" w:eastAsia="Arial" w:hAnsi="Arial"/>
          <w:sz w:val="19"/>
          <w:szCs w:val="19"/>
          <w:color w:val="auto"/>
        </w:rPr>
        <w:t>This consent letter shall be governed by and construed in accordance with the internal laws of the State of Delaware without giving effect to any choice or conflict of laws provision or rule (whether of the State of Delaware or any other jurisdiction) that would cause the application of laws of any jurisdictions other than those of the State of Delaware. This consent letter shall not operate as a waiver of any right, power or remedy of LSB Funding under the Agreement or affect LSB Funding’s right to demand compliance with the terms and conditions of the Agreement, except as specifically consented to hereby.</w:t>
      </w:r>
    </w:p>
    <w:p>
      <w:pPr>
        <w:spacing w:after="0" w:line="174"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[Signature page immediately follows]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107115381_4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293370</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60" w:top="739" w:right="359" w:bottom="1440" w:gutter="0" w:footer="0" w:header="0"/>
        </w:sectPr>
      </w:pPr>
    </w:p>
    <w:bookmarkStart w:id="47" w:name="page48"/>
    <w:bookmarkEnd w:id="47"/>
    <w:p>
      <w:pPr>
        <w:spacing w:after="0" w:line="339"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Very truly yours, LSB</w:t>
      </w:r>
    </w:p>
    <w:p>
      <w:pPr>
        <w:spacing w:after="0" w:line="8"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FUNDING LLC</w:t>
      </w:r>
    </w:p>
    <w:p>
      <w:pPr>
        <w:spacing w:after="0" w:line="200" w:lineRule="exact"/>
        <w:rPr>
          <w:sz w:val="20"/>
          <w:szCs w:val="20"/>
          <w:color w:val="auto"/>
        </w:rPr>
      </w:pPr>
    </w:p>
    <w:p>
      <w:pPr>
        <w:spacing w:after="0" w:line="272"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Todd L. Boehly</w:t>
      </w:r>
    </w:p>
    <w:p>
      <w:pPr>
        <w:ind w:left="6520"/>
        <w:spacing w:after="0" w:line="238" w:lineRule="auto"/>
        <w:rPr>
          <w:sz w:val="20"/>
          <w:szCs w:val="20"/>
          <w:color w:val="auto"/>
        </w:rPr>
      </w:pPr>
      <w:r>
        <w:rPr>
          <w:rFonts w:ascii="Arial" w:cs="Arial" w:eastAsia="Arial" w:hAnsi="Arial"/>
          <w:sz w:val="22"/>
          <w:szCs w:val="22"/>
          <w:color w:val="auto"/>
        </w:rPr>
        <w:t>Name: Todd L. Boehly</w:t>
      </w:r>
    </w:p>
    <w:p>
      <w:pPr>
        <w:jc w:val="right"/>
        <w:ind w:right="939"/>
        <w:spacing w:after="0"/>
        <w:rPr>
          <w:sz w:val="20"/>
          <w:szCs w:val="20"/>
          <w:color w:val="auto"/>
        </w:rPr>
      </w:pPr>
      <w:r>
        <w:rPr>
          <w:rFonts w:ascii="Arial" w:cs="Arial" w:eastAsia="Arial" w:hAnsi="Arial"/>
          <w:sz w:val="22"/>
          <w:szCs w:val="22"/>
          <w:color w:val="auto"/>
        </w:rPr>
        <w:t>Title: Chief Executive Officer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107115381_4</w:t>
      </w:r>
    </w:p>
    <w:p>
      <w:pPr>
        <w:sectPr>
          <w:pgSz w:w="11900" w:h="16838" w:orient="portrait"/>
          <w:cols w:equalWidth="0" w:num="1">
            <w:col w:w="10099"/>
          </w:cols>
          <w:pgMar w:left="360" w:top="1440" w:right="1440"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T. Behrman, certify that:</w:t>
      </w:r>
    </w:p>
    <w:p>
      <w:pPr>
        <w:spacing w:after="0" w:line="117"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117"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0" w:hanging="492"/>
        <w:spacing w:after="0" w:line="308" w:lineRule="auto"/>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520" w:hanging="500"/>
        <w:spacing w:after="0" w:line="308" w:lineRule="auto"/>
        <w:tabs>
          <w:tab w:leader="none" w:pos="152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520" w:hanging="500"/>
        <w:spacing w:after="0" w:line="277" w:lineRule="auto"/>
        <w:tabs>
          <w:tab w:leader="none" w:pos="15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Mark T. Behrman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Director</w:t>
      </w:r>
    </w:p>
    <w:p>
      <w:pPr>
        <w:sectPr>
          <w:pgSz w:w="11900" w:h="16838" w:orient="portrait"/>
          <w:cols w:equalWidth="0" w:num="1">
            <w:col w:w="11240"/>
          </w:cols>
          <w:pgMar w:left="320" w:top="337"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Cheryl A. Maguire, certify that:</w:t>
      </w:r>
    </w:p>
    <w:p>
      <w:pPr>
        <w:spacing w:after="0" w:line="117"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117"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0" w:hanging="492"/>
        <w:spacing w:after="0" w:line="308" w:lineRule="auto"/>
        <w:tabs>
          <w:tab w:leader="none" w:pos="5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520" w:hanging="500"/>
        <w:spacing w:after="0" w:line="308" w:lineRule="auto"/>
        <w:tabs>
          <w:tab w:leader="none" w:pos="15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520" w:hanging="500"/>
        <w:spacing w:after="0" w:line="277" w:lineRule="auto"/>
        <w:tabs>
          <w:tab w:leader="none" w:pos="15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Cheryl A. Maguire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240"/>
          </w:cols>
          <w:pgMar w:left="320" w:top="337"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September 30, 2021 as filed with the Securities and Exchange Commission on the date hereof (the “Report”). I, Mark T. Behrman, President and Chief Executive Officer of LSB, certify pursuant to 18 U.S.C. §1350, as adopted pursuant to §906 of the Sarbanes-Oxley Act of 2002, that:</w:t>
      </w:r>
    </w:p>
    <w:p>
      <w:pPr>
        <w:spacing w:after="0" w:line="76" w:lineRule="exact"/>
        <w:rPr>
          <w:sz w:val="20"/>
          <w:szCs w:val="20"/>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Mark T. Behrman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 and</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November 2, 2021</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p>
      <w:pPr>
        <w:sectPr>
          <w:pgSz w:w="11900" w:h="16838" w:orient="portrait"/>
          <w:cols w:equalWidth="0" w:num="1">
            <w:col w:w="11240"/>
          </w:cols>
          <w:pgMar w:left="320" w:top="337"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September 30, 2021 as filed with the Securities and Exchange Commission on the date hereof (the “Report”), I, Cheryl A. Maguire, Senior Vice President and Chief Financial Officer of LSB, certify pursuant to 18 U.S.C. §1350, as adopted pursuant to §906 of the Sarbanes-Oxley Act of 2002, that:</w:t>
      </w:r>
    </w:p>
    <w:p>
      <w:pPr>
        <w:spacing w:after="0" w:line="76" w:lineRule="exact"/>
        <w:rPr>
          <w:sz w:val="20"/>
          <w:szCs w:val="20"/>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Cheryl A. Maguire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November 2, 2021</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upperLetter"/>
      <w:start w:val="1"/>
    </w:lvl>
  </w:abstractNum>
  <w:abstractNum w:abstractNumId="10">
    <w:nsid w:val="436C6125"/>
    <w:multiLevelType w:val="hybridMultilevel"/>
    <w:lvl w:ilvl="0">
      <w:lvlJc w:val="left"/>
      <w:lvlText w:val="(%1)"/>
      <w:numFmt w:val="upperLetter"/>
      <w:start w:val="2"/>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lvl w:ilvl="1">
      <w:lvlJc w:val="left"/>
      <w:lvlText w:val="▪"/>
      <w:numFmt w:val="bullet"/>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decimal"/>
      <w:start w:val="104"/>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65" Type="http://schemas.openxmlformats.org/officeDocument/2006/relationships/hyperlink" Target="http://www.sec.gov/Archives/edgar/data/60714/000119312513084410/d447083dex3i1.htm" TargetMode="External"/><Relationship Id="rId66" Type="http://schemas.openxmlformats.org/officeDocument/2006/relationships/hyperlink" Target="http://www.sec.gov/Archives/edgar/data/60714/000119312521219140/d189542dex31.htm" TargetMode="External"/><Relationship Id="rId67" Type="http://schemas.openxmlformats.org/officeDocument/2006/relationships/hyperlink" Target="http://www.sec.gov/Archives/edgar/data/60714/000156459020031834/lxu-ex31_6.htm" TargetMode="External"/><Relationship Id="rId68" Type="http://schemas.openxmlformats.org/officeDocument/2006/relationships/hyperlink" Target="http://www.sec.gov/Archives/edgar/data/60714/000119312521219140/d189542dex101.htm" TargetMode="External"/><Relationship Id="rId69" Type="http://schemas.openxmlformats.org/officeDocument/2006/relationships/hyperlink" Target="http://www.sec.gov/Archives/edgar/data/0000060714/000119312521282985/d144351dex101.htm" TargetMode="External"/><Relationship Id="rId70" Type="http://schemas.openxmlformats.org/officeDocument/2006/relationships/hyperlink" Target="http://www.sec.gov/Archives/edgar/data/60714/000119312521286899/d21800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2021-11-02T15:15:31Z</dcterms:created>
  <dcterms:modified xsi:type="dcterms:W3CDTF">2021-11-02T15:15:31Z</dcterms:modified>
</cp:coreProperties>
</file>